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1E239F">
      <w:pPr>
        <w:pStyle w:val="47"/>
        <w:pageBreakBefore w:val="0"/>
        <w:kinsoku/>
        <w:wordWrap/>
        <w:overflowPunct/>
        <w:topLinePunct w:val="0"/>
        <w:bidi w:val="0"/>
        <w:spacing w:before="0" w:line="360" w:lineRule="auto"/>
        <w:jc w:val="both"/>
        <w:rPr>
          <w:rFonts w:ascii="Times New Roman" w:hAnsi="Times New Roman" w:cs="Times New Roman" w:eastAsiaTheme="minorEastAsia"/>
          <w:b w:val="0"/>
          <w:bCs w:val="0"/>
          <w:color w:val="auto"/>
          <w:kern w:val="2"/>
          <w:sz w:val="32"/>
          <w:szCs w:val="32"/>
          <w:lang w:val="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ascii="Times New Roman" w:hAnsi="Times New Roman" w:cs="Times New Roman" w:eastAsiaTheme="minorEastAsia"/>
          <w:b w:val="0"/>
          <w:bCs w:val="0"/>
          <w:color w:val="auto"/>
          <w:kern w:val="2"/>
          <w:sz w:val="32"/>
          <w:szCs w:val="32"/>
          <w:lang w:val="zh-CN"/>
        </w:rPr>
        <w:drawing>
          <wp:inline distT="0" distB="0" distL="114300" distR="114300">
            <wp:extent cx="5267960" cy="7450455"/>
            <wp:effectExtent l="0" t="0" r="8890" b="17145"/>
            <wp:docPr id="50" name="图片 50" descr="渠江风洞子航运工程项目右岸排架柱6015型塔吊安拆专项施工方案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渠江风洞子航运工程项目右岸排架柱6015型塔吊安拆专项施工方案封面_00"/>
                    <pic:cNvPicPr>
                      <a:picLocks noChangeAspect="1"/>
                    </pic:cNvPicPr>
                  </pic:nvPicPr>
                  <pic:blipFill>
                    <a:blip r:embed="rId8"/>
                    <a:stretch>
                      <a:fillRect/>
                    </a:stretch>
                  </pic:blipFill>
                  <pic:spPr>
                    <a:xfrm>
                      <a:off x="0" y="0"/>
                      <a:ext cx="5267960" cy="7450455"/>
                    </a:xfrm>
                    <a:prstGeom prst="rect">
                      <a:avLst/>
                    </a:prstGeom>
                  </pic:spPr>
                </pic:pic>
              </a:graphicData>
            </a:graphic>
          </wp:inline>
        </w:drawing>
      </w:r>
      <w:bookmarkStart w:id="301" w:name="_GoBack"/>
      <w:bookmarkEnd w:id="301"/>
    </w:p>
    <w:p w14:paraId="12771BEE">
      <w:pPr>
        <w:spacing w:beforeLines="0"/>
        <w:jc w:val="center"/>
        <w:rPr>
          <w:rFonts w:hint="eastAsia" w:asciiTheme="minorEastAsia" w:hAnsiTheme="minorEastAsia" w:eastAsiaTheme="minorEastAsia"/>
          <w:b/>
          <w:sz w:val="28"/>
          <w:szCs w:val="28"/>
          <w:lang w:val="en-US" w:eastAsia="zh-CN"/>
        </w:rPr>
      </w:pPr>
      <w:bookmarkStart w:id="0" w:name="_Toc460833573"/>
      <w:r>
        <w:rPr>
          <w:rFonts w:hint="eastAsia" w:asciiTheme="minorEastAsia" w:hAnsiTheme="minorEastAsia" w:eastAsiaTheme="minorEastAsia"/>
          <w:b/>
          <w:sz w:val="28"/>
          <w:szCs w:val="28"/>
          <w:lang w:val="en-US" w:eastAsia="zh-CN"/>
        </w:rPr>
        <w:drawing>
          <wp:inline distT="0" distB="0" distL="114300" distR="114300">
            <wp:extent cx="5267960" cy="7450455"/>
            <wp:effectExtent l="0" t="0" r="8890" b="17145"/>
            <wp:docPr id="6" name="图片 6" descr="专家评审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专家评审意见_01"/>
                    <pic:cNvPicPr>
                      <a:picLocks noChangeAspect="1"/>
                    </pic:cNvPicPr>
                  </pic:nvPicPr>
                  <pic:blipFill>
                    <a:blip r:embed="rId9"/>
                    <a:stretch>
                      <a:fillRect/>
                    </a:stretch>
                  </pic:blipFill>
                  <pic:spPr>
                    <a:xfrm>
                      <a:off x="0" y="0"/>
                      <a:ext cx="5267960" cy="7450455"/>
                    </a:xfrm>
                    <a:prstGeom prst="rect">
                      <a:avLst/>
                    </a:prstGeom>
                  </pic:spPr>
                </pic:pic>
              </a:graphicData>
            </a:graphic>
          </wp:inline>
        </w:drawing>
      </w:r>
    </w:p>
    <w:p w14:paraId="75129557">
      <w:pPr>
        <w:rPr>
          <w:rFonts w:hint="eastAsia" w:asciiTheme="minorEastAsia" w:hAnsiTheme="minorEastAsia" w:eastAsiaTheme="minorEastAsia"/>
          <w:b/>
          <w:sz w:val="28"/>
          <w:szCs w:val="28"/>
          <w:lang w:val="en-US" w:eastAsia="zh-CN"/>
        </w:rPr>
      </w:pPr>
      <w:r>
        <w:rPr>
          <w:rFonts w:hint="eastAsia" w:asciiTheme="minorEastAsia" w:hAnsiTheme="minorEastAsia" w:eastAsiaTheme="minorEastAsia"/>
          <w:b/>
          <w:sz w:val="28"/>
          <w:szCs w:val="28"/>
          <w:lang w:val="en-US" w:eastAsia="zh-CN"/>
        </w:rPr>
        <w:br w:type="page"/>
      </w:r>
    </w:p>
    <w:p w14:paraId="399134F2">
      <w:pPr>
        <w:spacing w:beforeLines="0"/>
        <w:jc w:val="center"/>
        <w:rPr>
          <w:rFonts w:hint="eastAsia" w:asciiTheme="minorEastAsia" w:hAnsiTheme="minorEastAsia" w:eastAsiaTheme="minorEastAsia"/>
          <w:b/>
          <w:sz w:val="28"/>
          <w:szCs w:val="28"/>
        </w:rPr>
      </w:pPr>
      <w:r>
        <w:rPr>
          <w:rFonts w:hint="eastAsia" w:asciiTheme="minorEastAsia" w:hAnsiTheme="minorEastAsia" w:eastAsiaTheme="minorEastAsia"/>
          <w:b/>
          <w:sz w:val="28"/>
          <w:szCs w:val="28"/>
          <w:lang w:val="en-US" w:eastAsia="zh-CN"/>
        </w:rPr>
        <w:t>专家</w:t>
      </w:r>
      <w:r>
        <w:rPr>
          <w:rFonts w:hint="eastAsia" w:asciiTheme="minorEastAsia" w:hAnsiTheme="minorEastAsia" w:eastAsiaTheme="minorEastAsia"/>
          <w:b/>
          <w:sz w:val="28"/>
          <w:szCs w:val="28"/>
        </w:rPr>
        <w:t>评审</w:t>
      </w:r>
      <w:r>
        <w:rPr>
          <w:rFonts w:asciiTheme="minorEastAsia" w:hAnsiTheme="minorEastAsia" w:eastAsiaTheme="minorEastAsia"/>
          <w:b/>
          <w:sz w:val="28"/>
          <w:szCs w:val="28"/>
        </w:rPr>
        <w:t>意见回复确认单</w:t>
      </w:r>
    </w:p>
    <w:tbl>
      <w:tblPr>
        <w:tblStyle w:val="34"/>
        <w:tblpPr w:leftFromText="180" w:rightFromText="180" w:vertAnchor="text" w:horzAnchor="page" w:tblpX="1790" w:tblpY="622"/>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234"/>
        <w:gridCol w:w="3902"/>
        <w:gridCol w:w="2573"/>
      </w:tblGrid>
      <w:tr w14:paraId="2D3D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01" w:type="pct"/>
            <w:gridSpan w:val="2"/>
            <w:vAlign w:val="center"/>
          </w:tcPr>
          <w:p w14:paraId="311AF6C8">
            <w:pPr>
              <w:pStyle w:val="17"/>
              <w:spacing w:line="240" w:lineRule="auto"/>
              <w:ind w:firstLine="0" w:firstLineChars="0"/>
              <w:jc w:val="center"/>
              <w:rPr>
                <w:rFonts w:hint="eastAsia"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项目名称</w:t>
            </w:r>
          </w:p>
        </w:tc>
        <w:tc>
          <w:tcPr>
            <w:tcW w:w="3798" w:type="pct"/>
            <w:gridSpan w:val="2"/>
            <w:vAlign w:val="center"/>
          </w:tcPr>
          <w:p w14:paraId="29866D49">
            <w:pPr>
              <w:widowControl/>
              <w:spacing w:beforeLines="0" w:line="240" w:lineRule="auto"/>
              <w:jc w:val="center"/>
              <w:rPr>
                <w:rFonts w:hint="eastAsia" w:asciiTheme="majorEastAsia" w:hAnsiTheme="majorEastAsia" w:eastAsiaTheme="majorEastAsia"/>
                <w:szCs w:val="21"/>
              </w:rPr>
            </w:pPr>
            <w:r>
              <w:rPr>
                <w:rFonts w:hint="eastAsia" w:asciiTheme="majorEastAsia" w:hAnsiTheme="majorEastAsia" w:eastAsiaTheme="majorEastAsia"/>
                <w:szCs w:val="21"/>
              </w:rPr>
              <w:t>渠江风洞子航运工程</w:t>
            </w:r>
          </w:p>
        </w:tc>
      </w:tr>
      <w:tr w14:paraId="5CD1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01" w:type="pct"/>
            <w:gridSpan w:val="2"/>
            <w:vAlign w:val="center"/>
          </w:tcPr>
          <w:p w14:paraId="50214D78">
            <w:pPr>
              <w:pStyle w:val="17"/>
              <w:ind w:firstLine="0" w:firstLineChars="0"/>
              <w:jc w:val="center"/>
              <w:rPr>
                <w:rFonts w:hint="eastAsia"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方案名称</w:t>
            </w:r>
          </w:p>
        </w:tc>
        <w:tc>
          <w:tcPr>
            <w:tcW w:w="3798" w:type="pct"/>
            <w:gridSpan w:val="2"/>
            <w:vAlign w:val="center"/>
          </w:tcPr>
          <w:p w14:paraId="1727872F">
            <w:pPr>
              <w:pStyle w:val="17"/>
              <w:ind w:firstLine="0" w:firstLineChars="0"/>
              <w:jc w:val="center"/>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XGT6015-8S1塔式起重机安</w:t>
            </w:r>
            <w:r>
              <w:rPr>
                <w:rFonts w:hint="eastAsia" w:cs="Times New Roman" w:asciiTheme="majorEastAsia" w:hAnsiTheme="majorEastAsia" w:eastAsiaTheme="majorEastAsia"/>
                <w:sz w:val="21"/>
                <w:szCs w:val="21"/>
                <w:lang w:val="en-US" w:eastAsia="zh-CN"/>
              </w:rPr>
              <w:t>拆</w:t>
            </w:r>
            <w:r>
              <w:rPr>
                <w:rFonts w:hint="eastAsia" w:cs="Times New Roman" w:asciiTheme="majorEastAsia" w:hAnsiTheme="majorEastAsia" w:eastAsiaTheme="majorEastAsia"/>
                <w:sz w:val="21"/>
                <w:szCs w:val="21"/>
                <w:lang w:eastAsia="zh-CN"/>
              </w:rPr>
              <w:t xml:space="preserve">施工专项方案 </w:t>
            </w:r>
          </w:p>
        </w:tc>
      </w:tr>
      <w:tr w14:paraId="2113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7" w:type="pct"/>
            <w:vAlign w:val="center"/>
          </w:tcPr>
          <w:p w14:paraId="6FA060E7">
            <w:pPr>
              <w:pStyle w:val="17"/>
              <w:ind w:firstLine="0" w:firstLineChars="0"/>
              <w:jc w:val="center"/>
              <w:rPr>
                <w:rFonts w:hint="eastAsia"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序号</w:t>
            </w:r>
          </w:p>
        </w:tc>
        <w:tc>
          <w:tcPr>
            <w:tcW w:w="3013" w:type="pct"/>
            <w:gridSpan w:val="2"/>
            <w:vAlign w:val="center"/>
          </w:tcPr>
          <w:p w14:paraId="55F0440D">
            <w:pPr>
              <w:pStyle w:val="17"/>
              <w:ind w:firstLine="0" w:firstLineChars="0"/>
              <w:jc w:val="center"/>
              <w:rPr>
                <w:rFonts w:hint="eastAsia"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评审意见</w:t>
            </w:r>
          </w:p>
        </w:tc>
        <w:tc>
          <w:tcPr>
            <w:tcW w:w="1509" w:type="pct"/>
            <w:vAlign w:val="center"/>
          </w:tcPr>
          <w:p w14:paraId="11B1B731">
            <w:pPr>
              <w:pStyle w:val="17"/>
              <w:ind w:firstLine="0" w:firstLineChars="0"/>
              <w:jc w:val="center"/>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val="en-US" w:eastAsia="zh-CN"/>
              </w:rPr>
              <w:t>修改情况/回</w:t>
            </w:r>
            <w:r>
              <w:rPr>
                <w:rFonts w:cs="Times New Roman" w:asciiTheme="majorEastAsia" w:hAnsiTheme="majorEastAsia" w:eastAsiaTheme="majorEastAsia"/>
                <w:sz w:val="21"/>
                <w:szCs w:val="21"/>
                <w:lang w:eastAsia="zh-CN"/>
              </w:rPr>
              <w:t>复</w:t>
            </w:r>
          </w:p>
        </w:tc>
      </w:tr>
      <w:tr w14:paraId="7373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77" w:type="pct"/>
            <w:vAlign w:val="center"/>
          </w:tcPr>
          <w:p w14:paraId="653B422C">
            <w:pPr>
              <w:pStyle w:val="17"/>
              <w:numPr>
                <w:ilvl w:val="0"/>
                <w:numId w:val="4"/>
              </w:numPr>
              <w:ind w:left="425" w:leftChars="0" w:hanging="425" w:firstLineChars="0"/>
              <w:jc w:val="right"/>
              <w:rPr>
                <w:rFonts w:hint="eastAsia" w:cs="Times New Roman" w:asciiTheme="majorEastAsia" w:hAnsiTheme="majorEastAsia" w:eastAsiaTheme="majorEastAsia"/>
                <w:sz w:val="21"/>
                <w:szCs w:val="21"/>
                <w:lang w:eastAsia="zh-CN"/>
              </w:rPr>
            </w:pPr>
          </w:p>
        </w:tc>
        <w:tc>
          <w:tcPr>
            <w:tcW w:w="3013" w:type="pct"/>
            <w:gridSpan w:val="2"/>
            <w:vAlign w:val="center"/>
          </w:tcPr>
          <w:p w14:paraId="5138460E">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default" w:cs="Times New Roman" w:asciiTheme="majorEastAsia" w:hAnsiTheme="majorEastAsia" w:eastAsiaTheme="majorEastAsia"/>
                <w:sz w:val="21"/>
                <w:szCs w:val="21"/>
                <w:highlight w:val="none"/>
                <w:lang w:val="en-US" w:eastAsia="zh-CN"/>
              </w:rPr>
              <w:t>按照建设部《危险性较大的分部分项工程安全管理规定》（住房城乡建设部[2018]第37号令）,31号通知文、建质办（2021）48号文要求，补充完善各工况、各塔机安装方案。</w:t>
            </w:r>
          </w:p>
        </w:tc>
        <w:tc>
          <w:tcPr>
            <w:tcW w:w="1509" w:type="pct"/>
            <w:vAlign w:val="center"/>
          </w:tcPr>
          <w:p w14:paraId="0EDEA7D3">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已完善</w:t>
            </w:r>
          </w:p>
        </w:tc>
      </w:tr>
      <w:tr w14:paraId="146D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224C3D0D">
            <w:pPr>
              <w:pStyle w:val="17"/>
              <w:numPr>
                <w:ilvl w:val="0"/>
                <w:numId w:val="4"/>
              </w:numPr>
              <w:ind w:left="425" w:leftChars="0" w:hanging="425" w:firstLineChars="0"/>
              <w:jc w:val="right"/>
              <w:rPr>
                <w:rFonts w:hint="eastAsia" w:cs="Times New Roman" w:asciiTheme="majorEastAsia" w:hAnsiTheme="majorEastAsia" w:eastAsiaTheme="majorEastAsia"/>
                <w:sz w:val="21"/>
                <w:szCs w:val="21"/>
                <w:lang w:eastAsia="zh-CN"/>
              </w:rPr>
            </w:pPr>
          </w:p>
        </w:tc>
        <w:tc>
          <w:tcPr>
            <w:tcW w:w="3013" w:type="pct"/>
            <w:gridSpan w:val="2"/>
            <w:shd w:val="clear" w:color="auto" w:fill="auto"/>
            <w:vAlign w:val="center"/>
          </w:tcPr>
          <w:p w14:paraId="1A71EB67">
            <w:pPr>
              <w:pStyle w:val="17"/>
              <w:spacing w:line="276" w:lineRule="auto"/>
              <w:ind w:firstLine="0" w:firstLineChars="0"/>
              <w:rPr>
                <w:rFonts w:hint="default" w:cs="Times New Roman" w:asciiTheme="majorEastAsia" w:hAnsiTheme="majorEastAsia" w:eastAsiaTheme="majorEastAsia"/>
                <w:kern w:val="0"/>
                <w:sz w:val="21"/>
                <w:szCs w:val="21"/>
                <w:highlight w:val="none"/>
                <w:lang w:val="en-US" w:eastAsia="zh-CN" w:bidi="ar-SA"/>
              </w:rPr>
            </w:pPr>
            <w:r>
              <w:rPr>
                <w:rStyle w:val="96"/>
                <w:rFonts w:hint="eastAsia"/>
                <w:color w:val="000000"/>
                <w:sz w:val="18"/>
                <w:szCs w:val="18"/>
              </w:rPr>
              <w:t>起重设备基础、安装、使用、拆除必须严格符合JGJ276-2012 《建筑施工起重吊装工程安全技术规范》、 JGJ</w:t>
            </w:r>
            <w:r>
              <w:rPr>
                <w:rStyle w:val="96"/>
                <w:color w:val="000000"/>
                <w:sz w:val="18"/>
                <w:szCs w:val="18"/>
              </w:rPr>
              <w:t>33</w:t>
            </w:r>
            <w:r>
              <w:rPr>
                <w:rStyle w:val="96"/>
                <w:rFonts w:hint="eastAsia"/>
                <w:color w:val="000000"/>
                <w:sz w:val="18"/>
                <w:szCs w:val="18"/>
              </w:rPr>
              <w:t>-2012 《建筑机械使用安全技术规程》、JGJ/T187-20</w:t>
            </w:r>
            <w:r>
              <w:rPr>
                <w:rStyle w:val="96"/>
                <w:color w:val="000000"/>
                <w:sz w:val="18"/>
                <w:szCs w:val="18"/>
              </w:rPr>
              <w:t>1</w:t>
            </w:r>
            <w:r>
              <w:rPr>
                <w:rStyle w:val="96"/>
                <w:rFonts w:hint="eastAsia"/>
                <w:color w:val="000000"/>
                <w:sz w:val="18"/>
                <w:szCs w:val="18"/>
              </w:rPr>
              <w:t>9《塔式起重机混凝土基础工程技术标准》、JGJ46-20</w:t>
            </w:r>
            <w:r>
              <w:rPr>
                <w:rStyle w:val="96"/>
                <w:color w:val="000000"/>
                <w:sz w:val="18"/>
                <w:szCs w:val="18"/>
              </w:rPr>
              <w:t>24</w:t>
            </w:r>
            <w:r>
              <w:rPr>
                <w:rStyle w:val="96"/>
                <w:rFonts w:hint="eastAsia"/>
                <w:color w:val="000000"/>
                <w:sz w:val="18"/>
                <w:szCs w:val="18"/>
              </w:rPr>
              <w:t>《建筑与市政工程施工现场临时用电安全技术标准》、JGJ196-2010《建筑施工塔式起重机械安装、使用、拆除安全技术规程》、GB5144-2006《塔式起重机安全规程》及说明书的各项要求。恶劣天气，禁止作业。遵守《建筑施工高处作业安全技术规范》（JGJ80-2016）。</w:t>
            </w:r>
          </w:p>
        </w:tc>
        <w:tc>
          <w:tcPr>
            <w:tcW w:w="1509" w:type="pct"/>
            <w:shd w:val="clear" w:color="auto" w:fill="auto"/>
            <w:vAlign w:val="center"/>
          </w:tcPr>
          <w:p w14:paraId="03D8A9E2">
            <w:pPr>
              <w:pStyle w:val="17"/>
              <w:spacing w:line="276" w:lineRule="auto"/>
              <w:ind w:firstLine="0" w:firstLineChars="0"/>
              <w:rPr>
                <w:rFonts w:hint="default" w:cs="Times New Roman" w:asciiTheme="majorEastAsia" w:hAnsiTheme="majorEastAsia" w:eastAsiaTheme="majorEastAsia"/>
                <w:kern w:val="2"/>
                <w:sz w:val="21"/>
                <w:szCs w:val="21"/>
                <w:highlight w:val="none"/>
                <w:lang w:val="en-US" w:eastAsia="zh-CN" w:bidi="ar-SA"/>
              </w:rPr>
            </w:pPr>
            <w:r>
              <w:rPr>
                <w:rFonts w:hint="eastAsia" w:cs="Times New Roman" w:asciiTheme="majorEastAsia" w:hAnsiTheme="majorEastAsia" w:eastAsiaTheme="majorEastAsia"/>
                <w:kern w:val="2"/>
                <w:sz w:val="21"/>
                <w:szCs w:val="21"/>
                <w:highlight w:val="none"/>
                <w:lang w:val="en-US" w:eastAsia="zh-CN" w:bidi="ar-SA"/>
              </w:rPr>
              <w:t>已补充，详见1.1章节</w:t>
            </w:r>
          </w:p>
        </w:tc>
      </w:tr>
      <w:tr w14:paraId="451D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7DDEE09F">
            <w:pPr>
              <w:pStyle w:val="17"/>
              <w:numPr>
                <w:ilvl w:val="0"/>
                <w:numId w:val="4"/>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7BA3D9A8">
            <w:pPr>
              <w:pStyle w:val="17"/>
              <w:spacing w:line="276" w:lineRule="auto"/>
              <w:ind w:firstLine="0" w:firstLineChars="0"/>
              <w:rPr>
                <w:rFonts w:hint="eastAsia" w:cs="Times New Roman" w:asciiTheme="majorEastAsia" w:hAnsiTheme="majorEastAsia" w:eastAsiaTheme="majorEastAsia"/>
                <w:kern w:val="0"/>
                <w:sz w:val="21"/>
                <w:szCs w:val="21"/>
                <w:highlight w:val="none"/>
                <w:lang w:val="en-US" w:eastAsia="zh-CN" w:bidi="ar-SA"/>
              </w:rPr>
            </w:pPr>
            <w:r>
              <w:rPr>
                <w:rStyle w:val="96"/>
                <w:rFonts w:hint="eastAsia"/>
                <w:color w:val="000000"/>
                <w:sz w:val="18"/>
                <w:szCs w:val="18"/>
              </w:rPr>
              <w:t>由于塔机基础安装在闸墩基础上，详见：四川锦城建筑机械有限责任公司2</w:t>
            </w:r>
            <w:r>
              <w:rPr>
                <w:rStyle w:val="96"/>
                <w:color w:val="000000"/>
                <w:sz w:val="18"/>
                <w:szCs w:val="18"/>
              </w:rPr>
              <w:t>024</w:t>
            </w:r>
            <w:r>
              <w:rPr>
                <w:rStyle w:val="96"/>
                <w:rFonts w:hint="eastAsia"/>
                <w:color w:val="000000"/>
                <w:sz w:val="18"/>
                <w:szCs w:val="18"/>
              </w:rPr>
              <w:t>年1</w:t>
            </w:r>
            <w:r>
              <w:rPr>
                <w:rStyle w:val="96"/>
                <w:color w:val="000000"/>
                <w:sz w:val="18"/>
                <w:szCs w:val="18"/>
              </w:rPr>
              <w:t>2</w:t>
            </w:r>
            <w:r>
              <w:rPr>
                <w:rStyle w:val="96"/>
                <w:rFonts w:hint="eastAsia"/>
                <w:color w:val="000000"/>
                <w:sz w:val="18"/>
                <w:szCs w:val="18"/>
              </w:rPr>
              <w:t>月2</w:t>
            </w:r>
            <w:r>
              <w:rPr>
                <w:rStyle w:val="96"/>
                <w:color w:val="000000"/>
                <w:sz w:val="18"/>
                <w:szCs w:val="18"/>
              </w:rPr>
              <w:t>4</w:t>
            </w:r>
            <w:r>
              <w:rPr>
                <w:rStyle w:val="96"/>
                <w:rFonts w:hint="eastAsia"/>
                <w:color w:val="000000"/>
                <w:sz w:val="18"/>
                <w:szCs w:val="18"/>
              </w:rPr>
              <w:t>日出具的《</w:t>
            </w:r>
            <w:r>
              <w:rPr>
                <w:rFonts w:ascii="Times New Roman" w:hAnsi="Times New Roman"/>
                <w:color w:val="000000"/>
                <w:sz w:val="18"/>
                <w:szCs w:val="18"/>
              </w:rPr>
              <w:t>渠江风洞子航运工程</w:t>
            </w:r>
            <w:r>
              <w:rPr>
                <w:rFonts w:hint="eastAsia" w:ascii="Times New Roman" w:hAnsi="Times New Roman"/>
                <w:color w:val="000000"/>
                <w:sz w:val="18"/>
                <w:szCs w:val="18"/>
              </w:rPr>
              <w:t>3</w:t>
            </w:r>
            <w:r>
              <w:rPr>
                <w:rFonts w:ascii="Times New Roman" w:hAnsi="Times New Roman"/>
                <w:color w:val="000000"/>
                <w:sz w:val="18"/>
                <w:szCs w:val="18"/>
              </w:rPr>
              <w:t>#</w:t>
            </w:r>
            <w:r>
              <w:rPr>
                <w:rFonts w:hint="eastAsia" w:ascii="Times New Roman" w:hAnsi="Times New Roman"/>
                <w:color w:val="000000"/>
                <w:sz w:val="18"/>
                <w:szCs w:val="18"/>
              </w:rPr>
              <w:t>、</w:t>
            </w:r>
            <w:r>
              <w:rPr>
                <w:rFonts w:ascii="Times New Roman" w:hAnsi="Times New Roman"/>
                <w:color w:val="000000"/>
                <w:sz w:val="18"/>
                <w:szCs w:val="18"/>
              </w:rPr>
              <w:t>13#</w:t>
            </w:r>
            <w:r>
              <w:rPr>
                <w:rFonts w:hint="eastAsia" w:ascii="Times New Roman" w:hAnsi="Times New Roman"/>
                <w:color w:val="000000"/>
                <w:sz w:val="18"/>
                <w:szCs w:val="18"/>
              </w:rPr>
              <w:t>、</w:t>
            </w:r>
            <w:r>
              <w:rPr>
                <w:rFonts w:ascii="Times New Roman" w:hAnsi="Times New Roman"/>
                <w:color w:val="000000"/>
                <w:sz w:val="18"/>
                <w:szCs w:val="18"/>
              </w:rPr>
              <w:t>8#</w:t>
            </w:r>
            <w:r>
              <w:rPr>
                <w:rFonts w:hint="eastAsia" w:ascii="Times New Roman" w:hAnsi="Times New Roman"/>
                <w:color w:val="000000"/>
                <w:sz w:val="18"/>
                <w:szCs w:val="18"/>
              </w:rPr>
              <w:t>、</w:t>
            </w:r>
            <w:r>
              <w:rPr>
                <w:rFonts w:ascii="Times New Roman" w:hAnsi="Times New Roman"/>
                <w:color w:val="000000"/>
                <w:sz w:val="18"/>
                <w:szCs w:val="18"/>
              </w:rPr>
              <w:t>15#</w:t>
            </w:r>
            <w:r>
              <w:rPr>
                <w:rFonts w:hint="eastAsia" w:ascii="Times New Roman" w:hAnsi="Times New Roman"/>
                <w:color w:val="000000"/>
                <w:sz w:val="18"/>
                <w:szCs w:val="18"/>
              </w:rPr>
              <w:t>中墩</w:t>
            </w:r>
            <w:r>
              <w:rPr>
                <w:rFonts w:hint="eastAsia"/>
                <w:color w:val="000000"/>
                <w:sz w:val="18"/>
                <w:szCs w:val="18"/>
              </w:rPr>
              <w:t>XGT6015-8S1</w:t>
            </w:r>
            <w:r>
              <w:rPr>
                <w:rFonts w:hint="eastAsia" w:ascii="Times New Roman" w:hAnsi="Times New Roman"/>
                <w:color w:val="000000"/>
                <w:sz w:val="18"/>
                <w:szCs w:val="18"/>
              </w:rPr>
              <w:t>塔机矩形板式基础计算书</w:t>
            </w:r>
            <w:r>
              <w:rPr>
                <w:rStyle w:val="96"/>
                <w:rFonts w:hint="eastAsia"/>
                <w:color w:val="000000"/>
                <w:sz w:val="18"/>
                <w:szCs w:val="18"/>
              </w:rPr>
              <w:t>》其承载力满足要求；设备使用单位应根据设备制造商提供的荷载参数按照土建施工程序进行塔机基础的施工、检查及验收。安装起重设备基础混凝土强度应达到80％以上的设计强度。起重设备运行使用时基础混凝土应达到100％的设计强度。需按JGJ/T187-20</w:t>
            </w:r>
            <w:r>
              <w:rPr>
                <w:rStyle w:val="96"/>
                <w:color w:val="000000"/>
                <w:sz w:val="18"/>
                <w:szCs w:val="18"/>
              </w:rPr>
              <w:t>1</w:t>
            </w:r>
            <w:r>
              <w:rPr>
                <w:rStyle w:val="96"/>
                <w:rFonts w:hint="eastAsia"/>
                <w:color w:val="000000"/>
                <w:sz w:val="18"/>
                <w:szCs w:val="18"/>
              </w:rPr>
              <w:t>9、 JGJ196-2010完善塔机基础及安装等相关技术资料。</w:t>
            </w:r>
          </w:p>
        </w:tc>
        <w:tc>
          <w:tcPr>
            <w:tcW w:w="1509" w:type="pct"/>
            <w:shd w:val="clear" w:color="auto" w:fill="auto"/>
            <w:vAlign w:val="center"/>
          </w:tcPr>
          <w:p w14:paraId="11008191">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已完善，详见附件4、附件8、附件9</w:t>
            </w:r>
          </w:p>
        </w:tc>
      </w:tr>
      <w:tr w14:paraId="0A2A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26E8E6EA">
            <w:pPr>
              <w:pStyle w:val="17"/>
              <w:numPr>
                <w:ilvl w:val="0"/>
                <w:numId w:val="4"/>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503FD61B">
            <w:pPr>
              <w:pStyle w:val="17"/>
              <w:spacing w:line="276" w:lineRule="auto"/>
              <w:ind w:firstLine="0" w:firstLineChars="0"/>
              <w:rPr>
                <w:rStyle w:val="96"/>
                <w:rFonts w:eastAsia="宋体" w:cs="Times New Roman"/>
                <w:color w:val="000000"/>
                <w:sz w:val="18"/>
                <w:szCs w:val="18"/>
              </w:rPr>
            </w:pPr>
            <w:r>
              <w:rPr>
                <w:rStyle w:val="96"/>
                <w:rFonts w:hint="eastAsia" w:eastAsia="宋体" w:cs="Times New Roman"/>
                <w:color w:val="000000"/>
                <w:sz w:val="18"/>
                <w:szCs w:val="18"/>
              </w:rPr>
              <w:t>禁止擅自安装非原厂生产的标准节及附着装置；该塔机安装高度48.4m，起重臂臂长现目前为60m，安装须严格按照生产厂家的作业指导书进行安装、配置配重数量及重量；附着安装一道，采用三杆附着方式，长度为：2</w:t>
            </w:r>
            <w:r>
              <w:rPr>
                <w:rStyle w:val="96"/>
                <w:rFonts w:eastAsia="宋体" w:cs="Times New Roman"/>
                <w:color w:val="000000"/>
                <w:sz w:val="18"/>
                <w:szCs w:val="18"/>
              </w:rPr>
              <w:t>803mm</w:t>
            </w:r>
            <w:r>
              <w:rPr>
                <w:rStyle w:val="96"/>
                <w:rFonts w:hint="eastAsia" w:eastAsia="宋体" w:cs="Times New Roman"/>
                <w:color w:val="000000"/>
                <w:sz w:val="18"/>
                <w:szCs w:val="18"/>
              </w:rPr>
              <w:t>、</w:t>
            </w:r>
            <w:r>
              <w:rPr>
                <w:rStyle w:val="96"/>
                <w:rFonts w:eastAsia="宋体" w:cs="Times New Roman"/>
                <w:color w:val="000000"/>
                <w:sz w:val="18"/>
                <w:szCs w:val="18"/>
              </w:rPr>
              <w:t>2803mm</w:t>
            </w:r>
            <w:r>
              <w:rPr>
                <w:rStyle w:val="96"/>
                <w:rFonts w:hint="eastAsia" w:eastAsia="宋体" w:cs="Times New Roman"/>
                <w:color w:val="000000"/>
                <w:sz w:val="18"/>
                <w:szCs w:val="18"/>
              </w:rPr>
              <w:t>、</w:t>
            </w:r>
            <w:r>
              <w:rPr>
                <w:rStyle w:val="96"/>
                <w:rFonts w:eastAsia="宋体" w:cs="Times New Roman"/>
                <w:color w:val="000000"/>
                <w:sz w:val="18"/>
                <w:szCs w:val="18"/>
              </w:rPr>
              <w:t>3889mm</w:t>
            </w:r>
            <w:r>
              <w:rPr>
                <w:rStyle w:val="96"/>
                <w:rFonts w:hint="eastAsia" w:eastAsia="宋体" w:cs="Times New Roman"/>
                <w:color w:val="000000"/>
                <w:sz w:val="18"/>
                <w:szCs w:val="18"/>
              </w:rPr>
              <w:t>（附着杆承载力计算须具有相应资质等级的专业厂家出具）！完善人和物的防高坠措施</w:t>
            </w:r>
            <w:r>
              <w:rPr>
                <w:rStyle w:val="96"/>
                <w:rFonts w:eastAsia="宋体" w:cs="Times New Roman"/>
                <w:color w:val="000000"/>
                <w:sz w:val="18"/>
                <w:szCs w:val="18"/>
              </w:rPr>
              <w:t>。</w:t>
            </w:r>
          </w:p>
          <w:p w14:paraId="17DEF1F6">
            <w:pPr>
              <w:pStyle w:val="17"/>
              <w:spacing w:line="276" w:lineRule="auto"/>
              <w:ind w:firstLine="0" w:firstLineChars="0"/>
              <w:rPr>
                <w:rFonts w:hint="eastAsia" w:cs="Times New Roman" w:asciiTheme="majorEastAsia" w:hAnsiTheme="majorEastAsia" w:eastAsiaTheme="majorEastAsia"/>
                <w:kern w:val="0"/>
                <w:sz w:val="21"/>
                <w:szCs w:val="21"/>
                <w:highlight w:val="none"/>
                <w:lang w:val="en-US" w:eastAsia="zh-CN" w:bidi="ar-SA"/>
              </w:rPr>
            </w:pPr>
          </w:p>
        </w:tc>
        <w:tc>
          <w:tcPr>
            <w:tcW w:w="1509" w:type="pct"/>
            <w:shd w:val="clear" w:color="auto" w:fill="auto"/>
            <w:vAlign w:val="center"/>
          </w:tcPr>
          <w:p w14:paraId="453A2D20">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已完善，详见7.4章节</w:t>
            </w:r>
          </w:p>
        </w:tc>
      </w:tr>
      <w:tr w14:paraId="1244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77" w:type="pct"/>
            <w:vAlign w:val="center"/>
          </w:tcPr>
          <w:p w14:paraId="58BC4B1A">
            <w:pPr>
              <w:pStyle w:val="17"/>
              <w:numPr>
                <w:ilvl w:val="0"/>
                <w:numId w:val="4"/>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66CE9642">
            <w:pPr>
              <w:pStyle w:val="17"/>
              <w:spacing w:line="276" w:lineRule="auto"/>
              <w:ind w:firstLine="0" w:firstLineChars="0"/>
              <w:rPr>
                <w:rFonts w:hint="eastAsia" w:cs="Times New Roman" w:asciiTheme="majorEastAsia" w:hAnsiTheme="majorEastAsia" w:eastAsiaTheme="majorEastAsia"/>
                <w:kern w:val="0"/>
                <w:sz w:val="21"/>
                <w:szCs w:val="21"/>
                <w:highlight w:val="none"/>
                <w:lang w:val="en-US" w:eastAsia="zh-CN" w:bidi="ar-SA"/>
              </w:rPr>
            </w:pPr>
            <w:r>
              <w:rPr>
                <w:rStyle w:val="96"/>
                <w:color w:val="000000"/>
                <w:sz w:val="18"/>
                <w:szCs w:val="18"/>
              </w:rPr>
              <w:t>STC350C5-1汽车吊</w:t>
            </w:r>
            <w:r>
              <w:rPr>
                <w:rStyle w:val="96"/>
                <w:rFonts w:hint="eastAsia"/>
                <w:color w:val="000000"/>
                <w:sz w:val="18"/>
                <w:szCs w:val="18"/>
              </w:rPr>
              <w:t>在原装土上进行吊装作业，占位处地基结构承载力及吊装空间、作业半径均须满足作业要求。</w:t>
            </w:r>
            <w:r>
              <w:rPr>
                <w:rStyle w:val="96"/>
                <w:color w:val="000000"/>
                <w:sz w:val="18"/>
                <w:szCs w:val="18"/>
              </w:rPr>
              <w:t>塔式起重机安装前，必须经维修保养</w:t>
            </w:r>
            <w:r>
              <w:rPr>
                <w:rStyle w:val="96"/>
                <w:rFonts w:hint="eastAsia"/>
                <w:color w:val="000000"/>
                <w:sz w:val="18"/>
                <w:szCs w:val="18"/>
              </w:rPr>
              <w:t>，</w:t>
            </w:r>
            <w:r>
              <w:rPr>
                <w:rStyle w:val="96"/>
                <w:color w:val="000000"/>
                <w:sz w:val="18"/>
                <w:szCs w:val="18"/>
              </w:rPr>
              <w:t>并进行全面的检查</w:t>
            </w:r>
            <w:r>
              <w:rPr>
                <w:rStyle w:val="96"/>
                <w:rFonts w:hint="eastAsia"/>
                <w:color w:val="000000"/>
                <w:sz w:val="18"/>
                <w:szCs w:val="18"/>
              </w:rPr>
              <w:t>，</w:t>
            </w:r>
            <w:r>
              <w:rPr>
                <w:rStyle w:val="96"/>
                <w:color w:val="000000"/>
                <w:sz w:val="18"/>
                <w:szCs w:val="18"/>
              </w:rPr>
              <w:t>确认合格后方可安装。</w:t>
            </w:r>
            <w:r>
              <w:rPr>
                <w:rStyle w:val="96"/>
                <w:rFonts w:hint="eastAsia"/>
                <w:color w:val="000000"/>
                <w:sz w:val="18"/>
                <w:szCs w:val="18"/>
              </w:rPr>
              <w:t>同时对吊、索具进行条件验收，安装单位应严格按照塔机说明书和专项方案要求进行安装；加强试吊及整个吊装过程的安全管控：安装过程中，</w:t>
            </w:r>
            <w:r>
              <w:rPr>
                <w:rStyle w:val="96"/>
                <w:color w:val="000000"/>
                <w:sz w:val="18"/>
                <w:szCs w:val="18"/>
              </w:rPr>
              <w:t>力矩限制器、重量限制器、变幅限位器、高度限位器等安全保护装置</w:t>
            </w:r>
            <w:r>
              <w:rPr>
                <w:rStyle w:val="96"/>
                <w:rFonts w:hint="eastAsia"/>
                <w:color w:val="000000"/>
                <w:sz w:val="18"/>
                <w:szCs w:val="18"/>
              </w:rPr>
              <w:t>必须安全可靠；</w:t>
            </w:r>
            <w:r>
              <w:rPr>
                <w:rStyle w:val="96"/>
                <w:color w:val="000000"/>
                <w:sz w:val="18"/>
                <w:szCs w:val="18"/>
              </w:rPr>
              <w:t>经自检、检测合格后，应</w:t>
            </w:r>
            <w:r>
              <w:rPr>
                <w:rStyle w:val="96"/>
                <w:rFonts w:hint="eastAsia"/>
                <w:color w:val="000000"/>
                <w:sz w:val="18"/>
                <w:szCs w:val="18"/>
              </w:rPr>
              <w:t>由总</w:t>
            </w:r>
            <w:r>
              <w:rPr>
                <w:rStyle w:val="96"/>
                <w:color w:val="000000"/>
                <w:sz w:val="18"/>
                <w:szCs w:val="18"/>
              </w:rPr>
              <w:t>承包单位组织出租、安装、使用</w:t>
            </w:r>
            <w:r>
              <w:rPr>
                <w:rStyle w:val="96"/>
                <w:rFonts w:hint="eastAsia"/>
                <w:color w:val="000000"/>
                <w:sz w:val="18"/>
                <w:szCs w:val="18"/>
              </w:rPr>
              <w:t>、</w:t>
            </w:r>
            <w:r>
              <w:rPr>
                <w:rStyle w:val="96"/>
                <w:color w:val="000000"/>
                <w:sz w:val="18"/>
                <w:szCs w:val="18"/>
              </w:rPr>
              <w:t>监理等单位进行验收．并应按</w:t>
            </w:r>
            <w:r>
              <w:rPr>
                <w:rStyle w:val="96"/>
                <w:rFonts w:hint="eastAsia"/>
                <w:color w:val="000000"/>
                <w:sz w:val="18"/>
                <w:szCs w:val="18"/>
              </w:rPr>
              <w:t>JGJ196-2010</w:t>
            </w:r>
            <w:r>
              <w:rPr>
                <w:rStyle w:val="96"/>
                <w:color w:val="000000"/>
                <w:sz w:val="18"/>
                <w:szCs w:val="18"/>
              </w:rPr>
              <w:t>规程附录B填写验收表</w:t>
            </w:r>
            <w:r>
              <w:rPr>
                <w:rStyle w:val="96"/>
                <w:rFonts w:hint="eastAsia"/>
                <w:color w:val="000000"/>
                <w:sz w:val="18"/>
                <w:szCs w:val="18"/>
              </w:rPr>
              <w:t>，</w:t>
            </w:r>
            <w:r>
              <w:rPr>
                <w:rStyle w:val="96"/>
                <w:color w:val="000000"/>
                <w:sz w:val="18"/>
                <w:szCs w:val="18"/>
              </w:rPr>
              <w:t>合格后方可使用</w:t>
            </w:r>
            <w:r>
              <w:rPr>
                <w:rStyle w:val="96"/>
                <w:rFonts w:hint="eastAsia"/>
                <w:color w:val="000000"/>
                <w:sz w:val="18"/>
                <w:szCs w:val="18"/>
              </w:rPr>
              <w:t>。</w:t>
            </w:r>
          </w:p>
        </w:tc>
        <w:tc>
          <w:tcPr>
            <w:tcW w:w="1509" w:type="pct"/>
            <w:shd w:val="clear" w:color="auto" w:fill="auto"/>
            <w:vAlign w:val="center"/>
          </w:tcPr>
          <w:p w14:paraId="1F440A68">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已完善，详见8.2.2.20章节</w:t>
            </w:r>
          </w:p>
        </w:tc>
      </w:tr>
      <w:tr w14:paraId="57C2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0AA2653F">
            <w:pPr>
              <w:pStyle w:val="17"/>
              <w:numPr>
                <w:ilvl w:val="0"/>
                <w:numId w:val="4"/>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359C80D2">
            <w:pPr>
              <w:pStyle w:val="17"/>
              <w:spacing w:line="276" w:lineRule="auto"/>
              <w:ind w:firstLine="0" w:firstLineChars="0"/>
              <w:rPr>
                <w:rFonts w:hint="eastAsia" w:cs="Times New Roman" w:asciiTheme="majorEastAsia" w:hAnsiTheme="majorEastAsia" w:eastAsiaTheme="majorEastAsia"/>
                <w:kern w:val="0"/>
                <w:sz w:val="21"/>
                <w:szCs w:val="21"/>
                <w:highlight w:val="none"/>
                <w:lang w:val="en-US" w:eastAsia="zh-CN" w:bidi="ar-SA"/>
              </w:rPr>
            </w:pPr>
            <w:r>
              <w:rPr>
                <w:rStyle w:val="96"/>
                <w:rFonts w:hint="eastAsia"/>
                <w:color w:val="000000"/>
                <w:sz w:val="18"/>
                <w:szCs w:val="18"/>
              </w:rPr>
              <w:t>安装时总包方和安装单位技术负责人、安全工程师、专职安全人员、监理单位监理工程师实施旁站；</w:t>
            </w:r>
          </w:p>
        </w:tc>
        <w:tc>
          <w:tcPr>
            <w:tcW w:w="1509" w:type="pct"/>
            <w:shd w:val="clear" w:color="auto" w:fill="auto"/>
            <w:vAlign w:val="center"/>
          </w:tcPr>
          <w:p w14:paraId="4E19F309">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按要求执行</w:t>
            </w:r>
          </w:p>
        </w:tc>
      </w:tr>
      <w:tr w14:paraId="79A7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7191C8DE">
            <w:pPr>
              <w:pStyle w:val="17"/>
              <w:numPr>
                <w:ilvl w:val="0"/>
                <w:numId w:val="4"/>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468F5BD0">
            <w:pPr>
              <w:pStyle w:val="17"/>
              <w:spacing w:line="276" w:lineRule="auto"/>
              <w:ind w:firstLine="0" w:firstLineChars="0"/>
              <w:rPr>
                <w:rFonts w:hint="eastAsia" w:cs="Times New Roman" w:asciiTheme="majorEastAsia" w:hAnsiTheme="majorEastAsia" w:eastAsiaTheme="majorEastAsia"/>
                <w:kern w:val="0"/>
                <w:sz w:val="21"/>
                <w:szCs w:val="21"/>
                <w:highlight w:val="none"/>
                <w:lang w:val="en-US" w:eastAsia="zh-CN" w:bidi="ar-SA"/>
              </w:rPr>
            </w:pPr>
            <w:r>
              <w:rPr>
                <w:rStyle w:val="96"/>
                <w:rFonts w:hint="eastAsia"/>
                <w:color w:val="000000"/>
                <w:sz w:val="18"/>
                <w:szCs w:val="18"/>
              </w:rPr>
              <w:t>群塔作业各方责任主体单位认真落实群塔防碰撞措施。</w:t>
            </w:r>
          </w:p>
        </w:tc>
        <w:tc>
          <w:tcPr>
            <w:tcW w:w="1509" w:type="pct"/>
            <w:shd w:val="clear" w:color="auto" w:fill="auto"/>
            <w:vAlign w:val="center"/>
          </w:tcPr>
          <w:p w14:paraId="3DC5A8DB">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按要求执行</w:t>
            </w:r>
          </w:p>
        </w:tc>
      </w:tr>
    </w:tbl>
    <w:p w14:paraId="09C067F5">
      <w:pPr>
        <w:rPr>
          <w:lang w:val="zh-CN"/>
        </w:rPr>
      </w:pPr>
      <w:r>
        <w:rPr>
          <w:lang w:val="zh-CN"/>
        </w:rPr>
        <w:br w:type="page"/>
      </w:r>
      <w:r>
        <w:drawing>
          <wp:inline distT="0" distB="0" distL="114300" distR="114300">
            <wp:extent cx="5269230" cy="6905625"/>
            <wp:effectExtent l="0" t="0" r="7620" b="952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0"/>
                    <a:stretch>
                      <a:fillRect/>
                    </a:stretch>
                  </pic:blipFill>
                  <pic:spPr>
                    <a:xfrm>
                      <a:off x="0" y="0"/>
                      <a:ext cx="5269230" cy="6905625"/>
                    </a:xfrm>
                    <a:prstGeom prst="rect">
                      <a:avLst/>
                    </a:prstGeom>
                    <a:noFill/>
                    <a:ln>
                      <a:noFill/>
                    </a:ln>
                  </pic:spPr>
                </pic:pic>
              </a:graphicData>
            </a:graphic>
          </wp:inline>
        </w:drawing>
      </w:r>
    </w:p>
    <w:p w14:paraId="2DCDFB29">
      <w:r>
        <w:br w:type="page"/>
      </w:r>
    </w:p>
    <w:p w14:paraId="1F7D64A5">
      <w:pPr>
        <w:pStyle w:val="3"/>
      </w:pPr>
    </w:p>
    <w:p w14:paraId="26AB3D85">
      <w:pPr>
        <w:spacing w:beforeLines="0"/>
        <w:jc w:val="center"/>
        <w:rPr>
          <w:rFonts w:hint="eastAsia" w:asciiTheme="minorEastAsia" w:hAnsiTheme="minorEastAsia" w:eastAsiaTheme="minorEastAsia"/>
          <w:b/>
          <w:sz w:val="28"/>
          <w:szCs w:val="28"/>
        </w:rPr>
      </w:pPr>
      <w:r>
        <w:rPr>
          <w:rFonts w:hint="eastAsia" w:asciiTheme="minorEastAsia" w:hAnsiTheme="minorEastAsia"/>
          <w:b/>
          <w:sz w:val="28"/>
          <w:szCs w:val="28"/>
          <w:lang w:val="en-US" w:eastAsia="zh-CN"/>
        </w:rPr>
        <w:t>公司</w:t>
      </w:r>
      <w:r>
        <w:rPr>
          <w:rFonts w:hint="eastAsia" w:asciiTheme="minorEastAsia" w:hAnsiTheme="minorEastAsia" w:eastAsiaTheme="minorEastAsia"/>
          <w:b/>
          <w:sz w:val="28"/>
          <w:szCs w:val="28"/>
        </w:rPr>
        <w:t>评审</w:t>
      </w:r>
      <w:r>
        <w:rPr>
          <w:rFonts w:asciiTheme="minorEastAsia" w:hAnsiTheme="minorEastAsia" w:eastAsiaTheme="minorEastAsia"/>
          <w:b/>
          <w:sz w:val="28"/>
          <w:szCs w:val="28"/>
        </w:rPr>
        <w:t>意见回复确认单</w:t>
      </w:r>
    </w:p>
    <w:tbl>
      <w:tblPr>
        <w:tblStyle w:val="34"/>
        <w:tblpPr w:leftFromText="180" w:rightFromText="180" w:vertAnchor="text" w:horzAnchor="page" w:tblpX="1790" w:tblpY="622"/>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234"/>
        <w:gridCol w:w="3902"/>
        <w:gridCol w:w="2573"/>
      </w:tblGrid>
      <w:tr w14:paraId="7A09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01" w:type="pct"/>
            <w:gridSpan w:val="2"/>
            <w:vAlign w:val="center"/>
          </w:tcPr>
          <w:p w14:paraId="7798F691">
            <w:pPr>
              <w:pStyle w:val="17"/>
              <w:spacing w:line="240" w:lineRule="auto"/>
              <w:ind w:firstLine="0" w:firstLineChars="0"/>
              <w:jc w:val="center"/>
              <w:rPr>
                <w:rFonts w:hint="eastAsia"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项目名称</w:t>
            </w:r>
          </w:p>
        </w:tc>
        <w:tc>
          <w:tcPr>
            <w:tcW w:w="3798" w:type="pct"/>
            <w:gridSpan w:val="2"/>
            <w:vAlign w:val="center"/>
          </w:tcPr>
          <w:p w14:paraId="5936672D">
            <w:pPr>
              <w:widowControl/>
              <w:spacing w:beforeLines="0" w:line="240" w:lineRule="auto"/>
              <w:jc w:val="center"/>
              <w:rPr>
                <w:rFonts w:hint="eastAsia" w:asciiTheme="majorEastAsia" w:hAnsiTheme="majorEastAsia" w:eastAsiaTheme="majorEastAsia"/>
                <w:szCs w:val="21"/>
              </w:rPr>
            </w:pPr>
            <w:r>
              <w:rPr>
                <w:rFonts w:hint="eastAsia" w:asciiTheme="majorEastAsia" w:hAnsiTheme="majorEastAsia" w:eastAsiaTheme="majorEastAsia"/>
                <w:szCs w:val="21"/>
              </w:rPr>
              <w:t>渠江风洞子航运工程</w:t>
            </w:r>
          </w:p>
        </w:tc>
      </w:tr>
      <w:tr w14:paraId="1DF2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01" w:type="pct"/>
            <w:gridSpan w:val="2"/>
            <w:vAlign w:val="center"/>
          </w:tcPr>
          <w:p w14:paraId="2A67DA84">
            <w:pPr>
              <w:pStyle w:val="17"/>
              <w:ind w:firstLine="0" w:firstLineChars="0"/>
              <w:jc w:val="center"/>
              <w:rPr>
                <w:rFonts w:hint="eastAsia"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方案名称</w:t>
            </w:r>
          </w:p>
        </w:tc>
        <w:tc>
          <w:tcPr>
            <w:tcW w:w="3798" w:type="pct"/>
            <w:gridSpan w:val="2"/>
            <w:vAlign w:val="center"/>
          </w:tcPr>
          <w:p w14:paraId="6A1B706A">
            <w:pPr>
              <w:pStyle w:val="17"/>
              <w:ind w:firstLine="0" w:firstLineChars="0"/>
              <w:jc w:val="center"/>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XGT6</w:t>
            </w:r>
            <w:r>
              <w:rPr>
                <w:rFonts w:hint="eastAsia" w:cs="Times New Roman" w:asciiTheme="majorEastAsia" w:hAnsiTheme="majorEastAsia" w:eastAsiaTheme="majorEastAsia"/>
                <w:sz w:val="21"/>
                <w:szCs w:val="21"/>
                <w:lang w:val="en-US" w:eastAsia="zh-CN"/>
              </w:rPr>
              <w:t>0</w:t>
            </w:r>
            <w:r>
              <w:rPr>
                <w:rFonts w:hint="eastAsia" w:cs="Times New Roman" w:asciiTheme="majorEastAsia" w:hAnsiTheme="majorEastAsia" w:eastAsiaTheme="majorEastAsia"/>
                <w:sz w:val="21"/>
                <w:szCs w:val="21"/>
                <w:lang w:eastAsia="zh-CN"/>
              </w:rPr>
              <w:t>15-</w:t>
            </w:r>
            <w:r>
              <w:rPr>
                <w:rFonts w:hint="eastAsia" w:cs="Times New Roman" w:asciiTheme="majorEastAsia" w:hAnsiTheme="majorEastAsia" w:eastAsiaTheme="majorEastAsia"/>
                <w:sz w:val="21"/>
                <w:szCs w:val="21"/>
                <w:lang w:val="en-US" w:eastAsia="zh-CN"/>
              </w:rPr>
              <w:t>8</w:t>
            </w:r>
            <w:r>
              <w:rPr>
                <w:rFonts w:hint="eastAsia" w:cs="Times New Roman" w:asciiTheme="majorEastAsia" w:hAnsiTheme="majorEastAsia" w:eastAsiaTheme="majorEastAsia"/>
                <w:sz w:val="21"/>
                <w:szCs w:val="21"/>
                <w:lang w:eastAsia="zh-CN"/>
              </w:rPr>
              <w:t>S</w:t>
            </w:r>
            <w:r>
              <w:rPr>
                <w:rFonts w:hint="eastAsia" w:cs="Times New Roman" w:asciiTheme="majorEastAsia" w:hAnsiTheme="majorEastAsia" w:eastAsiaTheme="majorEastAsia"/>
                <w:sz w:val="21"/>
                <w:szCs w:val="21"/>
                <w:lang w:val="en-US" w:eastAsia="zh-CN"/>
              </w:rPr>
              <w:t>1</w:t>
            </w:r>
            <w:r>
              <w:rPr>
                <w:rFonts w:hint="eastAsia" w:cs="Times New Roman" w:asciiTheme="majorEastAsia" w:hAnsiTheme="majorEastAsia" w:eastAsiaTheme="majorEastAsia"/>
                <w:sz w:val="21"/>
                <w:szCs w:val="21"/>
                <w:lang w:eastAsia="zh-CN"/>
              </w:rPr>
              <w:t xml:space="preserve">塔式起重机安装施工专项方案 </w:t>
            </w:r>
          </w:p>
        </w:tc>
      </w:tr>
      <w:tr w14:paraId="614B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7" w:type="pct"/>
            <w:vAlign w:val="center"/>
          </w:tcPr>
          <w:p w14:paraId="38A58B8F">
            <w:pPr>
              <w:pStyle w:val="17"/>
              <w:ind w:firstLine="0" w:firstLineChars="0"/>
              <w:jc w:val="center"/>
              <w:rPr>
                <w:rFonts w:hint="eastAsia"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序号</w:t>
            </w:r>
          </w:p>
        </w:tc>
        <w:tc>
          <w:tcPr>
            <w:tcW w:w="3013" w:type="pct"/>
            <w:gridSpan w:val="2"/>
            <w:vAlign w:val="center"/>
          </w:tcPr>
          <w:p w14:paraId="1BF8EDE1">
            <w:pPr>
              <w:pStyle w:val="17"/>
              <w:ind w:firstLine="0" w:firstLineChars="0"/>
              <w:jc w:val="center"/>
              <w:rPr>
                <w:rFonts w:hint="eastAsia"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评审意见</w:t>
            </w:r>
          </w:p>
        </w:tc>
        <w:tc>
          <w:tcPr>
            <w:tcW w:w="1509" w:type="pct"/>
            <w:vAlign w:val="center"/>
          </w:tcPr>
          <w:p w14:paraId="4680BF5B">
            <w:pPr>
              <w:pStyle w:val="17"/>
              <w:ind w:firstLine="0" w:firstLineChars="0"/>
              <w:jc w:val="center"/>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val="en-US" w:eastAsia="zh-CN"/>
              </w:rPr>
              <w:t>修改情况/回</w:t>
            </w:r>
            <w:r>
              <w:rPr>
                <w:rFonts w:cs="Times New Roman" w:asciiTheme="majorEastAsia" w:hAnsiTheme="majorEastAsia" w:eastAsiaTheme="majorEastAsia"/>
                <w:sz w:val="21"/>
                <w:szCs w:val="21"/>
                <w:lang w:eastAsia="zh-CN"/>
              </w:rPr>
              <w:t>复</w:t>
            </w:r>
          </w:p>
        </w:tc>
      </w:tr>
      <w:tr w14:paraId="2B0B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77" w:type="pct"/>
            <w:vAlign w:val="center"/>
          </w:tcPr>
          <w:p w14:paraId="18B142BB">
            <w:pPr>
              <w:pStyle w:val="17"/>
              <w:numPr>
                <w:ilvl w:val="0"/>
                <w:numId w:val="5"/>
              </w:numPr>
              <w:ind w:left="425" w:leftChars="0" w:hanging="425" w:firstLineChars="0"/>
              <w:jc w:val="right"/>
              <w:rPr>
                <w:rFonts w:hint="eastAsia" w:cs="Times New Roman" w:asciiTheme="majorEastAsia" w:hAnsiTheme="majorEastAsia" w:eastAsiaTheme="majorEastAsia"/>
                <w:sz w:val="21"/>
                <w:szCs w:val="21"/>
                <w:lang w:eastAsia="zh-CN"/>
              </w:rPr>
            </w:pPr>
          </w:p>
        </w:tc>
        <w:tc>
          <w:tcPr>
            <w:tcW w:w="3013" w:type="pct"/>
            <w:gridSpan w:val="2"/>
            <w:vAlign w:val="center"/>
          </w:tcPr>
          <w:p w14:paraId="7EC15180">
            <w:pPr>
              <w:pStyle w:val="17"/>
              <w:spacing w:line="276" w:lineRule="auto"/>
              <w:ind w:firstLine="0" w:firstLineChars="0"/>
              <w:rPr>
                <w:rStyle w:val="96"/>
                <w:rFonts w:hint="eastAsia" w:ascii="Times New Roman" w:hAnsi="Times New Roman" w:eastAsia="宋体" w:cs="Times New Roman"/>
                <w:color w:val="000000"/>
                <w:sz w:val="18"/>
                <w:szCs w:val="18"/>
              </w:rPr>
            </w:pPr>
            <w:r>
              <w:rPr>
                <w:rStyle w:val="96"/>
                <w:rFonts w:hint="eastAsia" w:ascii="Times New Roman" w:hAnsi="Times New Roman" w:eastAsia="宋体" w:cs="Times New Roman"/>
                <w:color w:val="000000"/>
                <w:sz w:val="18"/>
                <w:szCs w:val="18"/>
                <w:lang w:val="en-US" w:eastAsia="zh-CN"/>
              </w:rPr>
              <w:t>须重点加强起重机械安装、拆卸、爬升（降）以及附着前对结构件、爬升装置、附着装置、连接件（高强度螺栓、销轴、定位板等）及安全装置的检查验收。</w:t>
            </w:r>
          </w:p>
          <w:p w14:paraId="147A074C">
            <w:pPr>
              <w:pStyle w:val="17"/>
              <w:spacing w:line="276" w:lineRule="auto"/>
              <w:ind w:firstLine="0" w:firstLineChars="0"/>
              <w:rPr>
                <w:rStyle w:val="96"/>
                <w:rFonts w:hint="default" w:ascii="Times New Roman" w:hAnsi="Times New Roman" w:eastAsia="宋体" w:cs="Times New Roman"/>
                <w:color w:val="000000"/>
                <w:sz w:val="18"/>
                <w:szCs w:val="18"/>
                <w:lang w:val="en-US" w:eastAsia="zh-CN"/>
              </w:rPr>
            </w:pPr>
          </w:p>
        </w:tc>
        <w:tc>
          <w:tcPr>
            <w:tcW w:w="1509" w:type="pct"/>
            <w:vAlign w:val="center"/>
          </w:tcPr>
          <w:p w14:paraId="1A93AF80">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按要求执行</w:t>
            </w:r>
          </w:p>
        </w:tc>
      </w:tr>
      <w:tr w14:paraId="4DA3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0973850C">
            <w:pPr>
              <w:pStyle w:val="17"/>
              <w:numPr>
                <w:ilvl w:val="0"/>
                <w:numId w:val="5"/>
              </w:numPr>
              <w:ind w:left="425" w:leftChars="0" w:hanging="425" w:firstLineChars="0"/>
              <w:jc w:val="right"/>
              <w:rPr>
                <w:rFonts w:hint="eastAsia" w:cs="Times New Roman" w:asciiTheme="majorEastAsia" w:hAnsiTheme="majorEastAsia" w:eastAsiaTheme="majorEastAsia"/>
                <w:sz w:val="21"/>
                <w:szCs w:val="21"/>
                <w:lang w:eastAsia="zh-CN"/>
              </w:rPr>
            </w:pPr>
          </w:p>
        </w:tc>
        <w:tc>
          <w:tcPr>
            <w:tcW w:w="3013" w:type="pct"/>
            <w:gridSpan w:val="2"/>
            <w:shd w:val="clear" w:color="auto" w:fill="auto"/>
            <w:vAlign w:val="center"/>
          </w:tcPr>
          <w:p w14:paraId="162E6AAE">
            <w:pPr>
              <w:pStyle w:val="17"/>
              <w:spacing w:line="276" w:lineRule="auto"/>
              <w:ind w:firstLine="0" w:firstLineChars="0"/>
              <w:rPr>
                <w:rStyle w:val="96"/>
                <w:rFonts w:hint="default" w:ascii="Times New Roman" w:hAnsi="Times New Roman" w:eastAsia="宋体" w:cs="Times New Roman"/>
                <w:color w:val="000000"/>
                <w:sz w:val="18"/>
                <w:szCs w:val="18"/>
                <w:lang w:val="en-US" w:eastAsia="zh-CN"/>
              </w:rPr>
            </w:pPr>
            <w:r>
              <w:rPr>
                <w:rStyle w:val="96"/>
                <w:rFonts w:hint="eastAsia" w:ascii="Times New Roman" w:hAnsi="Times New Roman" w:eastAsia="宋体" w:cs="Times New Roman"/>
                <w:color w:val="000000"/>
                <w:sz w:val="18"/>
                <w:szCs w:val="18"/>
                <w:lang w:val="en-US" w:eastAsia="zh-CN"/>
              </w:rPr>
              <w:t>塔吊基础施工方案中，需注意基础预埋螺栓外露螺纹端高度，以确保双螺母安装后漏出至少三丝的要求；</w:t>
            </w:r>
          </w:p>
        </w:tc>
        <w:tc>
          <w:tcPr>
            <w:tcW w:w="1509" w:type="pct"/>
            <w:shd w:val="clear" w:color="auto" w:fill="auto"/>
            <w:vAlign w:val="center"/>
          </w:tcPr>
          <w:p w14:paraId="269F691E">
            <w:pPr>
              <w:pStyle w:val="17"/>
              <w:spacing w:line="276" w:lineRule="auto"/>
              <w:ind w:firstLine="0" w:firstLineChars="0"/>
              <w:rPr>
                <w:rFonts w:hint="default" w:cs="Times New Roman" w:asciiTheme="majorEastAsia" w:hAnsiTheme="majorEastAsia" w:eastAsiaTheme="majorEastAsia"/>
                <w:kern w:val="2"/>
                <w:sz w:val="21"/>
                <w:szCs w:val="21"/>
                <w:highlight w:val="none"/>
                <w:lang w:val="en-US" w:eastAsia="zh-CN" w:bidi="ar-SA"/>
              </w:rPr>
            </w:pPr>
            <w:r>
              <w:rPr>
                <w:rFonts w:hint="eastAsia" w:cs="Times New Roman" w:asciiTheme="majorEastAsia" w:hAnsiTheme="majorEastAsia" w:eastAsiaTheme="majorEastAsia"/>
                <w:sz w:val="21"/>
                <w:szCs w:val="21"/>
                <w:highlight w:val="none"/>
                <w:lang w:val="en-US" w:eastAsia="zh-CN"/>
              </w:rPr>
              <w:t>按要求执行</w:t>
            </w:r>
          </w:p>
        </w:tc>
      </w:tr>
      <w:tr w14:paraId="4DF8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330E1B50">
            <w:pPr>
              <w:pStyle w:val="17"/>
              <w:numPr>
                <w:ilvl w:val="0"/>
                <w:numId w:val="5"/>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3A644FEC">
            <w:pPr>
              <w:pStyle w:val="17"/>
              <w:spacing w:line="276" w:lineRule="auto"/>
              <w:ind w:firstLine="0" w:firstLineChars="0"/>
              <w:rPr>
                <w:rFonts w:hint="eastAsia" w:cs="Times New Roman" w:asciiTheme="majorEastAsia" w:hAnsiTheme="majorEastAsia" w:eastAsiaTheme="majorEastAsia"/>
                <w:kern w:val="0"/>
                <w:sz w:val="21"/>
                <w:szCs w:val="21"/>
                <w:highlight w:val="none"/>
                <w:lang w:val="en-US" w:eastAsia="zh-CN" w:bidi="ar-SA"/>
              </w:rPr>
            </w:pPr>
            <w:r>
              <w:rPr>
                <w:rStyle w:val="96"/>
                <w:rFonts w:hint="eastAsia" w:ascii="Times New Roman" w:hAnsi="Times New Roman" w:eastAsia="宋体" w:cs="Times New Roman"/>
                <w:color w:val="000000"/>
                <w:sz w:val="18"/>
                <w:szCs w:val="18"/>
                <w:lang w:val="en-US" w:eastAsia="zh-CN"/>
              </w:rPr>
              <w:t>“7.施工安全保证措施”中内容缺失，应结合塔式起重机安拆过程的危险源进行完善，补充起重吊装、高空作业、施工用电及恶劣天气等施工安全技术保障措施。</w:t>
            </w:r>
          </w:p>
        </w:tc>
        <w:tc>
          <w:tcPr>
            <w:tcW w:w="1509" w:type="pct"/>
            <w:shd w:val="clear" w:color="auto" w:fill="auto"/>
            <w:vAlign w:val="center"/>
          </w:tcPr>
          <w:p w14:paraId="1144A66E">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已完善，详见7.5、7.6、7.7、7.8章节</w:t>
            </w:r>
          </w:p>
        </w:tc>
      </w:tr>
      <w:tr w14:paraId="6DF8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0F368CA3">
            <w:pPr>
              <w:pStyle w:val="17"/>
              <w:numPr>
                <w:ilvl w:val="0"/>
                <w:numId w:val="5"/>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5D0BD610">
            <w:pPr>
              <w:pStyle w:val="17"/>
              <w:spacing w:line="276" w:lineRule="auto"/>
              <w:ind w:firstLine="0" w:firstLineChars="0"/>
              <w:rPr>
                <w:rStyle w:val="96"/>
                <w:rFonts w:hint="eastAsia" w:ascii="Times New Roman" w:hAnsi="Times New Roman" w:eastAsia="宋体" w:cs="Times New Roman"/>
                <w:color w:val="000000"/>
                <w:sz w:val="18"/>
                <w:szCs w:val="18"/>
                <w:lang w:val="en-US" w:eastAsia="zh-CN"/>
              </w:rPr>
            </w:pPr>
            <w:r>
              <w:rPr>
                <w:rStyle w:val="96"/>
                <w:rFonts w:hint="eastAsia" w:ascii="Times New Roman" w:hAnsi="Times New Roman" w:eastAsia="宋体" w:cs="Times New Roman"/>
                <w:color w:val="000000"/>
                <w:sz w:val="18"/>
                <w:szCs w:val="18"/>
                <w:lang w:val="en-US" w:eastAsia="zh-CN"/>
              </w:rPr>
              <w:t>“8.1.1.安装场地及要求”中，“无 12m/s 以上强风天气”描述有误，超过四级风不允许安拆顶升，须将风速修改为5.5m/s。</w:t>
            </w:r>
          </w:p>
        </w:tc>
        <w:tc>
          <w:tcPr>
            <w:tcW w:w="1509" w:type="pct"/>
            <w:shd w:val="clear" w:color="auto" w:fill="auto"/>
            <w:vAlign w:val="center"/>
          </w:tcPr>
          <w:p w14:paraId="5F2740E6">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已修改，详见8.1.1章节</w:t>
            </w:r>
          </w:p>
        </w:tc>
      </w:tr>
      <w:tr w14:paraId="5DA6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6896D566">
            <w:pPr>
              <w:pStyle w:val="17"/>
              <w:numPr>
                <w:ilvl w:val="0"/>
                <w:numId w:val="5"/>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0B71E45F">
            <w:pPr>
              <w:pStyle w:val="17"/>
              <w:spacing w:line="276" w:lineRule="auto"/>
              <w:ind w:firstLine="0" w:firstLineChars="0"/>
              <w:rPr>
                <w:rStyle w:val="96"/>
                <w:rFonts w:hint="eastAsia" w:ascii="Times New Roman" w:hAnsi="Times New Roman" w:eastAsia="宋体" w:cs="Times New Roman"/>
                <w:color w:val="000000"/>
                <w:sz w:val="18"/>
                <w:szCs w:val="18"/>
                <w:lang w:val="en-US" w:eastAsia="zh-CN"/>
              </w:rPr>
            </w:pPr>
            <w:r>
              <w:rPr>
                <w:rStyle w:val="96"/>
                <w:rFonts w:hint="eastAsia" w:ascii="Times New Roman" w:hAnsi="Times New Roman" w:eastAsia="宋体" w:cs="Times New Roman"/>
                <w:color w:val="000000"/>
                <w:sz w:val="18"/>
                <w:szCs w:val="18"/>
                <w:lang w:val="en-US" w:eastAsia="zh-CN"/>
              </w:rPr>
              <w:t>“8.2.2.3.安塔计算”中，受力验算未考虑吊索具重量及动载系数，须修改核实。</w:t>
            </w:r>
          </w:p>
        </w:tc>
        <w:tc>
          <w:tcPr>
            <w:tcW w:w="1509" w:type="pct"/>
            <w:shd w:val="clear" w:color="auto" w:fill="auto"/>
            <w:vAlign w:val="center"/>
          </w:tcPr>
          <w:p w14:paraId="548306E7">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已修改核实，详见8.2.2.3章节</w:t>
            </w:r>
          </w:p>
        </w:tc>
      </w:tr>
      <w:tr w14:paraId="68C5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6C132982">
            <w:pPr>
              <w:pStyle w:val="17"/>
              <w:numPr>
                <w:ilvl w:val="0"/>
                <w:numId w:val="5"/>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5657F12F">
            <w:pPr>
              <w:pStyle w:val="17"/>
              <w:spacing w:line="276" w:lineRule="auto"/>
              <w:ind w:firstLine="0" w:firstLineChars="0"/>
              <w:rPr>
                <w:rStyle w:val="96"/>
                <w:rFonts w:hint="eastAsia" w:ascii="Times New Roman" w:hAnsi="Times New Roman" w:eastAsia="宋体" w:cs="Times New Roman"/>
                <w:color w:val="000000"/>
                <w:sz w:val="18"/>
                <w:szCs w:val="18"/>
                <w:lang w:val="en-US" w:eastAsia="zh-CN"/>
              </w:rPr>
            </w:pPr>
            <w:r>
              <w:rPr>
                <w:rStyle w:val="96"/>
                <w:rFonts w:hint="eastAsia" w:ascii="Times New Roman" w:hAnsi="Times New Roman" w:eastAsia="宋体" w:cs="Times New Roman"/>
                <w:color w:val="000000"/>
                <w:sz w:val="18"/>
                <w:szCs w:val="18"/>
                <w:lang w:val="en-US" w:eastAsia="zh-CN"/>
              </w:rPr>
              <w:t>“10.1.危险源识别与控制”中，应明确危险源风险等级、责任人员等内容。</w:t>
            </w:r>
          </w:p>
        </w:tc>
        <w:tc>
          <w:tcPr>
            <w:tcW w:w="1509" w:type="pct"/>
            <w:shd w:val="clear" w:color="auto" w:fill="auto"/>
            <w:vAlign w:val="center"/>
          </w:tcPr>
          <w:p w14:paraId="52D8AB01">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已完善，危险源风险等级详见10.1章节；责任人员详见7.1章节</w:t>
            </w:r>
          </w:p>
        </w:tc>
      </w:tr>
      <w:tr w14:paraId="51A4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7" w:type="pct"/>
            <w:vAlign w:val="center"/>
          </w:tcPr>
          <w:p w14:paraId="483D525C">
            <w:pPr>
              <w:pStyle w:val="17"/>
              <w:numPr>
                <w:ilvl w:val="0"/>
                <w:numId w:val="5"/>
              </w:numPr>
              <w:ind w:left="425" w:leftChars="0" w:hanging="425" w:firstLineChars="0"/>
              <w:jc w:val="right"/>
              <w:rPr>
                <w:rFonts w:cs="Times New Roman" w:asciiTheme="majorEastAsia" w:hAnsiTheme="majorEastAsia" w:eastAsiaTheme="majorEastAsia"/>
                <w:sz w:val="21"/>
                <w:szCs w:val="21"/>
                <w:lang w:eastAsia="zh-CN"/>
              </w:rPr>
            </w:pPr>
          </w:p>
        </w:tc>
        <w:tc>
          <w:tcPr>
            <w:tcW w:w="3013" w:type="pct"/>
            <w:gridSpan w:val="2"/>
            <w:shd w:val="clear" w:color="auto" w:fill="auto"/>
            <w:vAlign w:val="center"/>
          </w:tcPr>
          <w:p w14:paraId="1E2E1B5D">
            <w:pPr>
              <w:pStyle w:val="17"/>
              <w:spacing w:line="276" w:lineRule="auto"/>
              <w:ind w:firstLine="0" w:firstLineChars="0"/>
              <w:rPr>
                <w:rStyle w:val="96"/>
                <w:rFonts w:hint="eastAsia" w:ascii="Times New Roman" w:hAnsi="Times New Roman" w:eastAsia="宋体" w:cs="Times New Roman"/>
                <w:color w:val="000000"/>
                <w:sz w:val="18"/>
                <w:szCs w:val="18"/>
                <w:lang w:val="en-US" w:eastAsia="zh-CN"/>
              </w:rPr>
            </w:pPr>
            <w:r>
              <w:rPr>
                <w:rStyle w:val="96"/>
                <w:rFonts w:hint="eastAsia" w:ascii="Times New Roman" w:hAnsi="Times New Roman" w:eastAsia="宋体" w:cs="Times New Roman"/>
                <w:color w:val="000000"/>
                <w:sz w:val="18"/>
                <w:szCs w:val="18"/>
                <w:lang w:val="en-US" w:eastAsia="zh-CN"/>
              </w:rPr>
              <w:t>附件 8 仅包含对发电厂房处的6#塔吊说明内容，泄洪冲沙闸处 4 台塔吊说明内容缺失；缺少发电厂房塔吊基础施工方案，须补充。</w:t>
            </w:r>
          </w:p>
        </w:tc>
        <w:tc>
          <w:tcPr>
            <w:tcW w:w="1509" w:type="pct"/>
            <w:shd w:val="clear" w:color="auto" w:fill="auto"/>
            <w:vAlign w:val="center"/>
          </w:tcPr>
          <w:p w14:paraId="11C9637C">
            <w:pPr>
              <w:pStyle w:val="17"/>
              <w:spacing w:line="276" w:lineRule="auto"/>
              <w:ind w:firstLine="0" w:firstLineChars="0"/>
              <w:rPr>
                <w:rFonts w:hint="default" w:cs="Times New Roman" w:asciiTheme="majorEastAsia" w:hAnsiTheme="majorEastAsia" w:eastAsiaTheme="majorEastAsia"/>
                <w:sz w:val="21"/>
                <w:szCs w:val="21"/>
                <w:highlight w:val="none"/>
                <w:lang w:val="en-US" w:eastAsia="zh-CN"/>
              </w:rPr>
            </w:pPr>
            <w:r>
              <w:rPr>
                <w:rFonts w:hint="eastAsia" w:cs="Times New Roman" w:asciiTheme="majorEastAsia" w:hAnsiTheme="majorEastAsia" w:eastAsiaTheme="majorEastAsia"/>
                <w:sz w:val="21"/>
                <w:szCs w:val="21"/>
                <w:highlight w:val="none"/>
                <w:lang w:val="en-US" w:eastAsia="zh-CN"/>
              </w:rPr>
              <w:t>附件3安装手册内包含说明内容</w:t>
            </w:r>
          </w:p>
        </w:tc>
      </w:tr>
    </w:tbl>
    <w:p w14:paraId="1AB22B8C">
      <w:pPr>
        <w:rPr>
          <w:lang w:val="zh-CN"/>
        </w:rPr>
      </w:pPr>
      <w:r>
        <w:rPr>
          <w:lang w:val="zh-CN"/>
        </w:rPr>
        <w:br w:type="page"/>
      </w:r>
    </w:p>
    <w:p w14:paraId="63E352B2">
      <w:pPr>
        <w:rPr>
          <w:lang w:val="zh-CN"/>
        </w:rPr>
      </w:pPr>
    </w:p>
    <w:p w14:paraId="727A766E">
      <w:pPr>
        <w:rPr>
          <w:lang w:val="zh-CN"/>
        </w:rPr>
      </w:pPr>
    </w:p>
    <w:p w14:paraId="38AF3CAA">
      <w:pPr>
        <w:pStyle w:val="47"/>
        <w:pageBreakBefore w:val="0"/>
        <w:kinsoku/>
        <w:wordWrap/>
        <w:overflowPunct/>
        <w:topLinePunct w:val="0"/>
        <w:bidi w:val="0"/>
        <w:spacing w:before="0" w:line="360" w:lineRule="auto"/>
        <w:jc w:val="center"/>
        <w:rPr>
          <w:rFonts w:ascii="Times New Roman" w:hAnsi="Times New Roman" w:cs="Times New Roman"/>
          <w:color w:val="auto"/>
          <w:sz w:val="32"/>
          <w:szCs w:val="32"/>
        </w:rPr>
      </w:pPr>
      <w:r>
        <w:rPr>
          <w:rFonts w:ascii="Times New Roman" w:cs="Times New Roman"/>
          <w:color w:val="auto"/>
          <w:sz w:val="32"/>
          <w:szCs w:val="32"/>
          <w:lang w:val="zh-CN"/>
        </w:rPr>
        <w:t>目</w:t>
      </w:r>
      <w:r>
        <w:rPr>
          <w:rFonts w:ascii="Times New Roman" w:hAnsi="Times New Roman" w:cs="Times New Roman"/>
          <w:color w:val="auto"/>
          <w:sz w:val="32"/>
          <w:szCs w:val="32"/>
          <w:lang w:val="zh-CN"/>
        </w:rPr>
        <w:t xml:space="preserve">   </w:t>
      </w:r>
      <w:r>
        <w:rPr>
          <w:rFonts w:ascii="Times New Roman" w:cs="Times New Roman"/>
          <w:color w:val="auto"/>
          <w:sz w:val="32"/>
          <w:szCs w:val="32"/>
          <w:lang w:val="zh-CN"/>
        </w:rPr>
        <w:t>录</w:t>
      </w:r>
    </w:p>
    <w:p w14:paraId="1BC5EB6D">
      <w:pPr>
        <w:pStyle w:val="23"/>
        <w:tabs>
          <w:tab w:val="right" w:leader="dot" w:pos="8306"/>
          <w:tab w:val="clear" w:pos="426"/>
          <w:tab w:val="clear" w:pos="8296"/>
        </w:tabs>
      </w:pPr>
      <w:r>
        <w:rPr>
          <w:rFonts w:cs="Times New Roman"/>
        </w:rPr>
        <w:fldChar w:fldCharType="begin"/>
      </w:r>
      <w:r>
        <w:rPr>
          <w:rFonts w:cs="Times New Roman"/>
        </w:rPr>
        <w:instrText xml:space="preserve"> TOC \o "1-2" \h \z \u </w:instrText>
      </w:r>
      <w:r>
        <w:rPr>
          <w:rFonts w:cs="Times New Roman"/>
        </w:rPr>
        <w:fldChar w:fldCharType="separate"/>
      </w:r>
      <w:r>
        <w:rPr>
          <w:rFonts w:cs="Times New Roman"/>
        </w:rPr>
        <w:fldChar w:fldCharType="begin"/>
      </w:r>
      <w:r>
        <w:rPr>
          <w:rFonts w:cs="Times New Roman"/>
        </w:rPr>
        <w:instrText xml:space="preserve"> HYPERLINK \l _Toc10085 </w:instrText>
      </w:r>
      <w:r>
        <w:rPr>
          <w:rFonts w:cs="Times New Roman"/>
        </w:rPr>
        <w:fldChar w:fldCharType="separate"/>
      </w:r>
      <w:r>
        <w:rPr>
          <w:rFonts w:hint="default" w:cs="Times New Roman"/>
        </w:rPr>
        <w:t xml:space="preserve">1. </w:t>
      </w:r>
      <w:r>
        <w:rPr>
          <w:rFonts w:cs="Times New Roman"/>
        </w:rPr>
        <w:t>编制依据</w:t>
      </w:r>
      <w:r>
        <w:tab/>
      </w:r>
      <w:r>
        <w:fldChar w:fldCharType="begin"/>
      </w:r>
      <w:r>
        <w:instrText xml:space="preserve"> PAGEREF _Toc10085 \h </w:instrText>
      </w:r>
      <w:r>
        <w:fldChar w:fldCharType="separate"/>
      </w:r>
      <w:r>
        <w:t>9</w:t>
      </w:r>
      <w:r>
        <w:fldChar w:fldCharType="end"/>
      </w:r>
      <w:r>
        <w:rPr>
          <w:rFonts w:cs="Times New Roman"/>
        </w:rPr>
        <w:fldChar w:fldCharType="end"/>
      </w:r>
    </w:p>
    <w:p w14:paraId="0B0C0ABD">
      <w:pPr>
        <w:pStyle w:val="25"/>
        <w:tabs>
          <w:tab w:val="right" w:leader="dot" w:pos="8306"/>
        </w:tabs>
      </w:pPr>
      <w:r>
        <w:rPr>
          <w:rFonts w:cs="Times New Roman"/>
        </w:rPr>
        <w:fldChar w:fldCharType="begin"/>
      </w:r>
      <w:r>
        <w:rPr>
          <w:rFonts w:cs="Times New Roman"/>
        </w:rPr>
        <w:instrText xml:space="preserve"> HYPERLINK \l _Toc3318 </w:instrText>
      </w:r>
      <w:r>
        <w:rPr>
          <w:rFonts w:cs="Times New Roman"/>
        </w:rPr>
        <w:fldChar w:fldCharType="separate"/>
      </w:r>
      <w:r>
        <w:rPr>
          <w:rFonts w:hint="default" w:cs="Times New Roman"/>
        </w:rPr>
        <w:t xml:space="preserve">1.1. </w:t>
      </w:r>
      <w:r>
        <w:rPr>
          <w:rFonts w:cs="Times New Roman"/>
        </w:rPr>
        <w:t>法律法规及技术规程规范</w:t>
      </w:r>
      <w:r>
        <w:tab/>
      </w:r>
      <w:r>
        <w:fldChar w:fldCharType="begin"/>
      </w:r>
      <w:r>
        <w:instrText xml:space="preserve"> PAGEREF _Toc3318 \h </w:instrText>
      </w:r>
      <w:r>
        <w:fldChar w:fldCharType="separate"/>
      </w:r>
      <w:r>
        <w:t>9</w:t>
      </w:r>
      <w:r>
        <w:fldChar w:fldCharType="end"/>
      </w:r>
      <w:r>
        <w:rPr>
          <w:rFonts w:cs="Times New Roman"/>
        </w:rPr>
        <w:fldChar w:fldCharType="end"/>
      </w:r>
    </w:p>
    <w:p w14:paraId="6B2FD7A7">
      <w:pPr>
        <w:pStyle w:val="25"/>
        <w:tabs>
          <w:tab w:val="right" w:leader="dot" w:pos="8306"/>
        </w:tabs>
      </w:pPr>
      <w:r>
        <w:rPr>
          <w:rFonts w:cs="Times New Roman"/>
        </w:rPr>
        <w:fldChar w:fldCharType="begin"/>
      </w:r>
      <w:r>
        <w:rPr>
          <w:rFonts w:cs="Times New Roman"/>
        </w:rPr>
        <w:instrText xml:space="preserve"> HYPERLINK \l _Toc13637 </w:instrText>
      </w:r>
      <w:r>
        <w:rPr>
          <w:rFonts w:cs="Times New Roman"/>
        </w:rPr>
        <w:fldChar w:fldCharType="separate"/>
      </w:r>
      <w:r>
        <w:rPr>
          <w:rFonts w:hint="default" w:cs="Times New Roman"/>
        </w:rPr>
        <w:t xml:space="preserve">1.2. </w:t>
      </w:r>
      <w:r>
        <w:rPr>
          <w:rFonts w:cs="Times New Roman"/>
        </w:rPr>
        <w:t>其他</w:t>
      </w:r>
      <w:r>
        <w:tab/>
      </w:r>
      <w:r>
        <w:fldChar w:fldCharType="begin"/>
      </w:r>
      <w:r>
        <w:instrText xml:space="preserve"> PAGEREF _Toc13637 \h </w:instrText>
      </w:r>
      <w:r>
        <w:fldChar w:fldCharType="separate"/>
      </w:r>
      <w:r>
        <w:t>9</w:t>
      </w:r>
      <w:r>
        <w:fldChar w:fldCharType="end"/>
      </w:r>
      <w:r>
        <w:rPr>
          <w:rFonts w:cs="Times New Roman"/>
        </w:rPr>
        <w:fldChar w:fldCharType="end"/>
      </w:r>
    </w:p>
    <w:p w14:paraId="72F9A711">
      <w:pPr>
        <w:pStyle w:val="23"/>
        <w:tabs>
          <w:tab w:val="right" w:leader="dot" w:pos="8306"/>
          <w:tab w:val="clear" w:pos="426"/>
          <w:tab w:val="clear" w:pos="8296"/>
        </w:tabs>
      </w:pPr>
      <w:r>
        <w:rPr>
          <w:rFonts w:cs="Times New Roman"/>
        </w:rPr>
        <w:fldChar w:fldCharType="begin"/>
      </w:r>
      <w:r>
        <w:rPr>
          <w:rFonts w:cs="Times New Roman"/>
        </w:rPr>
        <w:instrText xml:space="preserve"> HYPERLINK \l _Toc16704 </w:instrText>
      </w:r>
      <w:r>
        <w:rPr>
          <w:rFonts w:cs="Times New Roman"/>
        </w:rPr>
        <w:fldChar w:fldCharType="separate"/>
      </w:r>
      <w:r>
        <w:rPr>
          <w:rFonts w:hint="default" w:cs="Times New Roman"/>
        </w:rPr>
        <w:t xml:space="preserve">2. </w:t>
      </w:r>
      <w:r>
        <w:rPr>
          <w:rFonts w:cs="Times New Roman"/>
        </w:rPr>
        <w:t>工程概况</w:t>
      </w:r>
      <w:r>
        <w:tab/>
      </w:r>
      <w:r>
        <w:fldChar w:fldCharType="begin"/>
      </w:r>
      <w:r>
        <w:instrText xml:space="preserve"> PAGEREF _Toc16704 \h </w:instrText>
      </w:r>
      <w:r>
        <w:fldChar w:fldCharType="separate"/>
      </w:r>
      <w:r>
        <w:t>11</w:t>
      </w:r>
      <w:r>
        <w:fldChar w:fldCharType="end"/>
      </w:r>
      <w:r>
        <w:rPr>
          <w:rFonts w:cs="Times New Roman"/>
        </w:rPr>
        <w:fldChar w:fldCharType="end"/>
      </w:r>
    </w:p>
    <w:p w14:paraId="1135DA78">
      <w:pPr>
        <w:pStyle w:val="25"/>
        <w:tabs>
          <w:tab w:val="right" w:leader="dot" w:pos="8306"/>
        </w:tabs>
      </w:pPr>
      <w:r>
        <w:rPr>
          <w:rFonts w:cs="Times New Roman"/>
        </w:rPr>
        <w:fldChar w:fldCharType="begin"/>
      </w:r>
      <w:r>
        <w:rPr>
          <w:rFonts w:cs="Times New Roman"/>
        </w:rPr>
        <w:instrText xml:space="preserve"> HYPERLINK \l _Toc7885 </w:instrText>
      </w:r>
      <w:r>
        <w:rPr>
          <w:rFonts w:cs="Times New Roman"/>
        </w:rPr>
        <w:fldChar w:fldCharType="separate"/>
      </w:r>
      <w:r>
        <w:rPr>
          <w:rFonts w:hint="default" w:cs="Times New Roman"/>
        </w:rPr>
        <w:t xml:space="preserve">2.1. </w:t>
      </w:r>
      <w:r>
        <w:rPr>
          <w:rFonts w:hint="eastAsia" w:cs="Times New Roman"/>
        </w:rPr>
        <w:t>工程概况</w:t>
      </w:r>
      <w:r>
        <w:tab/>
      </w:r>
      <w:r>
        <w:fldChar w:fldCharType="begin"/>
      </w:r>
      <w:r>
        <w:instrText xml:space="preserve"> PAGEREF _Toc7885 \h </w:instrText>
      </w:r>
      <w:r>
        <w:fldChar w:fldCharType="separate"/>
      </w:r>
      <w:r>
        <w:t>11</w:t>
      </w:r>
      <w:r>
        <w:fldChar w:fldCharType="end"/>
      </w:r>
      <w:r>
        <w:rPr>
          <w:rFonts w:cs="Times New Roman"/>
        </w:rPr>
        <w:fldChar w:fldCharType="end"/>
      </w:r>
    </w:p>
    <w:p w14:paraId="4E3049E8">
      <w:pPr>
        <w:pStyle w:val="25"/>
        <w:tabs>
          <w:tab w:val="right" w:leader="dot" w:pos="8306"/>
        </w:tabs>
      </w:pPr>
      <w:r>
        <w:rPr>
          <w:rFonts w:cs="Times New Roman"/>
        </w:rPr>
        <w:fldChar w:fldCharType="begin"/>
      </w:r>
      <w:r>
        <w:rPr>
          <w:rFonts w:cs="Times New Roman"/>
        </w:rPr>
        <w:instrText xml:space="preserve"> HYPERLINK \l _Toc4382 </w:instrText>
      </w:r>
      <w:r>
        <w:rPr>
          <w:rFonts w:cs="Times New Roman"/>
        </w:rPr>
        <w:fldChar w:fldCharType="separate"/>
      </w:r>
      <w:r>
        <w:rPr>
          <w:rFonts w:hint="default"/>
        </w:rPr>
        <w:t xml:space="preserve">2.2. </w:t>
      </w:r>
      <w:r>
        <w:rPr>
          <w:rFonts w:hint="eastAsia"/>
        </w:rPr>
        <w:t>待</w:t>
      </w:r>
      <w:r>
        <w:rPr>
          <w:rFonts w:hint="eastAsia"/>
          <w:lang w:eastAsia="zh-CN"/>
        </w:rPr>
        <w:t>安拆</w:t>
      </w:r>
      <w:r>
        <w:rPr>
          <w:rFonts w:hint="eastAsia"/>
        </w:rPr>
        <w:t>塔机参数</w:t>
      </w:r>
      <w:r>
        <w:tab/>
      </w:r>
      <w:r>
        <w:fldChar w:fldCharType="begin"/>
      </w:r>
      <w:r>
        <w:instrText xml:space="preserve"> PAGEREF _Toc4382 \h </w:instrText>
      </w:r>
      <w:r>
        <w:fldChar w:fldCharType="separate"/>
      </w:r>
      <w:r>
        <w:t>12</w:t>
      </w:r>
      <w:r>
        <w:fldChar w:fldCharType="end"/>
      </w:r>
      <w:r>
        <w:rPr>
          <w:rFonts w:cs="Times New Roman"/>
        </w:rPr>
        <w:fldChar w:fldCharType="end"/>
      </w:r>
    </w:p>
    <w:p w14:paraId="455796B9">
      <w:pPr>
        <w:pStyle w:val="25"/>
        <w:tabs>
          <w:tab w:val="right" w:leader="dot" w:pos="8306"/>
        </w:tabs>
      </w:pPr>
      <w:r>
        <w:rPr>
          <w:rFonts w:cs="Times New Roman"/>
        </w:rPr>
        <w:fldChar w:fldCharType="begin"/>
      </w:r>
      <w:r>
        <w:rPr>
          <w:rFonts w:cs="Times New Roman"/>
        </w:rPr>
        <w:instrText xml:space="preserve"> HYPERLINK \l _Toc10993 </w:instrText>
      </w:r>
      <w:r>
        <w:rPr>
          <w:rFonts w:cs="Times New Roman"/>
        </w:rPr>
        <w:fldChar w:fldCharType="separate"/>
      </w:r>
      <w:r>
        <w:rPr>
          <w:rFonts w:hint="default" w:ascii="Times New Roman" w:hAnsi="Times New Roman"/>
        </w:rPr>
        <w:t xml:space="preserve">2.3. </w:t>
      </w:r>
      <w:r>
        <w:rPr>
          <w:rFonts w:hint="eastAsia" w:ascii="Times New Roman" w:hAnsi="Times New Roman"/>
          <w:lang w:val="en-US" w:eastAsia="zh-CN"/>
        </w:rPr>
        <w:t>塔机的技术参数</w:t>
      </w:r>
      <w:r>
        <w:tab/>
      </w:r>
      <w:r>
        <w:fldChar w:fldCharType="begin"/>
      </w:r>
      <w:r>
        <w:instrText xml:space="preserve"> PAGEREF _Toc10993 \h </w:instrText>
      </w:r>
      <w:r>
        <w:fldChar w:fldCharType="separate"/>
      </w:r>
      <w:r>
        <w:t>13</w:t>
      </w:r>
      <w:r>
        <w:fldChar w:fldCharType="end"/>
      </w:r>
      <w:r>
        <w:rPr>
          <w:rFonts w:cs="Times New Roman"/>
        </w:rPr>
        <w:fldChar w:fldCharType="end"/>
      </w:r>
    </w:p>
    <w:p w14:paraId="10587CDE">
      <w:pPr>
        <w:pStyle w:val="23"/>
        <w:tabs>
          <w:tab w:val="right" w:leader="dot" w:pos="8306"/>
          <w:tab w:val="clear" w:pos="426"/>
          <w:tab w:val="clear" w:pos="8296"/>
        </w:tabs>
      </w:pPr>
      <w:r>
        <w:rPr>
          <w:rFonts w:cs="Times New Roman"/>
        </w:rPr>
        <w:fldChar w:fldCharType="begin"/>
      </w:r>
      <w:r>
        <w:rPr>
          <w:rFonts w:cs="Times New Roman"/>
        </w:rPr>
        <w:instrText xml:space="preserve"> HYPERLINK \l _Toc5655 </w:instrText>
      </w:r>
      <w:r>
        <w:rPr>
          <w:rFonts w:cs="Times New Roman"/>
        </w:rPr>
        <w:fldChar w:fldCharType="separate"/>
      </w:r>
      <w:r>
        <w:rPr>
          <w:rFonts w:hint="default" w:cs="Times New Roman"/>
        </w:rPr>
        <w:t xml:space="preserve">3. </w:t>
      </w:r>
      <w:r>
        <w:rPr>
          <w:rFonts w:cs="Times New Roman"/>
        </w:rPr>
        <w:t>塔吊位置的平面图和立面图</w:t>
      </w:r>
      <w:r>
        <w:tab/>
      </w:r>
      <w:r>
        <w:fldChar w:fldCharType="begin"/>
      </w:r>
      <w:r>
        <w:instrText xml:space="preserve"> PAGEREF _Toc5655 \h </w:instrText>
      </w:r>
      <w:r>
        <w:fldChar w:fldCharType="separate"/>
      </w:r>
      <w:r>
        <w:t>14</w:t>
      </w:r>
      <w:r>
        <w:fldChar w:fldCharType="end"/>
      </w:r>
      <w:r>
        <w:rPr>
          <w:rFonts w:cs="Times New Roman"/>
        </w:rPr>
        <w:fldChar w:fldCharType="end"/>
      </w:r>
    </w:p>
    <w:p w14:paraId="551360F9">
      <w:pPr>
        <w:pStyle w:val="25"/>
        <w:tabs>
          <w:tab w:val="right" w:leader="dot" w:pos="8306"/>
        </w:tabs>
      </w:pPr>
      <w:r>
        <w:rPr>
          <w:rFonts w:cs="Times New Roman"/>
        </w:rPr>
        <w:fldChar w:fldCharType="begin"/>
      </w:r>
      <w:r>
        <w:rPr>
          <w:rFonts w:cs="Times New Roman"/>
        </w:rPr>
        <w:instrText xml:space="preserve"> HYPERLINK \l _Toc18938 </w:instrText>
      </w:r>
      <w:r>
        <w:rPr>
          <w:rFonts w:cs="Times New Roman"/>
        </w:rPr>
        <w:fldChar w:fldCharType="separate"/>
      </w:r>
      <w:r>
        <w:rPr>
          <w:rFonts w:hint="default" w:ascii="宋体" w:hAnsi="宋体" w:eastAsia="宋体"/>
          <w:szCs w:val="24"/>
          <w:lang w:val="en-US" w:eastAsia="zh-CN"/>
        </w:rPr>
        <w:t xml:space="preserve">3.1. </w:t>
      </w:r>
      <w:r>
        <w:rPr>
          <w:rFonts w:hint="eastAsia"/>
          <w:lang w:val="en-US" w:eastAsia="zh-CN"/>
        </w:rPr>
        <w:t>平面图</w:t>
      </w:r>
      <w:r>
        <w:tab/>
      </w:r>
      <w:r>
        <w:fldChar w:fldCharType="begin"/>
      </w:r>
      <w:r>
        <w:instrText xml:space="preserve"> PAGEREF _Toc18938 \h </w:instrText>
      </w:r>
      <w:r>
        <w:fldChar w:fldCharType="separate"/>
      </w:r>
      <w:r>
        <w:t>14</w:t>
      </w:r>
      <w:r>
        <w:fldChar w:fldCharType="end"/>
      </w:r>
      <w:r>
        <w:rPr>
          <w:rFonts w:cs="Times New Roman"/>
        </w:rPr>
        <w:fldChar w:fldCharType="end"/>
      </w:r>
    </w:p>
    <w:p w14:paraId="08AD0316">
      <w:pPr>
        <w:pStyle w:val="25"/>
        <w:tabs>
          <w:tab w:val="right" w:leader="dot" w:pos="8306"/>
        </w:tabs>
      </w:pPr>
      <w:r>
        <w:rPr>
          <w:rFonts w:cs="Times New Roman"/>
        </w:rPr>
        <w:fldChar w:fldCharType="begin"/>
      </w:r>
      <w:r>
        <w:rPr>
          <w:rFonts w:cs="Times New Roman"/>
        </w:rPr>
        <w:instrText xml:space="preserve"> HYPERLINK \l _Toc12479 </w:instrText>
      </w:r>
      <w:r>
        <w:rPr>
          <w:rFonts w:cs="Times New Roman"/>
        </w:rPr>
        <w:fldChar w:fldCharType="separate"/>
      </w:r>
      <w:r>
        <w:rPr>
          <w:rFonts w:hint="default" w:ascii="宋体" w:hAnsi="宋体" w:eastAsia="宋体"/>
          <w:szCs w:val="24"/>
          <w:lang w:val="en-US" w:eastAsia="zh-CN"/>
        </w:rPr>
        <w:t xml:space="preserve">3.2. </w:t>
      </w:r>
      <w:r>
        <w:rPr>
          <w:rFonts w:hint="eastAsia"/>
          <w:lang w:val="en-US" w:eastAsia="zh-CN"/>
        </w:rPr>
        <w:t>立面图</w:t>
      </w:r>
      <w:r>
        <w:tab/>
      </w:r>
      <w:r>
        <w:fldChar w:fldCharType="begin"/>
      </w:r>
      <w:r>
        <w:instrText xml:space="preserve"> PAGEREF _Toc12479 \h </w:instrText>
      </w:r>
      <w:r>
        <w:fldChar w:fldCharType="separate"/>
      </w:r>
      <w:r>
        <w:t>14</w:t>
      </w:r>
      <w:r>
        <w:fldChar w:fldCharType="end"/>
      </w:r>
      <w:r>
        <w:rPr>
          <w:rFonts w:cs="Times New Roman"/>
        </w:rPr>
        <w:fldChar w:fldCharType="end"/>
      </w:r>
    </w:p>
    <w:p w14:paraId="5352FF41">
      <w:pPr>
        <w:pStyle w:val="23"/>
        <w:tabs>
          <w:tab w:val="right" w:leader="dot" w:pos="8306"/>
          <w:tab w:val="clear" w:pos="426"/>
          <w:tab w:val="clear" w:pos="8296"/>
        </w:tabs>
      </w:pPr>
      <w:r>
        <w:rPr>
          <w:rFonts w:cs="Times New Roman"/>
        </w:rPr>
        <w:fldChar w:fldCharType="begin"/>
      </w:r>
      <w:r>
        <w:rPr>
          <w:rFonts w:cs="Times New Roman"/>
        </w:rPr>
        <w:instrText xml:space="preserve"> HYPERLINK \l _Toc3540 </w:instrText>
      </w:r>
      <w:r>
        <w:rPr>
          <w:rFonts w:cs="Times New Roman"/>
        </w:rPr>
        <w:fldChar w:fldCharType="separate"/>
      </w:r>
      <w:r>
        <w:rPr>
          <w:rFonts w:hint="default" w:cs="Times New Roman"/>
        </w:rPr>
        <w:t xml:space="preserve">4. </w:t>
      </w:r>
      <w:r>
        <w:rPr>
          <w:rFonts w:hint="eastAsia" w:cs="Times New Roman"/>
        </w:rPr>
        <w:t>部件的重量和吊点位置</w:t>
      </w:r>
      <w:r>
        <w:tab/>
      </w:r>
      <w:r>
        <w:fldChar w:fldCharType="begin"/>
      </w:r>
      <w:r>
        <w:instrText xml:space="preserve"> PAGEREF _Toc3540 \h </w:instrText>
      </w:r>
      <w:r>
        <w:fldChar w:fldCharType="separate"/>
      </w:r>
      <w:r>
        <w:t>15</w:t>
      </w:r>
      <w:r>
        <w:fldChar w:fldCharType="end"/>
      </w:r>
      <w:r>
        <w:rPr>
          <w:rFonts w:cs="Times New Roman"/>
        </w:rPr>
        <w:fldChar w:fldCharType="end"/>
      </w:r>
    </w:p>
    <w:p w14:paraId="670B1622">
      <w:pPr>
        <w:pStyle w:val="23"/>
        <w:tabs>
          <w:tab w:val="right" w:leader="dot" w:pos="8306"/>
          <w:tab w:val="clear" w:pos="426"/>
          <w:tab w:val="clear" w:pos="8296"/>
        </w:tabs>
      </w:pPr>
      <w:r>
        <w:rPr>
          <w:rFonts w:cs="Times New Roman"/>
        </w:rPr>
        <w:fldChar w:fldCharType="begin"/>
      </w:r>
      <w:r>
        <w:rPr>
          <w:rFonts w:cs="Times New Roman"/>
        </w:rPr>
        <w:instrText xml:space="preserve"> HYPERLINK \l _Toc14423 </w:instrText>
      </w:r>
      <w:r>
        <w:rPr>
          <w:rFonts w:cs="Times New Roman"/>
        </w:rPr>
        <w:fldChar w:fldCharType="separate"/>
      </w:r>
      <w:r>
        <w:rPr>
          <w:rFonts w:hint="default" w:cs="Times New Roman"/>
        </w:rPr>
        <w:t xml:space="preserve">5. </w:t>
      </w:r>
      <w:r>
        <w:rPr>
          <w:rFonts w:hint="eastAsia" w:cs="Times New Roman"/>
          <w:lang w:val="en-US" w:eastAsia="zh-CN"/>
        </w:rPr>
        <w:t>安拆</w:t>
      </w:r>
      <w:r>
        <w:rPr>
          <w:rFonts w:hint="eastAsia" w:cs="Times New Roman"/>
        </w:rPr>
        <w:t>辅助设备的型号、性能和布置位置</w:t>
      </w:r>
      <w:r>
        <w:tab/>
      </w:r>
      <w:r>
        <w:fldChar w:fldCharType="begin"/>
      </w:r>
      <w:r>
        <w:instrText xml:space="preserve"> PAGEREF _Toc14423 \h </w:instrText>
      </w:r>
      <w:r>
        <w:fldChar w:fldCharType="separate"/>
      </w:r>
      <w:r>
        <w:t>16</w:t>
      </w:r>
      <w:r>
        <w:fldChar w:fldCharType="end"/>
      </w:r>
      <w:r>
        <w:rPr>
          <w:rFonts w:cs="Times New Roman"/>
        </w:rPr>
        <w:fldChar w:fldCharType="end"/>
      </w:r>
    </w:p>
    <w:p w14:paraId="7B42BD8C">
      <w:pPr>
        <w:pStyle w:val="25"/>
        <w:tabs>
          <w:tab w:val="right" w:leader="dot" w:pos="8306"/>
        </w:tabs>
      </w:pPr>
      <w:r>
        <w:rPr>
          <w:rFonts w:cs="Times New Roman"/>
        </w:rPr>
        <w:fldChar w:fldCharType="begin"/>
      </w:r>
      <w:r>
        <w:rPr>
          <w:rFonts w:cs="Times New Roman"/>
        </w:rPr>
        <w:instrText xml:space="preserve"> HYPERLINK \l _Toc20921 </w:instrText>
      </w:r>
      <w:r>
        <w:rPr>
          <w:rFonts w:cs="Times New Roman"/>
        </w:rPr>
        <w:fldChar w:fldCharType="separate"/>
      </w:r>
      <w:r>
        <w:rPr>
          <w:rFonts w:hint="default" w:cs="Times New Roman"/>
        </w:rPr>
        <w:t xml:space="preserve">5.1. </w:t>
      </w:r>
      <w:r>
        <w:rPr>
          <w:rFonts w:hint="default" w:ascii="Times New Roman" w:hAnsi="Times New Roman" w:cs="Times New Roman"/>
          <w:szCs w:val="24"/>
          <w:lang w:val="en-US" w:eastAsia="zh-CN"/>
        </w:rPr>
        <w:t>S</w:t>
      </w:r>
      <w:r>
        <w:rPr>
          <w:rFonts w:hint="eastAsia" w:ascii="Times New Roman" w:hAnsi="Times New Roman" w:cs="Times New Roman"/>
          <w:szCs w:val="24"/>
          <w:lang w:val="en-US" w:eastAsia="zh-CN"/>
        </w:rPr>
        <w:t>TC3</w:t>
      </w:r>
      <w:r>
        <w:rPr>
          <w:rFonts w:hint="default" w:ascii="Times New Roman" w:hAnsi="Times New Roman" w:cs="Times New Roman"/>
          <w:szCs w:val="24"/>
          <w:lang w:val="en-US" w:eastAsia="zh-CN"/>
        </w:rPr>
        <w:t>50</w:t>
      </w:r>
      <w:r>
        <w:rPr>
          <w:rFonts w:hint="eastAsia" w:ascii="Times New Roman" w:hAnsi="Times New Roman" w:cs="Times New Roman"/>
          <w:szCs w:val="24"/>
          <w:lang w:val="en-US" w:eastAsia="zh-CN"/>
        </w:rPr>
        <w:t>C5-1</w:t>
      </w:r>
      <w:r>
        <w:rPr>
          <w:rFonts w:hint="eastAsia" w:cs="Times New Roman"/>
        </w:rPr>
        <w:t>汽车吊性能参数</w:t>
      </w:r>
      <w:r>
        <w:tab/>
      </w:r>
      <w:r>
        <w:fldChar w:fldCharType="begin"/>
      </w:r>
      <w:r>
        <w:instrText xml:space="preserve"> PAGEREF _Toc20921 \h </w:instrText>
      </w:r>
      <w:r>
        <w:fldChar w:fldCharType="separate"/>
      </w:r>
      <w:r>
        <w:t>16</w:t>
      </w:r>
      <w:r>
        <w:fldChar w:fldCharType="end"/>
      </w:r>
      <w:r>
        <w:rPr>
          <w:rFonts w:cs="Times New Roman"/>
        </w:rPr>
        <w:fldChar w:fldCharType="end"/>
      </w:r>
    </w:p>
    <w:p w14:paraId="0D099FDC">
      <w:pPr>
        <w:pStyle w:val="25"/>
        <w:tabs>
          <w:tab w:val="right" w:leader="dot" w:pos="8306"/>
        </w:tabs>
      </w:pPr>
      <w:r>
        <w:rPr>
          <w:rFonts w:cs="Times New Roman"/>
        </w:rPr>
        <w:fldChar w:fldCharType="begin"/>
      </w:r>
      <w:r>
        <w:rPr>
          <w:rFonts w:cs="Times New Roman"/>
        </w:rPr>
        <w:instrText xml:space="preserve"> HYPERLINK \l _Toc24642 </w:instrText>
      </w:r>
      <w:r>
        <w:rPr>
          <w:rFonts w:cs="Times New Roman"/>
        </w:rPr>
        <w:fldChar w:fldCharType="separate"/>
      </w:r>
      <w:r>
        <w:rPr>
          <w:rFonts w:hint="default"/>
          <w:lang w:val="en-US" w:eastAsia="zh-CN"/>
        </w:rPr>
        <w:t xml:space="preserve">5.2. </w:t>
      </w:r>
      <w:r>
        <w:rPr>
          <w:rFonts w:hint="eastAsia" w:cs="Times New Roman"/>
        </w:rPr>
        <w:t>汽车吊进场行驶路线</w:t>
      </w:r>
      <w:r>
        <w:tab/>
      </w:r>
      <w:r>
        <w:fldChar w:fldCharType="begin"/>
      </w:r>
      <w:r>
        <w:instrText xml:space="preserve"> PAGEREF _Toc24642 \h </w:instrText>
      </w:r>
      <w:r>
        <w:fldChar w:fldCharType="separate"/>
      </w:r>
      <w:r>
        <w:t>18</w:t>
      </w:r>
      <w:r>
        <w:fldChar w:fldCharType="end"/>
      </w:r>
      <w:r>
        <w:rPr>
          <w:rFonts w:cs="Times New Roman"/>
        </w:rPr>
        <w:fldChar w:fldCharType="end"/>
      </w:r>
    </w:p>
    <w:p w14:paraId="0FD070FC">
      <w:pPr>
        <w:pStyle w:val="23"/>
        <w:tabs>
          <w:tab w:val="right" w:leader="dot" w:pos="8306"/>
          <w:tab w:val="clear" w:pos="426"/>
          <w:tab w:val="clear" w:pos="8296"/>
        </w:tabs>
      </w:pPr>
      <w:r>
        <w:rPr>
          <w:rFonts w:cs="Times New Roman"/>
        </w:rPr>
        <w:fldChar w:fldCharType="begin"/>
      </w:r>
      <w:r>
        <w:rPr>
          <w:rFonts w:cs="Times New Roman"/>
        </w:rPr>
        <w:instrText xml:space="preserve"> HYPERLINK \l _Toc29769 </w:instrText>
      </w:r>
      <w:r>
        <w:rPr>
          <w:rFonts w:cs="Times New Roman"/>
        </w:rPr>
        <w:fldChar w:fldCharType="separate"/>
      </w:r>
      <w:r>
        <w:rPr>
          <w:rFonts w:hint="default" w:cs="Times New Roman"/>
        </w:rPr>
        <w:t xml:space="preserve">6. </w:t>
      </w:r>
      <w:r>
        <w:rPr>
          <w:rFonts w:hint="eastAsia" w:cs="Times New Roman"/>
        </w:rPr>
        <w:t>施工</w:t>
      </w:r>
      <w:r>
        <w:rPr>
          <w:rFonts w:cs="Times New Roman"/>
        </w:rPr>
        <w:t>人员</w:t>
      </w:r>
      <w:r>
        <w:rPr>
          <w:rFonts w:hint="eastAsia" w:cs="Times New Roman"/>
          <w:lang w:val="en-US" w:eastAsia="zh-CN"/>
        </w:rPr>
        <w:t>配置与</w:t>
      </w:r>
      <w:r>
        <w:rPr>
          <w:rFonts w:hint="eastAsia" w:cs="Times New Roman"/>
        </w:rPr>
        <w:t>专用工具的配备</w:t>
      </w:r>
      <w:r>
        <w:tab/>
      </w:r>
      <w:r>
        <w:fldChar w:fldCharType="begin"/>
      </w:r>
      <w:r>
        <w:instrText xml:space="preserve"> PAGEREF _Toc29769 \h </w:instrText>
      </w:r>
      <w:r>
        <w:fldChar w:fldCharType="separate"/>
      </w:r>
      <w:r>
        <w:t>27</w:t>
      </w:r>
      <w:r>
        <w:fldChar w:fldCharType="end"/>
      </w:r>
      <w:r>
        <w:rPr>
          <w:rFonts w:cs="Times New Roman"/>
        </w:rPr>
        <w:fldChar w:fldCharType="end"/>
      </w:r>
    </w:p>
    <w:p w14:paraId="6000385D">
      <w:pPr>
        <w:pStyle w:val="25"/>
        <w:tabs>
          <w:tab w:val="right" w:leader="dot" w:pos="8306"/>
        </w:tabs>
      </w:pPr>
      <w:r>
        <w:rPr>
          <w:rFonts w:cs="Times New Roman"/>
        </w:rPr>
        <w:fldChar w:fldCharType="begin"/>
      </w:r>
      <w:r>
        <w:rPr>
          <w:rFonts w:cs="Times New Roman"/>
        </w:rPr>
        <w:instrText xml:space="preserve"> HYPERLINK \l _Toc19012 </w:instrText>
      </w:r>
      <w:r>
        <w:rPr>
          <w:rFonts w:cs="Times New Roman"/>
        </w:rPr>
        <w:fldChar w:fldCharType="separate"/>
      </w:r>
      <w:r>
        <w:rPr>
          <w:rFonts w:hint="default" w:cs="Times New Roman"/>
          <w:lang w:val="en-US" w:eastAsia="zh-CN"/>
        </w:rPr>
        <w:t xml:space="preserve">6.1. </w:t>
      </w:r>
      <w:r>
        <w:rPr>
          <w:rFonts w:hint="eastAsia" w:cs="Times New Roman"/>
          <w:lang w:val="en-US" w:eastAsia="zh-CN"/>
        </w:rPr>
        <w:t>塔机安拆前应检查</w:t>
      </w:r>
      <w:r>
        <w:tab/>
      </w:r>
      <w:r>
        <w:fldChar w:fldCharType="begin"/>
      </w:r>
      <w:r>
        <w:instrText xml:space="preserve"> PAGEREF _Toc19012 \h </w:instrText>
      </w:r>
      <w:r>
        <w:fldChar w:fldCharType="separate"/>
      </w:r>
      <w:r>
        <w:t>27</w:t>
      </w:r>
      <w:r>
        <w:fldChar w:fldCharType="end"/>
      </w:r>
      <w:r>
        <w:rPr>
          <w:rFonts w:cs="Times New Roman"/>
        </w:rPr>
        <w:fldChar w:fldCharType="end"/>
      </w:r>
    </w:p>
    <w:p w14:paraId="6F499FFC">
      <w:pPr>
        <w:pStyle w:val="25"/>
        <w:tabs>
          <w:tab w:val="right" w:leader="dot" w:pos="8306"/>
        </w:tabs>
      </w:pPr>
      <w:r>
        <w:rPr>
          <w:rFonts w:cs="Times New Roman"/>
        </w:rPr>
        <w:fldChar w:fldCharType="begin"/>
      </w:r>
      <w:r>
        <w:rPr>
          <w:rFonts w:cs="Times New Roman"/>
        </w:rPr>
        <w:instrText xml:space="preserve"> HYPERLINK \l _Toc24397 </w:instrText>
      </w:r>
      <w:r>
        <w:rPr>
          <w:rFonts w:cs="Times New Roman"/>
        </w:rPr>
        <w:fldChar w:fldCharType="separate"/>
      </w:r>
      <w:r>
        <w:rPr>
          <w:rFonts w:hint="default" w:cs="Times New Roman"/>
        </w:rPr>
        <w:t xml:space="preserve">6.2. </w:t>
      </w:r>
      <w:r>
        <w:rPr>
          <w:rFonts w:hint="eastAsia" w:cs="Times New Roman"/>
        </w:rPr>
        <w:t>吊索具和</w:t>
      </w:r>
      <w:r>
        <w:rPr>
          <w:rFonts w:hint="eastAsia" w:cs="Times New Roman"/>
          <w:lang w:val="en-US" w:eastAsia="zh-CN"/>
        </w:rPr>
        <w:t>其他机具</w:t>
      </w:r>
      <w:r>
        <w:tab/>
      </w:r>
      <w:r>
        <w:fldChar w:fldCharType="begin"/>
      </w:r>
      <w:r>
        <w:instrText xml:space="preserve"> PAGEREF _Toc24397 \h </w:instrText>
      </w:r>
      <w:r>
        <w:fldChar w:fldCharType="separate"/>
      </w:r>
      <w:r>
        <w:t>27</w:t>
      </w:r>
      <w:r>
        <w:fldChar w:fldCharType="end"/>
      </w:r>
      <w:r>
        <w:rPr>
          <w:rFonts w:cs="Times New Roman"/>
        </w:rPr>
        <w:fldChar w:fldCharType="end"/>
      </w:r>
    </w:p>
    <w:p w14:paraId="799778B6">
      <w:pPr>
        <w:pStyle w:val="23"/>
        <w:tabs>
          <w:tab w:val="right" w:leader="dot" w:pos="8306"/>
          <w:tab w:val="clear" w:pos="426"/>
          <w:tab w:val="clear" w:pos="8296"/>
        </w:tabs>
      </w:pPr>
      <w:r>
        <w:rPr>
          <w:rFonts w:cs="Times New Roman"/>
        </w:rPr>
        <w:fldChar w:fldCharType="begin"/>
      </w:r>
      <w:r>
        <w:rPr>
          <w:rFonts w:cs="Times New Roman"/>
        </w:rPr>
        <w:instrText xml:space="preserve"> HYPERLINK \l _Toc13232 </w:instrText>
      </w:r>
      <w:r>
        <w:rPr>
          <w:rFonts w:cs="Times New Roman"/>
        </w:rPr>
        <w:fldChar w:fldCharType="separate"/>
      </w:r>
      <w:r>
        <w:rPr>
          <w:rFonts w:hint="default" w:cs="Times New Roman"/>
        </w:rPr>
        <w:t xml:space="preserve">7. </w:t>
      </w:r>
      <w:r>
        <w:rPr>
          <w:rFonts w:hint="eastAsia" w:cs="Times New Roman"/>
        </w:rPr>
        <w:t>施工安全保证措施</w:t>
      </w:r>
      <w:r>
        <w:tab/>
      </w:r>
      <w:r>
        <w:fldChar w:fldCharType="begin"/>
      </w:r>
      <w:r>
        <w:instrText xml:space="preserve"> PAGEREF _Toc13232 \h </w:instrText>
      </w:r>
      <w:r>
        <w:fldChar w:fldCharType="separate"/>
      </w:r>
      <w:r>
        <w:t>29</w:t>
      </w:r>
      <w:r>
        <w:fldChar w:fldCharType="end"/>
      </w:r>
      <w:r>
        <w:rPr>
          <w:rFonts w:cs="Times New Roman"/>
        </w:rPr>
        <w:fldChar w:fldCharType="end"/>
      </w:r>
    </w:p>
    <w:p w14:paraId="6AB1122B">
      <w:pPr>
        <w:pStyle w:val="25"/>
        <w:tabs>
          <w:tab w:val="right" w:leader="dot" w:pos="8306"/>
        </w:tabs>
      </w:pPr>
      <w:r>
        <w:rPr>
          <w:rFonts w:cs="Times New Roman"/>
        </w:rPr>
        <w:fldChar w:fldCharType="begin"/>
      </w:r>
      <w:r>
        <w:rPr>
          <w:rFonts w:cs="Times New Roman"/>
        </w:rPr>
        <w:instrText xml:space="preserve"> HYPERLINK \l _Toc12990 </w:instrText>
      </w:r>
      <w:r>
        <w:rPr>
          <w:rFonts w:cs="Times New Roman"/>
        </w:rPr>
        <w:fldChar w:fldCharType="separate"/>
      </w:r>
      <w:r>
        <w:rPr>
          <w:rFonts w:hint="default" w:cs="Times New Roman"/>
          <w:lang w:val="en-US" w:eastAsia="zh-CN"/>
        </w:rPr>
        <w:t xml:space="preserve">7.1. </w:t>
      </w:r>
      <w:r>
        <w:rPr>
          <w:rFonts w:hint="eastAsia" w:cs="Times New Roman"/>
          <w:lang w:val="en-US" w:eastAsia="zh-CN"/>
        </w:rPr>
        <w:t>组织保障</w:t>
      </w:r>
      <w:r>
        <w:tab/>
      </w:r>
      <w:r>
        <w:fldChar w:fldCharType="begin"/>
      </w:r>
      <w:r>
        <w:instrText xml:space="preserve"> PAGEREF _Toc12990 \h </w:instrText>
      </w:r>
      <w:r>
        <w:fldChar w:fldCharType="separate"/>
      </w:r>
      <w:r>
        <w:t>29</w:t>
      </w:r>
      <w:r>
        <w:fldChar w:fldCharType="end"/>
      </w:r>
      <w:r>
        <w:rPr>
          <w:rFonts w:cs="Times New Roman"/>
        </w:rPr>
        <w:fldChar w:fldCharType="end"/>
      </w:r>
    </w:p>
    <w:p w14:paraId="271D666F">
      <w:pPr>
        <w:pStyle w:val="25"/>
        <w:tabs>
          <w:tab w:val="right" w:leader="dot" w:pos="8306"/>
        </w:tabs>
      </w:pPr>
      <w:r>
        <w:rPr>
          <w:rFonts w:cs="Times New Roman"/>
        </w:rPr>
        <w:fldChar w:fldCharType="begin"/>
      </w:r>
      <w:r>
        <w:rPr>
          <w:rFonts w:cs="Times New Roman"/>
        </w:rPr>
        <w:instrText xml:space="preserve"> HYPERLINK \l _Toc21696 </w:instrText>
      </w:r>
      <w:r>
        <w:rPr>
          <w:rFonts w:cs="Times New Roman"/>
        </w:rPr>
        <w:fldChar w:fldCharType="separate"/>
      </w:r>
      <w:r>
        <w:rPr>
          <w:rFonts w:hint="default" w:cs="Times New Roman"/>
          <w:lang w:val="en-US" w:eastAsia="zh-CN"/>
        </w:rPr>
        <w:t xml:space="preserve">7.2. </w:t>
      </w:r>
      <w:r>
        <w:rPr>
          <w:rFonts w:hint="eastAsia" w:cs="Times New Roman"/>
          <w:lang w:val="en-US" w:eastAsia="zh-CN"/>
        </w:rPr>
        <w:t>技术措施</w:t>
      </w:r>
      <w:r>
        <w:tab/>
      </w:r>
      <w:r>
        <w:fldChar w:fldCharType="begin"/>
      </w:r>
      <w:r>
        <w:instrText xml:space="preserve"> PAGEREF _Toc21696 \h </w:instrText>
      </w:r>
      <w:r>
        <w:fldChar w:fldCharType="separate"/>
      </w:r>
      <w:r>
        <w:t>29</w:t>
      </w:r>
      <w:r>
        <w:fldChar w:fldCharType="end"/>
      </w:r>
      <w:r>
        <w:rPr>
          <w:rFonts w:cs="Times New Roman"/>
        </w:rPr>
        <w:fldChar w:fldCharType="end"/>
      </w:r>
    </w:p>
    <w:p w14:paraId="757C3437">
      <w:pPr>
        <w:pStyle w:val="25"/>
        <w:tabs>
          <w:tab w:val="right" w:leader="dot" w:pos="8306"/>
        </w:tabs>
      </w:pPr>
      <w:r>
        <w:rPr>
          <w:rFonts w:cs="Times New Roman"/>
        </w:rPr>
        <w:fldChar w:fldCharType="begin"/>
      </w:r>
      <w:r>
        <w:rPr>
          <w:rFonts w:cs="Times New Roman"/>
        </w:rPr>
        <w:instrText xml:space="preserve"> HYPERLINK \l _Toc1469 </w:instrText>
      </w:r>
      <w:r>
        <w:rPr>
          <w:rFonts w:cs="Times New Roman"/>
        </w:rPr>
        <w:fldChar w:fldCharType="separate"/>
      </w:r>
      <w:r>
        <w:rPr>
          <w:rFonts w:hint="default" w:cs="Times New Roman"/>
          <w:lang w:val="en-US" w:eastAsia="zh-CN"/>
        </w:rPr>
        <w:t xml:space="preserve">7.3. </w:t>
      </w:r>
      <w:r>
        <w:rPr>
          <w:rFonts w:hint="eastAsia" w:cs="Times New Roman"/>
          <w:lang w:val="en-US" w:eastAsia="zh-CN"/>
        </w:rPr>
        <w:t>安全管理制度</w:t>
      </w:r>
      <w:r>
        <w:tab/>
      </w:r>
      <w:r>
        <w:fldChar w:fldCharType="begin"/>
      </w:r>
      <w:r>
        <w:instrText xml:space="preserve"> PAGEREF _Toc1469 \h </w:instrText>
      </w:r>
      <w:r>
        <w:fldChar w:fldCharType="separate"/>
      </w:r>
      <w:r>
        <w:t>30</w:t>
      </w:r>
      <w:r>
        <w:fldChar w:fldCharType="end"/>
      </w:r>
      <w:r>
        <w:rPr>
          <w:rFonts w:cs="Times New Roman"/>
        </w:rPr>
        <w:fldChar w:fldCharType="end"/>
      </w:r>
    </w:p>
    <w:p w14:paraId="307F11A8">
      <w:pPr>
        <w:pStyle w:val="25"/>
        <w:tabs>
          <w:tab w:val="right" w:leader="dot" w:pos="8306"/>
        </w:tabs>
      </w:pPr>
      <w:r>
        <w:rPr>
          <w:rFonts w:cs="Times New Roman"/>
        </w:rPr>
        <w:fldChar w:fldCharType="begin"/>
      </w:r>
      <w:r>
        <w:rPr>
          <w:rFonts w:cs="Times New Roman"/>
        </w:rPr>
        <w:instrText xml:space="preserve"> HYPERLINK \l _Toc30381 </w:instrText>
      </w:r>
      <w:r>
        <w:rPr>
          <w:rFonts w:cs="Times New Roman"/>
        </w:rPr>
        <w:fldChar w:fldCharType="separate"/>
      </w:r>
      <w:r>
        <w:rPr>
          <w:rFonts w:hint="default" w:cs="Times New Roman"/>
          <w:bCs/>
          <w:kern w:val="2"/>
          <w:szCs w:val="32"/>
          <w:lang w:val="en-US" w:eastAsia="zh-CN" w:bidi="ar-SA"/>
        </w:rPr>
        <w:t xml:space="preserve">7.4. </w:t>
      </w:r>
      <w:r>
        <w:rPr>
          <w:rFonts w:hint="eastAsia" w:cs="Times New Roman"/>
          <w:bCs/>
          <w:kern w:val="2"/>
          <w:szCs w:val="32"/>
          <w:lang w:val="en-US" w:eastAsia="zh-CN" w:bidi="ar-SA"/>
        </w:rPr>
        <w:t>防高坠措施</w:t>
      </w:r>
      <w:r>
        <w:tab/>
      </w:r>
      <w:r>
        <w:fldChar w:fldCharType="begin"/>
      </w:r>
      <w:r>
        <w:instrText xml:space="preserve"> PAGEREF _Toc30381 \h </w:instrText>
      </w:r>
      <w:r>
        <w:fldChar w:fldCharType="separate"/>
      </w:r>
      <w:r>
        <w:t>31</w:t>
      </w:r>
      <w:r>
        <w:fldChar w:fldCharType="end"/>
      </w:r>
      <w:r>
        <w:rPr>
          <w:rFonts w:cs="Times New Roman"/>
        </w:rPr>
        <w:fldChar w:fldCharType="end"/>
      </w:r>
    </w:p>
    <w:p w14:paraId="427AE22F">
      <w:pPr>
        <w:pStyle w:val="25"/>
        <w:tabs>
          <w:tab w:val="right" w:leader="dot" w:pos="8306"/>
        </w:tabs>
      </w:pPr>
      <w:r>
        <w:rPr>
          <w:rFonts w:cs="Times New Roman"/>
        </w:rPr>
        <w:fldChar w:fldCharType="begin"/>
      </w:r>
      <w:r>
        <w:rPr>
          <w:rFonts w:cs="Times New Roman"/>
        </w:rPr>
        <w:instrText xml:space="preserve"> HYPERLINK \l _Toc28433 </w:instrText>
      </w:r>
      <w:r>
        <w:rPr>
          <w:rFonts w:cs="Times New Roman"/>
        </w:rPr>
        <w:fldChar w:fldCharType="separate"/>
      </w:r>
      <w:r>
        <w:rPr>
          <w:rFonts w:hint="default" w:ascii="Times New Roman" w:hAnsi="Times New Roman" w:cs="Times New Roman" w:eastAsiaTheme="majorEastAsia"/>
          <w:bCs/>
          <w:kern w:val="2"/>
          <w:szCs w:val="32"/>
          <w:lang w:val="en-US" w:eastAsia="zh-CN" w:bidi="ar-SA"/>
        </w:rPr>
        <w:t xml:space="preserve">7.5. </w:t>
      </w:r>
      <w:r>
        <w:rPr>
          <w:rFonts w:hint="eastAsia" w:cs="Times New Roman"/>
          <w:bCs/>
          <w:kern w:val="2"/>
          <w:szCs w:val="32"/>
          <w:highlight w:val="yellow"/>
          <w:lang w:val="en-US" w:eastAsia="zh-CN" w:bidi="ar-SA"/>
        </w:rPr>
        <w:t>起重吊装作业保障措施</w:t>
      </w:r>
      <w:r>
        <w:tab/>
      </w:r>
      <w:r>
        <w:fldChar w:fldCharType="begin"/>
      </w:r>
      <w:r>
        <w:instrText xml:space="preserve"> PAGEREF _Toc28433 \h </w:instrText>
      </w:r>
      <w:r>
        <w:fldChar w:fldCharType="separate"/>
      </w:r>
      <w:r>
        <w:t>32</w:t>
      </w:r>
      <w:r>
        <w:fldChar w:fldCharType="end"/>
      </w:r>
      <w:r>
        <w:rPr>
          <w:rFonts w:cs="Times New Roman"/>
        </w:rPr>
        <w:fldChar w:fldCharType="end"/>
      </w:r>
    </w:p>
    <w:p w14:paraId="443253CE">
      <w:pPr>
        <w:pStyle w:val="25"/>
        <w:tabs>
          <w:tab w:val="right" w:leader="dot" w:pos="8306"/>
        </w:tabs>
      </w:pPr>
      <w:r>
        <w:rPr>
          <w:rFonts w:cs="Times New Roman"/>
        </w:rPr>
        <w:fldChar w:fldCharType="begin"/>
      </w:r>
      <w:r>
        <w:rPr>
          <w:rFonts w:cs="Times New Roman"/>
        </w:rPr>
        <w:instrText xml:space="preserve"> HYPERLINK \l _Toc24438 </w:instrText>
      </w:r>
      <w:r>
        <w:rPr>
          <w:rFonts w:cs="Times New Roman"/>
        </w:rPr>
        <w:fldChar w:fldCharType="separate"/>
      </w:r>
      <w:r>
        <w:rPr>
          <w:rFonts w:hint="default" w:ascii="Times New Roman" w:hAnsi="Times New Roman" w:cs="Times New Roman" w:eastAsiaTheme="majorEastAsia"/>
          <w:bCs/>
          <w:kern w:val="2"/>
          <w:szCs w:val="32"/>
          <w:lang w:val="en-US" w:eastAsia="zh-CN" w:bidi="ar-SA"/>
        </w:rPr>
        <w:t xml:space="preserve">7.6. </w:t>
      </w:r>
      <w:r>
        <w:rPr>
          <w:rFonts w:hint="eastAsia" w:cs="Times New Roman"/>
          <w:bCs/>
          <w:kern w:val="2"/>
          <w:szCs w:val="32"/>
          <w:highlight w:val="yellow"/>
          <w:lang w:val="en-US" w:eastAsia="zh-CN" w:bidi="ar-SA"/>
        </w:rPr>
        <w:t>高空作业保障措施</w:t>
      </w:r>
      <w:r>
        <w:tab/>
      </w:r>
      <w:r>
        <w:fldChar w:fldCharType="begin"/>
      </w:r>
      <w:r>
        <w:instrText xml:space="preserve"> PAGEREF _Toc24438 \h </w:instrText>
      </w:r>
      <w:r>
        <w:fldChar w:fldCharType="separate"/>
      </w:r>
      <w:r>
        <w:t>33</w:t>
      </w:r>
      <w:r>
        <w:fldChar w:fldCharType="end"/>
      </w:r>
      <w:r>
        <w:rPr>
          <w:rFonts w:cs="Times New Roman"/>
        </w:rPr>
        <w:fldChar w:fldCharType="end"/>
      </w:r>
    </w:p>
    <w:p w14:paraId="2E0062B7">
      <w:pPr>
        <w:pStyle w:val="25"/>
        <w:tabs>
          <w:tab w:val="right" w:leader="dot" w:pos="8306"/>
        </w:tabs>
      </w:pPr>
      <w:r>
        <w:rPr>
          <w:rFonts w:cs="Times New Roman"/>
        </w:rPr>
        <w:fldChar w:fldCharType="begin"/>
      </w:r>
      <w:r>
        <w:rPr>
          <w:rFonts w:cs="Times New Roman"/>
        </w:rPr>
        <w:instrText xml:space="preserve"> HYPERLINK \l _Toc4102 </w:instrText>
      </w:r>
      <w:r>
        <w:rPr>
          <w:rFonts w:cs="Times New Roman"/>
        </w:rPr>
        <w:fldChar w:fldCharType="separate"/>
      </w:r>
      <w:r>
        <w:rPr>
          <w:rFonts w:hint="default" w:ascii="Times New Roman" w:hAnsi="Times New Roman" w:cs="Times New Roman" w:eastAsiaTheme="majorEastAsia"/>
          <w:bCs/>
          <w:kern w:val="2"/>
          <w:szCs w:val="32"/>
          <w:lang w:val="en-US" w:eastAsia="zh-CN" w:bidi="ar-SA"/>
        </w:rPr>
        <w:t xml:space="preserve">7.7. </w:t>
      </w:r>
      <w:r>
        <w:rPr>
          <w:rFonts w:hint="eastAsia" w:cs="Times New Roman"/>
          <w:bCs/>
          <w:kern w:val="2"/>
          <w:szCs w:val="32"/>
          <w:highlight w:val="yellow"/>
          <w:lang w:val="en-US" w:eastAsia="zh-CN" w:bidi="ar-SA"/>
        </w:rPr>
        <w:t>施工用电保障措施</w:t>
      </w:r>
      <w:r>
        <w:tab/>
      </w:r>
      <w:r>
        <w:fldChar w:fldCharType="begin"/>
      </w:r>
      <w:r>
        <w:instrText xml:space="preserve"> PAGEREF _Toc4102 \h </w:instrText>
      </w:r>
      <w:r>
        <w:fldChar w:fldCharType="separate"/>
      </w:r>
      <w:r>
        <w:t>35</w:t>
      </w:r>
      <w:r>
        <w:fldChar w:fldCharType="end"/>
      </w:r>
      <w:r>
        <w:rPr>
          <w:rFonts w:cs="Times New Roman"/>
        </w:rPr>
        <w:fldChar w:fldCharType="end"/>
      </w:r>
    </w:p>
    <w:p w14:paraId="53B7E9A5">
      <w:pPr>
        <w:pStyle w:val="25"/>
        <w:tabs>
          <w:tab w:val="right" w:leader="dot" w:pos="8306"/>
        </w:tabs>
      </w:pPr>
      <w:r>
        <w:rPr>
          <w:rFonts w:cs="Times New Roman"/>
        </w:rPr>
        <w:fldChar w:fldCharType="begin"/>
      </w:r>
      <w:r>
        <w:rPr>
          <w:rFonts w:cs="Times New Roman"/>
        </w:rPr>
        <w:instrText xml:space="preserve"> HYPERLINK \l _Toc3535 </w:instrText>
      </w:r>
      <w:r>
        <w:rPr>
          <w:rFonts w:cs="Times New Roman"/>
        </w:rPr>
        <w:fldChar w:fldCharType="separate"/>
      </w:r>
      <w:r>
        <w:rPr>
          <w:rFonts w:hint="default" w:ascii="Times New Roman" w:hAnsi="Times New Roman" w:cs="Times New Roman" w:eastAsiaTheme="majorEastAsia"/>
          <w:bCs/>
          <w:kern w:val="2"/>
          <w:szCs w:val="32"/>
          <w:lang w:val="en-US" w:eastAsia="zh-CN" w:bidi="ar-SA"/>
        </w:rPr>
        <w:t xml:space="preserve">7.8. </w:t>
      </w:r>
      <w:r>
        <w:rPr>
          <w:rFonts w:hint="eastAsia" w:cs="Times New Roman"/>
          <w:bCs/>
          <w:kern w:val="2"/>
          <w:szCs w:val="32"/>
          <w:highlight w:val="yellow"/>
          <w:lang w:val="en-US" w:eastAsia="zh-CN" w:bidi="ar-SA"/>
        </w:rPr>
        <w:t>恶劣天气保障措施</w:t>
      </w:r>
      <w:r>
        <w:tab/>
      </w:r>
      <w:r>
        <w:fldChar w:fldCharType="begin"/>
      </w:r>
      <w:r>
        <w:instrText xml:space="preserve"> PAGEREF _Toc3535 \h </w:instrText>
      </w:r>
      <w:r>
        <w:fldChar w:fldCharType="separate"/>
      </w:r>
      <w:r>
        <w:t>37</w:t>
      </w:r>
      <w:r>
        <w:fldChar w:fldCharType="end"/>
      </w:r>
      <w:r>
        <w:rPr>
          <w:rFonts w:cs="Times New Roman"/>
        </w:rPr>
        <w:fldChar w:fldCharType="end"/>
      </w:r>
    </w:p>
    <w:p w14:paraId="55383B4C">
      <w:pPr>
        <w:pStyle w:val="23"/>
        <w:tabs>
          <w:tab w:val="right" w:leader="dot" w:pos="8306"/>
          <w:tab w:val="clear" w:pos="426"/>
          <w:tab w:val="clear" w:pos="8296"/>
        </w:tabs>
      </w:pPr>
      <w:r>
        <w:rPr>
          <w:rFonts w:cs="Times New Roman"/>
        </w:rPr>
        <w:fldChar w:fldCharType="begin"/>
      </w:r>
      <w:r>
        <w:rPr>
          <w:rFonts w:cs="Times New Roman"/>
        </w:rPr>
        <w:instrText xml:space="preserve"> HYPERLINK \l _Toc26621 </w:instrText>
      </w:r>
      <w:r>
        <w:rPr>
          <w:rFonts w:cs="Times New Roman"/>
        </w:rPr>
        <w:fldChar w:fldCharType="separate"/>
      </w:r>
      <w:r>
        <w:rPr>
          <w:rFonts w:hint="default" w:cs="Times New Roman"/>
        </w:rPr>
        <w:t xml:space="preserve">8. </w:t>
      </w:r>
      <w:r>
        <w:rPr>
          <w:rFonts w:hint="eastAsia" w:cs="Times New Roman"/>
          <w:lang w:val="en-US" w:eastAsia="zh-CN"/>
        </w:rPr>
        <w:t>安装顺序</w:t>
      </w:r>
      <w:r>
        <w:tab/>
      </w:r>
      <w:r>
        <w:fldChar w:fldCharType="begin"/>
      </w:r>
      <w:r>
        <w:instrText xml:space="preserve"> PAGEREF _Toc26621 \h </w:instrText>
      </w:r>
      <w:r>
        <w:fldChar w:fldCharType="separate"/>
      </w:r>
      <w:r>
        <w:t>40</w:t>
      </w:r>
      <w:r>
        <w:fldChar w:fldCharType="end"/>
      </w:r>
      <w:r>
        <w:rPr>
          <w:rFonts w:cs="Times New Roman"/>
        </w:rPr>
        <w:fldChar w:fldCharType="end"/>
      </w:r>
    </w:p>
    <w:p w14:paraId="1FCEBFB3">
      <w:pPr>
        <w:pStyle w:val="25"/>
        <w:tabs>
          <w:tab w:val="right" w:leader="dot" w:pos="8306"/>
        </w:tabs>
      </w:pPr>
      <w:r>
        <w:rPr>
          <w:rFonts w:cs="Times New Roman"/>
        </w:rPr>
        <w:fldChar w:fldCharType="begin"/>
      </w:r>
      <w:r>
        <w:rPr>
          <w:rFonts w:cs="Times New Roman"/>
        </w:rPr>
        <w:instrText xml:space="preserve"> HYPERLINK \l _Toc6408 </w:instrText>
      </w:r>
      <w:r>
        <w:rPr>
          <w:rFonts w:cs="Times New Roman"/>
        </w:rPr>
        <w:fldChar w:fldCharType="separate"/>
      </w:r>
      <w:r>
        <w:rPr>
          <w:rFonts w:hint="default" w:ascii="Times New Roman" w:hAnsi="Times New Roman" w:cs="Times New Roman"/>
          <w:szCs w:val="24"/>
          <w:lang w:val="en-US" w:eastAsia="zh-CN"/>
        </w:rPr>
        <w:t xml:space="preserve">8.1. </w:t>
      </w:r>
      <w:r>
        <w:rPr>
          <w:rFonts w:hint="eastAsia" w:ascii="Times New Roman" w:hAnsi="Times New Roman" w:cs="Times New Roman"/>
          <w:szCs w:val="24"/>
          <w:lang w:val="en-US" w:eastAsia="zh-CN"/>
        </w:rPr>
        <w:t>施工准备</w:t>
      </w:r>
      <w:r>
        <w:tab/>
      </w:r>
      <w:r>
        <w:fldChar w:fldCharType="begin"/>
      </w:r>
      <w:r>
        <w:instrText xml:space="preserve"> PAGEREF _Toc6408 \h </w:instrText>
      </w:r>
      <w:r>
        <w:fldChar w:fldCharType="separate"/>
      </w:r>
      <w:r>
        <w:t>40</w:t>
      </w:r>
      <w:r>
        <w:fldChar w:fldCharType="end"/>
      </w:r>
      <w:r>
        <w:rPr>
          <w:rFonts w:cs="Times New Roman"/>
        </w:rPr>
        <w:fldChar w:fldCharType="end"/>
      </w:r>
    </w:p>
    <w:p w14:paraId="09831EFF">
      <w:pPr>
        <w:pStyle w:val="25"/>
        <w:tabs>
          <w:tab w:val="right" w:leader="dot" w:pos="8306"/>
        </w:tabs>
      </w:pPr>
      <w:r>
        <w:rPr>
          <w:rFonts w:cs="Times New Roman"/>
        </w:rPr>
        <w:fldChar w:fldCharType="begin"/>
      </w:r>
      <w:r>
        <w:rPr>
          <w:rFonts w:cs="Times New Roman"/>
        </w:rPr>
        <w:instrText xml:space="preserve"> HYPERLINK \l _Toc22679 </w:instrText>
      </w:r>
      <w:r>
        <w:rPr>
          <w:rFonts w:cs="Times New Roman"/>
        </w:rPr>
        <w:fldChar w:fldCharType="separate"/>
      </w:r>
      <w:r>
        <w:rPr>
          <w:rFonts w:hint="default" w:ascii="Times New Roman" w:hAnsi="Times New Roman" w:cs="Times New Roman"/>
          <w:szCs w:val="24"/>
          <w:lang w:val="en-US" w:eastAsia="zh-CN"/>
        </w:rPr>
        <w:t xml:space="preserve">8.2. </w:t>
      </w:r>
      <w:r>
        <w:rPr>
          <w:rFonts w:hint="eastAsia" w:ascii="Times New Roman" w:hAnsi="Times New Roman" w:cs="Times New Roman"/>
          <w:szCs w:val="24"/>
          <w:lang w:val="en-US" w:eastAsia="zh-CN"/>
        </w:rPr>
        <w:t>安装工艺流程及步骤</w:t>
      </w:r>
      <w:r>
        <w:tab/>
      </w:r>
      <w:r>
        <w:fldChar w:fldCharType="begin"/>
      </w:r>
      <w:r>
        <w:instrText xml:space="preserve"> PAGEREF _Toc22679 \h </w:instrText>
      </w:r>
      <w:r>
        <w:fldChar w:fldCharType="separate"/>
      </w:r>
      <w:r>
        <w:t>41</w:t>
      </w:r>
      <w:r>
        <w:fldChar w:fldCharType="end"/>
      </w:r>
      <w:r>
        <w:rPr>
          <w:rFonts w:cs="Times New Roman"/>
        </w:rPr>
        <w:fldChar w:fldCharType="end"/>
      </w:r>
    </w:p>
    <w:p w14:paraId="582FFFF5">
      <w:pPr>
        <w:pStyle w:val="23"/>
        <w:tabs>
          <w:tab w:val="right" w:leader="dot" w:pos="8306"/>
          <w:tab w:val="clear" w:pos="426"/>
          <w:tab w:val="clear" w:pos="8296"/>
        </w:tabs>
      </w:pPr>
      <w:r>
        <w:rPr>
          <w:rFonts w:cs="Times New Roman"/>
        </w:rPr>
        <w:fldChar w:fldCharType="begin"/>
      </w:r>
      <w:r>
        <w:rPr>
          <w:rFonts w:cs="Times New Roman"/>
        </w:rPr>
        <w:instrText xml:space="preserve"> HYPERLINK \l _Toc11660 </w:instrText>
      </w:r>
      <w:r>
        <w:rPr>
          <w:rFonts w:cs="Times New Roman"/>
        </w:rPr>
        <w:fldChar w:fldCharType="separate"/>
      </w:r>
      <w:r>
        <w:rPr>
          <w:rFonts w:hint="default" w:cs="Times New Roman"/>
        </w:rPr>
        <w:t xml:space="preserve">9. </w:t>
      </w:r>
      <w:r>
        <w:rPr>
          <w:rFonts w:cs="Times New Roman"/>
        </w:rPr>
        <w:t>拆除</w:t>
      </w:r>
      <w:r>
        <w:rPr>
          <w:rFonts w:hint="eastAsia" w:cs="Times New Roman"/>
        </w:rPr>
        <w:t>顺序</w:t>
      </w:r>
      <w:r>
        <w:tab/>
      </w:r>
      <w:r>
        <w:fldChar w:fldCharType="begin"/>
      </w:r>
      <w:r>
        <w:instrText xml:space="preserve"> PAGEREF _Toc11660 \h </w:instrText>
      </w:r>
      <w:r>
        <w:fldChar w:fldCharType="separate"/>
      </w:r>
      <w:r>
        <w:t>76</w:t>
      </w:r>
      <w:r>
        <w:fldChar w:fldCharType="end"/>
      </w:r>
      <w:r>
        <w:rPr>
          <w:rFonts w:cs="Times New Roman"/>
        </w:rPr>
        <w:fldChar w:fldCharType="end"/>
      </w:r>
    </w:p>
    <w:p w14:paraId="7B7D097F">
      <w:pPr>
        <w:pStyle w:val="25"/>
        <w:tabs>
          <w:tab w:val="right" w:leader="dot" w:pos="8306"/>
        </w:tabs>
      </w:pPr>
      <w:r>
        <w:rPr>
          <w:rFonts w:cs="Times New Roman"/>
        </w:rPr>
        <w:fldChar w:fldCharType="begin"/>
      </w:r>
      <w:r>
        <w:rPr>
          <w:rFonts w:cs="Times New Roman"/>
        </w:rPr>
        <w:instrText xml:space="preserve"> HYPERLINK \l _Toc4277 </w:instrText>
      </w:r>
      <w:r>
        <w:rPr>
          <w:rFonts w:cs="Times New Roman"/>
        </w:rPr>
        <w:fldChar w:fldCharType="separate"/>
      </w:r>
      <w:r>
        <w:rPr>
          <w:rFonts w:hint="default" w:ascii="Times New Roman" w:hAnsi="Times New Roman" w:cs="Times New Roman"/>
          <w:szCs w:val="24"/>
          <w:lang w:val="en-US" w:eastAsia="zh-CN"/>
        </w:rPr>
        <w:t xml:space="preserve">9.1. </w:t>
      </w:r>
      <w:r>
        <w:rPr>
          <w:rFonts w:hint="eastAsia" w:ascii="Times New Roman" w:hAnsi="Times New Roman" w:cs="Times New Roman"/>
          <w:szCs w:val="24"/>
          <w:lang w:val="en-US" w:eastAsia="zh-CN"/>
        </w:rPr>
        <w:t>塔式起重机拆卸工艺流程</w:t>
      </w:r>
      <w:r>
        <w:tab/>
      </w:r>
      <w:r>
        <w:fldChar w:fldCharType="begin"/>
      </w:r>
      <w:r>
        <w:instrText xml:space="preserve"> PAGEREF _Toc4277 \h </w:instrText>
      </w:r>
      <w:r>
        <w:fldChar w:fldCharType="separate"/>
      </w:r>
      <w:r>
        <w:t>76</w:t>
      </w:r>
      <w:r>
        <w:fldChar w:fldCharType="end"/>
      </w:r>
      <w:r>
        <w:rPr>
          <w:rFonts w:cs="Times New Roman"/>
        </w:rPr>
        <w:fldChar w:fldCharType="end"/>
      </w:r>
    </w:p>
    <w:p w14:paraId="0EF9339B">
      <w:pPr>
        <w:pStyle w:val="25"/>
        <w:tabs>
          <w:tab w:val="right" w:leader="dot" w:pos="8306"/>
        </w:tabs>
      </w:pPr>
      <w:r>
        <w:rPr>
          <w:rFonts w:cs="Times New Roman"/>
        </w:rPr>
        <w:fldChar w:fldCharType="begin"/>
      </w:r>
      <w:r>
        <w:rPr>
          <w:rFonts w:cs="Times New Roman"/>
        </w:rPr>
        <w:instrText xml:space="preserve"> HYPERLINK \l _Toc10831 </w:instrText>
      </w:r>
      <w:r>
        <w:rPr>
          <w:rFonts w:cs="Times New Roman"/>
        </w:rPr>
        <w:fldChar w:fldCharType="separate"/>
      </w:r>
      <w:r>
        <w:rPr>
          <w:rFonts w:hint="default" w:ascii="Times New Roman" w:hAnsi="Times New Roman" w:cs="Times New Roman"/>
          <w:szCs w:val="24"/>
          <w:lang w:val="en-US" w:eastAsia="zh-CN"/>
        </w:rPr>
        <w:t xml:space="preserve">9.2. </w:t>
      </w:r>
      <w:r>
        <w:rPr>
          <w:rFonts w:hint="eastAsia" w:ascii="Times New Roman" w:hAnsi="Times New Roman" w:cs="Times New Roman"/>
          <w:szCs w:val="24"/>
          <w:lang w:val="en-US" w:eastAsia="zh-CN"/>
        </w:rPr>
        <w:t>施工流程及方法</w:t>
      </w:r>
      <w:r>
        <w:tab/>
      </w:r>
      <w:r>
        <w:fldChar w:fldCharType="begin"/>
      </w:r>
      <w:r>
        <w:instrText xml:space="preserve"> PAGEREF _Toc10831 \h </w:instrText>
      </w:r>
      <w:r>
        <w:fldChar w:fldCharType="separate"/>
      </w:r>
      <w:r>
        <w:t>76</w:t>
      </w:r>
      <w:r>
        <w:fldChar w:fldCharType="end"/>
      </w:r>
      <w:r>
        <w:rPr>
          <w:rFonts w:cs="Times New Roman"/>
        </w:rPr>
        <w:fldChar w:fldCharType="end"/>
      </w:r>
    </w:p>
    <w:p w14:paraId="7D9BA5FC">
      <w:pPr>
        <w:pStyle w:val="25"/>
        <w:tabs>
          <w:tab w:val="right" w:leader="dot" w:pos="8306"/>
        </w:tabs>
      </w:pPr>
      <w:r>
        <w:rPr>
          <w:rFonts w:cs="Times New Roman"/>
        </w:rPr>
        <w:fldChar w:fldCharType="begin"/>
      </w:r>
      <w:r>
        <w:rPr>
          <w:rFonts w:cs="Times New Roman"/>
        </w:rPr>
        <w:instrText xml:space="preserve"> HYPERLINK \l _Toc6320 </w:instrText>
      </w:r>
      <w:r>
        <w:rPr>
          <w:rFonts w:cs="Times New Roman"/>
        </w:rPr>
        <w:fldChar w:fldCharType="separate"/>
      </w:r>
      <w:r>
        <w:rPr>
          <w:rFonts w:hint="default" w:ascii="Times New Roman" w:hAnsi="Times New Roman" w:cs="Times New Roman"/>
          <w:szCs w:val="24"/>
          <w:lang w:val="en-US" w:eastAsia="zh-CN"/>
        </w:rPr>
        <w:t xml:space="preserve">9.3. </w:t>
      </w:r>
      <w:r>
        <w:rPr>
          <w:rFonts w:hint="eastAsia" w:ascii="Times New Roman" w:hAnsi="Times New Roman" w:cs="Times New Roman"/>
          <w:szCs w:val="24"/>
          <w:lang w:val="en-US" w:eastAsia="zh-CN"/>
        </w:rPr>
        <w:t>附着拆除</w:t>
      </w:r>
      <w:r>
        <w:tab/>
      </w:r>
      <w:r>
        <w:fldChar w:fldCharType="begin"/>
      </w:r>
      <w:r>
        <w:instrText xml:space="preserve"> PAGEREF _Toc6320 \h </w:instrText>
      </w:r>
      <w:r>
        <w:fldChar w:fldCharType="separate"/>
      </w:r>
      <w:r>
        <w:t>76</w:t>
      </w:r>
      <w:r>
        <w:fldChar w:fldCharType="end"/>
      </w:r>
      <w:r>
        <w:rPr>
          <w:rFonts w:cs="Times New Roman"/>
        </w:rPr>
        <w:fldChar w:fldCharType="end"/>
      </w:r>
    </w:p>
    <w:p w14:paraId="2E86468D">
      <w:pPr>
        <w:pStyle w:val="25"/>
        <w:tabs>
          <w:tab w:val="right" w:leader="dot" w:pos="8306"/>
        </w:tabs>
      </w:pPr>
      <w:r>
        <w:rPr>
          <w:rFonts w:cs="Times New Roman"/>
        </w:rPr>
        <w:fldChar w:fldCharType="begin"/>
      </w:r>
      <w:r>
        <w:rPr>
          <w:rFonts w:cs="Times New Roman"/>
        </w:rPr>
        <w:instrText xml:space="preserve"> HYPERLINK \l _Toc20149 </w:instrText>
      </w:r>
      <w:r>
        <w:rPr>
          <w:rFonts w:cs="Times New Roman"/>
        </w:rPr>
        <w:fldChar w:fldCharType="separate"/>
      </w:r>
      <w:r>
        <w:rPr>
          <w:rFonts w:hint="default" w:ascii="Times New Roman" w:hAnsi="Times New Roman" w:cs="Times New Roman"/>
          <w:szCs w:val="24"/>
          <w:lang w:val="en-US" w:eastAsia="zh-CN"/>
        </w:rPr>
        <w:t xml:space="preserve">9.4. </w:t>
      </w:r>
      <w:r>
        <w:rPr>
          <w:rFonts w:hint="eastAsia" w:ascii="Times New Roman" w:hAnsi="Times New Roman" w:cs="Times New Roman"/>
          <w:szCs w:val="24"/>
          <w:lang w:val="en-US" w:eastAsia="zh-CN"/>
        </w:rPr>
        <w:t>降塔</w:t>
      </w:r>
      <w:r>
        <w:tab/>
      </w:r>
      <w:r>
        <w:fldChar w:fldCharType="begin"/>
      </w:r>
      <w:r>
        <w:instrText xml:space="preserve"> PAGEREF _Toc20149 \h </w:instrText>
      </w:r>
      <w:r>
        <w:fldChar w:fldCharType="separate"/>
      </w:r>
      <w:r>
        <w:t>77</w:t>
      </w:r>
      <w:r>
        <w:fldChar w:fldCharType="end"/>
      </w:r>
      <w:r>
        <w:rPr>
          <w:rFonts w:cs="Times New Roman"/>
        </w:rPr>
        <w:fldChar w:fldCharType="end"/>
      </w:r>
    </w:p>
    <w:p w14:paraId="42F2F604">
      <w:pPr>
        <w:pStyle w:val="25"/>
        <w:tabs>
          <w:tab w:val="right" w:leader="dot" w:pos="8306"/>
        </w:tabs>
      </w:pPr>
      <w:r>
        <w:rPr>
          <w:rFonts w:cs="Times New Roman"/>
        </w:rPr>
        <w:fldChar w:fldCharType="begin"/>
      </w:r>
      <w:r>
        <w:rPr>
          <w:rFonts w:cs="Times New Roman"/>
        </w:rPr>
        <w:instrText xml:space="preserve"> HYPERLINK \l _Toc20762 </w:instrText>
      </w:r>
      <w:r>
        <w:rPr>
          <w:rFonts w:cs="Times New Roman"/>
        </w:rPr>
        <w:fldChar w:fldCharType="separate"/>
      </w:r>
      <w:r>
        <w:rPr>
          <w:rFonts w:hint="default" w:ascii="Times New Roman" w:hAnsi="Times New Roman" w:cs="Times New Roman"/>
          <w:szCs w:val="24"/>
          <w:lang w:val="en-US" w:eastAsia="zh-CN"/>
        </w:rPr>
        <w:t xml:space="preserve">9.5. </w:t>
      </w:r>
      <w:r>
        <w:rPr>
          <w:rFonts w:hint="eastAsia" w:ascii="Times New Roman" w:hAnsi="Times New Roman" w:cs="Times New Roman"/>
          <w:szCs w:val="24"/>
          <w:lang w:val="en-US" w:eastAsia="zh-CN"/>
        </w:rPr>
        <w:t>拆除平衡重</w:t>
      </w:r>
      <w:r>
        <w:tab/>
      </w:r>
      <w:r>
        <w:fldChar w:fldCharType="begin"/>
      </w:r>
      <w:r>
        <w:instrText xml:space="preserve"> PAGEREF _Toc20762 \h </w:instrText>
      </w:r>
      <w:r>
        <w:fldChar w:fldCharType="separate"/>
      </w:r>
      <w:r>
        <w:t>78</w:t>
      </w:r>
      <w:r>
        <w:fldChar w:fldCharType="end"/>
      </w:r>
      <w:r>
        <w:rPr>
          <w:rFonts w:cs="Times New Roman"/>
        </w:rPr>
        <w:fldChar w:fldCharType="end"/>
      </w:r>
    </w:p>
    <w:p w14:paraId="299645A2">
      <w:pPr>
        <w:pStyle w:val="25"/>
        <w:tabs>
          <w:tab w:val="right" w:leader="dot" w:pos="8306"/>
        </w:tabs>
      </w:pPr>
      <w:r>
        <w:rPr>
          <w:rFonts w:cs="Times New Roman"/>
        </w:rPr>
        <w:fldChar w:fldCharType="begin"/>
      </w:r>
      <w:r>
        <w:rPr>
          <w:rFonts w:cs="Times New Roman"/>
        </w:rPr>
        <w:instrText xml:space="preserve"> HYPERLINK \l _Toc9406 </w:instrText>
      </w:r>
      <w:r>
        <w:rPr>
          <w:rFonts w:cs="Times New Roman"/>
        </w:rPr>
        <w:fldChar w:fldCharType="separate"/>
      </w:r>
      <w:r>
        <w:rPr>
          <w:rFonts w:hint="default" w:ascii="Times New Roman" w:hAnsi="Times New Roman" w:cs="Times New Roman"/>
          <w:szCs w:val="24"/>
          <w:lang w:val="en-US" w:eastAsia="zh-CN"/>
        </w:rPr>
        <w:t xml:space="preserve">9.6. </w:t>
      </w:r>
      <w:r>
        <w:rPr>
          <w:rFonts w:hint="eastAsia" w:ascii="Times New Roman" w:hAnsi="Times New Roman" w:cs="Times New Roman"/>
          <w:szCs w:val="24"/>
          <w:lang w:val="en-US" w:eastAsia="zh-CN"/>
        </w:rPr>
        <w:t>起重臂拆卸</w:t>
      </w:r>
      <w:r>
        <w:tab/>
      </w:r>
      <w:r>
        <w:fldChar w:fldCharType="begin"/>
      </w:r>
      <w:r>
        <w:instrText xml:space="preserve"> PAGEREF _Toc9406 \h </w:instrText>
      </w:r>
      <w:r>
        <w:fldChar w:fldCharType="separate"/>
      </w:r>
      <w:r>
        <w:t>79</w:t>
      </w:r>
      <w:r>
        <w:fldChar w:fldCharType="end"/>
      </w:r>
      <w:r>
        <w:rPr>
          <w:rFonts w:cs="Times New Roman"/>
        </w:rPr>
        <w:fldChar w:fldCharType="end"/>
      </w:r>
    </w:p>
    <w:p w14:paraId="18E0CE55">
      <w:pPr>
        <w:pStyle w:val="25"/>
        <w:tabs>
          <w:tab w:val="right" w:leader="dot" w:pos="8306"/>
        </w:tabs>
      </w:pPr>
      <w:r>
        <w:rPr>
          <w:rFonts w:cs="Times New Roman"/>
        </w:rPr>
        <w:fldChar w:fldCharType="begin"/>
      </w:r>
      <w:r>
        <w:rPr>
          <w:rFonts w:cs="Times New Roman"/>
        </w:rPr>
        <w:instrText xml:space="preserve"> HYPERLINK \l _Toc201 </w:instrText>
      </w:r>
      <w:r>
        <w:rPr>
          <w:rFonts w:cs="Times New Roman"/>
        </w:rPr>
        <w:fldChar w:fldCharType="separate"/>
      </w:r>
      <w:r>
        <w:rPr>
          <w:rFonts w:hint="default" w:ascii="Times New Roman" w:hAnsi="Times New Roman" w:cs="Times New Roman"/>
          <w:szCs w:val="24"/>
          <w:lang w:val="en-US" w:eastAsia="zh-CN"/>
        </w:rPr>
        <w:t xml:space="preserve">9.7. </w:t>
      </w:r>
      <w:r>
        <w:rPr>
          <w:rFonts w:hint="eastAsia" w:ascii="Times New Roman" w:hAnsi="Times New Roman" w:cs="Times New Roman"/>
          <w:szCs w:val="24"/>
          <w:lang w:val="en-US" w:eastAsia="zh-CN"/>
        </w:rPr>
        <w:t>拆除剩余平衡重</w:t>
      </w:r>
      <w:r>
        <w:tab/>
      </w:r>
      <w:r>
        <w:fldChar w:fldCharType="begin"/>
      </w:r>
      <w:r>
        <w:instrText xml:space="preserve"> PAGEREF _Toc201 \h </w:instrText>
      </w:r>
      <w:r>
        <w:fldChar w:fldCharType="separate"/>
      </w:r>
      <w:r>
        <w:t>81</w:t>
      </w:r>
      <w:r>
        <w:fldChar w:fldCharType="end"/>
      </w:r>
      <w:r>
        <w:rPr>
          <w:rFonts w:cs="Times New Roman"/>
        </w:rPr>
        <w:fldChar w:fldCharType="end"/>
      </w:r>
    </w:p>
    <w:p w14:paraId="41DC244F">
      <w:pPr>
        <w:pStyle w:val="25"/>
        <w:tabs>
          <w:tab w:val="right" w:leader="dot" w:pos="8306"/>
        </w:tabs>
      </w:pPr>
      <w:r>
        <w:rPr>
          <w:rFonts w:cs="Times New Roman"/>
        </w:rPr>
        <w:fldChar w:fldCharType="begin"/>
      </w:r>
      <w:r>
        <w:rPr>
          <w:rFonts w:cs="Times New Roman"/>
        </w:rPr>
        <w:instrText xml:space="preserve"> HYPERLINK \l _Toc29045 </w:instrText>
      </w:r>
      <w:r>
        <w:rPr>
          <w:rFonts w:cs="Times New Roman"/>
        </w:rPr>
        <w:fldChar w:fldCharType="separate"/>
      </w:r>
      <w:r>
        <w:rPr>
          <w:rFonts w:hint="default" w:ascii="Times New Roman" w:hAnsi="Times New Roman" w:cs="Times New Roman"/>
          <w:szCs w:val="24"/>
          <w:lang w:val="en-US" w:eastAsia="zh-CN"/>
        </w:rPr>
        <w:t xml:space="preserve">9.8. </w:t>
      </w:r>
      <w:r>
        <w:rPr>
          <w:rFonts w:hint="eastAsia" w:ascii="Times New Roman" w:hAnsi="Times New Roman" w:cs="Times New Roman"/>
          <w:szCs w:val="24"/>
          <w:lang w:val="en-US" w:eastAsia="zh-CN"/>
        </w:rPr>
        <w:t>平衡臂拆除</w:t>
      </w:r>
      <w:r>
        <w:tab/>
      </w:r>
      <w:r>
        <w:fldChar w:fldCharType="begin"/>
      </w:r>
      <w:r>
        <w:instrText xml:space="preserve"> PAGEREF _Toc29045 \h </w:instrText>
      </w:r>
      <w:r>
        <w:fldChar w:fldCharType="separate"/>
      </w:r>
      <w:r>
        <w:t>82</w:t>
      </w:r>
      <w:r>
        <w:fldChar w:fldCharType="end"/>
      </w:r>
      <w:r>
        <w:rPr>
          <w:rFonts w:cs="Times New Roman"/>
        </w:rPr>
        <w:fldChar w:fldCharType="end"/>
      </w:r>
    </w:p>
    <w:p w14:paraId="5895638B">
      <w:pPr>
        <w:pStyle w:val="25"/>
        <w:tabs>
          <w:tab w:val="right" w:leader="dot" w:pos="8306"/>
        </w:tabs>
      </w:pPr>
      <w:r>
        <w:rPr>
          <w:rFonts w:cs="Times New Roman"/>
        </w:rPr>
        <w:fldChar w:fldCharType="begin"/>
      </w:r>
      <w:r>
        <w:rPr>
          <w:rFonts w:cs="Times New Roman"/>
        </w:rPr>
        <w:instrText xml:space="preserve"> HYPERLINK \l _Toc13307 </w:instrText>
      </w:r>
      <w:r>
        <w:rPr>
          <w:rFonts w:cs="Times New Roman"/>
        </w:rPr>
        <w:fldChar w:fldCharType="separate"/>
      </w:r>
      <w:r>
        <w:rPr>
          <w:rFonts w:hint="default" w:ascii="Times New Roman" w:hAnsi="Times New Roman" w:cs="Times New Roman"/>
          <w:szCs w:val="24"/>
          <w:lang w:val="en-US" w:eastAsia="zh-CN"/>
        </w:rPr>
        <w:t xml:space="preserve">9.9. </w:t>
      </w:r>
      <w:r>
        <w:rPr>
          <w:rFonts w:hint="eastAsia" w:ascii="Times New Roman" w:hAnsi="Times New Roman" w:cs="Times New Roman"/>
          <w:szCs w:val="24"/>
          <w:lang w:val="en-US" w:eastAsia="zh-CN"/>
        </w:rPr>
        <w:t>拆卸回转总成</w:t>
      </w:r>
      <w:r>
        <w:tab/>
      </w:r>
      <w:r>
        <w:fldChar w:fldCharType="begin"/>
      </w:r>
      <w:r>
        <w:instrText xml:space="preserve"> PAGEREF _Toc13307 \h </w:instrText>
      </w:r>
      <w:r>
        <w:fldChar w:fldCharType="separate"/>
      </w:r>
      <w:r>
        <w:t>84</w:t>
      </w:r>
      <w:r>
        <w:fldChar w:fldCharType="end"/>
      </w:r>
      <w:r>
        <w:rPr>
          <w:rFonts w:cs="Times New Roman"/>
        </w:rPr>
        <w:fldChar w:fldCharType="end"/>
      </w:r>
    </w:p>
    <w:p w14:paraId="64AF31A0">
      <w:pPr>
        <w:pStyle w:val="25"/>
        <w:tabs>
          <w:tab w:val="right" w:leader="dot" w:pos="8306"/>
        </w:tabs>
      </w:pPr>
      <w:r>
        <w:rPr>
          <w:rFonts w:cs="Times New Roman"/>
        </w:rPr>
        <w:fldChar w:fldCharType="begin"/>
      </w:r>
      <w:r>
        <w:rPr>
          <w:rFonts w:cs="Times New Roman"/>
        </w:rPr>
        <w:instrText xml:space="preserve"> HYPERLINK \l _Toc1525 </w:instrText>
      </w:r>
      <w:r>
        <w:rPr>
          <w:rFonts w:cs="Times New Roman"/>
        </w:rPr>
        <w:fldChar w:fldCharType="separate"/>
      </w:r>
      <w:r>
        <w:rPr>
          <w:rFonts w:hint="default" w:ascii="Times New Roman" w:hAnsi="Times New Roman" w:cs="Times New Roman"/>
          <w:szCs w:val="24"/>
          <w:lang w:val="en-US" w:eastAsia="zh-CN"/>
        </w:rPr>
        <w:t xml:space="preserve">9.10. </w:t>
      </w:r>
      <w:r>
        <w:rPr>
          <w:rFonts w:hint="eastAsia" w:ascii="Times New Roman" w:hAnsi="Times New Roman" w:cs="Times New Roman"/>
          <w:szCs w:val="24"/>
          <w:lang w:val="en-US" w:eastAsia="zh-CN"/>
        </w:rPr>
        <w:t>拆卸特殊节</w:t>
      </w:r>
      <w:r>
        <w:tab/>
      </w:r>
      <w:r>
        <w:fldChar w:fldCharType="begin"/>
      </w:r>
      <w:r>
        <w:instrText xml:space="preserve"> PAGEREF _Toc1525 \h </w:instrText>
      </w:r>
      <w:r>
        <w:fldChar w:fldCharType="separate"/>
      </w:r>
      <w:r>
        <w:t>85</w:t>
      </w:r>
      <w:r>
        <w:fldChar w:fldCharType="end"/>
      </w:r>
      <w:r>
        <w:rPr>
          <w:rFonts w:cs="Times New Roman"/>
        </w:rPr>
        <w:fldChar w:fldCharType="end"/>
      </w:r>
    </w:p>
    <w:p w14:paraId="59995CFC">
      <w:pPr>
        <w:pStyle w:val="25"/>
        <w:tabs>
          <w:tab w:val="right" w:leader="dot" w:pos="8306"/>
        </w:tabs>
      </w:pPr>
      <w:r>
        <w:rPr>
          <w:rFonts w:cs="Times New Roman"/>
        </w:rPr>
        <w:fldChar w:fldCharType="begin"/>
      </w:r>
      <w:r>
        <w:rPr>
          <w:rFonts w:cs="Times New Roman"/>
        </w:rPr>
        <w:instrText xml:space="preserve"> HYPERLINK \l _Toc32211 </w:instrText>
      </w:r>
      <w:r>
        <w:rPr>
          <w:rFonts w:cs="Times New Roman"/>
        </w:rPr>
        <w:fldChar w:fldCharType="separate"/>
      </w:r>
      <w:r>
        <w:rPr>
          <w:rFonts w:hint="default" w:ascii="Times New Roman" w:hAnsi="Times New Roman" w:cs="Times New Roman"/>
          <w:szCs w:val="24"/>
          <w:lang w:val="en-US" w:eastAsia="zh-CN"/>
        </w:rPr>
        <w:t xml:space="preserve">9.11. </w:t>
      </w:r>
      <w:r>
        <w:rPr>
          <w:rFonts w:hint="eastAsia" w:ascii="Times New Roman" w:hAnsi="Times New Roman" w:cs="Times New Roman"/>
          <w:szCs w:val="24"/>
          <w:lang w:val="en-US" w:eastAsia="zh-CN"/>
        </w:rPr>
        <w:t>拆卸爬升架</w:t>
      </w:r>
      <w:r>
        <w:tab/>
      </w:r>
      <w:r>
        <w:fldChar w:fldCharType="begin"/>
      </w:r>
      <w:r>
        <w:instrText xml:space="preserve"> PAGEREF _Toc32211 \h </w:instrText>
      </w:r>
      <w:r>
        <w:fldChar w:fldCharType="separate"/>
      </w:r>
      <w:r>
        <w:t>87</w:t>
      </w:r>
      <w:r>
        <w:fldChar w:fldCharType="end"/>
      </w:r>
      <w:r>
        <w:rPr>
          <w:rFonts w:cs="Times New Roman"/>
        </w:rPr>
        <w:fldChar w:fldCharType="end"/>
      </w:r>
    </w:p>
    <w:p w14:paraId="05A806C1">
      <w:pPr>
        <w:pStyle w:val="25"/>
        <w:tabs>
          <w:tab w:val="right" w:leader="dot" w:pos="8306"/>
        </w:tabs>
      </w:pPr>
      <w:r>
        <w:rPr>
          <w:rFonts w:cs="Times New Roman"/>
        </w:rPr>
        <w:fldChar w:fldCharType="begin"/>
      </w:r>
      <w:r>
        <w:rPr>
          <w:rFonts w:cs="Times New Roman"/>
        </w:rPr>
        <w:instrText xml:space="preserve"> HYPERLINK \l _Toc23941 </w:instrText>
      </w:r>
      <w:r>
        <w:rPr>
          <w:rFonts w:cs="Times New Roman"/>
        </w:rPr>
        <w:fldChar w:fldCharType="separate"/>
      </w:r>
      <w:r>
        <w:rPr>
          <w:rFonts w:hint="default" w:ascii="Times New Roman" w:hAnsi="Times New Roman" w:cs="Times New Roman"/>
          <w:szCs w:val="24"/>
          <w:lang w:val="en-US" w:eastAsia="zh-CN"/>
        </w:rPr>
        <w:t xml:space="preserve">9.12. </w:t>
      </w:r>
      <w:r>
        <w:rPr>
          <w:rFonts w:hint="eastAsia" w:ascii="Times New Roman" w:hAnsi="Times New Roman" w:cs="Times New Roman"/>
          <w:szCs w:val="24"/>
          <w:lang w:val="en-US" w:eastAsia="zh-CN"/>
        </w:rPr>
        <w:t>拆卸标准节及基础节</w:t>
      </w:r>
      <w:r>
        <w:tab/>
      </w:r>
      <w:r>
        <w:fldChar w:fldCharType="begin"/>
      </w:r>
      <w:r>
        <w:instrText xml:space="preserve"> PAGEREF _Toc23941 \h </w:instrText>
      </w:r>
      <w:r>
        <w:fldChar w:fldCharType="separate"/>
      </w:r>
      <w:r>
        <w:t>88</w:t>
      </w:r>
      <w:r>
        <w:fldChar w:fldCharType="end"/>
      </w:r>
      <w:r>
        <w:rPr>
          <w:rFonts w:cs="Times New Roman"/>
        </w:rPr>
        <w:fldChar w:fldCharType="end"/>
      </w:r>
    </w:p>
    <w:p w14:paraId="0E9C5695">
      <w:pPr>
        <w:pStyle w:val="25"/>
        <w:tabs>
          <w:tab w:val="right" w:leader="dot" w:pos="8306"/>
        </w:tabs>
      </w:pPr>
      <w:r>
        <w:rPr>
          <w:rFonts w:cs="Times New Roman"/>
        </w:rPr>
        <w:fldChar w:fldCharType="begin"/>
      </w:r>
      <w:r>
        <w:rPr>
          <w:rFonts w:cs="Times New Roman"/>
        </w:rPr>
        <w:instrText xml:space="preserve"> HYPERLINK \l _Toc30334 </w:instrText>
      </w:r>
      <w:r>
        <w:rPr>
          <w:rFonts w:cs="Times New Roman"/>
        </w:rPr>
        <w:fldChar w:fldCharType="separate"/>
      </w:r>
      <w:r>
        <w:rPr>
          <w:rFonts w:hint="default" w:ascii="Times New Roman" w:hAnsi="Times New Roman" w:cs="Times New Roman"/>
          <w:szCs w:val="24"/>
          <w:lang w:val="en-US" w:eastAsia="zh-CN"/>
        </w:rPr>
        <w:t xml:space="preserve">9.13. </w:t>
      </w:r>
      <w:r>
        <w:rPr>
          <w:rFonts w:hint="eastAsia" w:ascii="Times New Roman" w:hAnsi="Times New Roman" w:cs="Times New Roman"/>
          <w:szCs w:val="24"/>
          <w:lang w:val="en-US" w:eastAsia="zh-CN"/>
        </w:rPr>
        <w:t>塔机拆除后注意</w:t>
      </w:r>
      <w:r>
        <w:tab/>
      </w:r>
      <w:r>
        <w:fldChar w:fldCharType="begin"/>
      </w:r>
      <w:r>
        <w:instrText xml:space="preserve"> PAGEREF _Toc30334 \h </w:instrText>
      </w:r>
      <w:r>
        <w:fldChar w:fldCharType="separate"/>
      </w:r>
      <w:r>
        <w:t>91</w:t>
      </w:r>
      <w:r>
        <w:fldChar w:fldCharType="end"/>
      </w:r>
      <w:r>
        <w:rPr>
          <w:rFonts w:cs="Times New Roman"/>
        </w:rPr>
        <w:fldChar w:fldCharType="end"/>
      </w:r>
    </w:p>
    <w:p w14:paraId="2D025724">
      <w:pPr>
        <w:pStyle w:val="23"/>
        <w:tabs>
          <w:tab w:val="right" w:leader="dot" w:pos="8306"/>
          <w:tab w:val="clear" w:pos="426"/>
          <w:tab w:val="clear" w:pos="8296"/>
        </w:tabs>
      </w:pPr>
      <w:r>
        <w:rPr>
          <w:rFonts w:cs="Times New Roman"/>
        </w:rPr>
        <w:fldChar w:fldCharType="begin"/>
      </w:r>
      <w:r>
        <w:rPr>
          <w:rFonts w:cs="Times New Roman"/>
        </w:rPr>
        <w:instrText xml:space="preserve"> HYPERLINK \l _Toc6548 </w:instrText>
      </w:r>
      <w:r>
        <w:rPr>
          <w:rFonts w:cs="Times New Roman"/>
        </w:rPr>
        <w:fldChar w:fldCharType="separate"/>
      </w:r>
      <w:r>
        <w:rPr>
          <w:rFonts w:hint="default" w:cs="Times New Roman"/>
        </w:rPr>
        <w:t xml:space="preserve">10. </w:t>
      </w:r>
      <w:r>
        <w:rPr>
          <w:rFonts w:cs="Times New Roman"/>
        </w:rPr>
        <w:t>重大危险源和安全技术措施</w:t>
      </w:r>
      <w:r>
        <w:tab/>
      </w:r>
      <w:r>
        <w:fldChar w:fldCharType="begin"/>
      </w:r>
      <w:r>
        <w:instrText xml:space="preserve"> PAGEREF _Toc6548 \h </w:instrText>
      </w:r>
      <w:r>
        <w:fldChar w:fldCharType="separate"/>
      </w:r>
      <w:r>
        <w:t>92</w:t>
      </w:r>
      <w:r>
        <w:fldChar w:fldCharType="end"/>
      </w:r>
      <w:r>
        <w:rPr>
          <w:rFonts w:cs="Times New Roman"/>
        </w:rPr>
        <w:fldChar w:fldCharType="end"/>
      </w:r>
    </w:p>
    <w:p w14:paraId="5138BA1F">
      <w:pPr>
        <w:pStyle w:val="25"/>
        <w:tabs>
          <w:tab w:val="right" w:leader="dot" w:pos="8306"/>
        </w:tabs>
      </w:pPr>
      <w:r>
        <w:rPr>
          <w:rFonts w:cs="Times New Roman"/>
        </w:rPr>
        <w:fldChar w:fldCharType="begin"/>
      </w:r>
      <w:r>
        <w:rPr>
          <w:rFonts w:cs="Times New Roman"/>
        </w:rPr>
        <w:instrText xml:space="preserve"> HYPERLINK \l _Toc25537 </w:instrText>
      </w:r>
      <w:r>
        <w:rPr>
          <w:rFonts w:cs="Times New Roman"/>
        </w:rPr>
        <w:fldChar w:fldCharType="separate"/>
      </w:r>
      <w:r>
        <w:rPr>
          <w:rFonts w:hint="default" w:cs="Times New Roman"/>
        </w:rPr>
        <w:t xml:space="preserve">10.1 </w:t>
      </w:r>
      <w:r>
        <w:rPr>
          <w:rFonts w:hint="eastAsia" w:cs="Times New Roman"/>
          <w:highlight w:val="none"/>
          <w:lang w:val="en-US" w:eastAsia="zh-CN"/>
        </w:rPr>
        <w:t>风险源辨识及分析</w:t>
      </w:r>
      <w:r>
        <w:tab/>
      </w:r>
      <w:r>
        <w:fldChar w:fldCharType="begin"/>
      </w:r>
      <w:r>
        <w:instrText xml:space="preserve"> PAGEREF _Toc25537 \h </w:instrText>
      </w:r>
      <w:r>
        <w:fldChar w:fldCharType="separate"/>
      </w:r>
      <w:r>
        <w:t>92</w:t>
      </w:r>
      <w:r>
        <w:fldChar w:fldCharType="end"/>
      </w:r>
      <w:r>
        <w:rPr>
          <w:rFonts w:cs="Times New Roman"/>
        </w:rPr>
        <w:fldChar w:fldCharType="end"/>
      </w:r>
    </w:p>
    <w:p w14:paraId="0AB13D8E">
      <w:pPr>
        <w:pStyle w:val="25"/>
        <w:tabs>
          <w:tab w:val="right" w:leader="dot" w:pos="8306"/>
        </w:tabs>
      </w:pPr>
      <w:r>
        <w:rPr>
          <w:rFonts w:cs="Times New Roman"/>
        </w:rPr>
        <w:fldChar w:fldCharType="begin"/>
      </w:r>
      <w:r>
        <w:rPr>
          <w:rFonts w:cs="Times New Roman"/>
        </w:rPr>
        <w:instrText xml:space="preserve"> HYPERLINK \l _Toc12960 </w:instrText>
      </w:r>
      <w:r>
        <w:rPr>
          <w:rFonts w:cs="Times New Roman"/>
        </w:rPr>
        <w:fldChar w:fldCharType="separate"/>
      </w:r>
      <w:r>
        <w:rPr>
          <w:rFonts w:hint="default" w:cs="Times New Roman"/>
        </w:rPr>
        <w:t xml:space="preserve">10.1. </w:t>
      </w:r>
      <w:r>
        <w:rPr>
          <w:rFonts w:cs="Times New Roman"/>
        </w:rPr>
        <w:t>质量、环保、安全管理措施</w:t>
      </w:r>
      <w:r>
        <w:tab/>
      </w:r>
      <w:r>
        <w:fldChar w:fldCharType="begin"/>
      </w:r>
      <w:r>
        <w:instrText xml:space="preserve"> PAGEREF _Toc12960 \h </w:instrText>
      </w:r>
      <w:r>
        <w:fldChar w:fldCharType="separate"/>
      </w:r>
      <w:r>
        <w:t>96</w:t>
      </w:r>
      <w:r>
        <w:fldChar w:fldCharType="end"/>
      </w:r>
      <w:r>
        <w:rPr>
          <w:rFonts w:cs="Times New Roman"/>
        </w:rPr>
        <w:fldChar w:fldCharType="end"/>
      </w:r>
    </w:p>
    <w:p w14:paraId="50A85A73">
      <w:pPr>
        <w:pStyle w:val="25"/>
        <w:tabs>
          <w:tab w:val="right" w:leader="dot" w:pos="8306"/>
        </w:tabs>
      </w:pPr>
      <w:r>
        <w:rPr>
          <w:rFonts w:cs="Times New Roman"/>
        </w:rPr>
        <w:fldChar w:fldCharType="begin"/>
      </w:r>
      <w:r>
        <w:rPr>
          <w:rFonts w:cs="Times New Roman"/>
        </w:rPr>
        <w:instrText xml:space="preserve"> HYPERLINK \l _Toc9922 </w:instrText>
      </w:r>
      <w:r>
        <w:rPr>
          <w:rFonts w:cs="Times New Roman"/>
        </w:rPr>
        <w:fldChar w:fldCharType="separate"/>
      </w:r>
      <w:r>
        <w:rPr>
          <w:rFonts w:hint="default" w:cs="Times New Roman"/>
        </w:rPr>
        <w:t xml:space="preserve">10.2. </w:t>
      </w:r>
      <w:r>
        <w:rPr>
          <w:rFonts w:cs="Times New Roman"/>
        </w:rPr>
        <w:t>安全规程</w:t>
      </w:r>
      <w:r>
        <w:tab/>
      </w:r>
      <w:r>
        <w:fldChar w:fldCharType="begin"/>
      </w:r>
      <w:r>
        <w:instrText xml:space="preserve"> PAGEREF _Toc9922 \h </w:instrText>
      </w:r>
      <w:r>
        <w:fldChar w:fldCharType="separate"/>
      </w:r>
      <w:r>
        <w:t>98</w:t>
      </w:r>
      <w:r>
        <w:fldChar w:fldCharType="end"/>
      </w:r>
      <w:r>
        <w:rPr>
          <w:rFonts w:cs="Times New Roman"/>
        </w:rPr>
        <w:fldChar w:fldCharType="end"/>
      </w:r>
    </w:p>
    <w:p w14:paraId="401B42C6">
      <w:pPr>
        <w:pStyle w:val="25"/>
        <w:tabs>
          <w:tab w:val="right" w:leader="dot" w:pos="8306"/>
        </w:tabs>
      </w:pPr>
      <w:r>
        <w:rPr>
          <w:rFonts w:cs="Times New Roman"/>
        </w:rPr>
        <w:fldChar w:fldCharType="begin"/>
      </w:r>
      <w:r>
        <w:rPr>
          <w:rFonts w:cs="Times New Roman"/>
        </w:rPr>
        <w:instrText xml:space="preserve"> HYPERLINK \l _Toc11597 </w:instrText>
      </w:r>
      <w:r>
        <w:rPr>
          <w:rFonts w:cs="Times New Roman"/>
        </w:rPr>
        <w:fldChar w:fldCharType="separate"/>
      </w:r>
      <w:r>
        <w:rPr>
          <w:rFonts w:hint="default" w:cs="Times New Roman"/>
        </w:rPr>
        <w:t xml:space="preserve">10.3. </w:t>
      </w:r>
      <w:r>
        <w:rPr>
          <w:rFonts w:cs="Times New Roman"/>
        </w:rPr>
        <w:t>吊装钢丝绳的使用</w:t>
      </w:r>
      <w:r>
        <w:tab/>
      </w:r>
      <w:r>
        <w:fldChar w:fldCharType="begin"/>
      </w:r>
      <w:r>
        <w:instrText xml:space="preserve"> PAGEREF _Toc11597 \h </w:instrText>
      </w:r>
      <w:r>
        <w:fldChar w:fldCharType="separate"/>
      </w:r>
      <w:r>
        <w:t>99</w:t>
      </w:r>
      <w:r>
        <w:fldChar w:fldCharType="end"/>
      </w:r>
      <w:r>
        <w:rPr>
          <w:rFonts w:cs="Times New Roman"/>
        </w:rPr>
        <w:fldChar w:fldCharType="end"/>
      </w:r>
    </w:p>
    <w:p w14:paraId="0DB8D1BD">
      <w:pPr>
        <w:pStyle w:val="23"/>
        <w:tabs>
          <w:tab w:val="right" w:leader="dot" w:pos="8306"/>
          <w:tab w:val="clear" w:pos="426"/>
          <w:tab w:val="clear" w:pos="8296"/>
        </w:tabs>
      </w:pPr>
      <w:r>
        <w:rPr>
          <w:rFonts w:cs="Times New Roman"/>
        </w:rPr>
        <w:fldChar w:fldCharType="begin"/>
      </w:r>
      <w:r>
        <w:rPr>
          <w:rFonts w:cs="Times New Roman"/>
        </w:rPr>
        <w:instrText xml:space="preserve"> HYPERLINK \l _Toc8519 </w:instrText>
      </w:r>
      <w:r>
        <w:rPr>
          <w:rFonts w:cs="Times New Roman"/>
        </w:rPr>
        <w:fldChar w:fldCharType="separate"/>
      </w:r>
      <w:r>
        <w:rPr>
          <w:rFonts w:hint="default" w:cs="Times New Roman"/>
        </w:rPr>
        <w:t xml:space="preserve">11. </w:t>
      </w:r>
      <w:r>
        <w:rPr>
          <w:rFonts w:hint="eastAsia" w:cs="Times New Roman"/>
        </w:rPr>
        <w:t>监测监控</w:t>
      </w:r>
      <w:r>
        <w:rPr>
          <w:rFonts w:cs="Times New Roman"/>
        </w:rPr>
        <w:t>措施</w:t>
      </w:r>
      <w:r>
        <w:rPr>
          <w:rFonts w:hint="eastAsia" w:cs="Times New Roman"/>
          <w:lang w:val="en-US" w:eastAsia="zh-CN"/>
        </w:rPr>
        <w:t>与验收要求</w:t>
      </w:r>
      <w:r>
        <w:tab/>
      </w:r>
      <w:r>
        <w:fldChar w:fldCharType="begin"/>
      </w:r>
      <w:r>
        <w:instrText xml:space="preserve"> PAGEREF _Toc8519 \h </w:instrText>
      </w:r>
      <w:r>
        <w:fldChar w:fldCharType="separate"/>
      </w:r>
      <w:r>
        <w:t>100</w:t>
      </w:r>
      <w:r>
        <w:fldChar w:fldCharType="end"/>
      </w:r>
      <w:r>
        <w:rPr>
          <w:rFonts w:cs="Times New Roman"/>
        </w:rPr>
        <w:fldChar w:fldCharType="end"/>
      </w:r>
    </w:p>
    <w:p w14:paraId="4421C141">
      <w:pPr>
        <w:pStyle w:val="25"/>
        <w:tabs>
          <w:tab w:val="right" w:leader="dot" w:pos="8306"/>
        </w:tabs>
      </w:pPr>
      <w:r>
        <w:rPr>
          <w:rFonts w:cs="Times New Roman"/>
        </w:rPr>
        <w:fldChar w:fldCharType="begin"/>
      </w:r>
      <w:r>
        <w:rPr>
          <w:rFonts w:cs="Times New Roman"/>
        </w:rPr>
        <w:instrText xml:space="preserve"> HYPERLINK \l _Toc23863 </w:instrText>
      </w:r>
      <w:r>
        <w:rPr>
          <w:rFonts w:cs="Times New Roman"/>
        </w:rPr>
        <w:fldChar w:fldCharType="separate"/>
      </w:r>
      <w:r>
        <w:rPr>
          <w:rFonts w:hint="default" w:cs="Times New Roman"/>
        </w:rPr>
        <w:t xml:space="preserve">11.1. </w:t>
      </w:r>
      <w:r>
        <w:rPr>
          <w:rFonts w:hint="eastAsia" w:cs="Times New Roman"/>
        </w:rPr>
        <w:t>监测点的设置</w:t>
      </w:r>
      <w:r>
        <w:tab/>
      </w:r>
      <w:r>
        <w:fldChar w:fldCharType="begin"/>
      </w:r>
      <w:r>
        <w:instrText xml:space="preserve"> PAGEREF _Toc23863 \h </w:instrText>
      </w:r>
      <w:r>
        <w:fldChar w:fldCharType="separate"/>
      </w:r>
      <w:r>
        <w:t>100</w:t>
      </w:r>
      <w:r>
        <w:fldChar w:fldCharType="end"/>
      </w:r>
      <w:r>
        <w:rPr>
          <w:rFonts w:cs="Times New Roman"/>
        </w:rPr>
        <w:fldChar w:fldCharType="end"/>
      </w:r>
    </w:p>
    <w:p w14:paraId="79534C08">
      <w:pPr>
        <w:pStyle w:val="25"/>
        <w:tabs>
          <w:tab w:val="right" w:leader="dot" w:pos="8306"/>
        </w:tabs>
      </w:pPr>
      <w:r>
        <w:rPr>
          <w:rFonts w:cs="Times New Roman"/>
        </w:rPr>
        <w:fldChar w:fldCharType="begin"/>
      </w:r>
      <w:r>
        <w:rPr>
          <w:rFonts w:cs="Times New Roman"/>
        </w:rPr>
        <w:instrText xml:space="preserve"> HYPERLINK \l _Toc5570 </w:instrText>
      </w:r>
      <w:r>
        <w:rPr>
          <w:rFonts w:cs="Times New Roman"/>
        </w:rPr>
        <w:fldChar w:fldCharType="separate"/>
      </w:r>
      <w:r>
        <w:rPr>
          <w:rFonts w:hint="default" w:cs="Times New Roman"/>
        </w:rPr>
        <w:t xml:space="preserve">11.2. </w:t>
      </w:r>
      <w:r>
        <w:rPr>
          <w:rFonts w:hint="eastAsia" w:cs="Times New Roman"/>
        </w:rPr>
        <w:t>监测仪器、设备和人员的配备</w:t>
      </w:r>
      <w:r>
        <w:tab/>
      </w:r>
      <w:r>
        <w:fldChar w:fldCharType="begin"/>
      </w:r>
      <w:r>
        <w:instrText xml:space="preserve"> PAGEREF _Toc5570 \h </w:instrText>
      </w:r>
      <w:r>
        <w:fldChar w:fldCharType="separate"/>
      </w:r>
      <w:r>
        <w:t>100</w:t>
      </w:r>
      <w:r>
        <w:fldChar w:fldCharType="end"/>
      </w:r>
      <w:r>
        <w:rPr>
          <w:rFonts w:cs="Times New Roman"/>
        </w:rPr>
        <w:fldChar w:fldCharType="end"/>
      </w:r>
    </w:p>
    <w:p w14:paraId="793CC960">
      <w:pPr>
        <w:pStyle w:val="25"/>
        <w:tabs>
          <w:tab w:val="right" w:leader="dot" w:pos="8306"/>
        </w:tabs>
      </w:pPr>
      <w:r>
        <w:rPr>
          <w:rFonts w:cs="Times New Roman"/>
        </w:rPr>
        <w:fldChar w:fldCharType="begin"/>
      </w:r>
      <w:r>
        <w:rPr>
          <w:rFonts w:cs="Times New Roman"/>
        </w:rPr>
        <w:instrText xml:space="preserve"> HYPERLINK \l _Toc19262 </w:instrText>
      </w:r>
      <w:r>
        <w:rPr>
          <w:rFonts w:cs="Times New Roman"/>
        </w:rPr>
        <w:fldChar w:fldCharType="separate"/>
      </w:r>
      <w:r>
        <w:rPr>
          <w:rFonts w:hint="default" w:cs="Times New Roman"/>
        </w:rPr>
        <w:t xml:space="preserve">11.3. </w:t>
      </w:r>
      <w:r>
        <w:rPr>
          <w:rFonts w:hint="eastAsia" w:cs="Times New Roman"/>
        </w:rPr>
        <w:t>监测方式、方法、频率、信息反馈</w:t>
      </w:r>
      <w:r>
        <w:tab/>
      </w:r>
      <w:r>
        <w:fldChar w:fldCharType="begin"/>
      </w:r>
      <w:r>
        <w:instrText xml:space="preserve"> PAGEREF _Toc19262 \h </w:instrText>
      </w:r>
      <w:r>
        <w:fldChar w:fldCharType="separate"/>
      </w:r>
      <w:r>
        <w:t>100</w:t>
      </w:r>
      <w:r>
        <w:fldChar w:fldCharType="end"/>
      </w:r>
      <w:r>
        <w:rPr>
          <w:rFonts w:cs="Times New Roman"/>
        </w:rPr>
        <w:fldChar w:fldCharType="end"/>
      </w:r>
    </w:p>
    <w:p w14:paraId="3BB75D1B">
      <w:pPr>
        <w:pStyle w:val="25"/>
        <w:tabs>
          <w:tab w:val="right" w:leader="dot" w:pos="8306"/>
        </w:tabs>
      </w:pPr>
      <w:r>
        <w:rPr>
          <w:rFonts w:cs="Times New Roman"/>
        </w:rPr>
        <w:fldChar w:fldCharType="begin"/>
      </w:r>
      <w:r>
        <w:rPr>
          <w:rFonts w:cs="Times New Roman"/>
        </w:rPr>
        <w:instrText xml:space="preserve"> HYPERLINK \l _Toc24801 </w:instrText>
      </w:r>
      <w:r>
        <w:rPr>
          <w:rFonts w:cs="Times New Roman"/>
        </w:rPr>
        <w:fldChar w:fldCharType="separate"/>
      </w:r>
      <w:r>
        <w:rPr>
          <w:rFonts w:hint="default" w:cs="Times New Roman" w:eastAsiaTheme="majorEastAsia"/>
          <w:lang w:val="en-US" w:eastAsia="zh-CN"/>
        </w:rPr>
        <w:t xml:space="preserve">11.4. </w:t>
      </w:r>
      <w:r>
        <w:rPr>
          <w:rFonts w:hint="eastAsia" w:cs="Times New Roman"/>
          <w:lang w:val="en-US" w:eastAsia="zh-CN"/>
        </w:rPr>
        <w:t>验收表格</w:t>
      </w:r>
      <w:r>
        <w:tab/>
      </w:r>
      <w:r>
        <w:fldChar w:fldCharType="begin"/>
      </w:r>
      <w:r>
        <w:instrText xml:space="preserve"> PAGEREF _Toc24801 \h </w:instrText>
      </w:r>
      <w:r>
        <w:fldChar w:fldCharType="separate"/>
      </w:r>
      <w:r>
        <w:t>100</w:t>
      </w:r>
      <w:r>
        <w:fldChar w:fldCharType="end"/>
      </w:r>
      <w:r>
        <w:rPr>
          <w:rFonts w:cs="Times New Roman"/>
        </w:rPr>
        <w:fldChar w:fldCharType="end"/>
      </w:r>
    </w:p>
    <w:p w14:paraId="3F95D2F4">
      <w:pPr>
        <w:pStyle w:val="23"/>
        <w:tabs>
          <w:tab w:val="right" w:leader="dot" w:pos="8306"/>
          <w:tab w:val="clear" w:pos="426"/>
          <w:tab w:val="clear" w:pos="8296"/>
        </w:tabs>
      </w:pPr>
      <w:r>
        <w:rPr>
          <w:rFonts w:cs="Times New Roman"/>
        </w:rPr>
        <w:fldChar w:fldCharType="begin"/>
      </w:r>
      <w:r>
        <w:rPr>
          <w:rFonts w:cs="Times New Roman"/>
        </w:rPr>
        <w:instrText xml:space="preserve"> HYPERLINK \l _Toc17253 </w:instrText>
      </w:r>
      <w:r>
        <w:rPr>
          <w:rFonts w:cs="Times New Roman"/>
        </w:rPr>
        <w:fldChar w:fldCharType="separate"/>
      </w:r>
      <w:r>
        <w:rPr>
          <w:rFonts w:hint="default" w:cs="Times New Roman"/>
        </w:rPr>
        <w:t xml:space="preserve">12. </w:t>
      </w:r>
      <w:r>
        <w:rPr>
          <w:rFonts w:cs="Times New Roman"/>
        </w:rPr>
        <w:t>应急预案</w:t>
      </w:r>
      <w:r>
        <w:tab/>
      </w:r>
      <w:r>
        <w:fldChar w:fldCharType="begin"/>
      </w:r>
      <w:r>
        <w:instrText xml:space="preserve"> PAGEREF _Toc17253 \h </w:instrText>
      </w:r>
      <w:r>
        <w:fldChar w:fldCharType="separate"/>
      </w:r>
      <w:r>
        <w:t>101</w:t>
      </w:r>
      <w:r>
        <w:fldChar w:fldCharType="end"/>
      </w:r>
      <w:r>
        <w:rPr>
          <w:rFonts w:cs="Times New Roman"/>
        </w:rPr>
        <w:fldChar w:fldCharType="end"/>
      </w:r>
    </w:p>
    <w:p w14:paraId="3318B2F6">
      <w:pPr>
        <w:pStyle w:val="25"/>
        <w:tabs>
          <w:tab w:val="right" w:leader="dot" w:pos="8306"/>
        </w:tabs>
      </w:pPr>
      <w:r>
        <w:rPr>
          <w:rFonts w:cs="Times New Roman"/>
        </w:rPr>
        <w:fldChar w:fldCharType="begin"/>
      </w:r>
      <w:r>
        <w:rPr>
          <w:rFonts w:cs="Times New Roman"/>
        </w:rPr>
        <w:instrText xml:space="preserve"> HYPERLINK \l _Toc8317 </w:instrText>
      </w:r>
      <w:r>
        <w:rPr>
          <w:rFonts w:cs="Times New Roman"/>
        </w:rPr>
        <w:fldChar w:fldCharType="separate"/>
      </w:r>
      <w:r>
        <w:rPr>
          <w:rFonts w:hint="default" w:cs="Times New Roman"/>
        </w:rPr>
        <w:t xml:space="preserve">12.1. </w:t>
      </w:r>
      <w:r>
        <w:rPr>
          <w:rFonts w:cs="Times New Roman"/>
        </w:rPr>
        <w:t>应急机构及职责</w:t>
      </w:r>
      <w:r>
        <w:tab/>
      </w:r>
      <w:r>
        <w:fldChar w:fldCharType="begin"/>
      </w:r>
      <w:r>
        <w:instrText xml:space="preserve"> PAGEREF _Toc8317 \h </w:instrText>
      </w:r>
      <w:r>
        <w:fldChar w:fldCharType="separate"/>
      </w:r>
      <w:r>
        <w:t>101</w:t>
      </w:r>
      <w:r>
        <w:fldChar w:fldCharType="end"/>
      </w:r>
      <w:r>
        <w:rPr>
          <w:rFonts w:cs="Times New Roman"/>
        </w:rPr>
        <w:fldChar w:fldCharType="end"/>
      </w:r>
    </w:p>
    <w:p w14:paraId="534187F7">
      <w:pPr>
        <w:pStyle w:val="25"/>
        <w:tabs>
          <w:tab w:val="right" w:leader="dot" w:pos="8306"/>
        </w:tabs>
      </w:pPr>
      <w:r>
        <w:rPr>
          <w:rFonts w:cs="Times New Roman"/>
        </w:rPr>
        <w:fldChar w:fldCharType="begin"/>
      </w:r>
      <w:r>
        <w:rPr>
          <w:rFonts w:cs="Times New Roman"/>
        </w:rPr>
        <w:instrText xml:space="preserve"> HYPERLINK \l _Toc28285 </w:instrText>
      </w:r>
      <w:r>
        <w:rPr>
          <w:rFonts w:cs="Times New Roman"/>
        </w:rPr>
        <w:fldChar w:fldCharType="separate"/>
      </w:r>
      <w:r>
        <w:rPr>
          <w:rFonts w:hint="default"/>
        </w:rPr>
        <w:t xml:space="preserve">12.2. </w:t>
      </w:r>
      <w:r>
        <w:t>应急小组及其人员组成</w:t>
      </w:r>
      <w:r>
        <w:tab/>
      </w:r>
      <w:r>
        <w:fldChar w:fldCharType="begin"/>
      </w:r>
      <w:r>
        <w:instrText xml:space="preserve"> PAGEREF _Toc28285 \h </w:instrText>
      </w:r>
      <w:r>
        <w:fldChar w:fldCharType="separate"/>
      </w:r>
      <w:r>
        <w:t>101</w:t>
      </w:r>
      <w:r>
        <w:fldChar w:fldCharType="end"/>
      </w:r>
      <w:r>
        <w:rPr>
          <w:rFonts w:cs="Times New Roman"/>
        </w:rPr>
        <w:fldChar w:fldCharType="end"/>
      </w:r>
    </w:p>
    <w:p w14:paraId="3EEF72D9">
      <w:pPr>
        <w:pStyle w:val="25"/>
        <w:tabs>
          <w:tab w:val="right" w:leader="dot" w:pos="8306"/>
        </w:tabs>
      </w:pPr>
      <w:r>
        <w:rPr>
          <w:rFonts w:cs="Times New Roman"/>
        </w:rPr>
        <w:fldChar w:fldCharType="begin"/>
      </w:r>
      <w:r>
        <w:rPr>
          <w:rFonts w:cs="Times New Roman"/>
        </w:rPr>
        <w:instrText xml:space="preserve"> HYPERLINK \l _Toc15128 </w:instrText>
      </w:r>
      <w:r>
        <w:rPr>
          <w:rFonts w:cs="Times New Roman"/>
        </w:rPr>
        <w:fldChar w:fldCharType="separate"/>
      </w:r>
      <w:r>
        <w:rPr>
          <w:rFonts w:hint="default" w:cs="Times New Roman"/>
        </w:rPr>
        <w:t xml:space="preserve">12.3. </w:t>
      </w:r>
      <w:r>
        <w:rPr>
          <w:rFonts w:cs="Times New Roman"/>
        </w:rPr>
        <w:t>预防与预警</w:t>
      </w:r>
      <w:r>
        <w:tab/>
      </w:r>
      <w:r>
        <w:fldChar w:fldCharType="begin"/>
      </w:r>
      <w:r>
        <w:instrText xml:space="preserve"> PAGEREF _Toc15128 \h </w:instrText>
      </w:r>
      <w:r>
        <w:fldChar w:fldCharType="separate"/>
      </w:r>
      <w:r>
        <w:t>105</w:t>
      </w:r>
      <w:r>
        <w:fldChar w:fldCharType="end"/>
      </w:r>
      <w:r>
        <w:rPr>
          <w:rFonts w:cs="Times New Roman"/>
        </w:rPr>
        <w:fldChar w:fldCharType="end"/>
      </w:r>
    </w:p>
    <w:p w14:paraId="337EE32C">
      <w:pPr>
        <w:pStyle w:val="25"/>
        <w:tabs>
          <w:tab w:val="right" w:leader="dot" w:pos="8306"/>
        </w:tabs>
      </w:pPr>
      <w:r>
        <w:rPr>
          <w:rFonts w:cs="Times New Roman"/>
        </w:rPr>
        <w:fldChar w:fldCharType="begin"/>
      </w:r>
      <w:r>
        <w:rPr>
          <w:rFonts w:cs="Times New Roman"/>
        </w:rPr>
        <w:instrText xml:space="preserve"> HYPERLINK \l _Toc15909 </w:instrText>
      </w:r>
      <w:r>
        <w:rPr>
          <w:rFonts w:cs="Times New Roman"/>
        </w:rPr>
        <w:fldChar w:fldCharType="separate"/>
      </w:r>
      <w:r>
        <w:rPr>
          <w:rFonts w:hint="default" w:cs="Times New Roman"/>
        </w:rPr>
        <w:t xml:space="preserve">12.4. </w:t>
      </w:r>
      <w:r>
        <w:rPr>
          <w:rFonts w:cs="Times New Roman"/>
        </w:rPr>
        <w:t>应急响应</w:t>
      </w:r>
      <w:r>
        <w:tab/>
      </w:r>
      <w:r>
        <w:fldChar w:fldCharType="begin"/>
      </w:r>
      <w:r>
        <w:instrText xml:space="preserve"> PAGEREF _Toc15909 \h </w:instrText>
      </w:r>
      <w:r>
        <w:fldChar w:fldCharType="separate"/>
      </w:r>
      <w:r>
        <w:t>107</w:t>
      </w:r>
      <w:r>
        <w:fldChar w:fldCharType="end"/>
      </w:r>
      <w:r>
        <w:rPr>
          <w:rFonts w:cs="Times New Roman"/>
        </w:rPr>
        <w:fldChar w:fldCharType="end"/>
      </w:r>
    </w:p>
    <w:p w14:paraId="3F98C748">
      <w:pPr>
        <w:pStyle w:val="23"/>
        <w:tabs>
          <w:tab w:val="right" w:leader="dot" w:pos="8306"/>
          <w:tab w:val="clear" w:pos="426"/>
          <w:tab w:val="clear" w:pos="8296"/>
        </w:tabs>
      </w:pPr>
      <w:r>
        <w:rPr>
          <w:rFonts w:cs="Times New Roman"/>
        </w:rPr>
        <w:fldChar w:fldCharType="begin"/>
      </w:r>
      <w:r>
        <w:rPr>
          <w:rFonts w:cs="Times New Roman"/>
        </w:rPr>
        <w:instrText xml:space="preserve"> HYPERLINK \l _Toc5204 </w:instrText>
      </w:r>
      <w:r>
        <w:rPr>
          <w:rFonts w:cs="Times New Roman"/>
        </w:rPr>
        <w:fldChar w:fldCharType="separate"/>
      </w:r>
      <w:r>
        <w:rPr>
          <w:rFonts w:hint="default" w:cs="Times New Roman"/>
        </w:rPr>
        <w:t xml:space="preserve">13. </w:t>
      </w:r>
      <w:r>
        <w:rPr>
          <w:rFonts w:cs="Times New Roman"/>
        </w:rPr>
        <w:t>附件</w:t>
      </w:r>
      <w:r>
        <w:tab/>
      </w:r>
      <w:r>
        <w:fldChar w:fldCharType="begin"/>
      </w:r>
      <w:r>
        <w:instrText xml:space="preserve"> PAGEREF _Toc5204 \h </w:instrText>
      </w:r>
      <w:r>
        <w:fldChar w:fldCharType="separate"/>
      </w:r>
      <w:r>
        <w:t>111</w:t>
      </w:r>
      <w:r>
        <w:fldChar w:fldCharType="end"/>
      </w:r>
      <w:r>
        <w:rPr>
          <w:rFonts w:cs="Times New Roman"/>
        </w:rPr>
        <w:fldChar w:fldCharType="end"/>
      </w:r>
    </w:p>
    <w:p w14:paraId="3F2EB2C1">
      <w:pPr>
        <w:pStyle w:val="25"/>
        <w:tabs>
          <w:tab w:val="right" w:leader="dot" w:pos="8306"/>
        </w:tabs>
      </w:pPr>
      <w:r>
        <w:rPr>
          <w:rFonts w:cs="Times New Roman"/>
        </w:rPr>
        <w:fldChar w:fldCharType="begin"/>
      </w:r>
      <w:r>
        <w:rPr>
          <w:rFonts w:cs="Times New Roman"/>
        </w:rPr>
        <w:instrText xml:space="preserve"> HYPERLINK \l _Toc26100 </w:instrText>
      </w:r>
      <w:r>
        <w:rPr>
          <w:rFonts w:cs="Times New Roman"/>
        </w:rPr>
        <w:fldChar w:fldCharType="separate"/>
      </w:r>
      <w:r>
        <w:rPr>
          <w:rFonts w:hint="default" w:cs="Times New Roman"/>
        </w:rPr>
        <w:t xml:space="preserve">13.1. </w:t>
      </w:r>
      <w:r>
        <w:rPr>
          <w:rFonts w:cs="Times New Roman"/>
        </w:rPr>
        <w:t>吊索的选型</w:t>
      </w:r>
      <w:r>
        <w:tab/>
      </w:r>
      <w:r>
        <w:fldChar w:fldCharType="begin"/>
      </w:r>
      <w:r>
        <w:instrText xml:space="preserve"> PAGEREF _Toc26100 \h </w:instrText>
      </w:r>
      <w:r>
        <w:fldChar w:fldCharType="separate"/>
      </w:r>
      <w:r>
        <w:t>111</w:t>
      </w:r>
      <w:r>
        <w:fldChar w:fldCharType="end"/>
      </w:r>
      <w:r>
        <w:rPr>
          <w:rFonts w:cs="Times New Roman"/>
        </w:rPr>
        <w:fldChar w:fldCharType="end"/>
      </w:r>
    </w:p>
    <w:p w14:paraId="74AED092">
      <w:pPr>
        <w:keepNext w:val="0"/>
        <w:keepLines w:val="0"/>
        <w:pageBreakBefore w:val="0"/>
        <w:kinsoku/>
        <w:wordWrap/>
        <w:overflowPunct/>
        <w:topLinePunct w:val="0"/>
        <w:autoSpaceDE/>
        <w:autoSpaceDN/>
        <w:bidi w:val="0"/>
        <w:snapToGrid/>
        <w:spacing w:line="240" w:lineRule="auto"/>
        <w:rPr>
          <w:rFonts w:cs="Times New Roman"/>
        </w:rPr>
      </w:pPr>
      <w:r>
        <w:rPr>
          <w:rFonts w:cs="Times New Roman"/>
        </w:rPr>
        <w:fldChar w:fldCharType="end"/>
      </w:r>
    </w:p>
    <w:p w14:paraId="2B96DB33">
      <w:pPr>
        <w:rPr>
          <w:rFonts w:cs="Times New Roman"/>
        </w:rPr>
      </w:pPr>
      <w:r>
        <w:rPr>
          <w:rFonts w:cs="Times New Roman"/>
        </w:rPr>
        <w:br w:type="page"/>
      </w:r>
    </w:p>
    <w:p w14:paraId="06155287">
      <w:pPr>
        <w:pStyle w:val="2"/>
      </w:pPr>
    </w:p>
    <w:p w14:paraId="53F78F27">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1" w:name="_Toc10085"/>
      <w:r>
        <w:rPr>
          <w:rFonts w:cs="Times New Roman"/>
        </w:rPr>
        <w:t>编制依据</w:t>
      </w:r>
      <w:bookmarkEnd w:id="0"/>
      <w:bookmarkEnd w:id="1"/>
    </w:p>
    <w:p w14:paraId="385A3B5A">
      <w:pPr>
        <w:pStyle w:val="5"/>
        <w:pageBreakBefore w:val="0"/>
        <w:numPr>
          <w:ilvl w:val="1"/>
          <w:numId w:val="6"/>
        </w:numPr>
        <w:tabs>
          <w:tab w:val="left" w:pos="567"/>
        </w:tabs>
        <w:kinsoku/>
        <w:wordWrap/>
        <w:overflowPunct/>
        <w:topLinePunct w:val="0"/>
        <w:bidi w:val="0"/>
        <w:spacing w:line="360" w:lineRule="auto"/>
        <w:ind w:left="567" w:leftChars="0" w:hanging="567" w:firstLineChars="0"/>
        <w:rPr>
          <w:rFonts w:cs="Times New Roman"/>
        </w:rPr>
      </w:pPr>
      <w:bookmarkStart w:id="2" w:name="_Toc448225837"/>
      <w:bookmarkStart w:id="3" w:name="_Toc450922359"/>
      <w:bookmarkStart w:id="4" w:name="_Toc460833574"/>
      <w:bookmarkStart w:id="5" w:name="_Toc448225287"/>
      <w:bookmarkStart w:id="6" w:name="_Toc3318"/>
      <w:r>
        <w:rPr>
          <w:rFonts w:cs="Times New Roman"/>
        </w:rPr>
        <w:t>法律法规及技术规程规范</w:t>
      </w:r>
      <w:bookmarkEnd w:id="2"/>
      <w:bookmarkEnd w:id="3"/>
      <w:bookmarkEnd w:id="4"/>
      <w:bookmarkEnd w:id="5"/>
      <w:bookmarkEnd w:id="6"/>
    </w:p>
    <w:p w14:paraId="06D5C68C">
      <w:pPr>
        <w:pStyle w:val="39"/>
        <w:numPr>
          <w:ilvl w:val="0"/>
          <w:numId w:val="7"/>
        </w:numPr>
        <w:spacing w:line="360" w:lineRule="auto"/>
        <w:ind w:left="709" w:hanging="425" w:firstLineChars="0"/>
        <w:rPr>
          <w:rFonts w:ascii="Times New Roman" w:hAnsi="Times New Roman" w:cs="Times New Roman"/>
          <w:sz w:val="24"/>
          <w:szCs w:val="24"/>
        </w:rPr>
      </w:pPr>
      <w:bookmarkStart w:id="7" w:name="_Toc450922360"/>
      <w:bookmarkStart w:id="8" w:name="_Toc448225288"/>
      <w:bookmarkStart w:id="9" w:name="_Toc448225838"/>
      <w:bookmarkStart w:id="10" w:name="_Toc460833575"/>
      <w:r>
        <w:rPr>
          <w:rFonts w:ascii="Times New Roman" w:cs="Times New Roman"/>
          <w:sz w:val="24"/>
          <w:szCs w:val="24"/>
        </w:rPr>
        <w:t>《中华人民共和国安全生产法》</w:t>
      </w:r>
      <w:r>
        <w:rPr>
          <w:rFonts w:ascii="Times New Roman" w:hAnsi="Times New Roman" w:cs="Times New Roman"/>
          <w:sz w:val="24"/>
          <w:szCs w:val="24"/>
        </w:rPr>
        <w:t>——2014</w:t>
      </w:r>
      <w:r>
        <w:rPr>
          <w:rFonts w:ascii="Times New Roman" w:cs="Times New Roman"/>
          <w:sz w:val="24"/>
          <w:szCs w:val="24"/>
        </w:rPr>
        <w:t>年</w:t>
      </w:r>
      <w:r>
        <w:rPr>
          <w:rFonts w:ascii="Times New Roman" w:hAnsi="Times New Roman" w:cs="Times New Roman"/>
          <w:sz w:val="24"/>
          <w:szCs w:val="24"/>
        </w:rPr>
        <w:t>12</w:t>
      </w:r>
      <w:r>
        <w:rPr>
          <w:rFonts w:ascii="Times New Roman" w:cs="Times New Roman"/>
          <w:sz w:val="24"/>
          <w:szCs w:val="24"/>
        </w:rPr>
        <w:t>月</w:t>
      </w:r>
      <w:r>
        <w:rPr>
          <w:rFonts w:ascii="Times New Roman" w:hAnsi="Times New Roman" w:cs="Times New Roman"/>
          <w:sz w:val="24"/>
          <w:szCs w:val="24"/>
        </w:rPr>
        <w:t>1</w:t>
      </w:r>
      <w:r>
        <w:rPr>
          <w:rFonts w:ascii="Times New Roman" w:cs="Times New Roman"/>
          <w:sz w:val="24"/>
          <w:szCs w:val="24"/>
        </w:rPr>
        <w:t>日</w:t>
      </w:r>
    </w:p>
    <w:p w14:paraId="4762A1E2">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《中华人民共和国建筑法》</w:t>
      </w:r>
      <w:r>
        <w:rPr>
          <w:rFonts w:ascii="Times New Roman" w:hAnsi="Times New Roman" w:cs="Times New Roman"/>
          <w:sz w:val="24"/>
          <w:szCs w:val="24"/>
        </w:rPr>
        <w:t>——</w:t>
      </w:r>
      <w:r>
        <w:rPr>
          <w:rFonts w:ascii="Times New Roman" w:cs="Times New Roman"/>
          <w:sz w:val="24"/>
          <w:szCs w:val="24"/>
        </w:rPr>
        <w:t>主席令第</w:t>
      </w:r>
      <w:r>
        <w:rPr>
          <w:rFonts w:ascii="Times New Roman" w:hAnsi="Times New Roman" w:cs="Times New Roman"/>
          <w:sz w:val="24"/>
          <w:szCs w:val="24"/>
        </w:rPr>
        <w:t>91</w:t>
      </w:r>
      <w:r>
        <w:rPr>
          <w:rFonts w:ascii="Times New Roman" w:cs="Times New Roman"/>
          <w:sz w:val="24"/>
          <w:szCs w:val="24"/>
        </w:rPr>
        <w:t>号</w:t>
      </w:r>
    </w:p>
    <w:p w14:paraId="7D592380">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《中华人民共和国环境保护法》</w:t>
      </w:r>
      <w:r>
        <w:rPr>
          <w:rFonts w:ascii="Times New Roman" w:hAnsi="Times New Roman" w:cs="Times New Roman"/>
          <w:sz w:val="24"/>
          <w:szCs w:val="24"/>
        </w:rPr>
        <w:t>——</w:t>
      </w:r>
      <w:r>
        <w:rPr>
          <w:rFonts w:ascii="Times New Roman" w:cs="Times New Roman"/>
          <w:sz w:val="24"/>
          <w:szCs w:val="24"/>
        </w:rPr>
        <w:t>主席令第</w:t>
      </w:r>
      <w:r>
        <w:rPr>
          <w:rFonts w:ascii="Times New Roman" w:hAnsi="Times New Roman" w:cs="Times New Roman"/>
          <w:sz w:val="24"/>
          <w:szCs w:val="24"/>
        </w:rPr>
        <w:t>22</w:t>
      </w:r>
      <w:r>
        <w:rPr>
          <w:rFonts w:ascii="Times New Roman" w:cs="Times New Roman"/>
          <w:sz w:val="24"/>
          <w:szCs w:val="24"/>
        </w:rPr>
        <w:t>号</w:t>
      </w:r>
    </w:p>
    <w:p w14:paraId="5C4A5376">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《建设工程安全生产管理条例》</w:t>
      </w:r>
      <w:r>
        <w:rPr>
          <w:rFonts w:ascii="Times New Roman" w:hAnsi="Times New Roman" w:cs="Times New Roman"/>
          <w:sz w:val="24"/>
          <w:szCs w:val="24"/>
        </w:rPr>
        <w:t>——</w:t>
      </w:r>
      <w:r>
        <w:rPr>
          <w:rFonts w:ascii="Times New Roman" w:cs="Times New Roman"/>
          <w:sz w:val="24"/>
          <w:szCs w:val="24"/>
        </w:rPr>
        <w:t>国务院第</w:t>
      </w:r>
      <w:r>
        <w:rPr>
          <w:rFonts w:ascii="Times New Roman" w:hAnsi="Times New Roman" w:cs="Times New Roman"/>
          <w:sz w:val="24"/>
          <w:szCs w:val="24"/>
        </w:rPr>
        <w:t>393</w:t>
      </w:r>
      <w:r>
        <w:rPr>
          <w:rFonts w:ascii="Times New Roman" w:cs="Times New Roman"/>
          <w:sz w:val="24"/>
          <w:szCs w:val="24"/>
        </w:rPr>
        <w:t>号令</w:t>
      </w:r>
    </w:p>
    <w:p w14:paraId="1CDD2957">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《特种设备监察条例》</w:t>
      </w:r>
      <w:r>
        <w:rPr>
          <w:rFonts w:ascii="Times New Roman" w:hAnsi="Times New Roman" w:cs="Times New Roman"/>
          <w:sz w:val="24"/>
          <w:szCs w:val="24"/>
        </w:rPr>
        <w:t>——</w:t>
      </w:r>
      <w:r>
        <w:rPr>
          <w:rFonts w:ascii="Times New Roman" w:cs="Times New Roman"/>
          <w:sz w:val="24"/>
          <w:szCs w:val="24"/>
        </w:rPr>
        <w:t>国务院</w:t>
      </w:r>
      <w:r>
        <w:rPr>
          <w:rFonts w:ascii="Times New Roman" w:hAnsi="Times New Roman" w:cs="Times New Roman"/>
          <w:sz w:val="24"/>
          <w:szCs w:val="24"/>
        </w:rPr>
        <w:t>549</w:t>
      </w:r>
      <w:r>
        <w:rPr>
          <w:rFonts w:ascii="Times New Roman" w:cs="Times New Roman"/>
          <w:sz w:val="24"/>
          <w:szCs w:val="24"/>
        </w:rPr>
        <w:t>号令</w:t>
      </w:r>
    </w:p>
    <w:p w14:paraId="00AB0976">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《建筑起重机械安全管理规范》</w:t>
      </w:r>
      <w:r>
        <w:rPr>
          <w:rFonts w:ascii="Times New Roman" w:hAnsi="Times New Roman" w:cs="Times New Roman"/>
          <w:sz w:val="24"/>
          <w:szCs w:val="24"/>
        </w:rPr>
        <w:t>——</w:t>
      </w:r>
      <w:r>
        <w:rPr>
          <w:rFonts w:ascii="Times New Roman" w:cs="Times New Roman"/>
          <w:sz w:val="24"/>
          <w:szCs w:val="24"/>
        </w:rPr>
        <w:t>建设部</w:t>
      </w:r>
      <w:r>
        <w:rPr>
          <w:rFonts w:ascii="Times New Roman" w:hAnsi="Times New Roman" w:cs="Times New Roman"/>
          <w:sz w:val="24"/>
          <w:szCs w:val="24"/>
        </w:rPr>
        <w:t>166</w:t>
      </w:r>
      <w:r>
        <w:rPr>
          <w:rFonts w:ascii="Times New Roman" w:cs="Times New Roman"/>
          <w:sz w:val="24"/>
          <w:szCs w:val="24"/>
        </w:rPr>
        <w:t>号</w:t>
      </w:r>
    </w:p>
    <w:p w14:paraId="3ABA22BC">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《中华人民共和国特种设备安全法》</w:t>
      </w:r>
      <w:r>
        <w:rPr>
          <w:rFonts w:ascii="Times New Roman" w:hAnsi="Times New Roman" w:cs="Times New Roman"/>
          <w:sz w:val="24"/>
          <w:szCs w:val="24"/>
        </w:rPr>
        <w:t>——</w:t>
      </w:r>
      <w:r>
        <w:rPr>
          <w:rFonts w:ascii="Times New Roman" w:cs="Times New Roman"/>
          <w:sz w:val="24"/>
          <w:szCs w:val="24"/>
        </w:rPr>
        <w:t>主席令第</w:t>
      </w:r>
      <w:r>
        <w:rPr>
          <w:rFonts w:ascii="Times New Roman" w:hAnsi="Times New Roman" w:cs="Times New Roman"/>
          <w:sz w:val="24"/>
          <w:szCs w:val="24"/>
        </w:rPr>
        <w:t>4</w:t>
      </w:r>
      <w:r>
        <w:rPr>
          <w:rFonts w:ascii="Times New Roman" w:cs="Times New Roman"/>
          <w:sz w:val="24"/>
          <w:szCs w:val="24"/>
        </w:rPr>
        <w:t>号</w:t>
      </w:r>
    </w:p>
    <w:p w14:paraId="79E53396">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w:t>
      </w:r>
      <w:r>
        <w:rPr>
          <w:rFonts w:ascii="Times New Roman" w:hAnsi="Times New Roman" w:cs="Times New Roman"/>
          <w:sz w:val="24"/>
          <w:szCs w:val="24"/>
        </w:rPr>
        <w:t>——GB/T 5031-20</w:t>
      </w:r>
      <w:r>
        <w:rPr>
          <w:rFonts w:hint="eastAsia" w:ascii="Times New Roman" w:hAnsi="Times New Roman" w:cs="Times New Roman"/>
          <w:sz w:val="24"/>
          <w:szCs w:val="24"/>
        </w:rPr>
        <w:t>19</w:t>
      </w:r>
    </w:p>
    <w:p w14:paraId="3C9B6659">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《塔式起重机安全规程》</w:t>
      </w:r>
      <w:r>
        <w:rPr>
          <w:rFonts w:ascii="Times New Roman" w:hAnsi="Times New Roman" w:cs="Times New Roman"/>
          <w:sz w:val="24"/>
          <w:szCs w:val="24"/>
        </w:rPr>
        <w:t>——GB 5144-2006</w:t>
      </w:r>
    </w:p>
    <w:p w14:paraId="73ECDDF1">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《塔式起重机操作使用规程》</w:t>
      </w:r>
      <w:r>
        <w:rPr>
          <w:rFonts w:ascii="Times New Roman" w:hAnsi="Times New Roman" w:cs="Times New Roman"/>
          <w:sz w:val="24"/>
          <w:szCs w:val="24"/>
        </w:rPr>
        <w:t>——JG/T 100-1999</w:t>
      </w:r>
    </w:p>
    <w:p w14:paraId="1F4E72DE">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《塔式起重机安装与拆卸规则》</w:t>
      </w:r>
      <w:r>
        <w:rPr>
          <w:rFonts w:ascii="Times New Roman" w:hAnsi="Times New Roman" w:cs="Times New Roman"/>
          <w:sz w:val="24"/>
          <w:szCs w:val="24"/>
        </w:rPr>
        <w:t>——GB/T2671-2011</w:t>
      </w:r>
    </w:p>
    <w:p w14:paraId="4104D49D">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《塔式起重机设计规范》</w:t>
      </w:r>
      <w:r>
        <w:rPr>
          <w:rFonts w:ascii="Times New Roman" w:hAnsi="Times New Roman" w:cs="Times New Roman"/>
          <w:sz w:val="24"/>
          <w:szCs w:val="24"/>
        </w:rPr>
        <w:t>——GB/T13752-2017</w:t>
      </w:r>
    </w:p>
    <w:p w14:paraId="5309BB63">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《建筑施工高处作业安全技术规范》</w:t>
      </w:r>
      <w:r>
        <w:rPr>
          <w:rFonts w:ascii="Times New Roman" w:hAnsi="Times New Roman" w:cs="Times New Roman"/>
          <w:sz w:val="24"/>
          <w:szCs w:val="24"/>
        </w:rPr>
        <w:t>——JGJ80-2016</w:t>
      </w:r>
    </w:p>
    <w:p w14:paraId="20C7E5C3">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《建筑机械使用安全技术规程》</w:t>
      </w:r>
      <w:r>
        <w:rPr>
          <w:rFonts w:ascii="Times New Roman" w:hAnsi="Times New Roman" w:cs="Times New Roman"/>
          <w:sz w:val="24"/>
          <w:szCs w:val="24"/>
        </w:rPr>
        <w:t>——JGJ33-2012</w:t>
      </w:r>
    </w:p>
    <w:p w14:paraId="5E9186F3">
      <w:pPr>
        <w:pStyle w:val="39"/>
        <w:numPr>
          <w:ilvl w:val="0"/>
          <w:numId w:val="7"/>
        </w:numPr>
        <w:spacing w:line="360" w:lineRule="auto"/>
        <w:ind w:left="709" w:hanging="425" w:firstLineChars="0"/>
        <w:rPr>
          <w:rFonts w:ascii="Times New Roman" w:cs="Times New Roman"/>
          <w:sz w:val="24"/>
          <w:szCs w:val="24"/>
        </w:rPr>
      </w:pPr>
      <w:r>
        <w:rPr>
          <w:rFonts w:ascii="Times New Roman" w:cs="Times New Roman"/>
          <w:sz w:val="24"/>
          <w:szCs w:val="24"/>
        </w:rPr>
        <w:t>《建筑施工塔式起重机</w:t>
      </w:r>
      <w:r>
        <w:rPr>
          <w:rFonts w:hint="eastAsia" w:ascii="Times New Roman" w:cs="Times New Roman"/>
          <w:sz w:val="24"/>
          <w:szCs w:val="24"/>
          <w:lang w:val="en-US" w:eastAsia="zh-CN"/>
        </w:rPr>
        <w:t>机械</w:t>
      </w:r>
      <w:r>
        <w:rPr>
          <w:rFonts w:ascii="Times New Roman" w:cs="Times New Roman"/>
          <w:sz w:val="24"/>
          <w:szCs w:val="24"/>
        </w:rPr>
        <w:t>安装、使用、拆卸安全技术规程》——JGJ196-2010</w:t>
      </w:r>
    </w:p>
    <w:p w14:paraId="66E61ADC">
      <w:pPr>
        <w:pStyle w:val="39"/>
        <w:numPr>
          <w:ilvl w:val="0"/>
          <w:numId w:val="7"/>
        </w:numPr>
        <w:spacing w:line="360" w:lineRule="auto"/>
        <w:ind w:left="709" w:hanging="425" w:firstLineChars="0"/>
        <w:rPr>
          <w:rFonts w:ascii="Times New Roman" w:cs="Times New Roman"/>
          <w:sz w:val="24"/>
          <w:szCs w:val="24"/>
        </w:rPr>
      </w:pPr>
      <w:r>
        <w:rPr>
          <w:rFonts w:ascii="å®‹ä½“" w:hAnsi="å®‹ä½“" w:eastAsia="å®‹ä½“" w:cs="å®‹ä½“"/>
          <w:i w:val="0"/>
          <w:iCs w:val="0"/>
          <w:caps w:val="0"/>
          <w:color w:val="000000"/>
          <w:spacing w:val="0"/>
          <w:sz w:val="24"/>
          <w:szCs w:val="24"/>
          <w:shd w:val="clear" w:fill="FFFFFF"/>
        </w:rPr>
        <w:t>《建筑与市政工程施工现场临时用电安全技术标准》</w:t>
      </w:r>
      <w:r>
        <w:rPr>
          <w:rFonts w:ascii="Times New Roman" w:cs="Times New Roman"/>
          <w:sz w:val="24"/>
          <w:szCs w:val="24"/>
        </w:rPr>
        <w:t>——</w:t>
      </w:r>
      <w:r>
        <w:rPr>
          <w:rFonts w:hint="eastAsia" w:ascii="Times New Roman" w:cs="Times New Roman"/>
          <w:sz w:val="24"/>
          <w:szCs w:val="24"/>
        </w:rPr>
        <w:t>JGJ46-2024</w:t>
      </w:r>
    </w:p>
    <w:p w14:paraId="078C513C">
      <w:pPr>
        <w:pStyle w:val="39"/>
        <w:numPr>
          <w:ilvl w:val="0"/>
          <w:numId w:val="7"/>
        </w:numPr>
        <w:spacing w:line="360" w:lineRule="auto"/>
        <w:ind w:left="709" w:hanging="425" w:firstLineChars="0"/>
        <w:rPr>
          <w:rFonts w:ascii="Times New Roman" w:cs="Times New Roman"/>
          <w:sz w:val="24"/>
          <w:szCs w:val="24"/>
        </w:rPr>
      </w:pPr>
      <w:r>
        <w:rPr>
          <w:rFonts w:ascii="Times New Roman" w:cs="Times New Roman"/>
          <w:sz w:val="24"/>
          <w:szCs w:val="24"/>
        </w:rPr>
        <w:t>《</w:t>
      </w:r>
      <w:r>
        <w:rPr>
          <w:rFonts w:hint="eastAsia" w:ascii="Times New Roman" w:cs="Times New Roman"/>
          <w:sz w:val="24"/>
          <w:szCs w:val="24"/>
        </w:rPr>
        <w:t>建筑工程安全检查标准</w:t>
      </w:r>
      <w:r>
        <w:rPr>
          <w:rFonts w:ascii="Times New Roman" w:cs="Times New Roman"/>
          <w:sz w:val="24"/>
          <w:szCs w:val="24"/>
        </w:rPr>
        <w:t>》——</w:t>
      </w:r>
      <w:r>
        <w:rPr>
          <w:rFonts w:hint="eastAsia" w:ascii="Times New Roman" w:cs="Times New Roman"/>
          <w:sz w:val="24"/>
          <w:szCs w:val="24"/>
        </w:rPr>
        <w:t>JGJ59-2011</w:t>
      </w:r>
    </w:p>
    <w:p w14:paraId="15255087">
      <w:pPr>
        <w:pStyle w:val="39"/>
        <w:numPr>
          <w:ilvl w:val="0"/>
          <w:numId w:val="7"/>
        </w:numPr>
        <w:spacing w:line="360" w:lineRule="auto"/>
        <w:ind w:left="709" w:hanging="425" w:firstLineChars="0"/>
        <w:rPr>
          <w:rFonts w:ascii="Times New Roman" w:cs="Times New Roman"/>
          <w:sz w:val="24"/>
          <w:szCs w:val="24"/>
        </w:rPr>
      </w:pPr>
      <w:r>
        <w:rPr>
          <w:rFonts w:ascii="Times New Roman" w:cs="Times New Roman"/>
          <w:sz w:val="24"/>
          <w:szCs w:val="24"/>
        </w:rPr>
        <w:t>《</w:t>
      </w:r>
      <w:r>
        <w:rPr>
          <w:rFonts w:hint="eastAsia" w:ascii="Times New Roman" w:cs="Times New Roman"/>
          <w:sz w:val="24"/>
          <w:szCs w:val="24"/>
        </w:rPr>
        <w:t>塔式起重机混凝土基础工程技术</w:t>
      </w:r>
      <w:r>
        <w:rPr>
          <w:rFonts w:hint="eastAsia" w:ascii="Times New Roman" w:cs="Times New Roman"/>
          <w:sz w:val="24"/>
          <w:szCs w:val="24"/>
          <w:lang w:val="en-US" w:eastAsia="zh-CN"/>
        </w:rPr>
        <w:t>标准</w:t>
      </w:r>
      <w:r>
        <w:rPr>
          <w:rFonts w:ascii="Times New Roman" w:cs="Times New Roman"/>
          <w:sz w:val="24"/>
          <w:szCs w:val="24"/>
        </w:rPr>
        <w:t>》——</w:t>
      </w:r>
      <w:r>
        <w:rPr>
          <w:rFonts w:hint="eastAsia" w:ascii="Times New Roman" w:cs="Times New Roman"/>
          <w:sz w:val="24"/>
          <w:szCs w:val="24"/>
        </w:rPr>
        <w:t>JGJ/T187-2019</w:t>
      </w:r>
    </w:p>
    <w:p w14:paraId="6D66EEFE">
      <w:pPr>
        <w:pStyle w:val="39"/>
        <w:numPr>
          <w:ilvl w:val="0"/>
          <w:numId w:val="7"/>
        </w:numPr>
        <w:spacing w:line="360" w:lineRule="auto"/>
        <w:ind w:left="709" w:hanging="425" w:firstLineChars="0"/>
        <w:rPr>
          <w:rFonts w:ascii="Times New Roman" w:cs="Times New Roman"/>
          <w:sz w:val="24"/>
          <w:szCs w:val="24"/>
        </w:rPr>
      </w:pPr>
      <w:r>
        <w:rPr>
          <w:rFonts w:ascii="Times New Roman" w:cs="Times New Roman"/>
          <w:sz w:val="24"/>
          <w:szCs w:val="24"/>
        </w:rPr>
        <w:t>《</w:t>
      </w:r>
      <w:r>
        <w:rPr>
          <w:rFonts w:hint="eastAsia" w:ascii="Times New Roman" w:cs="Times New Roman"/>
          <w:sz w:val="24"/>
          <w:szCs w:val="24"/>
        </w:rPr>
        <w:t>坠落防护安全带</w:t>
      </w:r>
      <w:r>
        <w:rPr>
          <w:rFonts w:ascii="Times New Roman" w:cs="Times New Roman"/>
          <w:sz w:val="24"/>
          <w:szCs w:val="24"/>
        </w:rPr>
        <w:t>》——</w:t>
      </w:r>
      <w:r>
        <w:rPr>
          <w:rFonts w:hint="eastAsia" w:ascii="Times New Roman" w:cs="Times New Roman"/>
          <w:sz w:val="24"/>
          <w:szCs w:val="24"/>
        </w:rPr>
        <w:t>GB6095-2021</w:t>
      </w:r>
    </w:p>
    <w:p w14:paraId="36A39461">
      <w:pPr>
        <w:pStyle w:val="39"/>
        <w:numPr>
          <w:ilvl w:val="0"/>
          <w:numId w:val="7"/>
        </w:numPr>
        <w:spacing w:line="360" w:lineRule="auto"/>
        <w:ind w:left="709" w:hanging="425" w:firstLineChars="0"/>
        <w:rPr>
          <w:rFonts w:ascii="Times New Roman" w:cs="Times New Roman"/>
          <w:sz w:val="24"/>
          <w:szCs w:val="24"/>
        </w:rPr>
      </w:pPr>
      <w:r>
        <w:rPr>
          <w:rFonts w:ascii="Times New Roman" w:cs="Times New Roman"/>
          <w:sz w:val="24"/>
          <w:szCs w:val="24"/>
        </w:rPr>
        <w:t>《头部防护安全帽》——</w:t>
      </w:r>
      <w:r>
        <w:rPr>
          <w:rFonts w:hint="eastAsia" w:ascii="Times New Roman" w:cs="Times New Roman"/>
          <w:sz w:val="24"/>
          <w:szCs w:val="24"/>
        </w:rPr>
        <w:t>GB2811-2019</w:t>
      </w:r>
    </w:p>
    <w:p w14:paraId="601D5A90">
      <w:pPr>
        <w:pStyle w:val="39"/>
        <w:numPr>
          <w:ilvl w:val="0"/>
          <w:numId w:val="7"/>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w:t>
      </w:r>
      <w:r>
        <w:rPr>
          <w:rFonts w:hint="eastAsia" w:ascii="Times New Roman" w:cs="Times New Roman"/>
          <w:sz w:val="24"/>
          <w:szCs w:val="24"/>
        </w:rPr>
        <w:t>重要用途钢丝绳</w:t>
      </w:r>
      <w:r>
        <w:rPr>
          <w:rFonts w:ascii="Times New Roman" w:cs="Times New Roman"/>
          <w:sz w:val="24"/>
          <w:szCs w:val="24"/>
        </w:rPr>
        <w:t>》——</w:t>
      </w:r>
      <w:r>
        <w:rPr>
          <w:rFonts w:hint="eastAsia" w:ascii="Times New Roman" w:hAnsi="Times New Roman" w:cs="Times New Roman"/>
          <w:sz w:val="24"/>
          <w:szCs w:val="24"/>
        </w:rPr>
        <w:t>GB8918-2006</w:t>
      </w:r>
    </w:p>
    <w:p w14:paraId="794639AA">
      <w:pPr>
        <w:pStyle w:val="39"/>
        <w:numPr>
          <w:ilvl w:val="0"/>
          <w:numId w:val="7"/>
        </w:numPr>
        <w:spacing w:line="360" w:lineRule="auto"/>
        <w:ind w:left="709" w:hanging="425" w:firstLineChars="0"/>
        <w:rPr>
          <w:rFonts w:ascii="Times New Roman" w:hAnsi="Times New Roman" w:cs="Times New Roman"/>
          <w:sz w:val="24"/>
          <w:szCs w:val="24"/>
        </w:rPr>
      </w:pPr>
      <w:r>
        <w:rPr>
          <w:rFonts w:hint="eastAsia" w:ascii="Times New Roman" w:hAnsi="Times New Roman" w:cs="Times New Roman"/>
          <w:sz w:val="24"/>
          <w:szCs w:val="24"/>
        </w:rPr>
        <w:t>《建筑施工起重吊装工程安全技术规范》——JGJ276-2012</w:t>
      </w:r>
    </w:p>
    <w:p w14:paraId="47867236">
      <w:pPr>
        <w:pStyle w:val="5"/>
        <w:pageBreakBefore w:val="0"/>
        <w:numPr>
          <w:ilvl w:val="1"/>
          <w:numId w:val="6"/>
        </w:numPr>
        <w:tabs>
          <w:tab w:val="left" w:pos="567"/>
        </w:tabs>
        <w:kinsoku/>
        <w:wordWrap/>
        <w:overflowPunct/>
        <w:topLinePunct w:val="0"/>
        <w:bidi w:val="0"/>
        <w:spacing w:line="360" w:lineRule="auto"/>
        <w:ind w:left="567" w:leftChars="0" w:hanging="567" w:firstLineChars="0"/>
        <w:rPr>
          <w:rFonts w:cs="Times New Roman"/>
        </w:rPr>
      </w:pPr>
      <w:bookmarkStart w:id="11" w:name="_Toc13637"/>
      <w:r>
        <w:rPr>
          <w:rFonts w:cs="Times New Roman"/>
        </w:rPr>
        <w:t>其他</w:t>
      </w:r>
      <w:bookmarkEnd w:id="7"/>
      <w:bookmarkEnd w:id="8"/>
      <w:bookmarkEnd w:id="9"/>
      <w:bookmarkEnd w:id="10"/>
      <w:bookmarkEnd w:id="11"/>
    </w:p>
    <w:p w14:paraId="1E7ADEEC">
      <w:pPr>
        <w:pStyle w:val="39"/>
        <w:pageBreakBefore w:val="0"/>
        <w:numPr>
          <w:ilvl w:val="0"/>
          <w:numId w:val="8"/>
        </w:numPr>
        <w:kinsoku/>
        <w:wordWrap/>
        <w:overflowPunct/>
        <w:topLinePunct w:val="0"/>
        <w:bidi w:val="0"/>
        <w:spacing w:line="360" w:lineRule="auto"/>
        <w:ind w:left="709" w:hanging="425" w:firstLineChars="0"/>
        <w:rPr>
          <w:rFonts w:ascii="Times New Roman" w:hAnsi="Times New Roman" w:cs="Times New Roman"/>
          <w:color w:val="auto"/>
          <w:sz w:val="24"/>
          <w:szCs w:val="24"/>
        </w:rPr>
      </w:pPr>
      <w:r>
        <w:rPr>
          <w:rFonts w:hint="eastAsia" w:ascii="宋体" w:hAnsi="宋体" w:eastAsia="宋体" w:cs="宋体"/>
          <w:color w:val="auto"/>
          <w:lang w:val="en-US" w:eastAsia="zh-CN"/>
        </w:rPr>
        <w:t>《</w:t>
      </w:r>
      <w:r>
        <w:rPr>
          <w:rFonts w:hint="eastAsia" w:ascii="Times New Roman" w:hAnsi="Times New Roman" w:cs="Times New Roman"/>
          <w:color w:val="auto"/>
          <w:sz w:val="24"/>
          <w:szCs w:val="24"/>
          <w:lang w:val="en-US" w:eastAsia="zh-CN"/>
        </w:rPr>
        <w:t>徐工XGT6015-8S1型塔式起重机说明书</w:t>
      </w:r>
      <w:r>
        <w:rPr>
          <w:rFonts w:hint="eastAsia" w:ascii="宋体" w:hAnsi="宋体" w:eastAsia="宋体" w:cs="宋体"/>
          <w:color w:val="auto"/>
          <w:lang w:val="en-US" w:eastAsia="zh-CN"/>
        </w:rPr>
        <w:t>》</w:t>
      </w:r>
    </w:p>
    <w:p w14:paraId="1D736666">
      <w:pPr>
        <w:pStyle w:val="39"/>
        <w:pageBreakBefore w:val="0"/>
        <w:numPr>
          <w:ilvl w:val="0"/>
          <w:numId w:val="8"/>
        </w:numPr>
        <w:kinsoku/>
        <w:wordWrap/>
        <w:overflowPunct/>
        <w:topLinePunct w:val="0"/>
        <w:bidi w:val="0"/>
        <w:spacing w:line="360" w:lineRule="auto"/>
        <w:ind w:left="709" w:hanging="425" w:firstLineChars="0"/>
        <w:rPr>
          <w:rFonts w:ascii="Times New Roman" w:hAnsi="Times New Roman" w:cs="Times New Roman"/>
          <w:color w:val="auto"/>
          <w:sz w:val="24"/>
          <w:szCs w:val="24"/>
        </w:rPr>
      </w:pPr>
      <w:r>
        <w:rPr>
          <w:rFonts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lang w:val="en-US" w:eastAsia="zh-CN"/>
        </w:rPr>
        <w:t>TC3</w:t>
      </w:r>
      <w:r>
        <w:rPr>
          <w:rFonts w:hint="default" w:ascii="Times New Roman" w:hAnsi="Times New Roman" w:cs="Times New Roman"/>
          <w:color w:val="auto"/>
          <w:sz w:val="24"/>
          <w:szCs w:val="24"/>
          <w:lang w:val="en-US" w:eastAsia="zh-CN"/>
        </w:rPr>
        <w:t>50</w:t>
      </w:r>
      <w:r>
        <w:rPr>
          <w:rFonts w:hint="eastAsia" w:ascii="Times New Roman" w:hAnsi="Times New Roman" w:cs="Times New Roman"/>
          <w:color w:val="auto"/>
          <w:sz w:val="24"/>
          <w:szCs w:val="24"/>
          <w:lang w:val="en-US" w:eastAsia="zh-CN"/>
        </w:rPr>
        <w:t>C5-1</w:t>
      </w:r>
      <w:r>
        <w:rPr>
          <w:rFonts w:hint="eastAsia" w:ascii="Times New Roman" w:hAnsi="Times New Roman" w:cs="Times New Roman"/>
          <w:color w:val="auto"/>
          <w:sz w:val="24"/>
          <w:szCs w:val="24"/>
        </w:rPr>
        <w:t>汽车吊</w:t>
      </w:r>
      <w:r>
        <w:rPr>
          <w:rFonts w:ascii="Times New Roman" w:hAnsi="Times New Roman" w:cs="Times New Roman"/>
          <w:color w:val="auto"/>
          <w:sz w:val="24"/>
          <w:szCs w:val="24"/>
        </w:rPr>
        <w:t>使用说明书》</w:t>
      </w:r>
    </w:p>
    <w:p w14:paraId="07ADABE0">
      <w:pPr>
        <w:pStyle w:val="39"/>
        <w:pageBreakBefore w:val="0"/>
        <w:numPr>
          <w:ilvl w:val="0"/>
          <w:numId w:val="8"/>
        </w:numPr>
        <w:kinsoku/>
        <w:wordWrap/>
        <w:overflowPunct/>
        <w:topLinePunct w:val="0"/>
        <w:bidi w:val="0"/>
        <w:spacing w:line="360" w:lineRule="auto"/>
        <w:ind w:left="709" w:hanging="425" w:firstLineChars="0"/>
        <w:rPr>
          <w:rFonts w:ascii="Times New Roman" w:hAnsi="Times New Roman" w:cs="Times New Roman"/>
          <w:sz w:val="24"/>
          <w:szCs w:val="24"/>
        </w:rPr>
      </w:pPr>
      <w:r>
        <w:rPr>
          <w:rFonts w:ascii="Times New Roman" w:hAnsi="Times New Roman" w:cs="Times New Roman"/>
          <w:sz w:val="24"/>
          <w:szCs w:val="24"/>
        </w:rPr>
        <w:t>本工程施工图及现场实际情况</w:t>
      </w:r>
    </w:p>
    <w:p w14:paraId="440CC77F">
      <w:pPr>
        <w:pStyle w:val="39"/>
        <w:pageBreakBefore w:val="0"/>
        <w:numPr>
          <w:ilvl w:val="0"/>
          <w:numId w:val="8"/>
        </w:numPr>
        <w:kinsoku/>
        <w:wordWrap/>
        <w:overflowPunct/>
        <w:topLinePunct w:val="0"/>
        <w:bidi w:val="0"/>
        <w:spacing w:line="360" w:lineRule="auto"/>
        <w:ind w:left="709" w:hanging="425" w:firstLineChars="0"/>
        <w:rPr>
          <w:rFonts w:ascii="Times New Roman" w:hAnsi="Times New Roman" w:cs="Times New Roman"/>
          <w:sz w:val="24"/>
          <w:szCs w:val="24"/>
        </w:rPr>
      </w:pPr>
      <w:r>
        <w:rPr>
          <w:rFonts w:ascii="Times New Roman" w:hAnsi="Times New Roman" w:cs="Times New Roman"/>
          <w:sz w:val="24"/>
          <w:szCs w:val="24"/>
        </w:rPr>
        <w:t>中华人民共和国住房和城乡建设部令第37号《危险性较大的分部分项工程安全管理</w:t>
      </w:r>
      <w:r>
        <w:rPr>
          <w:rFonts w:hint="eastAsia" w:ascii="Times New Roman" w:hAnsi="Times New Roman" w:cs="Times New Roman"/>
          <w:sz w:val="24"/>
          <w:szCs w:val="24"/>
        </w:rPr>
        <w:t>规定</w:t>
      </w:r>
      <w:r>
        <w:rPr>
          <w:rFonts w:ascii="Times New Roman" w:hAnsi="Times New Roman" w:cs="Times New Roman"/>
          <w:sz w:val="24"/>
          <w:szCs w:val="24"/>
        </w:rPr>
        <w:t>》</w:t>
      </w:r>
    </w:p>
    <w:p w14:paraId="345AEFD1">
      <w:pPr>
        <w:pStyle w:val="39"/>
        <w:pageBreakBefore w:val="0"/>
        <w:numPr>
          <w:ilvl w:val="0"/>
          <w:numId w:val="8"/>
        </w:numPr>
        <w:kinsoku/>
        <w:wordWrap/>
        <w:overflowPunct/>
        <w:topLinePunct w:val="0"/>
        <w:bidi w:val="0"/>
        <w:spacing w:line="360" w:lineRule="auto"/>
        <w:ind w:left="709" w:hanging="425" w:firstLineChars="0"/>
        <w:rPr>
          <w:rFonts w:ascii="Times New Roman" w:hAnsi="Times New Roman" w:cs="Times New Roman"/>
          <w:sz w:val="24"/>
          <w:szCs w:val="24"/>
        </w:rPr>
      </w:pPr>
      <w:r>
        <w:rPr>
          <w:rFonts w:hint="eastAsia" w:ascii="Times New Roman" w:hAnsi="Times New Roman" w:cs="Times New Roman"/>
          <w:sz w:val="24"/>
          <w:szCs w:val="24"/>
        </w:rPr>
        <w:t>建办质</w:t>
      </w:r>
      <w:r>
        <w:rPr>
          <w:rFonts w:ascii="Times New Roman" w:hAnsi="Times New Roman" w:cs="Times New Roman"/>
          <w:sz w:val="24"/>
          <w:szCs w:val="24"/>
        </w:rPr>
        <w:t>〔</w:t>
      </w:r>
      <w:r>
        <w:rPr>
          <w:rFonts w:hint="eastAsia" w:ascii="Times New Roman" w:hAnsi="Times New Roman" w:cs="Times New Roman"/>
          <w:sz w:val="24"/>
          <w:szCs w:val="24"/>
        </w:rPr>
        <w:t>2021</w:t>
      </w:r>
      <w:r>
        <w:rPr>
          <w:rFonts w:ascii="Times New Roman" w:hAnsi="Times New Roman" w:cs="Times New Roman"/>
          <w:sz w:val="24"/>
          <w:szCs w:val="24"/>
        </w:rPr>
        <w:t>〕</w:t>
      </w:r>
      <w:r>
        <w:rPr>
          <w:rFonts w:hint="eastAsia" w:ascii="Times New Roman" w:hAnsi="Times New Roman" w:cs="Times New Roman"/>
          <w:sz w:val="24"/>
          <w:szCs w:val="24"/>
        </w:rPr>
        <w:t>48号</w:t>
      </w:r>
      <w:r>
        <w:rPr>
          <w:rFonts w:ascii="Times New Roman" w:hAnsi="Times New Roman" w:cs="Times New Roman"/>
          <w:sz w:val="24"/>
          <w:szCs w:val="24"/>
        </w:rPr>
        <w:t>《</w:t>
      </w:r>
      <w:r>
        <w:rPr>
          <w:rFonts w:hint="eastAsia" w:ascii="Times New Roman" w:hAnsi="Times New Roman" w:cs="Times New Roman"/>
          <w:sz w:val="24"/>
          <w:szCs w:val="24"/>
        </w:rPr>
        <w:t>住房和城乡建设部办公厅关于印发危险性较大的分部分项工程专项施工方案编制指南的通知</w:t>
      </w:r>
      <w:r>
        <w:rPr>
          <w:rFonts w:ascii="Times New Roman" w:hAnsi="Times New Roman" w:cs="Times New Roman"/>
          <w:sz w:val="24"/>
          <w:szCs w:val="24"/>
        </w:rPr>
        <w:t>》</w:t>
      </w:r>
    </w:p>
    <w:p w14:paraId="5DBDE587">
      <w:pPr>
        <w:pStyle w:val="39"/>
        <w:pageBreakBefore w:val="0"/>
        <w:numPr>
          <w:ilvl w:val="0"/>
          <w:numId w:val="8"/>
        </w:numPr>
        <w:kinsoku/>
        <w:wordWrap/>
        <w:overflowPunct/>
        <w:topLinePunct w:val="0"/>
        <w:bidi w:val="0"/>
        <w:spacing w:line="360" w:lineRule="auto"/>
        <w:ind w:left="709" w:hanging="425" w:firstLineChars="0"/>
        <w:rPr>
          <w:rFonts w:ascii="Times New Roman" w:hAnsi="Times New Roman" w:cs="Times New Roman"/>
          <w:sz w:val="24"/>
          <w:szCs w:val="24"/>
        </w:rPr>
      </w:pPr>
      <w:r>
        <w:rPr>
          <w:rFonts w:hint="eastAsia" w:ascii="Times New Roman" w:hAnsi="Times New Roman" w:cs="Times New Roman"/>
          <w:sz w:val="24"/>
          <w:szCs w:val="24"/>
        </w:rPr>
        <w:t>建办质〔2024〕63号 住房城乡建设部办公厅关于印发《危险性较大的分部分项工程专项施工方案严重缺陷清单</w:t>
      </w:r>
      <w:r>
        <w:rPr>
          <w:rFonts w:ascii="Times New Roman" w:hAnsi="Times New Roman" w:cs="Times New Roman"/>
          <w:sz w:val="24"/>
          <w:szCs w:val="24"/>
        </w:rPr>
        <w:t>》</w:t>
      </w:r>
    </w:p>
    <w:p w14:paraId="40020C1C">
      <w:pPr>
        <w:rPr>
          <w:rFonts w:cs="Times New Roman"/>
        </w:rPr>
      </w:pPr>
      <w:bookmarkStart w:id="12" w:name="_Toc460833576"/>
      <w:r>
        <w:rPr>
          <w:rFonts w:cs="Times New Roman"/>
        </w:rPr>
        <w:br w:type="page"/>
      </w:r>
    </w:p>
    <w:p w14:paraId="6C294FC0">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13" w:name="_Toc16704"/>
      <w:r>
        <w:rPr>
          <w:rFonts w:cs="Times New Roman"/>
        </w:rPr>
        <w:t>工程概况</w:t>
      </w:r>
      <w:bookmarkEnd w:id="12"/>
      <w:bookmarkEnd w:id="13"/>
    </w:p>
    <w:p w14:paraId="75280E53">
      <w:pPr>
        <w:pStyle w:val="5"/>
        <w:pageBreakBefore w:val="0"/>
        <w:numPr>
          <w:ilvl w:val="1"/>
          <w:numId w:val="6"/>
        </w:numPr>
        <w:kinsoku/>
        <w:wordWrap/>
        <w:overflowPunct/>
        <w:topLinePunct w:val="0"/>
        <w:bidi w:val="0"/>
        <w:spacing w:line="360" w:lineRule="auto"/>
        <w:ind w:left="567" w:leftChars="0" w:hanging="567" w:firstLineChars="0"/>
        <w:rPr>
          <w:rFonts w:cs="Times New Roman"/>
        </w:rPr>
      </w:pPr>
      <w:bookmarkStart w:id="14" w:name="_Toc7885"/>
      <w:r>
        <w:rPr>
          <w:rFonts w:hint="eastAsia" w:cs="Times New Roman"/>
        </w:rPr>
        <w:t>工程概况</w:t>
      </w:r>
      <w:bookmarkEnd w:id="14"/>
    </w:p>
    <w:p w14:paraId="6A798C2D">
      <w:pPr>
        <w:pStyle w:val="67"/>
        <w:ind w:firstLine="480"/>
        <w:rPr>
          <w:rFonts w:hint="eastAsia" w:ascii="宋体" w:hAnsi="宋体" w:eastAsia="宋体"/>
          <w:szCs w:val="24"/>
          <w:lang w:val="en-US" w:eastAsia="zh-CN"/>
        </w:rPr>
      </w:pPr>
      <w:r>
        <w:rPr>
          <w:rFonts w:hint="eastAsia" w:ascii="宋体" w:hAnsi="宋体" w:eastAsia="宋体"/>
          <w:szCs w:val="24"/>
          <w:lang w:val="en-US" w:eastAsia="zh-CN"/>
        </w:rPr>
        <w:t>渠江风洞子航运工程是渠江梯级渠化最后一个未建梯级，按照最新《渠江航运规划》“七级改六级”、“二合一”要求，工程将新建风洞子枢纽、拆除超期服役的南阳滩老旧枢纽（建于50年代）以及相应的库区航道工程，新建枢纽坝址位于渠县流江河口上游2.8公里白蹟滩处，下距渠江三桥约2公里。</w:t>
      </w:r>
    </w:p>
    <w:p w14:paraId="5D505E86">
      <w:pPr>
        <w:pStyle w:val="67"/>
        <w:ind w:firstLine="480"/>
        <w:rPr>
          <w:rFonts w:hint="eastAsia" w:ascii="宋体" w:hAnsi="宋体" w:eastAsia="宋体"/>
          <w:szCs w:val="24"/>
          <w:lang w:val="en-US" w:eastAsia="zh-CN"/>
        </w:rPr>
      </w:pPr>
      <w:r>
        <w:rPr>
          <w:rFonts w:hint="eastAsia" w:ascii="宋体" w:hAnsi="宋体" w:eastAsia="宋体"/>
          <w:szCs w:val="24"/>
          <w:lang w:val="en-US" w:eastAsia="zh-CN"/>
        </w:rPr>
        <w:t>风洞子航运工程的建设，可打通渠江航道的最后瓶颈、扫除渠江高等级航道建设的障碍，实现渠江全江贯通，千吨级船舶可直达长江，对补齐达州水运短板，带动渠江航运复苏、促进达州融入成渝地区双城经济圈至关重要；通过拆除南阳滩老旧枢纽，可以消除坝体安全隐患、增强河道行洪能力，对于上、下游河道防洪安全具有明显作用；与此同时，通过抬高河道水位，可以改善渠县城市水环境，对于提升城市品质、开发沿渡坝湿地公园亦有巨大的益处。</w:t>
      </w:r>
    </w:p>
    <w:p w14:paraId="0078B1C7">
      <w:pPr>
        <w:pStyle w:val="67"/>
        <w:ind w:left="0" w:leftChars="0" w:firstLine="0" w:firstLineChars="0"/>
        <w:jc w:val="center"/>
        <w:rPr>
          <w:rFonts w:hint="eastAsia" w:ascii="宋体" w:hAnsi="宋体" w:eastAsia="宋体"/>
          <w:szCs w:val="24"/>
          <w:lang w:val="en-US" w:eastAsia="zh-CN"/>
        </w:rPr>
      </w:pPr>
      <w:r>
        <w:rPr>
          <w:rFonts w:hint="eastAsia" w:ascii="宋体" w:hAnsi="宋体" w:eastAsia="宋体"/>
          <w:szCs w:val="24"/>
          <w:lang w:val="en-US" w:eastAsia="zh-CN"/>
        </w:rPr>
        <w:drawing>
          <wp:inline distT="0" distB="0" distL="114300" distR="114300">
            <wp:extent cx="4443095" cy="2498725"/>
            <wp:effectExtent l="0" t="0" r="14605" b="15875"/>
            <wp:docPr id="35" name="图片 35" descr="d39286b0d5b878612842160b6049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39286b0d5b878612842160b6049ace"/>
                    <pic:cNvPicPr>
                      <a:picLocks noChangeAspect="1"/>
                    </pic:cNvPicPr>
                  </pic:nvPicPr>
                  <pic:blipFill>
                    <a:blip r:embed="rId11"/>
                    <a:stretch>
                      <a:fillRect/>
                    </a:stretch>
                  </pic:blipFill>
                  <pic:spPr>
                    <a:xfrm>
                      <a:off x="0" y="0"/>
                      <a:ext cx="4443095" cy="2498725"/>
                    </a:xfrm>
                    <a:prstGeom prst="rect">
                      <a:avLst/>
                    </a:prstGeom>
                  </pic:spPr>
                </pic:pic>
              </a:graphicData>
            </a:graphic>
          </wp:inline>
        </w:drawing>
      </w:r>
    </w:p>
    <w:p w14:paraId="7D5F49DF">
      <w:pPr>
        <w:pStyle w:val="67"/>
        <w:ind w:firstLine="480"/>
        <w:jc w:val="center"/>
        <w:rPr>
          <w:rFonts w:hint="eastAsia" w:ascii="宋体" w:hAnsi="宋体" w:eastAsia="宋体"/>
          <w:szCs w:val="24"/>
          <w:lang w:val="en-US" w:eastAsia="zh-CN"/>
        </w:rPr>
      </w:pPr>
      <w:r>
        <w:rPr>
          <w:rFonts w:hint="eastAsia" w:ascii="宋体" w:hAnsi="宋体" w:eastAsia="宋体"/>
          <w:szCs w:val="24"/>
          <w:lang w:val="en-US" w:eastAsia="zh-CN"/>
        </w:rPr>
        <w:t>图2.1-1渠江风洞子航运工程地理位置</w:t>
      </w:r>
    </w:p>
    <w:p w14:paraId="04CF3A33">
      <w:pPr>
        <w:pStyle w:val="67"/>
        <w:ind w:firstLine="480"/>
        <w:rPr>
          <w:rFonts w:hint="eastAsia" w:ascii="宋体" w:hAnsi="宋体" w:eastAsia="宋体"/>
          <w:szCs w:val="24"/>
          <w:lang w:val="en-US" w:eastAsia="zh-CN"/>
        </w:rPr>
      </w:pPr>
      <w:r>
        <w:rPr>
          <w:rFonts w:hint="eastAsia" w:ascii="宋体" w:hAnsi="宋体" w:eastAsia="宋体"/>
          <w:szCs w:val="24"/>
          <w:lang w:val="en-US" w:eastAsia="zh-CN"/>
        </w:rPr>
        <w:t>渠江风洞子航运工程开发任务：以航为主，兼顾发电、防洪与改善城市水环境。</w:t>
      </w:r>
    </w:p>
    <w:p w14:paraId="6B357DCC">
      <w:pPr>
        <w:pStyle w:val="67"/>
        <w:ind w:firstLine="480"/>
        <w:rPr>
          <w:rFonts w:hint="eastAsia" w:ascii="宋体" w:hAnsi="宋体" w:eastAsia="宋体"/>
          <w:szCs w:val="24"/>
          <w:lang w:val="en-US" w:eastAsia="zh-CN"/>
        </w:rPr>
      </w:pPr>
      <w:r>
        <w:rPr>
          <w:rFonts w:hint="eastAsia" w:ascii="宋体" w:hAnsi="宋体" w:eastAsia="宋体"/>
          <w:szCs w:val="24"/>
          <w:lang w:val="en-US" w:eastAsia="zh-CN"/>
        </w:rPr>
        <w:t>枢纽工程等级为二等工程，采用河床式开发，枢纽从左至右依次布置接头坝、船闸、非溢流坝、鱼道、电站厂房、泄洪冲沙闸右岸接头坝等，坝轴线长度845.5米。</w:t>
      </w:r>
    </w:p>
    <w:p w14:paraId="1D3FC843">
      <w:pPr>
        <w:pStyle w:val="67"/>
        <w:ind w:firstLine="480"/>
        <w:rPr>
          <w:rFonts w:hint="eastAsia" w:ascii="宋体" w:hAnsi="宋体" w:eastAsia="宋体"/>
          <w:szCs w:val="24"/>
          <w:lang w:val="en-US" w:eastAsia="zh-CN"/>
        </w:rPr>
      </w:pPr>
      <w:r>
        <w:rPr>
          <w:rFonts w:hint="eastAsia" w:ascii="宋体" w:hAnsi="宋体" w:eastAsia="宋体"/>
          <w:szCs w:val="24"/>
          <w:lang w:val="en-US" w:eastAsia="zh-CN"/>
        </w:rPr>
        <w:t>水库正常蓄水位243.00米，相应库容1.79亿立方米，渠江10年一遇洪水位高程位256米，大临设施最低高程位257.5米，确保大临设施安全。航道建设标准为Ⅲ级，航道尺度60×480×2.4米，渠化航道57公里，可常年通行1000吨级船舶；通航建筑物为Ⅲ级船闸，有效尺度200×23×4.2米，单向年通过能力1154万吨；发电厂房为河床式，装机容量75兆瓦，多年平均发电量2.363亿度；建设工期48个月。</w:t>
      </w:r>
    </w:p>
    <w:p w14:paraId="7EE670F4">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color w:val="auto"/>
          <w:lang w:val="en-US" w:eastAsia="zh-CN"/>
        </w:rPr>
      </w:pPr>
      <w:r>
        <w:rPr>
          <w:rFonts w:hint="eastAsia" w:hAnsi="宋体" w:cs="Times New Roman"/>
          <w:szCs w:val="24"/>
        </w:rPr>
        <w:t>本公司负责在中交第四航务工程局有限公司渠江风洞子航运工程项目发电厂房位置</w:t>
      </w:r>
      <w:r>
        <w:rPr>
          <w:rFonts w:hint="eastAsia" w:hAnsi="宋体" w:cs="Times New Roman"/>
          <w:szCs w:val="24"/>
          <w:lang w:val="en-US" w:eastAsia="zh-CN"/>
        </w:rPr>
        <w:t>安拆4</w:t>
      </w:r>
      <w:r>
        <w:rPr>
          <w:rFonts w:hint="eastAsia" w:hAnsi="宋体" w:cs="Times New Roman"/>
          <w:szCs w:val="24"/>
        </w:rPr>
        <w:t>台</w:t>
      </w:r>
      <w:r>
        <w:rPr>
          <w:rFonts w:hint="eastAsia" w:hAnsi="宋体" w:cs="Times New Roman"/>
          <w:szCs w:val="24"/>
          <w:lang w:val="en-US" w:eastAsia="zh-CN"/>
        </w:rPr>
        <w:t>XGT6015-8S1</w:t>
      </w:r>
      <w:r>
        <w:rPr>
          <w:rFonts w:hint="eastAsia" w:hAnsi="宋体" w:cs="Times New Roman"/>
          <w:szCs w:val="24"/>
        </w:rPr>
        <w:t>平头塔式起重机，本方案负责实施的为</w:t>
      </w:r>
      <w:r>
        <w:rPr>
          <w:rFonts w:hint="eastAsia" w:hAnsi="宋体" w:cs="Times New Roman"/>
          <w:szCs w:val="24"/>
          <w:lang w:val="en-US" w:eastAsia="zh-CN"/>
        </w:rPr>
        <w:t>XGT6015-8S1</w:t>
      </w:r>
      <w:r>
        <w:rPr>
          <w:rFonts w:hint="eastAsia" w:hAnsi="宋体" w:cs="Times New Roman"/>
          <w:szCs w:val="24"/>
        </w:rPr>
        <w:t>塔式起重机的</w:t>
      </w:r>
      <w:r>
        <w:rPr>
          <w:rFonts w:hint="eastAsia" w:hAnsi="宋体" w:cs="Times New Roman"/>
          <w:szCs w:val="24"/>
          <w:lang w:val="en-US" w:eastAsia="zh-CN"/>
        </w:rPr>
        <w:t>安拆</w:t>
      </w:r>
      <w:r>
        <w:rPr>
          <w:rFonts w:hint="eastAsia" w:hAnsi="宋体" w:cs="Times New Roman"/>
          <w:szCs w:val="24"/>
        </w:rPr>
        <w:t>方案。现场将图中的靠近塔机基础周边作业平面整平，便于汽车吊站位平衡。地下无管线，周围无建筑障碍，吊车臂可以在作业平面内任意旋转。</w:t>
      </w:r>
      <w:r>
        <w:rPr>
          <w:rFonts w:hint="eastAsia" w:ascii="宋体" w:hAnsi="宋体" w:eastAsia="宋体" w:cs="宋体"/>
          <w:color w:val="auto"/>
          <w:lang w:eastAsia="zh-CN"/>
        </w:rPr>
        <w:t>为认真、全面、系统地做好起重机的安装作业，确保过程质量和安全，合理安排施工工期，四川科斗文智能装备有限公司受项目部委托特编制本塔式起重机安拆专项施工方案。</w:t>
      </w:r>
    </w:p>
    <w:p w14:paraId="7A0BE96E">
      <w:pPr>
        <w:pStyle w:val="5"/>
        <w:pageBreakBefore w:val="0"/>
        <w:numPr>
          <w:ilvl w:val="1"/>
          <w:numId w:val="6"/>
        </w:numPr>
        <w:kinsoku/>
        <w:wordWrap/>
        <w:overflowPunct/>
        <w:topLinePunct w:val="0"/>
        <w:bidi w:val="0"/>
        <w:spacing w:line="360" w:lineRule="auto"/>
        <w:ind w:left="567" w:leftChars="0" w:hanging="567" w:firstLineChars="0"/>
      </w:pPr>
      <w:bookmarkStart w:id="15" w:name="_Toc4382"/>
      <w:r>
        <w:rPr>
          <w:rFonts w:hint="eastAsia"/>
        </w:rPr>
        <w:t>待</w:t>
      </w:r>
      <w:r>
        <w:rPr>
          <w:rFonts w:hint="eastAsia"/>
          <w:lang w:eastAsia="zh-CN"/>
        </w:rPr>
        <w:t>安拆</w:t>
      </w:r>
      <w:r>
        <w:rPr>
          <w:rFonts w:hint="eastAsia"/>
        </w:rPr>
        <w:t>塔机参数</w:t>
      </w:r>
      <w:bookmarkEnd w:id="15"/>
    </w:p>
    <w:p w14:paraId="5F51F422">
      <w:pPr>
        <w:keepNext w:val="0"/>
        <w:keepLines w:val="0"/>
        <w:pageBreakBefore w:val="0"/>
        <w:kinsoku/>
        <w:wordWrap/>
        <w:overflowPunct/>
        <w:topLinePunct w:val="0"/>
        <w:autoSpaceDE/>
        <w:autoSpaceDN/>
        <w:bidi w:val="0"/>
        <w:snapToGrid/>
        <w:spacing w:line="360" w:lineRule="auto"/>
        <w:ind w:firstLine="480" w:firstLineChars="200"/>
        <w:rPr>
          <w:rFonts w:ascii="宋体" w:hAnsi="宋体" w:eastAsia="宋体"/>
          <w:szCs w:val="24"/>
        </w:rPr>
      </w:pPr>
      <w:r>
        <w:rPr>
          <w:rFonts w:hint="eastAsia" w:ascii="宋体" w:hAnsi="宋体" w:eastAsia="宋体"/>
          <w:szCs w:val="24"/>
          <w:lang w:val="en-US" w:eastAsia="zh-CN"/>
        </w:rPr>
        <w:t>XGT6015-8S1</w:t>
      </w:r>
      <w:r>
        <w:rPr>
          <w:rFonts w:hint="eastAsia" w:ascii="宋体" w:hAnsi="宋体" w:eastAsia="宋体"/>
          <w:szCs w:val="24"/>
        </w:rPr>
        <w:t>支腿固定式最大独立起升高度为</w:t>
      </w:r>
      <w:r>
        <w:rPr>
          <w:rFonts w:hint="eastAsia" w:ascii="宋体" w:hAnsi="宋体" w:eastAsia="宋体"/>
          <w:szCs w:val="24"/>
          <w:lang w:val="en-US" w:eastAsia="zh-CN"/>
        </w:rPr>
        <w:t>40</w:t>
      </w:r>
      <w:r>
        <w:rPr>
          <w:rFonts w:hint="eastAsia" w:ascii="宋体" w:hAnsi="宋体" w:eastAsia="宋体"/>
          <w:szCs w:val="24"/>
        </w:rPr>
        <w:t>.0m，目前</w:t>
      </w:r>
      <w:r>
        <w:rPr>
          <w:rFonts w:hint="eastAsia" w:ascii="宋体" w:hAnsi="宋体" w:eastAsia="宋体"/>
          <w:szCs w:val="24"/>
          <w:lang w:val="en-US" w:eastAsia="zh-CN"/>
        </w:rPr>
        <w:t>最高</w:t>
      </w:r>
      <w:r>
        <w:rPr>
          <w:rFonts w:hint="eastAsia" w:ascii="宋体" w:hAnsi="宋体" w:eastAsia="宋体"/>
          <w:szCs w:val="24"/>
        </w:rPr>
        <w:t>安装高度</w:t>
      </w:r>
      <w:r>
        <w:rPr>
          <w:rFonts w:hint="eastAsia" w:ascii="宋体" w:hAnsi="宋体" w:eastAsia="宋体"/>
          <w:szCs w:val="24"/>
          <w:lang w:val="en-US" w:eastAsia="zh-CN"/>
        </w:rPr>
        <w:t>48.4</w:t>
      </w:r>
      <w:r>
        <w:rPr>
          <w:rFonts w:hint="eastAsia" w:ascii="宋体" w:hAnsi="宋体" w:eastAsia="宋体"/>
          <w:szCs w:val="24"/>
        </w:rPr>
        <w:t>m，</w:t>
      </w:r>
      <w:r>
        <w:rPr>
          <w:rFonts w:hint="eastAsia" w:ascii="宋体" w:hAnsi="宋体" w:eastAsia="宋体"/>
          <w:szCs w:val="24"/>
          <w:lang w:val="en-US" w:eastAsia="zh-CN"/>
        </w:rPr>
        <w:t>附着高度21.5m,</w:t>
      </w:r>
      <w:r>
        <w:rPr>
          <w:rFonts w:hint="eastAsia" w:ascii="宋体" w:hAnsi="宋体" w:eastAsia="宋体"/>
          <w:szCs w:val="24"/>
        </w:rPr>
        <w:t>起重臂臂长现目前为</w:t>
      </w:r>
      <w:r>
        <w:rPr>
          <w:rFonts w:hint="eastAsia" w:ascii="宋体" w:hAnsi="宋体" w:eastAsia="宋体"/>
          <w:szCs w:val="24"/>
          <w:lang w:val="en-US" w:eastAsia="zh-CN"/>
        </w:rPr>
        <w:t>60</w:t>
      </w:r>
      <w:r>
        <w:rPr>
          <w:rFonts w:hint="eastAsia" w:ascii="宋体" w:hAnsi="宋体" w:eastAsia="宋体"/>
          <w:szCs w:val="24"/>
        </w:rPr>
        <w:t>m，最大起重量为</w:t>
      </w:r>
      <w:r>
        <w:rPr>
          <w:rFonts w:hint="eastAsia" w:ascii="宋体" w:hAnsi="宋体" w:eastAsia="宋体"/>
          <w:szCs w:val="24"/>
          <w:lang w:val="en-US" w:eastAsia="zh-CN"/>
        </w:rPr>
        <w:t>8</w:t>
      </w:r>
      <w:r>
        <w:rPr>
          <w:rFonts w:hint="eastAsia" w:ascii="宋体" w:hAnsi="宋体" w:eastAsia="宋体"/>
          <w:szCs w:val="24"/>
        </w:rPr>
        <w:t>吨，配置单小车，可采用 2、4 倍率使用。塔身标准节为杆式结构，塔身下部与基础相连，塔身上部通过</w:t>
      </w:r>
      <w:r>
        <w:rPr>
          <w:rFonts w:hint="eastAsia" w:ascii="宋体" w:hAnsi="宋体" w:eastAsia="宋体"/>
          <w:szCs w:val="24"/>
          <w:lang w:val="en-US" w:eastAsia="zh-CN"/>
        </w:rPr>
        <w:t>基础节</w:t>
      </w:r>
      <w:r>
        <w:rPr>
          <w:rFonts w:hint="eastAsia" w:ascii="宋体" w:hAnsi="宋体" w:eastAsia="宋体"/>
          <w:szCs w:val="24"/>
        </w:rPr>
        <w:t>、下支座及回转支承与上支座相连。司机室置于上支座右前方，前方是起重臂，后方是平衡臂，起升机构设在平衡臂上层的后部，变幅机构设在起重臂臂节 2 上，回转机构置于上支座两侧。载重小车由变幅机构牵引，以起重臂下弦杆为轨道做变幅运动，起重臂直接与上支座和平衡臂连接。</w:t>
      </w:r>
      <w:r>
        <w:rPr>
          <w:rFonts w:hint="eastAsia" w:ascii="宋体" w:hAnsi="宋体" w:eastAsia="宋体"/>
          <w:szCs w:val="24"/>
          <w:lang w:val="en-US" w:eastAsia="zh-CN"/>
        </w:rPr>
        <w:t>标准节</w:t>
      </w:r>
      <w:r>
        <w:rPr>
          <w:rFonts w:hint="eastAsia" w:ascii="宋体" w:hAnsi="宋体" w:eastAsia="宋体"/>
          <w:szCs w:val="24"/>
        </w:rPr>
        <w:t>下端是爬升架，围在塔身四周，塔机需要通过顶升机构顶起塔机</w:t>
      </w:r>
      <w:r>
        <w:rPr>
          <w:rFonts w:hint="eastAsia" w:ascii="宋体" w:hAnsi="宋体" w:eastAsia="宋体"/>
          <w:szCs w:val="24"/>
          <w:lang w:val="en-US" w:eastAsia="zh-CN"/>
        </w:rPr>
        <w:t>标准节</w:t>
      </w:r>
      <w:r>
        <w:rPr>
          <w:rFonts w:hint="eastAsia" w:ascii="宋体" w:hAnsi="宋体" w:eastAsia="宋体"/>
          <w:szCs w:val="24"/>
        </w:rPr>
        <w:t>及以上部分，通过引进标准节，升高塔机的高度。</w:t>
      </w:r>
    </w:p>
    <w:p w14:paraId="308713BC">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rPr>
      </w:pPr>
      <w:bookmarkStart w:id="16" w:name="_Toc10993"/>
      <w:r>
        <w:rPr>
          <w:rFonts w:hint="eastAsia" w:ascii="Times New Roman" w:hAnsi="Times New Roman"/>
          <w:lang w:val="en-US" w:eastAsia="zh-CN"/>
        </w:rPr>
        <w:t>塔机的技术参数</w:t>
      </w:r>
      <w:bookmarkEnd w:id="16"/>
    </w:p>
    <w:p w14:paraId="1E77ECF6">
      <w:pPr>
        <w:keepNext w:val="0"/>
        <w:keepLines w:val="0"/>
        <w:pageBreakBefore w:val="0"/>
        <w:kinsoku/>
        <w:wordWrap/>
        <w:overflowPunct/>
        <w:topLinePunct w:val="0"/>
        <w:autoSpaceDE/>
        <w:autoSpaceDN/>
        <w:bidi w:val="0"/>
        <w:snapToGrid/>
        <w:spacing w:line="360" w:lineRule="auto"/>
        <w:jc w:val="center"/>
      </w:pPr>
      <w:r>
        <w:drawing>
          <wp:inline distT="0" distB="0" distL="114300" distR="114300">
            <wp:extent cx="5270500" cy="5713730"/>
            <wp:effectExtent l="0" t="0" r="6350" b="1270"/>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12"/>
                    <a:stretch>
                      <a:fillRect/>
                    </a:stretch>
                  </pic:blipFill>
                  <pic:spPr>
                    <a:xfrm>
                      <a:off x="0" y="0"/>
                      <a:ext cx="5270500" cy="5713730"/>
                    </a:xfrm>
                    <a:prstGeom prst="rect">
                      <a:avLst/>
                    </a:prstGeom>
                    <a:noFill/>
                    <a:ln>
                      <a:noFill/>
                    </a:ln>
                  </pic:spPr>
                </pic:pic>
              </a:graphicData>
            </a:graphic>
          </wp:inline>
        </w:drawing>
      </w:r>
      <w:r>
        <w:drawing>
          <wp:inline distT="0" distB="0" distL="114300" distR="114300">
            <wp:extent cx="5157470" cy="1395730"/>
            <wp:effectExtent l="0" t="0" r="0" b="0"/>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pic:cNvPicPr>
                      <a:picLocks noChangeAspect="1"/>
                    </pic:cNvPicPr>
                  </pic:nvPicPr>
                  <pic:blipFill>
                    <a:blip r:embed="rId13"/>
                    <a:srcRect r="2156" b="2441"/>
                    <a:stretch>
                      <a:fillRect/>
                    </a:stretch>
                  </pic:blipFill>
                  <pic:spPr>
                    <a:xfrm>
                      <a:off x="0" y="0"/>
                      <a:ext cx="5157470" cy="1395730"/>
                    </a:xfrm>
                    <a:prstGeom prst="rect">
                      <a:avLst/>
                    </a:prstGeom>
                    <a:noFill/>
                    <a:ln>
                      <a:noFill/>
                    </a:ln>
                  </pic:spPr>
                </pic:pic>
              </a:graphicData>
            </a:graphic>
          </wp:inline>
        </w:drawing>
      </w:r>
    </w:p>
    <w:p w14:paraId="6CB727E8">
      <w:pPr>
        <w:pStyle w:val="17"/>
      </w:pPr>
      <w:r>
        <w:drawing>
          <wp:inline distT="0" distB="0" distL="114300" distR="114300">
            <wp:extent cx="5276215" cy="2798445"/>
            <wp:effectExtent l="0" t="0" r="635" b="190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4"/>
                    <a:srcRect t="2288" r="1060"/>
                    <a:stretch>
                      <a:fillRect/>
                    </a:stretch>
                  </pic:blipFill>
                  <pic:spPr>
                    <a:xfrm>
                      <a:off x="0" y="0"/>
                      <a:ext cx="5276215" cy="2798445"/>
                    </a:xfrm>
                    <a:prstGeom prst="rect">
                      <a:avLst/>
                    </a:prstGeom>
                    <a:noFill/>
                    <a:ln>
                      <a:noFill/>
                    </a:ln>
                  </pic:spPr>
                </pic:pic>
              </a:graphicData>
            </a:graphic>
          </wp:inline>
        </w:drawing>
      </w:r>
    </w:p>
    <w:p w14:paraId="681A6629">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17" w:name="_Toc460833577"/>
      <w:bookmarkStart w:id="18" w:name="_Toc5655"/>
      <w:r>
        <w:rPr>
          <w:rFonts w:cs="Times New Roman"/>
        </w:rPr>
        <w:t>塔吊位置的平面图和立面图</w:t>
      </w:r>
      <w:bookmarkEnd w:id="17"/>
      <w:bookmarkEnd w:id="18"/>
    </w:p>
    <w:p w14:paraId="7C9120D2">
      <w:pPr>
        <w:keepNext w:val="0"/>
        <w:keepLines w:val="0"/>
        <w:pageBreakBefore w:val="0"/>
        <w:numPr>
          <w:ilvl w:val="1"/>
          <w:numId w:val="6"/>
        </w:numPr>
        <w:kinsoku/>
        <w:wordWrap/>
        <w:overflowPunct/>
        <w:topLinePunct w:val="0"/>
        <w:autoSpaceDE/>
        <w:autoSpaceDN/>
        <w:bidi w:val="0"/>
        <w:snapToGrid/>
        <w:spacing w:line="360" w:lineRule="auto"/>
        <w:ind w:left="567" w:leftChars="0" w:hanging="567" w:firstLineChars="0"/>
        <w:rPr>
          <w:rFonts w:hint="eastAsia" w:ascii="宋体" w:hAnsi="宋体" w:eastAsia="宋体"/>
          <w:szCs w:val="24"/>
          <w:lang w:val="en-US" w:eastAsia="zh-CN"/>
        </w:rPr>
      </w:pPr>
      <w:bookmarkStart w:id="19" w:name="_Toc460833578"/>
      <w:bookmarkStart w:id="20" w:name="_Toc18938"/>
      <w:r>
        <w:rPr>
          <w:rStyle w:val="43"/>
          <w:rFonts w:hint="eastAsia"/>
          <w:lang w:val="en-US" w:eastAsia="zh-CN"/>
        </w:rPr>
        <w:t>平面图</w:t>
      </w:r>
      <w:bookmarkEnd w:id="19"/>
      <w:bookmarkEnd w:id="20"/>
    </w:p>
    <w:p w14:paraId="038F7820">
      <w:pPr>
        <w:keepNext w:val="0"/>
        <w:keepLines w:val="0"/>
        <w:pageBreakBefore w:val="0"/>
        <w:numPr>
          <w:ilvl w:val="1"/>
          <w:numId w:val="6"/>
        </w:numPr>
        <w:kinsoku/>
        <w:wordWrap/>
        <w:overflowPunct/>
        <w:topLinePunct w:val="0"/>
        <w:autoSpaceDE/>
        <w:autoSpaceDN/>
        <w:bidi w:val="0"/>
        <w:snapToGrid/>
        <w:spacing w:line="360" w:lineRule="auto"/>
        <w:ind w:left="567" w:leftChars="0" w:hanging="567" w:firstLineChars="0"/>
        <w:rPr>
          <w:rFonts w:hint="eastAsia" w:ascii="宋体" w:hAnsi="宋体" w:eastAsia="宋体"/>
          <w:szCs w:val="24"/>
          <w:lang w:val="en-US" w:eastAsia="zh-CN"/>
        </w:rPr>
      </w:pPr>
      <w:bookmarkStart w:id="21" w:name="_Toc460833579"/>
      <w:r>
        <w:drawing>
          <wp:anchor distT="0" distB="0" distL="114300" distR="114300" simplePos="0" relativeHeight="251659264" behindDoc="0" locked="0" layoutInCell="1" allowOverlap="1">
            <wp:simplePos x="0" y="0"/>
            <wp:positionH relativeFrom="column">
              <wp:posOffset>-219075</wp:posOffset>
            </wp:positionH>
            <wp:positionV relativeFrom="paragraph">
              <wp:posOffset>82550</wp:posOffset>
            </wp:positionV>
            <wp:extent cx="5934075" cy="1843405"/>
            <wp:effectExtent l="0" t="0" r="9525" b="4445"/>
            <wp:wrapTopAndBottom/>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15"/>
                    <a:stretch>
                      <a:fillRect/>
                    </a:stretch>
                  </pic:blipFill>
                  <pic:spPr>
                    <a:xfrm>
                      <a:off x="0" y="0"/>
                      <a:ext cx="5934075" cy="1843405"/>
                    </a:xfrm>
                    <a:prstGeom prst="rect">
                      <a:avLst/>
                    </a:prstGeom>
                    <a:noFill/>
                    <a:ln>
                      <a:noFill/>
                    </a:ln>
                  </pic:spPr>
                </pic:pic>
              </a:graphicData>
            </a:graphic>
          </wp:anchor>
        </w:drawing>
      </w:r>
      <w:bookmarkStart w:id="22" w:name="_Toc12479"/>
      <w:r>
        <w:rPr>
          <w:rStyle w:val="43"/>
          <w:rFonts w:hint="eastAsia"/>
          <w:lang w:val="en-US" w:eastAsia="zh-CN"/>
        </w:rPr>
        <w:t>立面图</w:t>
      </w:r>
      <w:bookmarkEnd w:id="21"/>
      <w:bookmarkEnd w:id="22"/>
    </w:p>
    <w:p w14:paraId="65CC65D0">
      <w:pPr>
        <w:pStyle w:val="32"/>
        <w:rPr>
          <w:rFonts w:hint="eastAsia"/>
          <w:lang w:val="en-US" w:eastAsia="zh-CN"/>
        </w:rPr>
      </w:pPr>
      <w:r>
        <w:drawing>
          <wp:anchor distT="0" distB="0" distL="114300" distR="114300" simplePos="0" relativeHeight="251660288" behindDoc="0" locked="0" layoutInCell="1" allowOverlap="1">
            <wp:simplePos x="0" y="0"/>
            <wp:positionH relativeFrom="column">
              <wp:posOffset>-28575</wp:posOffset>
            </wp:positionH>
            <wp:positionV relativeFrom="paragraph">
              <wp:posOffset>1270</wp:posOffset>
            </wp:positionV>
            <wp:extent cx="5460365" cy="1352550"/>
            <wp:effectExtent l="0" t="0" r="6985"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460365" cy="1352550"/>
                    </a:xfrm>
                    <a:prstGeom prst="rect">
                      <a:avLst/>
                    </a:prstGeom>
                    <a:noFill/>
                    <a:ln>
                      <a:noFill/>
                    </a:ln>
                  </pic:spPr>
                </pic:pic>
              </a:graphicData>
            </a:graphic>
          </wp:anchor>
        </w:drawing>
      </w:r>
    </w:p>
    <w:p w14:paraId="550988DD">
      <w:pPr>
        <w:keepNext w:val="0"/>
        <w:keepLines w:val="0"/>
        <w:pageBreakBefore w:val="0"/>
        <w:kinsoku/>
        <w:wordWrap/>
        <w:overflowPunct/>
        <w:topLinePunct w:val="0"/>
        <w:autoSpaceDE/>
        <w:autoSpaceDN/>
        <w:bidi w:val="0"/>
        <w:snapToGrid/>
        <w:spacing w:line="360" w:lineRule="auto"/>
        <w:jc w:val="center"/>
        <w:rPr>
          <w:rFonts w:hint="eastAsia" w:cs="Times New Roman" w:eastAsiaTheme="minorEastAsia"/>
          <w:szCs w:val="28"/>
          <w:lang w:eastAsia="zh-CN"/>
        </w:rPr>
      </w:pPr>
    </w:p>
    <w:p w14:paraId="2749D4E8">
      <w:pPr>
        <w:keepNext w:val="0"/>
        <w:keepLines w:val="0"/>
        <w:pageBreakBefore w:val="0"/>
        <w:kinsoku/>
        <w:wordWrap/>
        <w:overflowPunct/>
        <w:topLinePunct w:val="0"/>
        <w:autoSpaceDE/>
        <w:autoSpaceDN/>
        <w:bidi w:val="0"/>
        <w:snapToGrid/>
        <w:spacing w:line="360" w:lineRule="auto"/>
        <w:rPr>
          <w:rFonts w:cs="Times New Roman"/>
        </w:rPr>
      </w:pPr>
      <w:r>
        <w:rPr>
          <w:rFonts w:hint="eastAsia" w:cs="Times New Roman"/>
        </w:rPr>
        <w:br w:type="page"/>
      </w:r>
    </w:p>
    <w:p w14:paraId="591D6DCF">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23" w:name="_Toc3540"/>
      <w:r>
        <w:rPr>
          <w:rFonts w:hint="eastAsia" w:cs="Times New Roman"/>
        </w:rPr>
        <w:t>部件的重量和吊点位置</w:t>
      </w:r>
      <w:bookmarkEnd w:id="23"/>
    </w:p>
    <w:p w14:paraId="3E384416">
      <w:r>
        <w:drawing>
          <wp:inline distT="0" distB="0" distL="114300" distR="114300">
            <wp:extent cx="5272405" cy="2731135"/>
            <wp:effectExtent l="0" t="0" r="4445" b="1206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7"/>
                    <a:stretch>
                      <a:fillRect/>
                    </a:stretch>
                  </pic:blipFill>
                  <pic:spPr>
                    <a:xfrm>
                      <a:off x="0" y="0"/>
                      <a:ext cx="5272405" cy="2731135"/>
                    </a:xfrm>
                    <a:prstGeom prst="rect">
                      <a:avLst/>
                    </a:prstGeom>
                    <a:noFill/>
                    <a:ln>
                      <a:noFill/>
                    </a:ln>
                  </pic:spPr>
                </pic:pic>
              </a:graphicData>
            </a:graphic>
          </wp:inline>
        </w:drawing>
      </w:r>
    </w:p>
    <w:p w14:paraId="498600CE">
      <w:pPr>
        <w:rPr>
          <w:rFonts w:cs="Times New Roman"/>
        </w:rPr>
      </w:pPr>
      <w:r>
        <w:rPr>
          <w:rFonts w:hint="eastAsia" w:cs="Times New Roman"/>
          <w:lang w:val="en-US" w:eastAsia="zh-CN"/>
        </w:rPr>
        <w:br w:type="page"/>
      </w:r>
    </w:p>
    <w:p w14:paraId="2FBE02FD">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24" w:name="_Toc14423"/>
      <w:r>
        <w:rPr>
          <w:rFonts w:hint="eastAsia" w:cs="Times New Roman"/>
          <w:lang w:val="en-US" w:eastAsia="zh-CN"/>
        </w:rPr>
        <w:t>安拆</w:t>
      </w:r>
      <w:r>
        <w:rPr>
          <w:rFonts w:hint="eastAsia" w:cs="Times New Roman"/>
        </w:rPr>
        <w:t>辅助设备的型号、性能和布置位置</w:t>
      </w:r>
      <w:bookmarkEnd w:id="24"/>
    </w:p>
    <w:p w14:paraId="7A22CE6E">
      <w:pPr>
        <w:pStyle w:val="5"/>
        <w:pageBreakBefore w:val="0"/>
        <w:numPr>
          <w:ilvl w:val="1"/>
          <w:numId w:val="6"/>
        </w:numPr>
        <w:kinsoku/>
        <w:wordWrap/>
        <w:overflowPunct/>
        <w:topLinePunct w:val="0"/>
        <w:bidi w:val="0"/>
        <w:spacing w:line="360" w:lineRule="auto"/>
        <w:ind w:left="567" w:leftChars="0" w:hanging="567" w:firstLineChars="0"/>
        <w:rPr>
          <w:rFonts w:cs="Times New Roman"/>
        </w:rPr>
      </w:pPr>
      <w:bookmarkStart w:id="25" w:name="_Toc20921"/>
      <w:r>
        <w:rPr>
          <w:rFonts w:hint="default"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lang w:val="en-US" w:eastAsia="zh-CN"/>
        </w:rPr>
        <w:t>TC3</w:t>
      </w:r>
      <w:r>
        <w:rPr>
          <w:rFonts w:hint="default" w:ascii="Times New Roman" w:hAnsi="Times New Roman" w:cs="Times New Roman"/>
          <w:color w:val="auto"/>
          <w:sz w:val="24"/>
          <w:szCs w:val="24"/>
          <w:lang w:val="en-US" w:eastAsia="zh-CN"/>
        </w:rPr>
        <w:t>50</w:t>
      </w:r>
      <w:r>
        <w:rPr>
          <w:rFonts w:hint="eastAsia" w:ascii="Times New Roman" w:hAnsi="Times New Roman" w:cs="Times New Roman"/>
          <w:color w:val="auto"/>
          <w:sz w:val="24"/>
          <w:szCs w:val="24"/>
          <w:lang w:val="en-US" w:eastAsia="zh-CN"/>
        </w:rPr>
        <w:t>C5-1</w:t>
      </w:r>
      <w:r>
        <w:rPr>
          <w:rFonts w:hint="eastAsia" w:cs="Times New Roman"/>
        </w:rPr>
        <w:t>汽车吊性能参数</w:t>
      </w:r>
      <w:bookmarkEnd w:id="25"/>
    </w:p>
    <w:p w14:paraId="73A483A3">
      <w:pPr>
        <w:pStyle w:val="6"/>
        <w:pageBreakBefore w:val="0"/>
        <w:numPr>
          <w:ilvl w:val="2"/>
          <w:numId w:val="6"/>
        </w:numPr>
        <w:kinsoku/>
        <w:wordWrap/>
        <w:overflowPunct/>
        <w:topLinePunct w:val="0"/>
        <w:bidi w:val="0"/>
        <w:spacing w:line="360" w:lineRule="auto"/>
        <w:ind w:left="709" w:leftChars="0" w:hanging="709" w:firstLineChars="0"/>
        <w:rPr>
          <w:rFonts w:hint="default" w:ascii="Times New Roman" w:hAnsi="Times New Roman" w:eastAsia="宋体"/>
          <w:b/>
          <w:bCs/>
          <w:lang w:val="en-US" w:eastAsia="zh-CN"/>
        </w:rPr>
      </w:pPr>
      <w:r>
        <w:rPr>
          <w:rFonts w:hint="eastAsia" w:ascii="Times New Roman" w:hAnsi="Times New Roman" w:eastAsia="宋体"/>
          <w:b/>
          <w:bCs/>
          <w:lang w:val="en-US" w:eastAsia="zh-CN"/>
        </w:rPr>
        <w:t>主要性能参数</w:t>
      </w:r>
    </w:p>
    <w:p w14:paraId="783AD59A">
      <w:pPr>
        <w:keepNext w:val="0"/>
        <w:keepLines w:val="0"/>
        <w:pageBreakBefore w:val="0"/>
        <w:kinsoku/>
        <w:wordWrap/>
        <w:overflowPunct/>
        <w:topLinePunct w:val="0"/>
        <w:autoSpaceDE/>
        <w:autoSpaceDN/>
        <w:bidi w:val="0"/>
        <w:snapToGrid/>
        <w:spacing w:line="360" w:lineRule="auto"/>
        <w:ind w:leftChars="-295" w:hanging="708" w:hangingChars="295"/>
        <w:jc w:val="center"/>
      </w:pPr>
      <w:r>
        <w:rPr>
          <w:rFonts w:hint="eastAsia"/>
          <w:highlight w:val="none"/>
          <w:lang w:val="en-US" w:eastAsia="zh-CN"/>
        </w:rPr>
        <w:t xml:space="preserve">    </w:t>
      </w:r>
      <w:r>
        <w:drawing>
          <wp:inline distT="0" distB="0" distL="114300" distR="114300">
            <wp:extent cx="5272405" cy="4456430"/>
            <wp:effectExtent l="0" t="0" r="444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272405" cy="4456430"/>
                    </a:xfrm>
                    <a:prstGeom prst="rect">
                      <a:avLst/>
                    </a:prstGeom>
                    <a:noFill/>
                    <a:ln>
                      <a:noFill/>
                    </a:ln>
                  </pic:spPr>
                </pic:pic>
              </a:graphicData>
            </a:graphic>
          </wp:inline>
        </w:drawing>
      </w:r>
    </w:p>
    <w:p w14:paraId="3999DCE9">
      <w:pPr>
        <w:pStyle w:val="6"/>
        <w:pageBreakBefore w:val="0"/>
        <w:numPr>
          <w:ilvl w:val="2"/>
          <w:numId w:val="6"/>
        </w:numPr>
        <w:kinsoku/>
        <w:wordWrap/>
        <w:overflowPunct/>
        <w:topLinePunct w:val="0"/>
        <w:bidi w:val="0"/>
        <w:spacing w:line="360" w:lineRule="auto"/>
        <w:ind w:left="709" w:leftChars="0" w:hanging="709" w:firstLineChars="0"/>
        <w:rPr>
          <w:rFonts w:eastAsia="宋体"/>
          <w:b/>
          <w:bCs/>
        </w:rPr>
      </w:pPr>
      <w:r>
        <w:rPr>
          <w:rFonts w:hint="eastAsia" w:eastAsia="宋体"/>
          <w:b/>
          <w:bCs/>
        </w:rPr>
        <w:t>起重性能表</w:t>
      </w:r>
    </w:p>
    <w:p w14:paraId="591E078A">
      <w:pPr>
        <w:keepNext w:val="0"/>
        <w:keepLines w:val="0"/>
        <w:pageBreakBefore w:val="0"/>
        <w:kinsoku/>
        <w:wordWrap/>
        <w:overflowPunct/>
        <w:topLinePunct w:val="0"/>
        <w:autoSpaceDE/>
        <w:autoSpaceDN/>
        <w:bidi w:val="0"/>
        <w:snapToGrid/>
        <w:spacing w:line="360" w:lineRule="auto"/>
        <w:ind w:left="-2" w:leftChars="-1" w:firstLine="2"/>
        <w:rPr>
          <w:highlight w:val="none"/>
        </w:rPr>
      </w:pPr>
      <w:r>
        <w:drawing>
          <wp:inline distT="0" distB="0" distL="114300" distR="114300">
            <wp:extent cx="6015355" cy="4305300"/>
            <wp:effectExtent l="0" t="0" r="4445" b="0"/>
            <wp:docPr id="1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7"/>
                    <pic:cNvPicPr>
                      <a:picLocks noChangeAspect="1"/>
                    </pic:cNvPicPr>
                  </pic:nvPicPr>
                  <pic:blipFill>
                    <a:blip r:embed="rId19"/>
                    <a:stretch>
                      <a:fillRect/>
                    </a:stretch>
                  </pic:blipFill>
                  <pic:spPr>
                    <a:xfrm>
                      <a:off x="0" y="0"/>
                      <a:ext cx="6015355" cy="4305300"/>
                    </a:xfrm>
                    <a:prstGeom prst="rect">
                      <a:avLst/>
                    </a:prstGeom>
                    <a:noFill/>
                    <a:ln>
                      <a:noFill/>
                    </a:ln>
                  </pic:spPr>
                </pic:pic>
              </a:graphicData>
            </a:graphic>
          </wp:inline>
        </w:drawing>
      </w:r>
    </w:p>
    <w:p w14:paraId="107B5D7E">
      <w:pPr>
        <w:keepNext w:val="0"/>
        <w:keepLines w:val="0"/>
        <w:pageBreakBefore w:val="0"/>
        <w:kinsoku/>
        <w:wordWrap/>
        <w:overflowPunct/>
        <w:topLinePunct w:val="0"/>
        <w:autoSpaceDE/>
        <w:autoSpaceDN/>
        <w:bidi w:val="0"/>
        <w:snapToGrid/>
        <w:spacing w:line="360" w:lineRule="auto"/>
        <w:ind w:left="-2" w:leftChars="-1" w:firstLine="2"/>
        <w:rPr>
          <w:highlight w:val="none"/>
        </w:rPr>
      </w:pPr>
    </w:p>
    <w:p w14:paraId="12B4458C">
      <w:pPr>
        <w:keepNext w:val="0"/>
        <w:keepLines w:val="0"/>
        <w:pageBreakBefore w:val="0"/>
        <w:kinsoku/>
        <w:wordWrap/>
        <w:overflowPunct/>
        <w:topLinePunct w:val="0"/>
        <w:autoSpaceDE/>
        <w:autoSpaceDN/>
        <w:bidi w:val="0"/>
        <w:snapToGrid/>
        <w:spacing w:line="360" w:lineRule="auto"/>
        <w:ind w:left="-2" w:leftChars="-1" w:firstLine="2"/>
        <w:rPr>
          <w:highlight w:val="none"/>
        </w:rPr>
      </w:pPr>
    </w:p>
    <w:p w14:paraId="272B4308">
      <w:pPr>
        <w:keepNext w:val="0"/>
        <w:keepLines w:val="0"/>
        <w:pageBreakBefore w:val="0"/>
        <w:kinsoku/>
        <w:wordWrap/>
        <w:overflowPunct/>
        <w:topLinePunct w:val="0"/>
        <w:autoSpaceDE/>
        <w:autoSpaceDN/>
        <w:bidi w:val="0"/>
        <w:snapToGrid/>
        <w:spacing w:line="360" w:lineRule="auto"/>
        <w:ind w:left="-2" w:leftChars="-1" w:firstLine="2"/>
        <w:rPr>
          <w:highlight w:val="none"/>
        </w:rPr>
      </w:pPr>
    </w:p>
    <w:p w14:paraId="7D7B31B2">
      <w:pPr>
        <w:keepNext w:val="0"/>
        <w:keepLines w:val="0"/>
        <w:pageBreakBefore w:val="0"/>
        <w:kinsoku/>
        <w:wordWrap/>
        <w:overflowPunct/>
        <w:topLinePunct w:val="0"/>
        <w:autoSpaceDE/>
        <w:autoSpaceDN/>
        <w:bidi w:val="0"/>
        <w:snapToGrid/>
        <w:spacing w:line="360" w:lineRule="auto"/>
        <w:ind w:left="-2" w:leftChars="-1" w:firstLine="2"/>
        <w:rPr>
          <w:highlight w:val="none"/>
        </w:rPr>
      </w:pPr>
    </w:p>
    <w:p w14:paraId="340ECC9F">
      <w:pPr>
        <w:keepNext w:val="0"/>
        <w:keepLines w:val="0"/>
        <w:pageBreakBefore w:val="0"/>
        <w:kinsoku/>
        <w:wordWrap/>
        <w:overflowPunct/>
        <w:topLinePunct w:val="0"/>
        <w:autoSpaceDE/>
        <w:autoSpaceDN/>
        <w:bidi w:val="0"/>
        <w:snapToGrid/>
        <w:spacing w:line="360" w:lineRule="auto"/>
        <w:ind w:left="-2" w:leftChars="-1" w:firstLine="2"/>
        <w:rPr>
          <w:highlight w:val="none"/>
        </w:rPr>
      </w:pPr>
    </w:p>
    <w:p w14:paraId="78223A3B">
      <w:pPr>
        <w:pStyle w:val="6"/>
        <w:pageBreakBefore w:val="0"/>
        <w:numPr>
          <w:ilvl w:val="2"/>
          <w:numId w:val="6"/>
        </w:numPr>
        <w:kinsoku/>
        <w:wordWrap/>
        <w:overflowPunct/>
        <w:topLinePunct w:val="0"/>
        <w:bidi w:val="0"/>
        <w:spacing w:line="360" w:lineRule="auto"/>
        <w:ind w:left="709" w:leftChars="0" w:hanging="709" w:firstLineChars="0"/>
        <w:rPr>
          <w:rFonts w:eastAsia="宋体"/>
          <w:b/>
          <w:bCs/>
        </w:rPr>
      </w:pPr>
      <w:r>
        <w:rPr>
          <w:rFonts w:hint="eastAsia" w:eastAsia="宋体"/>
          <w:b/>
          <w:bCs/>
          <w:lang w:val="en-US" w:eastAsia="zh-CN"/>
        </w:rPr>
        <w:t>高度曲线</w:t>
      </w:r>
      <w:r>
        <w:rPr>
          <w:rFonts w:hint="eastAsia" w:eastAsia="宋体"/>
          <w:b/>
          <w:bCs/>
        </w:rPr>
        <w:t>表</w:t>
      </w:r>
    </w:p>
    <w:p w14:paraId="22EC46CE">
      <w:pPr>
        <w:keepNext w:val="0"/>
        <w:keepLines w:val="0"/>
        <w:pageBreakBefore w:val="0"/>
        <w:kinsoku/>
        <w:wordWrap/>
        <w:overflowPunct/>
        <w:topLinePunct w:val="0"/>
        <w:autoSpaceDE/>
        <w:autoSpaceDN/>
        <w:bidi w:val="0"/>
        <w:snapToGrid/>
        <w:spacing w:line="360" w:lineRule="auto"/>
        <w:ind w:left="-2" w:leftChars="-1" w:firstLine="2"/>
      </w:pPr>
      <w:r>
        <w:drawing>
          <wp:inline distT="0" distB="0" distL="114300" distR="114300">
            <wp:extent cx="5269865" cy="6977380"/>
            <wp:effectExtent l="0" t="0" r="698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5269865" cy="6977380"/>
                    </a:xfrm>
                    <a:prstGeom prst="rect">
                      <a:avLst/>
                    </a:prstGeom>
                    <a:noFill/>
                    <a:ln>
                      <a:noFill/>
                    </a:ln>
                  </pic:spPr>
                </pic:pic>
              </a:graphicData>
            </a:graphic>
          </wp:inline>
        </w:drawing>
      </w:r>
    </w:p>
    <w:p w14:paraId="4902E413">
      <w:pPr>
        <w:pStyle w:val="5"/>
        <w:pageBreakBefore w:val="0"/>
        <w:numPr>
          <w:ilvl w:val="1"/>
          <w:numId w:val="6"/>
        </w:numPr>
        <w:kinsoku/>
        <w:wordWrap/>
        <w:overflowPunct/>
        <w:topLinePunct w:val="0"/>
        <w:bidi w:val="0"/>
        <w:spacing w:line="360" w:lineRule="auto"/>
        <w:ind w:left="567" w:leftChars="0" w:hanging="567" w:firstLineChars="0"/>
        <w:rPr>
          <w:rFonts w:hint="default"/>
          <w:lang w:val="en-US" w:eastAsia="zh-CN"/>
        </w:rPr>
      </w:pPr>
      <w:bookmarkStart w:id="26" w:name="_Toc24642"/>
      <w:r>
        <w:rPr>
          <w:rFonts w:hint="eastAsia" w:cs="Times New Roman"/>
        </w:rPr>
        <w:t>汽车吊进场行驶路线</w:t>
      </w:r>
      <w:bookmarkEnd w:id="26"/>
    </w:p>
    <w:p w14:paraId="4A8A5ED1">
      <w:pPr>
        <w:pStyle w:val="6"/>
        <w:pageBreakBefore w:val="0"/>
        <w:numPr>
          <w:ilvl w:val="2"/>
          <w:numId w:val="6"/>
        </w:numPr>
        <w:kinsoku/>
        <w:wordWrap/>
        <w:overflowPunct/>
        <w:topLinePunct w:val="0"/>
        <w:bidi w:val="0"/>
        <w:spacing w:line="360" w:lineRule="auto"/>
        <w:ind w:left="709" w:leftChars="0" w:hanging="709" w:firstLineChars="0"/>
        <w:rPr>
          <w:rFonts w:hint="eastAsia" w:ascii="Times New Roman" w:hAnsi="Times New Roman" w:eastAsia="宋体"/>
          <w:b/>
          <w:bCs/>
          <w:lang w:val="en-US" w:eastAsia="zh-CN"/>
        </w:rPr>
      </w:pPr>
      <w:r>
        <w:rPr>
          <w:rFonts w:hint="eastAsia" w:ascii="Times New Roman" w:hAnsi="Times New Roman" w:eastAsia="宋体"/>
          <w:b/>
          <w:bCs/>
          <w:lang w:val="en-US" w:eastAsia="zh-CN"/>
        </w:rPr>
        <w:t>汽车吊</w:t>
      </w:r>
      <w:r>
        <w:rPr>
          <w:rFonts w:hint="eastAsia" w:eastAsia="宋体"/>
          <w:b/>
          <w:bCs/>
          <w:lang w:val="en-US" w:eastAsia="zh-CN"/>
        </w:rPr>
        <w:t>进场行驶路线</w:t>
      </w:r>
    </w:p>
    <w:p w14:paraId="6B54A455">
      <w:pPr>
        <w:pStyle w:val="39"/>
        <w:ind w:left="0" w:leftChars="0" w:firstLine="480" w:firstLineChars="200"/>
        <w:jc w:val="both"/>
        <w:rPr>
          <w:rFonts w:hint="default" w:ascii="Times New Roman" w:hAnsi="Times New Roman" w:eastAsiaTheme="minorEastAsia" w:cstheme="minorBidi"/>
          <w:kern w:val="2"/>
          <w:sz w:val="24"/>
          <w:szCs w:val="22"/>
          <w:lang w:val="en-US" w:eastAsia="zh-CN" w:bidi="ar-SA"/>
        </w:rPr>
      </w:pPr>
      <w:r>
        <w:rPr>
          <w:rFonts w:hint="eastAsia" w:ascii="Times New Roman" w:hAnsi="Times New Roman" w:eastAsiaTheme="minorEastAsia" w:cstheme="minorBidi"/>
          <w:kern w:val="2"/>
          <w:sz w:val="24"/>
          <w:szCs w:val="22"/>
          <w:lang w:val="en-US" w:eastAsia="zh-CN" w:bidi="ar-SA"/>
        </w:rPr>
        <w:t>汽车吊经</w:t>
      </w:r>
      <w:r>
        <w:rPr>
          <w:rFonts w:hint="eastAsia" w:ascii="Times New Roman" w:hAnsi="Times New Roman" w:cstheme="minorBidi"/>
          <w:kern w:val="2"/>
          <w:sz w:val="24"/>
          <w:szCs w:val="22"/>
          <w:lang w:val="en-US" w:eastAsia="zh-CN" w:bidi="ar-SA"/>
        </w:rPr>
        <w:t>以下路线</w:t>
      </w:r>
      <w:r>
        <w:rPr>
          <w:rFonts w:hint="eastAsia" w:ascii="Times New Roman" w:hAnsi="Times New Roman" w:eastAsiaTheme="minorEastAsia" w:cstheme="minorBidi"/>
          <w:kern w:val="2"/>
          <w:sz w:val="24"/>
          <w:szCs w:val="22"/>
          <w:lang w:val="en-US" w:eastAsia="zh-CN" w:bidi="ar-SA"/>
        </w:rPr>
        <w:t>进入作业位置</w:t>
      </w:r>
    </w:p>
    <w:p w14:paraId="0C3C9470">
      <w:pPr>
        <w:rPr>
          <w:rFonts w:hint="eastAsia"/>
          <w:lang w:val="en-US" w:eastAsia="zh-CN"/>
        </w:rPr>
      </w:pPr>
      <w:r>
        <w:rPr>
          <w:rFonts w:hint="default"/>
          <w:lang w:val="en-US" w:eastAsia="zh-CN"/>
        </w:rPr>
        <w:drawing>
          <wp:inline distT="0" distB="0" distL="114300" distR="114300">
            <wp:extent cx="5269865" cy="2738755"/>
            <wp:effectExtent l="0" t="0" r="6985" b="4445"/>
            <wp:docPr id="42" name="图片 42" descr="174548553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45485532369"/>
                    <pic:cNvPicPr>
                      <a:picLocks noChangeAspect="1"/>
                    </pic:cNvPicPr>
                  </pic:nvPicPr>
                  <pic:blipFill>
                    <a:blip r:embed="rId21"/>
                    <a:stretch>
                      <a:fillRect/>
                    </a:stretch>
                  </pic:blipFill>
                  <pic:spPr>
                    <a:xfrm>
                      <a:off x="0" y="0"/>
                      <a:ext cx="5269865" cy="2738755"/>
                    </a:xfrm>
                    <a:prstGeom prst="rect">
                      <a:avLst/>
                    </a:prstGeom>
                  </pic:spPr>
                </pic:pic>
              </a:graphicData>
            </a:graphic>
          </wp:inline>
        </w:drawing>
      </w:r>
    </w:p>
    <w:p w14:paraId="71BCB522">
      <w:pPr>
        <w:keepNext w:val="0"/>
        <w:keepLines w:val="0"/>
        <w:pageBreakBefore w:val="0"/>
        <w:kinsoku/>
        <w:wordWrap/>
        <w:overflowPunct/>
        <w:topLinePunct w:val="0"/>
        <w:autoSpaceDE/>
        <w:autoSpaceDN/>
        <w:bidi w:val="0"/>
        <w:snapToGrid/>
        <w:spacing w:line="360" w:lineRule="auto"/>
        <w:rPr>
          <w:rFonts w:hint="eastAsia"/>
          <w:color w:val="auto"/>
          <w:lang w:val="en-US" w:eastAsia="zh-CN"/>
        </w:rPr>
      </w:pPr>
    </w:p>
    <w:p w14:paraId="256B04B3">
      <w:pPr>
        <w:pStyle w:val="6"/>
        <w:pageBreakBefore w:val="0"/>
        <w:numPr>
          <w:ilvl w:val="2"/>
          <w:numId w:val="6"/>
        </w:numPr>
        <w:kinsoku/>
        <w:wordWrap/>
        <w:overflowPunct/>
        <w:topLinePunct w:val="0"/>
        <w:bidi w:val="0"/>
        <w:spacing w:line="360" w:lineRule="auto"/>
        <w:ind w:left="709" w:leftChars="0" w:hanging="709" w:firstLineChars="0"/>
        <w:rPr>
          <w:rFonts w:hint="eastAsia"/>
          <w:lang w:val="en-US" w:eastAsia="zh-CN"/>
        </w:rPr>
      </w:pPr>
      <w:bookmarkStart w:id="27" w:name="_Toc3890"/>
      <w:bookmarkStart w:id="28" w:name="_Toc20725"/>
      <w:r>
        <w:rPr>
          <w:rFonts w:hint="eastAsia" w:ascii="Times New Roman" w:hAnsi="Times New Roman" w:eastAsia="宋体"/>
          <w:b/>
          <w:bCs/>
          <w:lang w:val="en-US" w:eastAsia="zh-CN"/>
        </w:rPr>
        <w:t>汽车吊布置图</w:t>
      </w:r>
    </w:p>
    <w:p w14:paraId="09C88D27">
      <w:pPr>
        <w:rPr>
          <w:rFonts w:hint="eastAsia"/>
          <w:lang w:val="en-US" w:eastAsia="zh-CN"/>
        </w:rPr>
      </w:pPr>
      <w:r>
        <w:drawing>
          <wp:inline distT="0" distB="0" distL="114300" distR="114300">
            <wp:extent cx="5274310" cy="1316355"/>
            <wp:effectExtent l="0" t="0" r="2540" b="1714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2"/>
                    <a:stretch>
                      <a:fillRect/>
                    </a:stretch>
                  </pic:blipFill>
                  <pic:spPr>
                    <a:xfrm>
                      <a:off x="0" y="0"/>
                      <a:ext cx="5274310" cy="1316355"/>
                    </a:xfrm>
                    <a:prstGeom prst="rect">
                      <a:avLst/>
                    </a:prstGeom>
                    <a:noFill/>
                    <a:ln>
                      <a:noFill/>
                    </a:ln>
                  </pic:spPr>
                </pic:pic>
              </a:graphicData>
            </a:graphic>
          </wp:inline>
        </w:drawing>
      </w:r>
    </w:p>
    <w:p w14:paraId="63F3E399">
      <w:pPr>
        <w:pStyle w:val="6"/>
        <w:pageBreakBefore w:val="0"/>
        <w:numPr>
          <w:ilvl w:val="2"/>
          <w:numId w:val="6"/>
        </w:numPr>
        <w:kinsoku/>
        <w:wordWrap/>
        <w:overflowPunct/>
        <w:topLinePunct w:val="0"/>
        <w:bidi w:val="0"/>
        <w:spacing w:line="360" w:lineRule="auto"/>
        <w:ind w:left="709" w:leftChars="0" w:hanging="709" w:firstLineChars="0"/>
        <w:rPr>
          <w:rFonts w:hint="eastAsia" w:ascii="Times New Roman" w:hAnsi="Times New Roman" w:eastAsia="宋体" w:cstheme="minorBidi"/>
          <w:b/>
          <w:bCs/>
          <w:kern w:val="2"/>
          <w:sz w:val="24"/>
          <w:szCs w:val="32"/>
          <w:lang w:val="en-US" w:eastAsia="zh-CN" w:bidi="ar-SA"/>
        </w:rPr>
      </w:pPr>
      <w:r>
        <w:rPr>
          <w:rFonts w:hint="eastAsia" w:eastAsia="宋体" w:cstheme="minorBidi"/>
          <w:b/>
          <w:bCs/>
          <w:kern w:val="2"/>
          <w:sz w:val="24"/>
          <w:szCs w:val="32"/>
          <w:lang w:val="en-US" w:eastAsia="zh-CN" w:bidi="ar-SA"/>
        </w:rPr>
        <w:t>汽车吊地基承载力计算书</w:t>
      </w:r>
    </w:p>
    <w:p w14:paraId="25AF2E65">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计算依据：</w:t>
      </w:r>
    </w:p>
    <w:p w14:paraId="5888897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1、《建筑结构荷载规范》GB 50009-2012</w:t>
      </w:r>
    </w:p>
    <w:p w14:paraId="097EDCE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2、《建筑结构可靠性设计统一标准》GB50068-2018</w:t>
      </w:r>
    </w:p>
    <w:p w14:paraId="3A9C0C3D">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3、《建筑地基基础设计规范》GB50007-2011</w:t>
      </w:r>
    </w:p>
    <w:p w14:paraId="0D4E0688">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4、三一厂家STC350C5-1型号汽车起重机说明书</w:t>
      </w:r>
    </w:p>
    <w:p w14:paraId="419365BA">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8"/>
        </w:rPr>
        <w:t xml:space="preserve"> 一、吊装要求</w:t>
      </w:r>
    </w:p>
    <w:tbl>
      <w:tblPr>
        <w:tblStyle w:val="33"/>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6062FFD9">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2AFE0C8">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6D6322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6.23</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5910FF06">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BAC1DD1">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1.2</w:t>
            </w:r>
          </w:p>
        </w:tc>
      </w:tr>
    </w:tbl>
    <w:p w14:paraId="69D862C6">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8"/>
        </w:rPr>
        <w:t xml:space="preserve"> 二、汽车式起重机支腿力计算</w:t>
      </w:r>
    </w:p>
    <w:p w14:paraId="19C3BB4D">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1、汽车式起重机参数</w:t>
      </w:r>
    </w:p>
    <w:tbl>
      <w:tblPr>
        <w:tblStyle w:val="33"/>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0D9AFD76">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6A152D1">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汽车起重机厂家</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06F1975">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三一</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13E68C5D">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E5A9635">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STC350C5-1</w:t>
            </w:r>
          </w:p>
        </w:tc>
      </w:tr>
      <w:tr w14:paraId="2D655526">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50F9632">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shd w:val="clear" w:color="auto" w:fill="FFFFFF"/>
          </w:tcPr>
          <w:p w14:paraId="592D1708">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6.23</w:t>
            </w:r>
          </w:p>
        </w:tc>
        <w:tc>
          <w:tcPr>
            <w:tcW w:w="3105" w:type="dxa"/>
            <w:shd w:val="clear" w:color="auto" w:fill="FFFFFF"/>
          </w:tcPr>
          <w:p w14:paraId="5A5C6FFC">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1D91DE5">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1.2</w:t>
            </w:r>
          </w:p>
        </w:tc>
      </w:tr>
      <w:tr w14:paraId="6C6460CC">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3EAEF3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工作幅度R(m)</w:t>
            </w:r>
          </w:p>
        </w:tc>
        <w:tc>
          <w:tcPr>
            <w:tcW w:w="1605" w:type="dxa"/>
            <w:shd w:val="clear" w:color="auto" w:fill="FFFFFF"/>
          </w:tcPr>
          <w:p w14:paraId="49956F27">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12</w:t>
            </w:r>
          </w:p>
        </w:tc>
        <w:tc>
          <w:tcPr>
            <w:tcW w:w="3105" w:type="dxa"/>
            <w:shd w:val="clear" w:color="auto" w:fill="FFFFFF"/>
          </w:tcPr>
          <w:p w14:paraId="34B71FD3">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支腿纵向距离L(m)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0026947">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6.05</w:t>
            </w:r>
          </w:p>
        </w:tc>
      </w:tr>
      <w:tr w14:paraId="18670D80">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8B86B2D">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支腿横向距离B(m)</w:t>
            </w:r>
          </w:p>
        </w:tc>
        <w:tc>
          <w:tcPr>
            <w:tcW w:w="1605" w:type="dxa"/>
            <w:shd w:val="clear" w:color="auto" w:fill="FFFFFF"/>
          </w:tcPr>
          <w:p w14:paraId="28D83F80">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7.46</w:t>
            </w:r>
          </w:p>
        </w:tc>
        <w:tc>
          <w:tcPr>
            <w:tcW w:w="3105" w:type="dxa"/>
            <w:shd w:val="clear" w:color="auto" w:fill="FFFFFF"/>
          </w:tcPr>
          <w:p w14:paraId="1385CFCE">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后支腿距最后一排车轮距离s(m)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2CBBFD0">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1.5</w:t>
            </w:r>
          </w:p>
        </w:tc>
      </w:tr>
      <w:tr w14:paraId="55F066B8">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25EA8F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5" w:type="dxa"/>
            <w:shd w:val="clear" w:color="auto" w:fill="FFFFFF"/>
          </w:tcPr>
          <w:p w14:paraId="058B098D">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2.175</w:t>
            </w:r>
          </w:p>
        </w:tc>
        <w:tc>
          <w:tcPr>
            <w:tcW w:w="3105" w:type="dxa"/>
            <w:shd w:val="clear" w:color="auto" w:fill="FFFFFF"/>
          </w:tcPr>
          <w:p w14:paraId="7CBD2D7F">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3279529">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39</w:t>
            </w:r>
          </w:p>
        </w:tc>
      </w:tr>
      <w:tr w14:paraId="4AC095E8">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61405B1">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是否有活动配重</w:t>
            </w:r>
          </w:p>
        </w:tc>
        <w:tc>
          <w:tcPr>
            <w:tcW w:w="1605" w:type="dxa"/>
            <w:shd w:val="clear" w:color="auto" w:fill="FFFFFF"/>
          </w:tcPr>
          <w:p w14:paraId="5F664986">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是</w:t>
            </w:r>
          </w:p>
        </w:tc>
        <w:tc>
          <w:tcPr>
            <w:tcW w:w="3105" w:type="dxa"/>
            <w:shd w:val="clear" w:color="auto" w:fill="FFFFFF"/>
          </w:tcPr>
          <w:p w14:paraId="78D401FC">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活动配重G</w:t>
            </w:r>
            <w:r>
              <w:rPr>
                <w:rFonts w:ascii="Times New Roman" w:hAnsi="Times New Roman"/>
                <w:color w:val="000000"/>
                <w:sz w:val="24"/>
                <w:vertAlign w:val="subscript"/>
              </w:rPr>
              <w:t>活</w:t>
            </w:r>
            <w:r>
              <w:rPr>
                <w:rFonts w:ascii="Times New Roman" w:hAnsi="Times New Roman"/>
                <w:color w:val="000000"/>
                <w:sz w:val="18"/>
              </w:rPr>
              <w:t>(吨)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DFBBCFE">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8.5</w:t>
            </w:r>
          </w:p>
        </w:tc>
      </w:tr>
      <w:tr w14:paraId="30FEBD51">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62932E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活动配重距旋转中心距离L</w:t>
            </w:r>
            <w:r>
              <w:rPr>
                <w:rFonts w:ascii="Times New Roman" w:hAnsi="Times New Roman"/>
                <w:color w:val="000000"/>
                <w:sz w:val="24"/>
                <w:vertAlign w:val="subscript"/>
              </w:rPr>
              <w:t>d</w:t>
            </w:r>
            <w:r>
              <w:rPr>
                <w:rFonts w:ascii="Times New Roman" w:hAnsi="Times New Roman"/>
                <w:color w:val="000000"/>
                <w:sz w:val="18"/>
              </w:rPr>
              <w:t>(m)</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5030761D">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2.175</w:t>
            </w:r>
          </w:p>
        </w:tc>
      </w:tr>
    </w:tbl>
    <w:p w14:paraId="49081E92">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2、汽车起重机轴距及轴荷</w:t>
      </w:r>
    </w:p>
    <w:tbl>
      <w:tblPr>
        <w:tblStyle w:val="33"/>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2CB9B83C">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F85BEF3">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汽车起重机轴数</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C4D5480">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4</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47DDA9CE">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第1排车轮荷载(吨)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9F27DD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6.5</w:t>
            </w:r>
          </w:p>
        </w:tc>
      </w:tr>
    </w:tbl>
    <w:p w14:paraId="0E947CD9">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w:t>
      </w:r>
    </w:p>
    <w:tbl>
      <w:tblPr>
        <w:tblStyle w:val="33"/>
        <w:tblW w:w="7080" w:type="dxa"/>
        <w:jc w:val="center"/>
        <w:shd w:val="clear" w:color="auto" w:fill="FFFFFF"/>
        <w:tblLayout w:type="autofit"/>
        <w:tblCellMar>
          <w:top w:w="45" w:type="dxa"/>
          <w:left w:w="45" w:type="dxa"/>
          <w:bottom w:w="45" w:type="dxa"/>
          <w:right w:w="45" w:type="dxa"/>
        </w:tblCellMar>
      </w:tblPr>
      <w:tblGrid>
        <w:gridCol w:w="2360"/>
        <w:gridCol w:w="2360"/>
        <w:gridCol w:w="2360"/>
      </w:tblGrid>
      <w:tr w14:paraId="6EAB37CD">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43CF76D0">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13F4CB0">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45D23AC2">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轴荷(吨)</w:t>
            </w:r>
          </w:p>
        </w:tc>
      </w:tr>
      <w:tr w14:paraId="23346652">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F74BDB8">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2</w:t>
            </w:r>
          </w:p>
        </w:tc>
        <w:tc>
          <w:tcPr>
            <w:tcW w:w="2355" w:type="dxa"/>
            <w:shd w:val="clear" w:color="auto" w:fill="FFFFFF"/>
            <w:vAlign w:val="center"/>
          </w:tcPr>
          <w:p w14:paraId="4E8DC1FD">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1450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F8CDFE5">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6.5</w:t>
            </w:r>
          </w:p>
        </w:tc>
      </w:tr>
      <w:tr w14:paraId="1B539975">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0E94A22C">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3</w:t>
            </w:r>
          </w:p>
        </w:tc>
        <w:tc>
          <w:tcPr>
            <w:tcW w:w="2355" w:type="dxa"/>
            <w:shd w:val="clear" w:color="auto" w:fill="FFFFFF"/>
            <w:vAlign w:val="center"/>
          </w:tcPr>
          <w:p w14:paraId="72EF3FE0">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4075</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0D2C218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13</w:t>
            </w:r>
          </w:p>
        </w:tc>
      </w:tr>
      <w:tr w14:paraId="2465F0F8">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C5D4E19">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4</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ACF64A0">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1350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91C2EDC">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13</w:t>
            </w:r>
          </w:p>
        </w:tc>
      </w:tr>
    </w:tbl>
    <w:p w14:paraId="60D937DD">
      <w:pPr>
        <w:keepNext w:val="0"/>
        <w:keepLines w:val="0"/>
        <w:pageBreakBefore w:val="0"/>
        <w:kinsoku/>
        <w:wordWrap/>
        <w:overflowPunct/>
        <w:topLinePunct w:val="0"/>
        <w:autoSpaceDE/>
        <w:autoSpaceDN/>
        <w:bidi w:val="0"/>
        <w:snapToGrid/>
        <w:spacing w:line="360" w:lineRule="auto"/>
        <w:jc w:val="center"/>
      </w:pPr>
      <w:r>
        <w:drawing>
          <wp:inline distT="0" distB="0" distL="0" distR="0">
            <wp:extent cx="6096000" cy="2981325"/>
            <wp:effectExtent l="0" t="0" r="0" b="9525"/>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
                    <pic:cNvPicPr>
                      <a:picLocks noChangeAspect="1"/>
                    </pic:cNvPicPr>
                  </pic:nvPicPr>
                  <pic:blipFill>
                    <a:blip r:embed="rId23" cstate="print"/>
                    <a:stretch>
                      <a:fillRect/>
                    </a:stretch>
                  </pic:blipFill>
                  <pic:spPr>
                    <a:xfrm>
                      <a:off x="0" y="0"/>
                      <a:ext cx="6096000" cy="2981325"/>
                    </a:xfrm>
                    <a:prstGeom prst="rect">
                      <a:avLst/>
                    </a:prstGeom>
                  </pic:spPr>
                </pic:pic>
              </a:graphicData>
            </a:graphic>
          </wp:inline>
        </w:drawing>
      </w:r>
    </w:p>
    <w:p w14:paraId="73530FE4">
      <w:pPr>
        <w:keepNext w:val="0"/>
        <w:keepLines w:val="0"/>
        <w:pageBreakBefore w:val="0"/>
        <w:kinsoku/>
        <w:wordWrap/>
        <w:overflowPunct/>
        <w:topLinePunct w:val="0"/>
        <w:autoSpaceDE/>
        <w:autoSpaceDN/>
        <w:bidi w:val="0"/>
        <w:snapToGrid/>
        <w:spacing w:line="360" w:lineRule="auto"/>
        <w:jc w:val="center"/>
      </w:pPr>
      <w:r>
        <w:fldChar w:fldCharType="begin"/>
      </w:r>
      <w:r>
        <w:instrText xml:space="preserve"> HYPERLINK "file:///D:\\品茗软件\\品茗施工云安全计算软件2025版（V4.0）\\OutPut\\液压汽车起重机吊装计算_1_支腿力计算简图.dwg" \h </w:instrText>
      </w:r>
      <w:r>
        <w:fldChar w:fldCharType="separate"/>
      </w:r>
      <w:r>
        <w:rPr>
          <w:rFonts w:ascii="Times New Roman" w:hAnsi="Times New Roman"/>
          <w:color w:val="000080"/>
          <w:sz w:val="24"/>
          <w:u w:val="single"/>
        </w:rPr>
        <w:t>支腿力计算简图</w:t>
      </w:r>
      <w:r>
        <w:rPr>
          <w:rFonts w:ascii="Times New Roman" w:hAnsi="Times New Roman"/>
          <w:color w:val="000080"/>
          <w:sz w:val="24"/>
          <w:u w:val="single"/>
        </w:rPr>
        <w:fldChar w:fldCharType="end"/>
      </w:r>
    </w:p>
    <w:p w14:paraId="1BA9FBC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在吊装过程中，支腿荷载主要有包括以下几部分荷载产生，起重机自重（通过在不同位置的各车轮轴荷代替）对各支腿产生的荷载F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；吊重及活动配重分解到X方向对各支腿产生的荷载F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 吊重及活动配重分解到Y方向对各支腿产生的荷载F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w:t>
      </w:r>
    </w:p>
    <w:p w14:paraId="67A79109">
      <w:pPr>
        <w:keepNext w:val="0"/>
        <w:keepLines w:val="0"/>
        <w:pageBreakBefore w:val="0"/>
        <w:kinsoku/>
        <w:wordWrap/>
        <w:overflowPunct/>
        <w:topLinePunct w:val="0"/>
        <w:autoSpaceDE/>
        <w:autoSpaceDN/>
        <w:bidi w:val="0"/>
        <w:snapToGrid/>
        <w:spacing w:line="360" w:lineRule="auto"/>
        <w:jc w:val="center"/>
      </w:pPr>
      <w:r>
        <w:drawing>
          <wp:inline distT="0" distB="0" distL="0" distR="0">
            <wp:extent cx="5810250" cy="350520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
                    <pic:cNvPicPr>
                      <a:picLocks noChangeAspect="1"/>
                    </pic:cNvPicPr>
                  </pic:nvPicPr>
                  <pic:blipFill>
                    <a:blip r:embed="rId24" cstate="print"/>
                    <a:stretch>
                      <a:fillRect/>
                    </a:stretch>
                  </pic:blipFill>
                  <pic:spPr>
                    <a:xfrm>
                      <a:off x="0" y="0"/>
                      <a:ext cx="5810250" cy="3505200"/>
                    </a:xfrm>
                    <a:prstGeom prst="rect">
                      <a:avLst/>
                    </a:prstGeom>
                  </pic:spPr>
                </pic:pic>
              </a:graphicData>
            </a:graphic>
          </wp:inline>
        </w:drawing>
      </w:r>
    </w:p>
    <w:p w14:paraId="49895464">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1）起重机自重各支腿产生的荷载计算</w:t>
      </w:r>
    </w:p>
    <w:p w14:paraId="78C2906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起重机自重G等于各轴荷载总和，G=39吨</w:t>
      </w:r>
    </w:p>
    <w:p w14:paraId="6FBD3C1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第1轴：荷载为F</w:t>
      </w:r>
      <w:r>
        <w:rPr>
          <w:rFonts w:ascii="Times New Roman" w:hAnsi="Times New Roman"/>
          <w:color w:val="000000"/>
          <w:sz w:val="24"/>
          <w:vertAlign w:val="subscript"/>
        </w:rPr>
        <w:t>1</w:t>
      </w:r>
      <w:r>
        <w:rPr>
          <w:rFonts w:ascii="Times New Roman" w:hAnsi="Times New Roman"/>
          <w:color w:val="000000"/>
          <w:sz w:val="24"/>
        </w:rPr>
        <w:t>=6.5吨，距离后支腿距离L</w:t>
      </w:r>
      <w:r>
        <w:rPr>
          <w:rFonts w:ascii="Times New Roman" w:hAnsi="Times New Roman"/>
          <w:color w:val="000000"/>
          <w:sz w:val="24"/>
          <w:vertAlign w:val="subscript"/>
        </w:rPr>
        <w:t>1</w:t>
      </w:r>
      <w:r>
        <w:rPr>
          <w:rFonts w:ascii="Times New Roman" w:hAnsi="Times New Roman"/>
          <w:color w:val="000000"/>
          <w:sz w:val="24"/>
        </w:rPr>
        <w:t>=1.45+4.075+1.35+1.5=8.375m</w:t>
      </w:r>
    </w:p>
    <w:p w14:paraId="6B7CC7DC">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第2轴：荷载为F</w:t>
      </w:r>
      <w:r>
        <w:rPr>
          <w:rFonts w:ascii="Times New Roman" w:hAnsi="Times New Roman"/>
          <w:color w:val="000000"/>
          <w:sz w:val="24"/>
          <w:vertAlign w:val="subscript"/>
        </w:rPr>
        <w:t>2</w:t>
      </w:r>
      <w:r>
        <w:rPr>
          <w:rFonts w:ascii="Times New Roman" w:hAnsi="Times New Roman"/>
          <w:color w:val="000000"/>
          <w:sz w:val="24"/>
        </w:rPr>
        <w:t>=6.5吨，距离后支腿距离L</w:t>
      </w:r>
      <w:r>
        <w:rPr>
          <w:rFonts w:ascii="Times New Roman" w:hAnsi="Times New Roman"/>
          <w:color w:val="000000"/>
          <w:sz w:val="24"/>
          <w:vertAlign w:val="subscript"/>
        </w:rPr>
        <w:t>2</w:t>
      </w:r>
      <w:r>
        <w:rPr>
          <w:rFonts w:ascii="Times New Roman" w:hAnsi="Times New Roman"/>
          <w:color w:val="000000"/>
          <w:sz w:val="24"/>
        </w:rPr>
        <w:t>=4.075+1.35+1.5=6.925m</w:t>
      </w:r>
    </w:p>
    <w:p w14:paraId="53F19A93">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第3轴：荷载为F</w:t>
      </w:r>
      <w:r>
        <w:rPr>
          <w:rFonts w:ascii="Times New Roman" w:hAnsi="Times New Roman"/>
          <w:color w:val="000000"/>
          <w:sz w:val="24"/>
          <w:vertAlign w:val="subscript"/>
        </w:rPr>
        <w:t>3</w:t>
      </w:r>
      <w:r>
        <w:rPr>
          <w:rFonts w:ascii="Times New Roman" w:hAnsi="Times New Roman"/>
          <w:color w:val="000000"/>
          <w:sz w:val="24"/>
        </w:rPr>
        <w:t>=13吨，距离后支腿距离L</w:t>
      </w:r>
      <w:r>
        <w:rPr>
          <w:rFonts w:ascii="Times New Roman" w:hAnsi="Times New Roman"/>
          <w:color w:val="000000"/>
          <w:sz w:val="24"/>
          <w:vertAlign w:val="subscript"/>
        </w:rPr>
        <w:t>3</w:t>
      </w:r>
      <w:r>
        <w:rPr>
          <w:rFonts w:ascii="Times New Roman" w:hAnsi="Times New Roman"/>
          <w:color w:val="000000"/>
          <w:sz w:val="24"/>
        </w:rPr>
        <w:t>=1.35+1.5=2.85m</w:t>
      </w:r>
    </w:p>
    <w:p w14:paraId="0A1E7031">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第4轴：荷载为F</w:t>
      </w:r>
      <w:r>
        <w:rPr>
          <w:rFonts w:ascii="Times New Roman" w:hAnsi="Times New Roman"/>
          <w:color w:val="000000"/>
          <w:sz w:val="24"/>
          <w:vertAlign w:val="subscript"/>
        </w:rPr>
        <w:t>4</w:t>
      </w:r>
      <w:r>
        <w:rPr>
          <w:rFonts w:ascii="Times New Roman" w:hAnsi="Times New Roman"/>
          <w:color w:val="000000"/>
          <w:sz w:val="24"/>
        </w:rPr>
        <w:t>=13吨，距离后支腿距离L</w:t>
      </w:r>
      <w:r>
        <w:rPr>
          <w:rFonts w:ascii="Times New Roman" w:hAnsi="Times New Roman"/>
          <w:color w:val="000000"/>
          <w:sz w:val="24"/>
          <w:vertAlign w:val="subscript"/>
        </w:rPr>
        <w:t>4</w:t>
      </w:r>
      <w:r>
        <w:rPr>
          <w:rFonts w:ascii="Times New Roman" w:hAnsi="Times New Roman"/>
          <w:color w:val="000000"/>
          <w:sz w:val="24"/>
        </w:rPr>
        <w:t>=1.5m</w:t>
      </w:r>
    </w:p>
    <w:p w14:paraId="523A6289">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通过各轴荷载F</w:t>
      </w:r>
      <w:r>
        <w:rPr>
          <w:rFonts w:ascii="Times New Roman" w:hAnsi="Times New Roman"/>
          <w:color w:val="000000"/>
          <w:sz w:val="24"/>
          <w:vertAlign w:val="subscript"/>
        </w:rPr>
        <w:t>i</w:t>
      </w:r>
      <w:r>
        <w:rPr>
          <w:rFonts w:ascii="Times New Roman" w:hAnsi="Times New Roman"/>
          <w:color w:val="000000"/>
          <w:sz w:val="24"/>
        </w:rPr>
        <w:t>以及前支腿荷载分别对后支腿取矩得到</w:t>
      </w:r>
    </w:p>
    <w:p w14:paraId="3CBF1FDC">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1</w:t>
      </w:r>
      <w:r>
        <w:rPr>
          <w:rFonts w:ascii="Times New Roman" w:hAnsi="Times New Roman"/>
          <w:color w:val="000000"/>
          <w:sz w:val="24"/>
        </w:rPr>
        <w:t>×L</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×L</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×L</w:t>
      </w:r>
      <w:r>
        <w:rPr>
          <w:rFonts w:ascii="Times New Roman" w:hAnsi="Times New Roman"/>
          <w:color w:val="000000"/>
          <w:sz w:val="24"/>
          <w:vertAlign w:val="subscript"/>
        </w:rPr>
        <w:t>3</w:t>
      </w:r>
      <w:r>
        <w:rPr>
          <w:rFonts w:ascii="Times New Roman" w:hAnsi="Times New Roman"/>
          <w:color w:val="000000"/>
          <w:sz w:val="24"/>
        </w:rPr>
        <w:t>+F</w:t>
      </w:r>
      <w:r>
        <w:rPr>
          <w:rFonts w:ascii="Times New Roman" w:hAnsi="Times New Roman"/>
          <w:color w:val="000000"/>
          <w:sz w:val="24"/>
          <w:vertAlign w:val="subscript"/>
        </w:rPr>
        <w:t>4</w:t>
      </w:r>
      <w:r>
        <w:rPr>
          <w:rFonts w:ascii="Times New Roman" w:hAnsi="Times New Roman"/>
          <w:color w:val="000000"/>
          <w:sz w:val="24"/>
        </w:rPr>
        <w:t>×L</w:t>
      </w:r>
      <w:r>
        <w:rPr>
          <w:rFonts w:ascii="Times New Roman" w:hAnsi="Times New Roman"/>
          <w:color w:val="000000"/>
          <w:sz w:val="24"/>
          <w:vertAlign w:val="subscript"/>
        </w:rPr>
        <w:t>4</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)×L=0</w:t>
      </w:r>
    </w:p>
    <w:p w14:paraId="2302B5EF">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6.5×8.375+6.5×6.925+13×2.85+13×1.5-(F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)×6.05=0</w:t>
      </w:r>
    </w:p>
    <w:p w14:paraId="202D6FF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并且F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，得到：</w:t>
      </w:r>
    </w:p>
    <w:p w14:paraId="7B56DB8E">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=12.893吨</w:t>
      </w:r>
    </w:p>
    <w:p w14:paraId="48B3971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=[G-(F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)]/2=[39-(12.893+12.893)]/2=6.607吨</w:t>
      </w:r>
    </w:p>
    <w:p w14:paraId="43A27833">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将吊重及活动配重对支腿产生的影响分成吊重及活动配重移动至回转中心后竖向力对支腿产生荷载+吊重及活动配重幅度产生的弯矩对支腿力荷载</w:t>
      </w:r>
    </w:p>
    <w:p w14:paraId="053A417B">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3、吊重及活动配重移至回转中心后竖向力对支腿产生荷载计算</w:t>
      </w:r>
    </w:p>
    <w:p w14:paraId="0C5D2C1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)×L=0</w:t>
      </w:r>
    </w:p>
    <w:p w14:paraId="34D2C94C">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/(2L)=(1.2×6.23+8.5)×2.175/(2×6.05)=2.872吨</w:t>
      </w:r>
    </w:p>
    <w:p w14:paraId="64276E35">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+G</w:t>
      </w:r>
      <w:r>
        <w:rPr>
          <w:rFonts w:ascii="Times New Roman" w:hAnsi="Times New Roman"/>
          <w:color w:val="000000"/>
          <w:sz w:val="24"/>
          <w:vertAlign w:val="subscript"/>
        </w:rPr>
        <w:t>活</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)/(2L)=(1.2×6.23+8.5)×(6.05-2.175)/(2×6.05)=5.116吨</w:t>
      </w:r>
    </w:p>
    <w:p w14:paraId="21FBD3E9">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1）吊重及活动配重考虑幅度后的弯矩对各支腿产生的荷载计算</w:t>
      </w:r>
    </w:p>
    <w:p w14:paraId="4BFA256A">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①求X方向吊重、X方向活动配重考虑幅度后的弯矩对各支腿荷载影响计算，各支腿荷载为F</w:t>
      </w:r>
      <w:r>
        <w:rPr>
          <w:rFonts w:ascii="Times New Roman" w:hAnsi="Times New Roman"/>
          <w:color w:val="000000"/>
          <w:sz w:val="24"/>
          <w:vertAlign w:val="subscript"/>
        </w:rPr>
        <w:t>ax</w:t>
      </w:r>
      <w:r>
        <w:rPr>
          <w:rFonts w:ascii="Times New Roman" w:hAnsi="Times New Roman"/>
          <w:b/>
          <w:color w:val="000000"/>
          <w:sz w:val="24"/>
        </w:rPr>
        <w:t>=F</w:t>
      </w:r>
      <w:r>
        <w:rPr>
          <w:rFonts w:ascii="Times New Roman" w:hAnsi="Times New Roman"/>
          <w:color w:val="000000"/>
          <w:sz w:val="24"/>
          <w:vertAlign w:val="subscript"/>
        </w:rPr>
        <w:t>dx</w:t>
      </w:r>
      <w:r>
        <w:rPr>
          <w:rFonts w:ascii="Times New Roman" w:hAnsi="Times New Roman"/>
          <w:b/>
          <w:color w:val="000000"/>
          <w:sz w:val="24"/>
        </w:rPr>
        <w:t>，F</w:t>
      </w:r>
      <w:r>
        <w:rPr>
          <w:rFonts w:ascii="Times New Roman" w:hAnsi="Times New Roman"/>
          <w:color w:val="000000"/>
          <w:sz w:val="24"/>
          <w:vertAlign w:val="subscript"/>
        </w:rPr>
        <w:t>bx</w:t>
      </w:r>
      <w:r>
        <w:rPr>
          <w:rFonts w:ascii="Times New Roman" w:hAnsi="Times New Roman"/>
          <w:b/>
          <w:color w:val="000000"/>
          <w:sz w:val="24"/>
        </w:rPr>
        <w:t>=F</w:t>
      </w:r>
      <w:r>
        <w:rPr>
          <w:rFonts w:ascii="Times New Roman" w:hAnsi="Times New Roman"/>
          <w:color w:val="000000"/>
          <w:sz w:val="24"/>
          <w:vertAlign w:val="subscript"/>
        </w:rPr>
        <w:t>cx</w:t>
      </w:r>
    </w:p>
    <w:p w14:paraId="1E98BBEF">
      <w:pPr>
        <w:keepNext w:val="0"/>
        <w:keepLines w:val="0"/>
        <w:pageBreakBefore w:val="0"/>
        <w:kinsoku/>
        <w:wordWrap/>
        <w:overflowPunct/>
        <w:topLinePunct w:val="0"/>
        <w:autoSpaceDE/>
        <w:autoSpaceDN/>
        <w:bidi w:val="0"/>
        <w:snapToGrid/>
        <w:spacing w:line="360" w:lineRule="auto"/>
        <w:jc w:val="center"/>
      </w:pPr>
      <w:r>
        <w:drawing>
          <wp:inline distT="0" distB="0" distL="0" distR="0">
            <wp:extent cx="4152900" cy="2638425"/>
            <wp:effectExtent l="0" t="0" r="0" b="9525"/>
            <wp:docPr id="80"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 3"/>
                    <pic:cNvPicPr>
                      <a:picLocks noChangeAspect="1"/>
                    </pic:cNvPicPr>
                  </pic:nvPicPr>
                  <pic:blipFill>
                    <a:blip r:embed="rId25" cstate="print"/>
                    <a:stretch>
                      <a:fillRect/>
                    </a:stretch>
                  </pic:blipFill>
                  <pic:spPr>
                    <a:xfrm>
                      <a:off x="0" y="0"/>
                      <a:ext cx="4152900" cy="2638425"/>
                    </a:xfrm>
                    <a:prstGeom prst="rect">
                      <a:avLst/>
                    </a:prstGeom>
                  </pic:spPr>
                </pic:pic>
              </a:graphicData>
            </a:graphic>
          </wp:inline>
        </w:drawing>
      </w:r>
    </w:p>
    <w:p w14:paraId="074FFC12">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)cosβ-(F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)×L=0</w:t>
      </w:r>
    </w:p>
    <w:p w14:paraId="344E90F7">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)×cosβ/(2L)=(1.2×6.23×12-8.5×2.175)×cosβ/(2×6.05)=5.886cosβ</w:t>
      </w:r>
    </w:p>
    <w:p w14:paraId="306AE80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=-5.886cosβ</w:t>
      </w:r>
    </w:p>
    <w:p w14:paraId="0B82733B">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②求Y方向吊重、Y方向活动配重考虑幅度后的弯矩对各支腿荷载影响计算，各支腿荷载为F</w:t>
      </w:r>
      <w:r>
        <w:rPr>
          <w:rFonts w:ascii="Times New Roman" w:hAnsi="Times New Roman"/>
          <w:color w:val="000000"/>
          <w:sz w:val="24"/>
          <w:vertAlign w:val="subscript"/>
        </w:rPr>
        <w:t>ay</w:t>
      </w:r>
      <w:r>
        <w:rPr>
          <w:rFonts w:ascii="Times New Roman" w:hAnsi="Times New Roman"/>
          <w:b/>
          <w:color w:val="000000"/>
          <w:sz w:val="24"/>
        </w:rPr>
        <w:t>=F</w:t>
      </w:r>
      <w:r>
        <w:rPr>
          <w:rFonts w:ascii="Times New Roman" w:hAnsi="Times New Roman"/>
          <w:color w:val="000000"/>
          <w:sz w:val="24"/>
          <w:vertAlign w:val="subscript"/>
        </w:rPr>
        <w:t>by</w:t>
      </w:r>
      <w:r>
        <w:rPr>
          <w:rFonts w:ascii="Times New Roman" w:hAnsi="Times New Roman"/>
          <w:b/>
          <w:color w:val="000000"/>
          <w:sz w:val="24"/>
        </w:rPr>
        <w:t>，F</w:t>
      </w:r>
      <w:r>
        <w:rPr>
          <w:rFonts w:ascii="Times New Roman" w:hAnsi="Times New Roman"/>
          <w:color w:val="000000"/>
          <w:sz w:val="24"/>
          <w:vertAlign w:val="subscript"/>
        </w:rPr>
        <w:t>cy</w:t>
      </w:r>
      <w:r>
        <w:rPr>
          <w:rFonts w:ascii="Times New Roman" w:hAnsi="Times New Roman"/>
          <w:b/>
          <w:color w:val="000000"/>
          <w:sz w:val="24"/>
        </w:rPr>
        <w:t>=F</w:t>
      </w:r>
      <w:r>
        <w:rPr>
          <w:rFonts w:ascii="Times New Roman" w:hAnsi="Times New Roman"/>
          <w:color w:val="000000"/>
          <w:sz w:val="24"/>
          <w:vertAlign w:val="subscript"/>
        </w:rPr>
        <w:t>dy</w:t>
      </w:r>
    </w:p>
    <w:p w14:paraId="1CCB0560">
      <w:pPr>
        <w:keepNext w:val="0"/>
        <w:keepLines w:val="0"/>
        <w:pageBreakBefore w:val="0"/>
        <w:kinsoku/>
        <w:wordWrap/>
        <w:overflowPunct/>
        <w:topLinePunct w:val="0"/>
        <w:autoSpaceDE/>
        <w:autoSpaceDN/>
        <w:bidi w:val="0"/>
        <w:snapToGrid/>
        <w:spacing w:line="360" w:lineRule="auto"/>
        <w:jc w:val="center"/>
      </w:pPr>
      <w:r>
        <w:drawing>
          <wp:inline distT="0" distB="0" distL="0" distR="0">
            <wp:extent cx="4152900" cy="2638425"/>
            <wp:effectExtent l="0" t="0" r="0" b="9525"/>
            <wp:docPr id="82"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 4"/>
                    <pic:cNvPicPr>
                      <a:picLocks noChangeAspect="1"/>
                    </pic:cNvPicPr>
                  </pic:nvPicPr>
                  <pic:blipFill>
                    <a:blip r:embed="rId26" cstate="print"/>
                    <a:stretch>
                      <a:fillRect/>
                    </a:stretch>
                  </pic:blipFill>
                  <pic:spPr>
                    <a:xfrm>
                      <a:off x="0" y="0"/>
                      <a:ext cx="4152900" cy="2638425"/>
                    </a:xfrm>
                    <a:prstGeom prst="rect">
                      <a:avLst/>
                    </a:prstGeom>
                  </pic:spPr>
                </pic:pic>
              </a:graphicData>
            </a:graphic>
          </wp:inline>
        </w:drawing>
      </w:r>
    </w:p>
    <w:p w14:paraId="5D33AB19">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)sinβ-(F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)×L=0</w:t>
      </w:r>
    </w:p>
    <w:p w14:paraId="548D16C2">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)×sinβ/(2L)=(1.2×6.23×12-8.5×2.175)×sinβ/(2×6.05)=5.886sinβ</w:t>
      </w:r>
    </w:p>
    <w:p w14:paraId="1D167CC9">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=-5.886sinβ</w:t>
      </w:r>
    </w:p>
    <w:p w14:paraId="5333BDB3">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2）考虑各因素影响后，各支腿的荷载分别为：</w:t>
      </w:r>
    </w:p>
    <w:p w14:paraId="7CC8318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支腿a:F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=12.893+2.872-5.886cosβ+5.886sinβ</w:t>
      </w:r>
    </w:p>
    <w:p w14:paraId="5A881CF1">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支腿b:F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=6.607+5.116+5.886cosβ+5.886sinβ</w:t>
      </w:r>
    </w:p>
    <w:p w14:paraId="6FE4512F">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支腿c:F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=6.607+5.116+5.886cosβ-5.886sinβ</w:t>
      </w:r>
    </w:p>
    <w:p w14:paraId="03626F1F">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支腿d:F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=12.893+2.872-5.886cosβ-5.886sinβ</w:t>
      </w:r>
    </w:p>
    <w:p w14:paraId="75059E50">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3）各吊装工况及最不利工况支腿荷载计算</w:t>
      </w:r>
    </w:p>
    <w:p w14:paraId="20A439AC">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①当β=0°时，此时吊物在起重机后方</w:t>
      </w:r>
    </w:p>
    <w:p w14:paraId="4C21357A">
      <w:pPr>
        <w:keepNext w:val="0"/>
        <w:keepLines w:val="0"/>
        <w:pageBreakBefore w:val="0"/>
        <w:kinsoku/>
        <w:wordWrap/>
        <w:overflowPunct/>
        <w:topLinePunct w:val="0"/>
        <w:autoSpaceDE/>
        <w:autoSpaceDN/>
        <w:bidi w:val="0"/>
        <w:snapToGrid/>
        <w:spacing w:line="360" w:lineRule="auto"/>
        <w:jc w:val="center"/>
      </w:pPr>
      <w:r>
        <w:drawing>
          <wp:inline distT="0" distB="0" distL="0" distR="0">
            <wp:extent cx="4738370" cy="2858770"/>
            <wp:effectExtent l="0" t="0" r="5080" b="1778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5"/>
                    <pic:cNvPicPr>
                      <a:picLocks noChangeAspect="1"/>
                    </pic:cNvPicPr>
                  </pic:nvPicPr>
                  <pic:blipFill>
                    <a:blip r:embed="rId24" cstate="print"/>
                    <a:stretch>
                      <a:fillRect/>
                    </a:stretch>
                  </pic:blipFill>
                  <pic:spPr>
                    <a:xfrm>
                      <a:off x="0" y="0"/>
                      <a:ext cx="4738370" cy="2858770"/>
                    </a:xfrm>
                    <a:prstGeom prst="rect">
                      <a:avLst/>
                    </a:prstGeom>
                  </pic:spPr>
                </pic:pic>
              </a:graphicData>
            </a:graphic>
          </wp:inline>
        </w:drawing>
      </w:r>
    </w:p>
    <w:p w14:paraId="5734F0CF">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将β=0°代入得到：</w:t>
      </w:r>
    </w:p>
    <w:p w14:paraId="335129B2">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=9.878吨，F</w:t>
      </w:r>
      <w:r>
        <w:rPr>
          <w:rFonts w:ascii="Times New Roman" w:hAnsi="Times New Roman"/>
          <w:color w:val="000000"/>
          <w:sz w:val="24"/>
          <w:vertAlign w:val="subscript"/>
        </w:rPr>
        <w:t>b</w:t>
      </w:r>
      <w:r>
        <w:rPr>
          <w:rFonts w:ascii="Times New Roman" w:hAnsi="Times New Roman"/>
          <w:color w:val="000000"/>
          <w:sz w:val="24"/>
        </w:rPr>
        <w:t>=17.61吨，F</w:t>
      </w:r>
      <w:r>
        <w:rPr>
          <w:rFonts w:ascii="Times New Roman" w:hAnsi="Times New Roman"/>
          <w:color w:val="000000"/>
          <w:sz w:val="24"/>
          <w:vertAlign w:val="subscript"/>
        </w:rPr>
        <w:t>c</w:t>
      </w:r>
      <w:r>
        <w:rPr>
          <w:rFonts w:ascii="Times New Roman" w:hAnsi="Times New Roman"/>
          <w:color w:val="000000"/>
          <w:sz w:val="24"/>
        </w:rPr>
        <w:t>=17.61吨，F</w:t>
      </w:r>
      <w:r>
        <w:rPr>
          <w:rFonts w:ascii="Times New Roman" w:hAnsi="Times New Roman"/>
          <w:color w:val="000000"/>
          <w:sz w:val="24"/>
          <w:vertAlign w:val="subscript"/>
        </w:rPr>
        <w:t>d</w:t>
      </w:r>
      <w:r>
        <w:rPr>
          <w:rFonts w:ascii="Times New Roman" w:hAnsi="Times New Roman"/>
          <w:color w:val="000000"/>
          <w:sz w:val="24"/>
        </w:rPr>
        <w:t>=9.878吨</w:t>
      </w:r>
    </w:p>
    <w:p w14:paraId="6D85E9EA">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)=max(9.878、17.61、17.61、9.878)=17.61吨</w:t>
      </w:r>
    </w:p>
    <w:p w14:paraId="4B78EEA7">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②当β=90°时，此时吊物在起重机侧方</w:t>
      </w:r>
    </w:p>
    <w:p w14:paraId="3BA24C45">
      <w:pPr>
        <w:keepNext w:val="0"/>
        <w:keepLines w:val="0"/>
        <w:pageBreakBefore w:val="0"/>
        <w:kinsoku/>
        <w:wordWrap/>
        <w:overflowPunct/>
        <w:topLinePunct w:val="0"/>
        <w:autoSpaceDE/>
        <w:autoSpaceDN/>
        <w:bidi w:val="0"/>
        <w:snapToGrid/>
        <w:spacing w:line="360" w:lineRule="auto"/>
        <w:jc w:val="center"/>
      </w:pPr>
      <w:r>
        <w:drawing>
          <wp:inline distT="0" distB="0" distL="0" distR="0">
            <wp:extent cx="4561205" cy="3140710"/>
            <wp:effectExtent l="0" t="0" r="10795" b="2540"/>
            <wp:docPr id="85"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 6"/>
                    <pic:cNvPicPr>
                      <a:picLocks noChangeAspect="1"/>
                    </pic:cNvPicPr>
                  </pic:nvPicPr>
                  <pic:blipFill>
                    <a:blip r:embed="rId27" cstate="print"/>
                    <a:stretch>
                      <a:fillRect/>
                    </a:stretch>
                  </pic:blipFill>
                  <pic:spPr>
                    <a:xfrm>
                      <a:off x="0" y="0"/>
                      <a:ext cx="4561205" cy="3140710"/>
                    </a:xfrm>
                    <a:prstGeom prst="rect">
                      <a:avLst/>
                    </a:prstGeom>
                  </pic:spPr>
                </pic:pic>
              </a:graphicData>
            </a:graphic>
          </wp:inline>
        </w:drawing>
      </w:r>
    </w:p>
    <w:p w14:paraId="50CFF168">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将β=90°代入得到：</w:t>
      </w:r>
    </w:p>
    <w:p w14:paraId="3FED099A">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=21.651吨，F</w:t>
      </w:r>
      <w:r>
        <w:rPr>
          <w:rFonts w:ascii="Times New Roman" w:hAnsi="Times New Roman"/>
          <w:color w:val="000000"/>
          <w:sz w:val="24"/>
          <w:vertAlign w:val="subscript"/>
        </w:rPr>
        <w:t>b</w:t>
      </w:r>
      <w:r>
        <w:rPr>
          <w:rFonts w:ascii="Times New Roman" w:hAnsi="Times New Roman"/>
          <w:color w:val="000000"/>
          <w:sz w:val="24"/>
        </w:rPr>
        <w:t>=17.61吨，F</w:t>
      </w:r>
      <w:r>
        <w:rPr>
          <w:rFonts w:ascii="Times New Roman" w:hAnsi="Times New Roman"/>
          <w:color w:val="000000"/>
          <w:sz w:val="24"/>
          <w:vertAlign w:val="subscript"/>
        </w:rPr>
        <w:t>c</w:t>
      </w:r>
      <w:r>
        <w:rPr>
          <w:rFonts w:ascii="Times New Roman" w:hAnsi="Times New Roman"/>
          <w:color w:val="000000"/>
          <w:sz w:val="24"/>
        </w:rPr>
        <w:t>=5.837吨，F</w:t>
      </w:r>
      <w:r>
        <w:rPr>
          <w:rFonts w:ascii="Times New Roman" w:hAnsi="Times New Roman"/>
          <w:color w:val="000000"/>
          <w:sz w:val="24"/>
          <w:vertAlign w:val="subscript"/>
        </w:rPr>
        <w:t>d</w:t>
      </w:r>
      <w:r>
        <w:rPr>
          <w:rFonts w:ascii="Times New Roman" w:hAnsi="Times New Roman"/>
          <w:color w:val="000000"/>
          <w:sz w:val="24"/>
        </w:rPr>
        <w:t>=9.878吨</w:t>
      </w:r>
    </w:p>
    <w:p w14:paraId="177BB1CC">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)=max(21.651、17.61、5.837、9.878)=21.651吨</w:t>
      </w:r>
    </w:p>
    <w:p w14:paraId="7022D404">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③起重臂位于支腿b方向工况</w:t>
      </w:r>
    </w:p>
    <w:p w14:paraId="6F97385A">
      <w:pPr>
        <w:keepNext w:val="0"/>
        <w:keepLines w:val="0"/>
        <w:pageBreakBefore w:val="0"/>
        <w:kinsoku/>
        <w:wordWrap/>
        <w:overflowPunct/>
        <w:topLinePunct w:val="0"/>
        <w:autoSpaceDE/>
        <w:autoSpaceDN/>
        <w:bidi w:val="0"/>
        <w:snapToGrid/>
        <w:spacing w:line="360" w:lineRule="auto"/>
        <w:jc w:val="center"/>
      </w:pPr>
      <w:r>
        <w:drawing>
          <wp:inline distT="0" distB="0" distL="0" distR="0">
            <wp:extent cx="4967605" cy="3001645"/>
            <wp:effectExtent l="0" t="0" r="4445" b="8255"/>
            <wp:docPr id="86"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 7"/>
                    <pic:cNvPicPr>
                      <a:picLocks noChangeAspect="1"/>
                    </pic:cNvPicPr>
                  </pic:nvPicPr>
                  <pic:blipFill>
                    <a:blip r:embed="rId28" cstate="print"/>
                    <a:stretch>
                      <a:fillRect/>
                    </a:stretch>
                  </pic:blipFill>
                  <pic:spPr>
                    <a:xfrm>
                      <a:off x="0" y="0"/>
                      <a:ext cx="4967605" cy="3001645"/>
                    </a:xfrm>
                    <a:prstGeom prst="rect">
                      <a:avLst/>
                    </a:prstGeom>
                  </pic:spPr>
                </pic:pic>
              </a:graphicData>
            </a:graphic>
          </wp:inline>
        </w:drawing>
      </w:r>
    </w:p>
    <w:p w14:paraId="24A01509">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当β=59.753°时，起重臂在支腿b方向，此时：</w:t>
      </w:r>
    </w:p>
    <w:p w14:paraId="7A7A922D">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=17.884吨，F</w:t>
      </w:r>
      <w:r>
        <w:rPr>
          <w:rFonts w:ascii="Times New Roman" w:hAnsi="Times New Roman"/>
          <w:color w:val="000000"/>
          <w:sz w:val="24"/>
          <w:vertAlign w:val="subscript"/>
        </w:rPr>
        <w:t>b</w:t>
      </w:r>
      <w:r>
        <w:rPr>
          <w:rFonts w:ascii="Times New Roman" w:hAnsi="Times New Roman"/>
          <w:color w:val="000000"/>
          <w:sz w:val="24"/>
        </w:rPr>
        <w:t>=19.774吨，F</w:t>
      </w:r>
      <w:r>
        <w:rPr>
          <w:rFonts w:ascii="Times New Roman" w:hAnsi="Times New Roman"/>
          <w:color w:val="000000"/>
          <w:sz w:val="24"/>
          <w:vertAlign w:val="subscript"/>
        </w:rPr>
        <w:t>c</w:t>
      </w:r>
      <w:r>
        <w:rPr>
          <w:rFonts w:ascii="Times New Roman" w:hAnsi="Times New Roman"/>
          <w:color w:val="000000"/>
          <w:sz w:val="24"/>
        </w:rPr>
        <w:t>=9.604吨，F</w:t>
      </w:r>
      <w:r>
        <w:rPr>
          <w:rFonts w:ascii="Times New Roman" w:hAnsi="Times New Roman"/>
          <w:color w:val="000000"/>
          <w:sz w:val="24"/>
          <w:vertAlign w:val="subscript"/>
        </w:rPr>
        <w:t>d</w:t>
      </w:r>
      <w:r>
        <w:rPr>
          <w:rFonts w:ascii="Times New Roman" w:hAnsi="Times New Roman"/>
          <w:color w:val="000000"/>
          <w:sz w:val="24"/>
        </w:rPr>
        <w:t>=7.714吨</w:t>
      </w:r>
    </w:p>
    <w:p w14:paraId="5C40EBA7">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)=max(17.884、19.774、9.604、7.714)=19.774吨</w:t>
      </w:r>
    </w:p>
    <w:p w14:paraId="7EEE6086">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)=max(17.61，21.651，19.774)=21.651吨</w:t>
      </w:r>
    </w:p>
    <w:p w14:paraId="66CCD6D3">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8"/>
        </w:rPr>
        <w:t xml:space="preserve"> 三、地基基础验算</w:t>
      </w:r>
    </w:p>
    <w:p w14:paraId="478FD928">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1、地基参数</w:t>
      </w:r>
    </w:p>
    <w:tbl>
      <w:tblPr>
        <w:tblStyle w:val="33"/>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749A3CDA">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3E427AC5">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单根支腿受力面积A</w:t>
            </w:r>
            <w:r>
              <w:rPr>
                <w:rFonts w:ascii="Times New Roman" w:hAnsi="Times New Roman"/>
                <w:color w:val="000000"/>
                <w:sz w:val="24"/>
                <w:vertAlign w:val="subscript"/>
              </w:rPr>
              <w:t>d1</w:t>
            </w:r>
            <w:r>
              <w:rPr>
                <w:rFonts w:ascii="Times New Roman" w:hAnsi="Times New Roman"/>
                <w:color w:val="000000"/>
                <w:sz w:val="18"/>
              </w:rPr>
              <w:t>(m</w:t>
            </w:r>
            <w:r>
              <w:rPr>
                <w:rFonts w:ascii="Times New Roman" w:hAnsi="Times New Roman"/>
                <w:color w:val="000000"/>
                <w:sz w:val="24"/>
                <w:vertAlign w:val="superscript"/>
              </w:rPr>
              <w:t>2</w:t>
            </w:r>
            <w:r>
              <w:rPr>
                <w:rFonts w:ascii="Times New Roman" w:hAnsi="Times New Roman"/>
                <w:color w:val="000000"/>
                <w:sz w:val="18"/>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97134C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2.25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3D025F2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46942F9">
            <w:pPr>
              <w:keepNext w:val="0"/>
              <w:keepLines w:val="0"/>
              <w:pageBreakBefore w:val="0"/>
              <w:kinsoku/>
              <w:wordWrap/>
              <w:overflowPunct/>
              <w:topLinePunct w:val="0"/>
              <w:autoSpaceDE/>
              <w:autoSpaceDN/>
              <w:bidi w:val="0"/>
              <w:snapToGrid/>
              <w:spacing w:line="360" w:lineRule="auto"/>
            </w:pPr>
            <w:r>
              <w:rPr>
                <w:rFonts w:hint="eastAsia"/>
                <w:color w:val="000000"/>
                <w:sz w:val="18"/>
                <w:lang w:val="en-US" w:eastAsia="zh-CN"/>
              </w:rPr>
              <w:t>混凝土路面(C35)</w:t>
            </w:r>
          </w:p>
        </w:tc>
      </w:tr>
      <w:tr w14:paraId="07C5C9D1">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773B419">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18"/>
              </w:rPr>
              <w:t>地基承载力特征值fak(</w:t>
            </w:r>
            <w:r>
              <w:rPr>
                <w:rFonts w:hint="eastAsia"/>
                <w:color w:val="000000"/>
                <w:sz w:val="18"/>
                <w:lang w:val="en-US" w:eastAsia="zh-CN"/>
              </w:rPr>
              <w:t>m</w:t>
            </w:r>
            <w:r>
              <w:rPr>
                <w:rFonts w:ascii="Times New Roman" w:hAnsi="Times New Roman"/>
                <w:color w:val="000000"/>
                <w:sz w:val="18"/>
              </w:rPr>
              <w:t>Pa)</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0D3C04C4">
            <w:pPr>
              <w:keepNext w:val="0"/>
              <w:keepLines w:val="0"/>
              <w:pageBreakBefore w:val="0"/>
              <w:kinsoku/>
              <w:wordWrap/>
              <w:overflowPunct/>
              <w:topLinePunct w:val="0"/>
              <w:autoSpaceDE/>
              <w:autoSpaceDN/>
              <w:bidi w:val="0"/>
              <w:snapToGrid/>
              <w:spacing w:line="360" w:lineRule="auto"/>
              <w:rPr>
                <w:rFonts w:hint="default" w:eastAsiaTheme="minorEastAsia"/>
                <w:lang w:val="en-US" w:eastAsia="zh-CN"/>
              </w:rPr>
            </w:pPr>
            <w:r>
              <w:rPr>
                <w:rFonts w:hint="eastAsia"/>
                <w:color w:val="000000"/>
                <w:sz w:val="18"/>
                <w:lang w:val="en-US" w:eastAsia="zh-CN"/>
              </w:rPr>
              <w:t>16.7</w:t>
            </w:r>
          </w:p>
        </w:tc>
      </w:tr>
    </w:tbl>
    <w:p w14:paraId="045055CE">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=9.8×21.651=212.176kN</w:t>
      </w:r>
    </w:p>
    <w:p w14:paraId="2C57C32F">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=212.176/2.25=94.3kPa≤f</w:t>
      </w:r>
      <w:r>
        <w:rPr>
          <w:rFonts w:ascii="Times New Roman" w:hAnsi="Times New Roman"/>
          <w:color w:val="000000"/>
          <w:sz w:val="24"/>
          <w:vertAlign w:val="subscript"/>
        </w:rPr>
        <w:t>ak</w:t>
      </w:r>
      <w:r>
        <w:rPr>
          <w:rFonts w:ascii="Times New Roman" w:hAnsi="Times New Roman"/>
          <w:color w:val="000000"/>
          <w:sz w:val="24"/>
        </w:rPr>
        <w:t>=</w:t>
      </w:r>
      <w:r>
        <w:rPr>
          <w:rFonts w:hint="eastAsia"/>
          <w:color w:val="000000"/>
          <w:sz w:val="24"/>
          <w:lang w:val="en-US" w:eastAsia="zh-CN"/>
        </w:rPr>
        <w:t>16700</w:t>
      </w:r>
      <w:r>
        <w:rPr>
          <w:rFonts w:ascii="Times New Roman" w:hAnsi="Times New Roman"/>
          <w:color w:val="000000"/>
          <w:sz w:val="24"/>
        </w:rPr>
        <w:t>kPa</w:t>
      </w:r>
    </w:p>
    <w:p w14:paraId="1CAB480F">
      <w:pPr>
        <w:keepNext w:val="0"/>
        <w:keepLines w:val="0"/>
        <w:pageBreakBefore w:val="0"/>
        <w:kinsoku/>
        <w:wordWrap/>
        <w:overflowPunct/>
        <w:topLinePunct w:val="0"/>
        <w:autoSpaceDE/>
        <w:autoSpaceDN/>
        <w:bidi w:val="0"/>
        <w:snapToGrid/>
        <w:spacing w:line="360" w:lineRule="auto"/>
      </w:pPr>
      <w:r>
        <w:rPr>
          <w:rFonts w:ascii="Times New Roman" w:hAnsi="Times New Roman"/>
          <w:color w:val="008000"/>
          <w:sz w:val="24"/>
        </w:rPr>
        <w:t xml:space="preserve">    满足要求！</w:t>
      </w:r>
    </w:p>
    <w:p w14:paraId="48DFEF84">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8"/>
        </w:rPr>
        <w:t xml:space="preserve"> 四、汽车式起重机抗倾覆计算</w:t>
      </w:r>
    </w:p>
    <w:p w14:paraId="49905FDA">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考虑抗倾覆安全系数后，如果出现支腿力为负数时，代表抗倾覆不满足要求，反之抗倾覆满足要求。考虑最不利情况，分别计算吊物在起重机后方和吊物在起重机侧方两种工况。</w:t>
      </w:r>
    </w:p>
    <w:p w14:paraId="41162C05">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1、吊物在起重机后方时</w:t>
      </w:r>
    </w:p>
    <w:p w14:paraId="5C4F31E4">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参考起重机支腿力计算章节，吊物在起重机后方时取β=0°，同时将吊重产生的倾覆力矩乘以k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=8.664吨，F</w:t>
      </w:r>
      <w:r>
        <w:rPr>
          <w:rFonts w:ascii="Times New Roman" w:hAnsi="Times New Roman"/>
          <w:color w:val="000000"/>
          <w:sz w:val="24"/>
          <w:vertAlign w:val="subscript"/>
        </w:rPr>
        <w:t>b</w:t>
      </w:r>
      <w:r>
        <w:rPr>
          <w:rFonts w:ascii="Times New Roman" w:hAnsi="Times New Roman"/>
          <w:color w:val="000000"/>
          <w:sz w:val="24"/>
        </w:rPr>
        <w:t>=19.572吨，F</w:t>
      </w:r>
      <w:r>
        <w:rPr>
          <w:rFonts w:ascii="Times New Roman" w:hAnsi="Times New Roman"/>
          <w:color w:val="000000"/>
          <w:sz w:val="24"/>
          <w:vertAlign w:val="subscript"/>
        </w:rPr>
        <w:t>c</w:t>
      </w:r>
      <w:r>
        <w:rPr>
          <w:rFonts w:ascii="Times New Roman" w:hAnsi="Times New Roman"/>
          <w:color w:val="000000"/>
          <w:sz w:val="24"/>
        </w:rPr>
        <w:t>=19.572吨，F</w:t>
      </w:r>
      <w:r>
        <w:rPr>
          <w:rFonts w:ascii="Times New Roman" w:hAnsi="Times New Roman"/>
          <w:color w:val="000000"/>
          <w:sz w:val="24"/>
          <w:vertAlign w:val="subscript"/>
        </w:rPr>
        <w:t>d</w:t>
      </w:r>
      <w:r>
        <w:rPr>
          <w:rFonts w:ascii="Times New Roman" w:hAnsi="Times New Roman"/>
          <w:color w:val="000000"/>
          <w:sz w:val="24"/>
        </w:rPr>
        <w:t>=8.664吨。</w:t>
      </w:r>
    </w:p>
    <w:p w14:paraId="46929AA1">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没有出现支腿荷载为负数。</w:t>
      </w:r>
    </w:p>
    <w:p w14:paraId="24E3F046">
      <w:pPr>
        <w:keepNext w:val="0"/>
        <w:keepLines w:val="0"/>
        <w:pageBreakBefore w:val="0"/>
        <w:kinsoku/>
        <w:wordWrap/>
        <w:overflowPunct/>
        <w:topLinePunct w:val="0"/>
        <w:autoSpaceDE/>
        <w:autoSpaceDN/>
        <w:bidi w:val="0"/>
        <w:snapToGrid/>
        <w:spacing w:line="360" w:lineRule="auto"/>
      </w:pPr>
      <w:r>
        <w:rPr>
          <w:rFonts w:ascii="Times New Roman" w:hAnsi="Times New Roman"/>
          <w:color w:val="008000"/>
          <w:sz w:val="24"/>
        </w:rPr>
        <w:t xml:space="preserve">    抗倾覆满足要求！</w:t>
      </w:r>
    </w:p>
    <w:p w14:paraId="1FC0DE52">
      <w:pPr>
        <w:keepNext w:val="0"/>
        <w:keepLines w:val="0"/>
        <w:pageBreakBefore w:val="0"/>
        <w:kinsoku/>
        <w:wordWrap/>
        <w:overflowPunct/>
        <w:topLinePunct w:val="0"/>
        <w:autoSpaceDE/>
        <w:autoSpaceDN/>
        <w:bidi w:val="0"/>
        <w:snapToGrid/>
        <w:spacing w:line="360" w:lineRule="auto"/>
      </w:pPr>
      <w:r>
        <w:rPr>
          <w:rFonts w:ascii="Times New Roman" w:hAnsi="Times New Roman"/>
          <w:b/>
          <w:color w:val="000000"/>
          <w:sz w:val="24"/>
        </w:rPr>
        <w:t xml:space="preserve">  2、吊物在起重机侧方时</w:t>
      </w:r>
    </w:p>
    <w:p w14:paraId="5DBE2DCB">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参考起重机支腿力计算章节，吊物在起重机侧方时取β=90°，同时将吊重产生的倾覆力矩乘以k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=20.33吨，F</w:t>
      </w:r>
      <w:r>
        <w:rPr>
          <w:rFonts w:ascii="Times New Roman" w:hAnsi="Times New Roman"/>
          <w:color w:val="000000"/>
          <w:sz w:val="24"/>
          <w:vertAlign w:val="subscript"/>
        </w:rPr>
        <w:t>b</w:t>
      </w:r>
      <w:r>
        <w:rPr>
          <w:rFonts w:ascii="Times New Roman" w:hAnsi="Times New Roman"/>
          <w:color w:val="000000"/>
          <w:sz w:val="24"/>
        </w:rPr>
        <w:t>=19.858吨，F</w:t>
      </w:r>
      <w:r>
        <w:rPr>
          <w:rFonts w:ascii="Times New Roman" w:hAnsi="Times New Roman"/>
          <w:color w:val="000000"/>
          <w:sz w:val="24"/>
          <w:vertAlign w:val="subscript"/>
        </w:rPr>
        <w:t>c</w:t>
      </w:r>
      <w:r>
        <w:rPr>
          <w:rFonts w:ascii="Times New Roman" w:hAnsi="Times New Roman"/>
          <w:color w:val="000000"/>
          <w:sz w:val="24"/>
        </w:rPr>
        <w:t>=4.547吨，F</w:t>
      </w:r>
      <w:r>
        <w:rPr>
          <w:rFonts w:ascii="Times New Roman" w:hAnsi="Times New Roman"/>
          <w:color w:val="000000"/>
          <w:sz w:val="24"/>
          <w:vertAlign w:val="subscript"/>
        </w:rPr>
        <w:t>d</w:t>
      </w:r>
      <w:r>
        <w:rPr>
          <w:rFonts w:ascii="Times New Roman" w:hAnsi="Times New Roman"/>
          <w:color w:val="000000"/>
          <w:sz w:val="24"/>
        </w:rPr>
        <w:t>=11.736吨。</w:t>
      </w:r>
    </w:p>
    <w:p w14:paraId="7D0BCD08">
      <w:pPr>
        <w:keepNext w:val="0"/>
        <w:keepLines w:val="0"/>
        <w:pageBreakBefore w:val="0"/>
        <w:kinsoku/>
        <w:wordWrap/>
        <w:overflowPunct/>
        <w:topLinePunct w:val="0"/>
        <w:autoSpaceDE/>
        <w:autoSpaceDN/>
        <w:bidi w:val="0"/>
        <w:snapToGrid/>
        <w:spacing w:line="360" w:lineRule="auto"/>
      </w:pPr>
      <w:r>
        <w:rPr>
          <w:rFonts w:ascii="Times New Roman" w:hAnsi="Times New Roman"/>
          <w:color w:val="000000"/>
          <w:sz w:val="24"/>
        </w:rPr>
        <w:t xml:space="preserve">    没有出现支腿荷载为负数。</w:t>
      </w:r>
    </w:p>
    <w:p w14:paraId="6B72ADDA">
      <w:pPr>
        <w:keepNext w:val="0"/>
        <w:keepLines w:val="0"/>
        <w:pageBreakBefore w:val="0"/>
        <w:kinsoku/>
        <w:wordWrap/>
        <w:overflowPunct/>
        <w:topLinePunct w:val="0"/>
        <w:autoSpaceDE/>
        <w:autoSpaceDN/>
        <w:bidi w:val="0"/>
        <w:snapToGrid/>
        <w:spacing w:line="360" w:lineRule="auto"/>
      </w:pPr>
      <w:r>
        <w:rPr>
          <w:rFonts w:ascii="Times New Roman" w:hAnsi="Times New Roman"/>
          <w:color w:val="008000"/>
          <w:sz w:val="24"/>
        </w:rPr>
        <w:t xml:space="preserve">    抗倾覆满足要求！</w:t>
      </w:r>
    </w:p>
    <w:bookmarkEnd w:id="27"/>
    <w:bookmarkEnd w:id="28"/>
    <w:p w14:paraId="5338B5FC">
      <w:pPr>
        <w:rPr>
          <w:rFonts w:cs="Times New Roman"/>
        </w:rPr>
      </w:pPr>
      <w:r>
        <w:rPr>
          <w:rFonts w:hint="eastAsia" w:cs="Times New Roman"/>
        </w:rPr>
        <w:br w:type="page"/>
      </w:r>
    </w:p>
    <w:p w14:paraId="6B267F7C">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29" w:name="_Toc29769"/>
      <w:r>
        <w:rPr>
          <w:rFonts w:hint="eastAsia" w:cs="Times New Roman"/>
        </w:rPr>
        <w:t>施工</w:t>
      </w:r>
      <w:r>
        <w:rPr>
          <w:rFonts w:cs="Times New Roman"/>
        </w:rPr>
        <w:t>人员</w:t>
      </w:r>
      <w:r>
        <w:rPr>
          <w:rFonts w:hint="eastAsia" w:cs="Times New Roman"/>
          <w:lang w:val="en-US" w:eastAsia="zh-CN"/>
        </w:rPr>
        <w:t>配置与</w:t>
      </w:r>
      <w:r>
        <w:rPr>
          <w:rFonts w:hint="eastAsia" w:cs="Times New Roman"/>
        </w:rPr>
        <w:t>专用工具的配备</w:t>
      </w:r>
      <w:bookmarkEnd w:id="29"/>
    </w:p>
    <w:p w14:paraId="128C97C2">
      <w:pPr>
        <w:pStyle w:val="5"/>
        <w:pageBreakBefore w:val="0"/>
        <w:numPr>
          <w:ilvl w:val="1"/>
          <w:numId w:val="6"/>
        </w:numPr>
        <w:kinsoku/>
        <w:wordWrap/>
        <w:overflowPunct/>
        <w:topLinePunct w:val="0"/>
        <w:bidi w:val="0"/>
        <w:spacing w:line="360" w:lineRule="auto"/>
        <w:ind w:left="567" w:leftChars="0" w:hanging="567" w:firstLineChars="0"/>
        <w:rPr>
          <w:rFonts w:hint="eastAsia" w:cs="Times New Roman"/>
          <w:lang w:val="en-US" w:eastAsia="zh-CN"/>
        </w:rPr>
      </w:pPr>
      <w:bookmarkStart w:id="30" w:name="_Toc19012"/>
      <w:r>
        <w:rPr>
          <w:rFonts w:hint="eastAsia" w:cs="Times New Roman"/>
          <w:lang w:val="en-US" w:eastAsia="zh-CN"/>
        </w:rPr>
        <w:t>塔机安拆前应检查</w:t>
      </w:r>
      <w:bookmarkEnd w:id="30"/>
    </w:p>
    <w:p w14:paraId="78C88AC1">
      <w:pPr>
        <w:keepNext w:val="0"/>
        <w:keepLines w:val="0"/>
        <w:pageBreakBefore w:val="0"/>
        <w:numPr>
          <w:ilvl w:val="0"/>
          <w:numId w:val="0"/>
        </w:numPr>
        <w:kinsoku/>
        <w:wordWrap/>
        <w:overflowPunct/>
        <w:topLinePunct w:val="0"/>
        <w:autoSpaceDE/>
        <w:autoSpaceDN/>
        <w:bidi w:val="0"/>
        <w:snapToGrid/>
        <w:spacing w:line="360" w:lineRule="auto"/>
        <w:ind w:firstLine="420" w:firstLineChars="0"/>
        <w:rPr>
          <w:rFonts w:ascii="宋体" w:hAnsi="宋体"/>
        </w:rPr>
      </w:pPr>
      <w:r>
        <w:rPr>
          <w:rFonts w:ascii="宋体" w:hAnsi="宋体"/>
        </w:rPr>
        <w:t>特种作业人员的操作资格证</w:t>
      </w:r>
      <w:r>
        <w:rPr>
          <w:rFonts w:hint="eastAsia" w:ascii="宋体" w:hAnsi="宋体"/>
        </w:rPr>
        <w:t>书；</w:t>
      </w:r>
      <w:r>
        <w:rPr>
          <w:rFonts w:ascii="宋体" w:hAnsi="宋体"/>
        </w:rPr>
        <w:t>专项</w:t>
      </w:r>
      <w:r>
        <w:rPr>
          <w:rFonts w:hint="eastAsia" w:ascii="宋体" w:hAnsi="宋体"/>
        </w:rPr>
        <w:t>施工</w:t>
      </w:r>
      <w:r>
        <w:rPr>
          <w:rFonts w:ascii="宋体" w:hAnsi="宋体"/>
        </w:rPr>
        <w:t>方案；辅助起重机械的合格证及操作人员资格征书</w:t>
      </w:r>
      <w:r>
        <w:rPr>
          <w:rFonts w:hint="eastAsia" w:ascii="宋体" w:hAnsi="宋体"/>
        </w:rPr>
        <w:t>。配齐塔机安装施工人员并明确岗位职责</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50"/>
        <w:gridCol w:w="982"/>
        <w:gridCol w:w="5890"/>
      </w:tblGrid>
      <w:tr w14:paraId="112A6F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968" w:type="pct"/>
            <w:shd w:val="clear" w:color="auto" w:fill="auto"/>
            <w:vAlign w:val="center"/>
          </w:tcPr>
          <w:p w14:paraId="5EEC18CC">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工作岗位</w:t>
            </w:r>
          </w:p>
        </w:tc>
        <w:tc>
          <w:tcPr>
            <w:tcW w:w="576" w:type="pct"/>
            <w:shd w:val="clear" w:color="auto" w:fill="auto"/>
            <w:vAlign w:val="center"/>
          </w:tcPr>
          <w:p w14:paraId="4EA67CA7">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姓  名</w:t>
            </w:r>
          </w:p>
        </w:tc>
        <w:tc>
          <w:tcPr>
            <w:tcW w:w="3455" w:type="pct"/>
            <w:shd w:val="clear" w:color="auto" w:fill="auto"/>
            <w:vAlign w:val="center"/>
          </w:tcPr>
          <w:p w14:paraId="36857581">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岗      位      职      责</w:t>
            </w:r>
          </w:p>
        </w:tc>
      </w:tr>
      <w:tr w14:paraId="222A51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968" w:type="pct"/>
            <w:shd w:val="clear" w:color="auto" w:fill="auto"/>
            <w:vAlign w:val="center"/>
          </w:tcPr>
          <w:p w14:paraId="774EB61C">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现场总指挥</w:t>
            </w:r>
          </w:p>
        </w:tc>
        <w:tc>
          <w:tcPr>
            <w:tcW w:w="576" w:type="pct"/>
            <w:shd w:val="clear" w:color="auto" w:fill="auto"/>
            <w:vAlign w:val="center"/>
          </w:tcPr>
          <w:p w14:paraId="3C8674EA">
            <w:pPr>
              <w:pStyle w:val="65"/>
              <w:pageBreakBefore w:val="0"/>
              <w:kinsoku/>
              <w:wordWrap/>
              <w:overflowPunct/>
              <w:topLinePunct w:val="0"/>
              <w:bidi w:val="0"/>
              <w:spacing w:line="360" w:lineRule="auto"/>
              <w:rPr>
                <w:rFonts w:hint="default" w:ascii="Times New Roman" w:hAnsi="Times New Roman" w:eastAsia="宋体"/>
                <w:color w:val="FF0000"/>
                <w:sz w:val="24"/>
                <w:szCs w:val="24"/>
                <w:lang w:val="en-US" w:eastAsia="zh-CN"/>
              </w:rPr>
            </w:pPr>
            <w:r>
              <w:rPr>
                <w:rFonts w:hint="eastAsia" w:ascii="Times New Roman" w:hAnsi="Times New Roman"/>
                <w:color w:val="FF0000"/>
                <w:sz w:val="24"/>
                <w:szCs w:val="24"/>
                <w:lang w:val="en-US" w:eastAsia="zh-CN"/>
              </w:rPr>
              <w:t>明兴富</w:t>
            </w:r>
          </w:p>
        </w:tc>
        <w:tc>
          <w:tcPr>
            <w:tcW w:w="3455" w:type="pct"/>
            <w:shd w:val="clear" w:color="auto" w:fill="auto"/>
            <w:vAlign w:val="center"/>
          </w:tcPr>
          <w:p w14:paraId="624CBFFA">
            <w:pPr>
              <w:pStyle w:val="65"/>
              <w:pageBreakBefore w:val="0"/>
              <w:kinsoku/>
              <w:wordWrap/>
              <w:overflowPunct/>
              <w:topLinePunct w:val="0"/>
              <w:bidi w:val="0"/>
              <w:spacing w:line="360" w:lineRule="auto"/>
              <w:jc w:val="left"/>
              <w:rPr>
                <w:rFonts w:ascii="Times New Roman" w:hAnsi="Times New Roman"/>
                <w:sz w:val="24"/>
                <w:szCs w:val="24"/>
              </w:rPr>
            </w:pPr>
            <w:r>
              <w:rPr>
                <w:rFonts w:ascii="Times New Roman" w:hAnsi="Times New Roman"/>
                <w:sz w:val="24"/>
                <w:szCs w:val="24"/>
              </w:rPr>
              <w:t>负责安装现场全面指挥、组织协调配合工作；负责辅助机具、辅助人员的组织分工；按方案组织安装过程安排；</w:t>
            </w:r>
          </w:p>
        </w:tc>
      </w:tr>
      <w:tr w14:paraId="11071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968" w:type="pct"/>
            <w:shd w:val="clear" w:color="auto" w:fill="auto"/>
            <w:vAlign w:val="center"/>
          </w:tcPr>
          <w:p w14:paraId="0D1C4708">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技术负责人</w:t>
            </w:r>
          </w:p>
        </w:tc>
        <w:tc>
          <w:tcPr>
            <w:tcW w:w="576" w:type="pct"/>
            <w:shd w:val="clear" w:color="auto" w:fill="auto"/>
            <w:vAlign w:val="center"/>
          </w:tcPr>
          <w:p w14:paraId="6F615FEF">
            <w:pPr>
              <w:pStyle w:val="65"/>
              <w:pageBreakBefore w:val="0"/>
              <w:kinsoku/>
              <w:wordWrap/>
              <w:overflowPunct/>
              <w:topLinePunct w:val="0"/>
              <w:bidi w:val="0"/>
              <w:spacing w:line="360" w:lineRule="auto"/>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color w:val="FF0000"/>
                <w:sz w:val="24"/>
                <w:szCs w:val="24"/>
                <w:lang w:val="en-US" w:eastAsia="zh-CN"/>
              </w:rPr>
              <w:t>温涛</w:t>
            </w:r>
          </w:p>
        </w:tc>
        <w:tc>
          <w:tcPr>
            <w:tcW w:w="3455" w:type="pct"/>
            <w:shd w:val="clear" w:color="auto" w:fill="auto"/>
            <w:vAlign w:val="center"/>
          </w:tcPr>
          <w:p w14:paraId="67C26021">
            <w:pPr>
              <w:pStyle w:val="65"/>
              <w:pageBreakBefore w:val="0"/>
              <w:kinsoku/>
              <w:wordWrap/>
              <w:overflowPunct/>
              <w:topLinePunct w:val="0"/>
              <w:bidi w:val="0"/>
              <w:spacing w:line="360" w:lineRule="auto"/>
              <w:jc w:val="left"/>
              <w:rPr>
                <w:rFonts w:ascii="Times New Roman" w:hAnsi="Times New Roman"/>
                <w:sz w:val="24"/>
                <w:szCs w:val="24"/>
              </w:rPr>
            </w:pPr>
            <w:r>
              <w:rPr>
                <w:rFonts w:ascii="Times New Roman" w:hAnsi="Times New Roman"/>
                <w:sz w:val="24"/>
                <w:szCs w:val="24"/>
              </w:rPr>
              <w:t>安装工作总体部署协调，指导方案编制及具体安装技术工作，审批方案，指导、决策处理重大技术问题。</w:t>
            </w:r>
          </w:p>
        </w:tc>
      </w:tr>
      <w:tr w14:paraId="56BEC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968" w:type="pct"/>
            <w:shd w:val="clear" w:color="auto" w:fill="auto"/>
            <w:vAlign w:val="center"/>
          </w:tcPr>
          <w:p w14:paraId="7152DD12">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安全员</w:t>
            </w:r>
          </w:p>
        </w:tc>
        <w:tc>
          <w:tcPr>
            <w:tcW w:w="576" w:type="pct"/>
            <w:shd w:val="clear" w:color="auto" w:fill="auto"/>
            <w:vAlign w:val="center"/>
          </w:tcPr>
          <w:p w14:paraId="4DB18E3E">
            <w:pPr>
              <w:pStyle w:val="65"/>
              <w:pageBreakBefore w:val="0"/>
              <w:kinsoku/>
              <w:wordWrap/>
              <w:overflowPunct/>
              <w:topLinePunct w:val="0"/>
              <w:bidi w:val="0"/>
              <w:spacing w:line="360" w:lineRule="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白美富</w:t>
            </w:r>
          </w:p>
        </w:tc>
        <w:tc>
          <w:tcPr>
            <w:tcW w:w="3455" w:type="pct"/>
            <w:shd w:val="clear" w:color="auto" w:fill="auto"/>
            <w:vAlign w:val="center"/>
          </w:tcPr>
          <w:p w14:paraId="1FA955D5">
            <w:pPr>
              <w:pStyle w:val="65"/>
              <w:pageBreakBefore w:val="0"/>
              <w:kinsoku/>
              <w:wordWrap/>
              <w:overflowPunct/>
              <w:topLinePunct w:val="0"/>
              <w:bidi w:val="0"/>
              <w:spacing w:line="360" w:lineRule="auto"/>
              <w:jc w:val="left"/>
              <w:rPr>
                <w:rFonts w:ascii="Times New Roman" w:hAnsi="Times New Roman"/>
                <w:sz w:val="24"/>
                <w:szCs w:val="24"/>
              </w:rPr>
            </w:pPr>
            <w:r>
              <w:rPr>
                <w:rFonts w:ascii="Times New Roman" w:hAnsi="Times New Roman"/>
                <w:sz w:val="24"/>
                <w:szCs w:val="24"/>
              </w:rPr>
              <w:t>负责安装过程质量控制和安全监督、检查、验收，指挥安装作业，监控危险源。</w:t>
            </w:r>
          </w:p>
        </w:tc>
      </w:tr>
      <w:tr w14:paraId="45F44D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968" w:type="pct"/>
            <w:shd w:val="clear" w:color="auto" w:fill="auto"/>
            <w:vAlign w:val="center"/>
          </w:tcPr>
          <w:p w14:paraId="5859944F">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电工</w:t>
            </w:r>
          </w:p>
        </w:tc>
        <w:tc>
          <w:tcPr>
            <w:tcW w:w="576" w:type="pct"/>
            <w:shd w:val="clear" w:color="auto" w:fill="auto"/>
            <w:vAlign w:val="center"/>
          </w:tcPr>
          <w:p w14:paraId="09733DCD">
            <w:pPr>
              <w:pStyle w:val="65"/>
              <w:pageBreakBefore w:val="0"/>
              <w:kinsoku/>
              <w:wordWrap/>
              <w:overflowPunct/>
              <w:topLinePunct w:val="0"/>
              <w:bidi w:val="0"/>
              <w:spacing w:line="360" w:lineRule="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蒲贵良</w:t>
            </w:r>
          </w:p>
        </w:tc>
        <w:tc>
          <w:tcPr>
            <w:tcW w:w="3455" w:type="pct"/>
            <w:shd w:val="clear" w:color="auto" w:fill="auto"/>
            <w:vAlign w:val="center"/>
          </w:tcPr>
          <w:p w14:paraId="09FEE7CD">
            <w:pPr>
              <w:pStyle w:val="65"/>
              <w:pageBreakBefore w:val="0"/>
              <w:kinsoku/>
              <w:wordWrap/>
              <w:overflowPunct/>
              <w:topLinePunct w:val="0"/>
              <w:bidi w:val="0"/>
              <w:spacing w:line="360" w:lineRule="auto"/>
              <w:jc w:val="left"/>
              <w:rPr>
                <w:rFonts w:ascii="Times New Roman" w:hAnsi="Times New Roman"/>
                <w:sz w:val="24"/>
                <w:szCs w:val="24"/>
              </w:rPr>
            </w:pPr>
            <w:r>
              <w:rPr>
                <w:rFonts w:ascii="Times New Roman" w:hAnsi="Times New Roman"/>
                <w:sz w:val="24"/>
                <w:szCs w:val="24"/>
              </w:rPr>
              <w:t>负责塔机电气安装、调试工作，配合安装工作。</w:t>
            </w:r>
          </w:p>
        </w:tc>
      </w:tr>
      <w:tr w14:paraId="74C47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968" w:type="pct"/>
            <w:vMerge w:val="restart"/>
            <w:shd w:val="clear" w:color="auto" w:fill="auto"/>
            <w:vAlign w:val="center"/>
          </w:tcPr>
          <w:p w14:paraId="1F319F1F">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装拆作业人员</w:t>
            </w:r>
          </w:p>
        </w:tc>
        <w:tc>
          <w:tcPr>
            <w:tcW w:w="982" w:type="dxa"/>
            <w:shd w:val="clear" w:color="auto" w:fill="auto"/>
            <w:vAlign w:val="center"/>
          </w:tcPr>
          <w:p w14:paraId="5114C996">
            <w:pPr>
              <w:pStyle w:val="65"/>
              <w:pageBreakBefore w:val="0"/>
              <w:kinsoku/>
              <w:wordWrap/>
              <w:overflowPunct/>
              <w:topLinePunct w:val="0"/>
              <w:bidi w:val="0"/>
              <w:spacing w:line="360" w:lineRule="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黄科</w:t>
            </w:r>
          </w:p>
        </w:tc>
        <w:tc>
          <w:tcPr>
            <w:tcW w:w="3455" w:type="pct"/>
            <w:vMerge w:val="restart"/>
            <w:shd w:val="clear" w:color="auto" w:fill="auto"/>
            <w:vAlign w:val="center"/>
          </w:tcPr>
          <w:p w14:paraId="38239EAB">
            <w:pPr>
              <w:pStyle w:val="65"/>
              <w:pageBreakBefore w:val="0"/>
              <w:kinsoku/>
              <w:wordWrap/>
              <w:overflowPunct/>
              <w:topLinePunct w:val="0"/>
              <w:bidi w:val="0"/>
              <w:spacing w:line="360" w:lineRule="auto"/>
              <w:jc w:val="left"/>
              <w:rPr>
                <w:rFonts w:ascii="Times New Roman" w:hAnsi="Times New Roman"/>
                <w:sz w:val="24"/>
                <w:szCs w:val="24"/>
              </w:rPr>
            </w:pPr>
            <w:r>
              <w:rPr>
                <w:rFonts w:ascii="Times New Roman" w:hAnsi="Times New Roman"/>
                <w:sz w:val="24"/>
                <w:szCs w:val="24"/>
              </w:rPr>
              <w:t>在统一指挥、统一安排下进行安装作业，做到分工明确，配合密切。</w:t>
            </w:r>
          </w:p>
        </w:tc>
      </w:tr>
      <w:tr w14:paraId="6FB9D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968" w:type="pct"/>
            <w:vMerge w:val="continue"/>
            <w:shd w:val="clear" w:color="auto" w:fill="auto"/>
            <w:vAlign w:val="center"/>
          </w:tcPr>
          <w:p w14:paraId="4BDA3D92">
            <w:pPr>
              <w:pStyle w:val="65"/>
              <w:pageBreakBefore w:val="0"/>
              <w:kinsoku/>
              <w:wordWrap/>
              <w:overflowPunct/>
              <w:topLinePunct w:val="0"/>
              <w:bidi w:val="0"/>
              <w:spacing w:line="360" w:lineRule="auto"/>
              <w:rPr>
                <w:rFonts w:ascii="Times New Roman" w:hAnsi="Times New Roman"/>
                <w:sz w:val="24"/>
                <w:szCs w:val="24"/>
              </w:rPr>
            </w:pPr>
          </w:p>
        </w:tc>
        <w:tc>
          <w:tcPr>
            <w:tcW w:w="982" w:type="dxa"/>
            <w:shd w:val="clear" w:color="auto" w:fill="auto"/>
            <w:vAlign w:val="center"/>
          </w:tcPr>
          <w:p w14:paraId="04CFFE9F">
            <w:pPr>
              <w:pStyle w:val="65"/>
              <w:pageBreakBefore w:val="0"/>
              <w:kinsoku/>
              <w:wordWrap/>
              <w:overflowPunct/>
              <w:topLinePunct w:val="0"/>
              <w:bidi w:val="0"/>
              <w:spacing w:line="360" w:lineRule="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徐刚</w:t>
            </w:r>
          </w:p>
        </w:tc>
        <w:tc>
          <w:tcPr>
            <w:tcW w:w="3455" w:type="pct"/>
            <w:vMerge w:val="continue"/>
            <w:shd w:val="clear" w:color="auto" w:fill="auto"/>
            <w:vAlign w:val="center"/>
          </w:tcPr>
          <w:p w14:paraId="2FB47F93">
            <w:pPr>
              <w:pStyle w:val="65"/>
              <w:pageBreakBefore w:val="0"/>
              <w:kinsoku/>
              <w:wordWrap/>
              <w:overflowPunct/>
              <w:topLinePunct w:val="0"/>
              <w:bidi w:val="0"/>
              <w:spacing w:line="360" w:lineRule="auto"/>
              <w:jc w:val="left"/>
              <w:rPr>
                <w:rFonts w:ascii="Times New Roman" w:hAnsi="Times New Roman"/>
                <w:sz w:val="24"/>
                <w:szCs w:val="24"/>
              </w:rPr>
            </w:pPr>
          </w:p>
        </w:tc>
      </w:tr>
      <w:tr w14:paraId="094B8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968" w:type="pct"/>
            <w:vMerge w:val="continue"/>
            <w:shd w:val="clear" w:color="auto" w:fill="auto"/>
            <w:vAlign w:val="center"/>
          </w:tcPr>
          <w:p w14:paraId="4556670E">
            <w:pPr>
              <w:pStyle w:val="65"/>
              <w:pageBreakBefore w:val="0"/>
              <w:kinsoku/>
              <w:wordWrap/>
              <w:overflowPunct/>
              <w:topLinePunct w:val="0"/>
              <w:bidi w:val="0"/>
              <w:spacing w:line="360" w:lineRule="auto"/>
              <w:rPr>
                <w:rFonts w:ascii="Times New Roman" w:hAnsi="Times New Roman"/>
                <w:sz w:val="24"/>
                <w:szCs w:val="24"/>
              </w:rPr>
            </w:pPr>
          </w:p>
        </w:tc>
        <w:tc>
          <w:tcPr>
            <w:tcW w:w="982" w:type="dxa"/>
            <w:shd w:val="clear" w:color="auto" w:fill="auto"/>
            <w:vAlign w:val="center"/>
          </w:tcPr>
          <w:p w14:paraId="3AC2717D">
            <w:pPr>
              <w:pStyle w:val="65"/>
              <w:pageBreakBefore w:val="0"/>
              <w:kinsoku/>
              <w:wordWrap/>
              <w:overflowPunct/>
              <w:topLinePunct w:val="0"/>
              <w:bidi w:val="0"/>
              <w:spacing w:line="360" w:lineRule="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王祯权</w:t>
            </w:r>
          </w:p>
        </w:tc>
        <w:tc>
          <w:tcPr>
            <w:tcW w:w="3455" w:type="pct"/>
            <w:vMerge w:val="continue"/>
            <w:shd w:val="clear" w:color="auto" w:fill="auto"/>
            <w:vAlign w:val="center"/>
          </w:tcPr>
          <w:p w14:paraId="5ACF91BC">
            <w:pPr>
              <w:pStyle w:val="65"/>
              <w:pageBreakBefore w:val="0"/>
              <w:kinsoku/>
              <w:wordWrap/>
              <w:overflowPunct/>
              <w:topLinePunct w:val="0"/>
              <w:bidi w:val="0"/>
              <w:spacing w:line="360" w:lineRule="auto"/>
              <w:jc w:val="left"/>
              <w:rPr>
                <w:rFonts w:ascii="Times New Roman" w:hAnsi="Times New Roman"/>
                <w:sz w:val="24"/>
                <w:szCs w:val="24"/>
              </w:rPr>
            </w:pPr>
          </w:p>
        </w:tc>
      </w:tr>
      <w:tr w14:paraId="51B5D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68" w:type="pct"/>
            <w:vMerge w:val="continue"/>
            <w:shd w:val="clear" w:color="auto" w:fill="auto"/>
            <w:vAlign w:val="center"/>
          </w:tcPr>
          <w:p w14:paraId="1702046A">
            <w:pPr>
              <w:pStyle w:val="65"/>
              <w:pageBreakBefore w:val="0"/>
              <w:kinsoku/>
              <w:wordWrap/>
              <w:overflowPunct/>
              <w:topLinePunct w:val="0"/>
              <w:bidi w:val="0"/>
              <w:spacing w:line="360" w:lineRule="auto"/>
              <w:rPr>
                <w:rFonts w:ascii="Times New Roman" w:hAnsi="Times New Roman"/>
                <w:sz w:val="24"/>
                <w:szCs w:val="24"/>
              </w:rPr>
            </w:pPr>
          </w:p>
        </w:tc>
        <w:tc>
          <w:tcPr>
            <w:tcW w:w="982" w:type="dxa"/>
            <w:shd w:val="clear" w:color="auto" w:fill="auto"/>
            <w:vAlign w:val="center"/>
          </w:tcPr>
          <w:p w14:paraId="4591F72F">
            <w:pPr>
              <w:pStyle w:val="65"/>
              <w:pageBreakBefore w:val="0"/>
              <w:kinsoku/>
              <w:wordWrap/>
              <w:overflowPunct/>
              <w:topLinePunct w:val="0"/>
              <w:bidi w:val="0"/>
              <w:spacing w:line="360" w:lineRule="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黄仁训</w:t>
            </w:r>
          </w:p>
        </w:tc>
        <w:tc>
          <w:tcPr>
            <w:tcW w:w="3455" w:type="pct"/>
            <w:vMerge w:val="continue"/>
            <w:shd w:val="clear" w:color="auto" w:fill="auto"/>
            <w:vAlign w:val="center"/>
          </w:tcPr>
          <w:p w14:paraId="6AF18B2F">
            <w:pPr>
              <w:pStyle w:val="65"/>
              <w:pageBreakBefore w:val="0"/>
              <w:kinsoku/>
              <w:wordWrap/>
              <w:overflowPunct/>
              <w:topLinePunct w:val="0"/>
              <w:bidi w:val="0"/>
              <w:spacing w:line="360" w:lineRule="auto"/>
              <w:jc w:val="left"/>
              <w:rPr>
                <w:rFonts w:ascii="Times New Roman" w:hAnsi="Times New Roman"/>
                <w:sz w:val="24"/>
                <w:szCs w:val="24"/>
              </w:rPr>
            </w:pPr>
          </w:p>
        </w:tc>
      </w:tr>
      <w:tr w14:paraId="19E8B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968" w:type="pct"/>
            <w:shd w:val="clear" w:color="auto" w:fill="auto"/>
            <w:vAlign w:val="center"/>
          </w:tcPr>
          <w:p w14:paraId="1901CE55">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塔司</w:t>
            </w:r>
          </w:p>
        </w:tc>
        <w:tc>
          <w:tcPr>
            <w:tcW w:w="576" w:type="pct"/>
            <w:shd w:val="clear" w:color="auto" w:fill="auto"/>
            <w:vAlign w:val="center"/>
          </w:tcPr>
          <w:p w14:paraId="7ABA0B17">
            <w:pPr>
              <w:pStyle w:val="65"/>
              <w:pageBreakBefore w:val="0"/>
              <w:kinsoku/>
              <w:wordWrap/>
              <w:overflowPunct/>
              <w:topLinePunct w:val="0"/>
              <w:bidi w:val="0"/>
              <w:spacing w:line="360" w:lineRule="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彭兴华</w:t>
            </w:r>
          </w:p>
        </w:tc>
        <w:tc>
          <w:tcPr>
            <w:tcW w:w="3455" w:type="pct"/>
            <w:shd w:val="clear" w:color="auto" w:fill="auto"/>
            <w:vAlign w:val="center"/>
          </w:tcPr>
          <w:p w14:paraId="5745A930">
            <w:pPr>
              <w:pStyle w:val="65"/>
              <w:pageBreakBefore w:val="0"/>
              <w:kinsoku/>
              <w:wordWrap/>
              <w:overflowPunct/>
              <w:topLinePunct w:val="0"/>
              <w:bidi w:val="0"/>
              <w:spacing w:line="360" w:lineRule="auto"/>
              <w:jc w:val="left"/>
              <w:rPr>
                <w:rFonts w:ascii="Times New Roman" w:hAnsi="Times New Roman"/>
                <w:sz w:val="24"/>
                <w:szCs w:val="24"/>
              </w:rPr>
            </w:pPr>
            <w:r>
              <w:rPr>
                <w:rFonts w:ascii="Times New Roman" w:hAnsi="Times New Roman"/>
                <w:sz w:val="24"/>
                <w:szCs w:val="24"/>
              </w:rPr>
              <w:t>配合塔机安装过程中的塔机操作。</w:t>
            </w:r>
          </w:p>
        </w:tc>
      </w:tr>
      <w:tr w14:paraId="0AB4A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68" w:type="pct"/>
            <w:shd w:val="clear" w:color="auto" w:fill="auto"/>
            <w:vAlign w:val="center"/>
          </w:tcPr>
          <w:p w14:paraId="52463C87">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信号、司索工</w:t>
            </w:r>
          </w:p>
        </w:tc>
        <w:tc>
          <w:tcPr>
            <w:tcW w:w="576" w:type="pct"/>
            <w:shd w:val="clear" w:color="auto" w:fill="auto"/>
            <w:vAlign w:val="center"/>
          </w:tcPr>
          <w:p w14:paraId="5C0B79FE">
            <w:pPr>
              <w:pStyle w:val="65"/>
              <w:pageBreakBefore w:val="0"/>
              <w:kinsoku/>
              <w:wordWrap/>
              <w:overflowPunct/>
              <w:topLinePunct w:val="0"/>
              <w:bidi w:val="0"/>
              <w:spacing w:line="360" w:lineRule="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张全超</w:t>
            </w:r>
          </w:p>
        </w:tc>
        <w:tc>
          <w:tcPr>
            <w:tcW w:w="3455" w:type="pct"/>
            <w:shd w:val="clear" w:color="auto" w:fill="auto"/>
            <w:vAlign w:val="center"/>
          </w:tcPr>
          <w:p w14:paraId="41A3073B">
            <w:pPr>
              <w:pStyle w:val="65"/>
              <w:pageBreakBefore w:val="0"/>
              <w:kinsoku/>
              <w:wordWrap/>
              <w:overflowPunct/>
              <w:topLinePunct w:val="0"/>
              <w:bidi w:val="0"/>
              <w:spacing w:line="360" w:lineRule="auto"/>
              <w:jc w:val="left"/>
              <w:rPr>
                <w:rFonts w:ascii="Times New Roman" w:hAnsi="Times New Roman"/>
                <w:sz w:val="24"/>
                <w:szCs w:val="24"/>
              </w:rPr>
            </w:pPr>
            <w:r>
              <w:rPr>
                <w:rFonts w:ascii="Times New Roman" w:hAnsi="Times New Roman"/>
                <w:sz w:val="24"/>
                <w:szCs w:val="24"/>
              </w:rPr>
              <w:t>配合塔机安装过程中的信号指挥。</w:t>
            </w:r>
          </w:p>
        </w:tc>
      </w:tr>
      <w:tr w14:paraId="56C01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968" w:type="pct"/>
            <w:shd w:val="clear" w:color="auto" w:fill="auto"/>
            <w:vAlign w:val="center"/>
          </w:tcPr>
          <w:p w14:paraId="43ED91DE">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辅助吊车</w:t>
            </w:r>
          </w:p>
        </w:tc>
        <w:tc>
          <w:tcPr>
            <w:tcW w:w="576" w:type="pct"/>
            <w:shd w:val="clear" w:color="auto" w:fill="auto"/>
            <w:vAlign w:val="center"/>
          </w:tcPr>
          <w:p w14:paraId="4572C1E2">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w:t>
            </w:r>
          </w:p>
        </w:tc>
        <w:tc>
          <w:tcPr>
            <w:tcW w:w="3455" w:type="pct"/>
            <w:shd w:val="clear" w:color="auto" w:fill="auto"/>
            <w:vAlign w:val="center"/>
          </w:tcPr>
          <w:p w14:paraId="2696679B">
            <w:pPr>
              <w:pStyle w:val="65"/>
              <w:pageBreakBefore w:val="0"/>
              <w:kinsoku/>
              <w:wordWrap/>
              <w:overflowPunct/>
              <w:topLinePunct w:val="0"/>
              <w:bidi w:val="0"/>
              <w:spacing w:line="360" w:lineRule="auto"/>
              <w:jc w:val="left"/>
              <w:rPr>
                <w:rFonts w:ascii="Times New Roman" w:hAnsi="Times New Roman"/>
                <w:sz w:val="24"/>
                <w:szCs w:val="24"/>
              </w:rPr>
            </w:pPr>
            <w:r>
              <w:rPr>
                <w:rFonts w:ascii="Times New Roman" w:hAnsi="Times New Roman"/>
                <w:sz w:val="24"/>
                <w:szCs w:val="24"/>
              </w:rPr>
              <w:t>密切配合塔机安装的吊装工作。</w:t>
            </w:r>
          </w:p>
        </w:tc>
      </w:tr>
      <w:tr w14:paraId="4A4DD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5000" w:type="pct"/>
            <w:gridSpan w:val="3"/>
            <w:shd w:val="clear" w:color="auto" w:fill="auto"/>
            <w:vAlign w:val="center"/>
          </w:tcPr>
          <w:p w14:paraId="4B064941">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rPr>
              <w:t>注：若因其它原因以上人员当天不能到现场，则必须安排具有安（拆）资质人员到岗作业。</w:t>
            </w:r>
          </w:p>
        </w:tc>
      </w:tr>
    </w:tbl>
    <w:p w14:paraId="4155DAC5">
      <w:pPr>
        <w:pStyle w:val="5"/>
        <w:pageBreakBefore w:val="0"/>
        <w:numPr>
          <w:ilvl w:val="1"/>
          <w:numId w:val="6"/>
        </w:numPr>
        <w:kinsoku/>
        <w:wordWrap/>
        <w:overflowPunct/>
        <w:topLinePunct w:val="0"/>
        <w:bidi w:val="0"/>
        <w:spacing w:line="360" w:lineRule="auto"/>
        <w:ind w:left="567" w:leftChars="0" w:hanging="567" w:firstLineChars="0"/>
        <w:rPr>
          <w:rFonts w:hint="eastAsia" w:cs="Times New Roman"/>
        </w:rPr>
      </w:pPr>
      <w:bookmarkStart w:id="31" w:name="_Toc24397"/>
      <w:r>
        <w:rPr>
          <w:rFonts w:hint="eastAsia" w:cs="Times New Roman"/>
        </w:rPr>
        <w:t>吊索具和</w:t>
      </w:r>
      <w:r>
        <w:rPr>
          <w:rFonts w:hint="eastAsia" w:cs="Times New Roman"/>
          <w:lang w:val="en-US" w:eastAsia="zh-CN"/>
        </w:rPr>
        <w:t>其他机具</w:t>
      </w:r>
      <w:bookmarkEnd w:id="31"/>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819"/>
        <w:gridCol w:w="2379"/>
        <w:gridCol w:w="849"/>
        <w:gridCol w:w="1132"/>
        <w:gridCol w:w="1616"/>
      </w:tblGrid>
      <w:tr w14:paraId="0478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13C00C3C">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序号</w:t>
            </w:r>
          </w:p>
        </w:tc>
        <w:tc>
          <w:tcPr>
            <w:tcW w:w="1067" w:type="pct"/>
            <w:vAlign w:val="center"/>
          </w:tcPr>
          <w:p w14:paraId="24D20D13">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机具名称</w:t>
            </w:r>
          </w:p>
        </w:tc>
        <w:tc>
          <w:tcPr>
            <w:tcW w:w="1395" w:type="pct"/>
            <w:vAlign w:val="center"/>
          </w:tcPr>
          <w:p w14:paraId="6125BDE9">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规格型号</w:t>
            </w:r>
          </w:p>
        </w:tc>
        <w:tc>
          <w:tcPr>
            <w:tcW w:w="498" w:type="pct"/>
            <w:vAlign w:val="center"/>
          </w:tcPr>
          <w:p w14:paraId="790452D4">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单位</w:t>
            </w:r>
          </w:p>
        </w:tc>
        <w:tc>
          <w:tcPr>
            <w:tcW w:w="664" w:type="pct"/>
            <w:vAlign w:val="center"/>
          </w:tcPr>
          <w:p w14:paraId="2AA7C4AA">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数量</w:t>
            </w:r>
          </w:p>
        </w:tc>
        <w:tc>
          <w:tcPr>
            <w:tcW w:w="948" w:type="pct"/>
            <w:vAlign w:val="center"/>
          </w:tcPr>
          <w:p w14:paraId="656707B6">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备注</w:t>
            </w:r>
          </w:p>
        </w:tc>
      </w:tr>
      <w:tr w14:paraId="1810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3AB8047D">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1</w:t>
            </w:r>
          </w:p>
        </w:tc>
        <w:tc>
          <w:tcPr>
            <w:tcW w:w="1067" w:type="pct"/>
            <w:vAlign w:val="center"/>
          </w:tcPr>
          <w:p w14:paraId="289FD052">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链条葫芦</w:t>
            </w:r>
          </w:p>
        </w:tc>
        <w:tc>
          <w:tcPr>
            <w:tcW w:w="1395" w:type="pct"/>
            <w:vAlign w:val="center"/>
          </w:tcPr>
          <w:p w14:paraId="47E16AB5">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2t</w:t>
            </w:r>
          </w:p>
        </w:tc>
        <w:tc>
          <w:tcPr>
            <w:tcW w:w="498" w:type="pct"/>
            <w:vAlign w:val="center"/>
          </w:tcPr>
          <w:p w14:paraId="6A41607F">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只</w:t>
            </w:r>
          </w:p>
        </w:tc>
        <w:tc>
          <w:tcPr>
            <w:tcW w:w="664" w:type="pct"/>
            <w:vAlign w:val="center"/>
          </w:tcPr>
          <w:p w14:paraId="55013233">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1</w:t>
            </w:r>
          </w:p>
        </w:tc>
        <w:tc>
          <w:tcPr>
            <w:tcW w:w="948" w:type="pct"/>
            <w:vAlign w:val="center"/>
          </w:tcPr>
          <w:p w14:paraId="7AFF278A">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r>
      <w:tr w14:paraId="64AA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48A61BE0">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2</w:t>
            </w:r>
          </w:p>
        </w:tc>
        <w:tc>
          <w:tcPr>
            <w:tcW w:w="1067" w:type="pct"/>
            <w:vAlign w:val="center"/>
          </w:tcPr>
          <w:p w14:paraId="267DAE0A">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重型套筒</w:t>
            </w:r>
          </w:p>
        </w:tc>
        <w:tc>
          <w:tcPr>
            <w:tcW w:w="1395" w:type="pct"/>
            <w:vAlign w:val="center"/>
          </w:tcPr>
          <w:p w14:paraId="3F7779CA">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c>
          <w:tcPr>
            <w:tcW w:w="498" w:type="pct"/>
            <w:vAlign w:val="center"/>
          </w:tcPr>
          <w:p w14:paraId="7A962D62">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套</w:t>
            </w:r>
          </w:p>
        </w:tc>
        <w:tc>
          <w:tcPr>
            <w:tcW w:w="664" w:type="pct"/>
            <w:vAlign w:val="center"/>
          </w:tcPr>
          <w:p w14:paraId="0ED1428C">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1</w:t>
            </w:r>
          </w:p>
        </w:tc>
        <w:tc>
          <w:tcPr>
            <w:tcW w:w="948" w:type="pct"/>
            <w:vAlign w:val="center"/>
          </w:tcPr>
          <w:p w14:paraId="02BAED5E">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r>
      <w:tr w14:paraId="29AB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06E2E47E">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3</w:t>
            </w:r>
          </w:p>
        </w:tc>
        <w:tc>
          <w:tcPr>
            <w:tcW w:w="1067" w:type="pct"/>
            <w:vAlign w:val="center"/>
          </w:tcPr>
          <w:p w14:paraId="618144D7">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活动扳手</w:t>
            </w:r>
          </w:p>
        </w:tc>
        <w:tc>
          <w:tcPr>
            <w:tcW w:w="1395" w:type="pct"/>
            <w:vAlign w:val="center"/>
          </w:tcPr>
          <w:p w14:paraId="787D108F">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8-18</w:t>
            </w:r>
          </w:p>
        </w:tc>
        <w:tc>
          <w:tcPr>
            <w:tcW w:w="498" w:type="pct"/>
            <w:vAlign w:val="center"/>
          </w:tcPr>
          <w:p w14:paraId="0A7C8233">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套（件）</w:t>
            </w:r>
          </w:p>
        </w:tc>
        <w:tc>
          <w:tcPr>
            <w:tcW w:w="664" w:type="pct"/>
            <w:vAlign w:val="center"/>
          </w:tcPr>
          <w:p w14:paraId="4117FAD1">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1</w:t>
            </w:r>
          </w:p>
        </w:tc>
        <w:tc>
          <w:tcPr>
            <w:tcW w:w="948" w:type="pct"/>
            <w:vAlign w:val="center"/>
          </w:tcPr>
          <w:p w14:paraId="4C2B3B21">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r>
      <w:tr w14:paraId="74AE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4916A2E6">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4</w:t>
            </w:r>
          </w:p>
        </w:tc>
        <w:tc>
          <w:tcPr>
            <w:tcW w:w="1067" w:type="pct"/>
            <w:vAlign w:val="center"/>
          </w:tcPr>
          <w:p w14:paraId="7FE683AC">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撬棍</w:t>
            </w:r>
          </w:p>
        </w:tc>
        <w:tc>
          <w:tcPr>
            <w:tcW w:w="1395" w:type="pct"/>
            <w:vAlign w:val="center"/>
          </w:tcPr>
          <w:p w14:paraId="19D02464">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长/短</w:t>
            </w:r>
          </w:p>
        </w:tc>
        <w:tc>
          <w:tcPr>
            <w:tcW w:w="498" w:type="pct"/>
            <w:vAlign w:val="center"/>
          </w:tcPr>
          <w:p w14:paraId="19FF3434">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根</w:t>
            </w:r>
          </w:p>
        </w:tc>
        <w:tc>
          <w:tcPr>
            <w:tcW w:w="664" w:type="pct"/>
            <w:vAlign w:val="center"/>
          </w:tcPr>
          <w:p w14:paraId="2941954F">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2/3</w:t>
            </w:r>
          </w:p>
        </w:tc>
        <w:tc>
          <w:tcPr>
            <w:tcW w:w="948" w:type="pct"/>
            <w:vAlign w:val="center"/>
          </w:tcPr>
          <w:p w14:paraId="234D735E">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r>
      <w:tr w14:paraId="52E7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18CB2503">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5</w:t>
            </w:r>
          </w:p>
        </w:tc>
        <w:tc>
          <w:tcPr>
            <w:tcW w:w="1067" w:type="pct"/>
            <w:vAlign w:val="center"/>
          </w:tcPr>
          <w:p w14:paraId="15AD8435">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大锤</w:t>
            </w:r>
          </w:p>
        </w:tc>
        <w:tc>
          <w:tcPr>
            <w:tcW w:w="1395" w:type="pct"/>
            <w:vAlign w:val="center"/>
          </w:tcPr>
          <w:p w14:paraId="09D7AABE">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6-12P</w:t>
            </w:r>
          </w:p>
        </w:tc>
        <w:tc>
          <w:tcPr>
            <w:tcW w:w="498" w:type="pct"/>
            <w:vAlign w:val="center"/>
          </w:tcPr>
          <w:p w14:paraId="6408A36B">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套</w:t>
            </w:r>
          </w:p>
        </w:tc>
        <w:tc>
          <w:tcPr>
            <w:tcW w:w="664" w:type="pct"/>
            <w:vAlign w:val="center"/>
          </w:tcPr>
          <w:p w14:paraId="399D134C">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1</w:t>
            </w:r>
          </w:p>
        </w:tc>
        <w:tc>
          <w:tcPr>
            <w:tcW w:w="948" w:type="pct"/>
            <w:vAlign w:val="center"/>
          </w:tcPr>
          <w:p w14:paraId="65F1038B">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r>
      <w:tr w14:paraId="7EB5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5473BA08">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6</w:t>
            </w:r>
          </w:p>
        </w:tc>
        <w:tc>
          <w:tcPr>
            <w:tcW w:w="1067" w:type="pct"/>
            <w:vAlign w:val="center"/>
          </w:tcPr>
          <w:p w14:paraId="215D1966">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万用电表</w:t>
            </w:r>
          </w:p>
        </w:tc>
        <w:tc>
          <w:tcPr>
            <w:tcW w:w="1395" w:type="pct"/>
            <w:vAlign w:val="center"/>
          </w:tcPr>
          <w:p w14:paraId="1F68E09E">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c>
          <w:tcPr>
            <w:tcW w:w="498" w:type="pct"/>
            <w:vAlign w:val="center"/>
          </w:tcPr>
          <w:p w14:paraId="56C1EDF6">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只</w:t>
            </w:r>
          </w:p>
        </w:tc>
        <w:tc>
          <w:tcPr>
            <w:tcW w:w="664" w:type="pct"/>
            <w:vAlign w:val="center"/>
          </w:tcPr>
          <w:p w14:paraId="4ACF253C">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1</w:t>
            </w:r>
          </w:p>
        </w:tc>
        <w:tc>
          <w:tcPr>
            <w:tcW w:w="948" w:type="pct"/>
            <w:vAlign w:val="center"/>
          </w:tcPr>
          <w:p w14:paraId="7B106220">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r>
      <w:tr w14:paraId="05AA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26AEFC53">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7</w:t>
            </w:r>
          </w:p>
        </w:tc>
        <w:tc>
          <w:tcPr>
            <w:tcW w:w="1067" w:type="pct"/>
            <w:vAlign w:val="center"/>
          </w:tcPr>
          <w:p w14:paraId="40829117">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电工常用工具</w:t>
            </w:r>
          </w:p>
        </w:tc>
        <w:tc>
          <w:tcPr>
            <w:tcW w:w="1395" w:type="pct"/>
            <w:vAlign w:val="center"/>
          </w:tcPr>
          <w:p w14:paraId="35237249">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c>
          <w:tcPr>
            <w:tcW w:w="498" w:type="pct"/>
            <w:vAlign w:val="center"/>
          </w:tcPr>
          <w:p w14:paraId="11551841">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套</w:t>
            </w:r>
          </w:p>
        </w:tc>
        <w:tc>
          <w:tcPr>
            <w:tcW w:w="664" w:type="pct"/>
            <w:vAlign w:val="center"/>
          </w:tcPr>
          <w:p w14:paraId="28776E7D">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1</w:t>
            </w:r>
          </w:p>
        </w:tc>
        <w:tc>
          <w:tcPr>
            <w:tcW w:w="948" w:type="pct"/>
            <w:vAlign w:val="center"/>
          </w:tcPr>
          <w:p w14:paraId="7A25176A">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r>
      <w:tr w14:paraId="20DE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1F4BADF4">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8</w:t>
            </w:r>
          </w:p>
        </w:tc>
        <w:tc>
          <w:tcPr>
            <w:tcW w:w="1067" w:type="pct"/>
            <w:vAlign w:val="center"/>
          </w:tcPr>
          <w:p w14:paraId="589B00B0">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钢丝绳</w:t>
            </w:r>
          </w:p>
        </w:tc>
        <w:tc>
          <w:tcPr>
            <w:tcW w:w="1395" w:type="pct"/>
            <w:vAlign w:val="center"/>
          </w:tcPr>
          <w:p w14:paraId="1BF15491">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4"/>
              </w:rPr>
            </w:pPr>
            <w:r>
              <w:rPr>
                <w:rFonts w:hint="eastAsia" w:eastAsia="宋体" w:cs="Times New Roman"/>
                <w:szCs w:val="24"/>
                <w:lang w:val="en-US" w:eastAsia="zh-CN"/>
              </w:rPr>
              <w:t>16mm6×19S+FC1870Mpa</w:t>
            </w:r>
          </w:p>
        </w:tc>
        <w:tc>
          <w:tcPr>
            <w:tcW w:w="498" w:type="pct"/>
            <w:vAlign w:val="center"/>
          </w:tcPr>
          <w:p w14:paraId="03DE2FDE">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根</w:t>
            </w:r>
          </w:p>
        </w:tc>
        <w:tc>
          <w:tcPr>
            <w:tcW w:w="664" w:type="pct"/>
            <w:vAlign w:val="center"/>
          </w:tcPr>
          <w:p w14:paraId="5BC08F4E">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4</w:t>
            </w:r>
          </w:p>
        </w:tc>
        <w:tc>
          <w:tcPr>
            <w:tcW w:w="948" w:type="pct"/>
            <w:vAlign w:val="center"/>
          </w:tcPr>
          <w:p w14:paraId="4B430F38">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hint="default" w:eastAsia="宋体" w:cs="Times New Roman"/>
                <w:szCs w:val="24"/>
                <w:lang w:val="en-US" w:eastAsia="zh-CN"/>
              </w:rPr>
            </w:pPr>
            <w:r>
              <w:rPr>
                <w:rFonts w:hint="eastAsia" w:eastAsia="宋体" w:cs="Times New Roman"/>
                <w:szCs w:val="24"/>
                <w:lang w:val="en-US" w:eastAsia="zh-CN"/>
              </w:rPr>
              <w:t>四点吊</w:t>
            </w:r>
          </w:p>
        </w:tc>
      </w:tr>
      <w:tr w14:paraId="0C3C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22911892">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9</w:t>
            </w:r>
          </w:p>
        </w:tc>
        <w:tc>
          <w:tcPr>
            <w:tcW w:w="1067" w:type="pct"/>
            <w:vAlign w:val="center"/>
          </w:tcPr>
          <w:p w14:paraId="1C8C8294">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钢丝绳</w:t>
            </w:r>
          </w:p>
        </w:tc>
        <w:tc>
          <w:tcPr>
            <w:tcW w:w="1395" w:type="pct"/>
            <w:vAlign w:val="center"/>
          </w:tcPr>
          <w:p w14:paraId="7B3021C7">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4"/>
              </w:rPr>
            </w:pPr>
            <w:r>
              <w:rPr>
                <w:rFonts w:hint="eastAsia" w:ascii="Times New Roman" w:hAnsi="Times New Roman" w:eastAsia="宋体" w:cs="Times New Roman"/>
                <w:szCs w:val="24"/>
                <w:lang w:val="en-US" w:eastAsia="zh-CN"/>
              </w:rPr>
              <w:t>22m6×19S+FC1870Mpa</w:t>
            </w:r>
          </w:p>
        </w:tc>
        <w:tc>
          <w:tcPr>
            <w:tcW w:w="498" w:type="pct"/>
            <w:vAlign w:val="center"/>
          </w:tcPr>
          <w:p w14:paraId="5D2089B6">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根</w:t>
            </w:r>
          </w:p>
        </w:tc>
        <w:tc>
          <w:tcPr>
            <w:tcW w:w="664" w:type="pct"/>
            <w:vAlign w:val="center"/>
          </w:tcPr>
          <w:p w14:paraId="31FDB690">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4</w:t>
            </w:r>
          </w:p>
        </w:tc>
        <w:tc>
          <w:tcPr>
            <w:tcW w:w="948" w:type="pct"/>
            <w:vAlign w:val="center"/>
          </w:tcPr>
          <w:p w14:paraId="3149E6DB">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hint="default" w:eastAsia="宋体" w:cs="Times New Roman"/>
                <w:szCs w:val="24"/>
                <w:lang w:val="en-US" w:eastAsia="zh-CN"/>
              </w:rPr>
            </w:pPr>
            <w:r>
              <w:rPr>
                <w:rFonts w:hint="eastAsia" w:eastAsia="宋体" w:cs="Times New Roman"/>
                <w:szCs w:val="24"/>
                <w:lang w:val="en-US" w:eastAsia="zh-CN"/>
              </w:rPr>
              <w:t>两点吊</w:t>
            </w:r>
          </w:p>
        </w:tc>
      </w:tr>
      <w:tr w14:paraId="69AE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2B4563E5">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10</w:t>
            </w:r>
          </w:p>
        </w:tc>
        <w:tc>
          <w:tcPr>
            <w:tcW w:w="1067" w:type="pct"/>
            <w:vAlign w:val="center"/>
          </w:tcPr>
          <w:p w14:paraId="66239407">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铁丝/麻绳</w:t>
            </w:r>
          </w:p>
        </w:tc>
        <w:tc>
          <w:tcPr>
            <w:tcW w:w="1395" w:type="pct"/>
            <w:vAlign w:val="center"/>
          </w:tcPr>
          <w:p w14:paraId="6E5BCFDC">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8#/φ20mm</w:t>
            </w:r>
          </w:p>
        </w:tc>
        <w:tc>
          <w:tcPr>
            <w:tcW w:w="498" w:type="pct"/>
            <w:vAlign w:val="center"/>
          </w:tcPr>
          <w:p w14:paraId="3667103F">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Kg/m</w:t>
            </w:r>
          </w:p>
        </w:tc>
        <w:tc>
          <w:tcPr>
            <w:tcW w:w="664" w:type="pct"/>
            <w:vAlign w:val="center"/>
          </w:tcPr>
          <w:p w14:paraId="54E1222C">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8/60</w:t>
            </w:r>
          </w:p>
        </w:tc>
        <w:tc>
          <w:tcPr>
            <w:tcW w:w="948" w:type="pct"/>
            <w:vAlign w:val="center"/>
          </w:tcPr>
          <w:p w14:paraId="26D34381">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各2根</w:t>
            </w:r>
          </w:p>
        </w:tc>
      </w:tr>
      <w:tr w14:paraId="2FD3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75C1E7F3">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11</w:t>
            </w:r>
          </w:p>
        </w:tc>
        <w:tc>
          <w:tcPr>
            <w:tcW w:w="1067" w:type="pct"/>
            <w:vAlign w:val="center"/>
          </w:tcPr>
          <w:p w14:paraId="2E13DDC5">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卸扣</w:t>
            </w:r>
          </w:p>
        </w:tc>
        <w:tc>
          <w:tcPr>
            <w:tcW w:w="1395" w:type="pct"/>
            <w:vAlign w:val="center"/>
          </w:tcPr>
          <w:p w14:paraId="5CAD5D8B">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 xml:space="preserve">GB/T 25854-6-DW </w:t>
            </w:r>
            <w:r>
              <w:rPr>
                <w:rFonts w:hint="eastAsia"/>
                <w:lang w:val="en-US" w:eastAsia="zh-CN"/>
              </w:rPr>
              <w:t>5</w:t>
            </w:r>
          </w:p>
        </w:tc>
        <w:tc>
          <w:tcPr>
            <w:tcW w:w="498" w:type="pct"/>
            <w:vAlign w:val="center"/>
          </w:tcPr>
          <w:p w14:paraId="0FEC8231">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件</w:t>
            </w:r>
          </w:p>
        </w:tc>
        <w:tc>
          <w:tcPr>
            <w:tcW w:w="664" w:type="pct"/>
            <w:vAlign w:val="center"/>
          </w:tcPr>
          <w:p w14:paraId="19D14231">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4</w:t>
            </w:r>
          </w:p>
        </w:tc>
        <w:tc>
          <w:tcPr>
            <w:tcW w:w="948" w:type="pct"/>
            <w:vAlign w:val="center"/>
          </w:tcPr>
          <w:p w14:paraId="4E236523">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r>
      <w:tr w14:paraId="2F62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pct"/>
            <w:vAlign w:val="center"/>
          </w:tcPr>
          <w:p w14:paraId="4CA2CC94">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hint="eastAsia" w:eastAsia="宋体" w:cs="Times New Roman"/>
                <w:szCs w:val="24"/>
                <w:lang w:val="en-US" w:eastAsia="zh-CN"/>
              </w:rPr>
            </w:pPr>
            <w:r>
              <w:rPr>
                <w:rFonts w:hint="eastAsia" w:eastAsia="宋体" w:cs="Times New Roman"/>
                <w:szCs w:val="24"/>
              </w:rPr>
              <w:t>1</w:t>
            </w:r>
            <w:r>
              <w:rPr>
                <w:rFonts w:hint="eastAsia" w:eastAsia="宋体" w:cs="Times New Roman"/>
                <w:szCs w:val="24"/>
                <w:lang w:val="en-US" w:eastAsia="zh-CN"/>
              </w:rPr>
              <w:t>2</w:t>
            </w:r>
          </w:p>
        </w:tc>
        <w:tc>
          <w:tcPr>
            <w:tcW w:w="1067" w:type="pct"/>
            <w:vAlign w:val="center"/>
          </w:tcPr>
          <w:p w14:paraId="55EF27F6">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氧、乙炔</w:t>
            </w:r>
          </w:p>
        </w:tc>
        <w:tc>
          <w:tcPr>
            <w:tcW w:w="1395" w:type="pct"/>
            <w:vAlign w:val="center"/>
          </w:tcPr>
          <w:p w14:paraId="16AAA2BB">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p>
        </w:tc>
        <w:tc>
          <w:tcPr>
            <w:tcW w:w="498" w:type="pct"/>
            <w:vAlign w:val="center"/>
          </w:tcPr>
          <w:p w14:paraId="3D8B683E">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套</w:t>
            </w:r>
          </w:p>
        </w:tc>
        <w:tc>
          <w:tcPr>
            <w:tcW w:w="664" w:type="pct"/>
            <w:vAlign w:val="center"/>
          </w:tcPr>
          <w:p w14:paraId="5480C30A">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hint="eastAsia" w:eastAsia="宋体" w:cs="Times New Roman"/>
                <w:szCs w:val="24"/>
              </w:rPr>
              <w:t>3</w:t>
            </w:r>
          </w:p>
        </w:tc>
        <w:tc>
          <w:tcPr>
            <w:tcW w:w="948" w:type="pct"/>
            <w:vAlign w:val="center"/>
          </w:tcPr>
          <w:p w14:paraId="448F6B09">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color w:val="FF0000"/>
                <w:szCs w:val="24"/>
              </w:rPr>
            </w:pPr>
          </w:p>
        </w:tc>
      </w:tr>
      <w:tr w14:paraId="02FE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14:paraId="1A2832F3">
            <w:pPr>
              <w:keepNext w:val="0"/>
              <w:keepLines w:val="0"/>
              <w:pageBreakBefore w:val="0"/>
              <w:widowControl w:val="0"/>
              <w:tabs>
                <w:tab w:val="left" w:pos="8100"/>
              </w:tabs>
              <w:kinsoku/>
              <w:wordWrap/>
              <w:overflowPunct/>
              <w:topLinePunct w:val="0"/>
              <w:autoSpaceDE/>
              <w:autoSpaceDN/>
              <w:bidi w:val="0"/>
              <w:adjustRightInd/>
              <w:snapToGrid/>
              <w:spacing w:line="240" w:lineRule="auto"/>
              <w:jc w:val="center"/>
              <w:textAlignment w:val="auto"/>
              <w:rPr>
                <w:rFonts w:eastAsia="宋体" w:cs="Times New Roman"/>
                <w:szCs w:val="24"/>
              </w:rPr>
            </w:pPr>
            <w:r>
              <w:rPr>
                <w:rFonts w:eastAsia="宋体" w:cs="Times New Roman"/>
                <w:szCs w:val="24"/>
              </w:rPr>
              <w:t>塔吊</w:t>
            </w:r>
            <w:r>
              <w:rPr>
                <w:rFonts w:hint="eastAsia" w:eastAsia="宋体" w:cs="Times New Roman"/>
                <w:szCs w:val="24"/>
                <w:lang w:eastAsia="zh-CN"/>
              </w:rPr>
              <w:t>安拆</w:t>
            </w:r>
            <w:r>
              <w:rPr>
                <w:rFonts w:eastAsia="宋体" w:cs="Times New Roman"/>
                <w:szCs w:val="24"/>
              </w:rPr>
              <w:t>钢丝绳安全系数取</w:t>
            </w:r>
            <w:r>
              <w:rPr>
                <w:rFonts w:hint="eastAsia" w:eastAsia="宋体" w:cs="Times New Roman"/>
                <w:szCs w:val="24"/>
                <w:lang w:val="en-US" w:eastAsia="zh-CN"/>
              </w:rPr>
              <w:t>6</w:t>
            </w:r>
            <w:r>
              <w:rPr>
                <w:rFonts w:hint="eastAsia" w:eastAsia="宋体" w:cs="Times New Roman"/>
                <w:szCs w:val="24"/>
              </w:rPr>
              <w:t>，</w:t>
            </w:r>
            <w:r>
              <w:rPr>
                <w:rFonts w:eastAsia="宋体" w:cs="Times New Roman"/>
                <w:szCs w:val="24"/>
              </w:rPr>
              <w:t>公称抗拉强度</w:t>
            </w:r>
            <w:r>
              <w:rPr>
                <w:rFonts w:hint="eastAsia" w:eastAsia="宋体" w:cs="Times New Roman"/>
                <w:szCs w:val="24"/>
                <w:lang w:val="en-US" w:eastAsia="zh-CN"/>
              </w:rPr>
              <w:t>1870</w:t>
            </w:r>
            <w:r>
              <w:rPr>
                <w:rFonts w:eastAsia="宋体" w:cs="Times New Roman"/>
                <w:szCs w:val="24"/>
              </w:rPr>
              <w:t>MPa</w:t>
            </w:r>
          </w:p>
        </w:tc>
      </w:tr>
    </w:tbl>
    <w:p w14:paraId="63206D04">
      <w:pPr>
        <w:rPr>
          <w:rFonts w:cs="Times New Roman"/>
        </w:rPr>
      </w:pPr>
      <w:r>
        <w:rPr>
          <w:rFonts w:hint="eastAsia" w:cs="Times New Roman"/>
        </w:rPr>
        <w:br w:type="page"/>
      </w:r>
    </w:p>
    <w:p w14:paraId="442D74C3">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32" w:name="_Toc13232"/>
      <w:r>
        <w:rPr>
          <w:rFonts w:hint="eastAsia" w:cs="Times New Roman"/>
        </w:rPr>
        <w:t>施工安全保证措施</w:t>
      </w:r>
      <w:bookmarkEnd w:id="32"/>
    </w:p>
    <w:p w14:paraId="03F1DF0A">
      <w:pPr>
        <w:pStyle w:val="5"/>
        <w:pageBreakBefore w:val="0"/>
        <w:numPr>
          <w:ilvl w:val="0"/>
          <w:numId w:val="9"/>
        </w:numPr>
        <w:kinsoku/>
        <w:wordWrap/>
        <w:overflowPunct/>
        <w:topLinePunct w:val="0"/>
        <w:bidi w:val="0"/>
        <w:spacing w:line="360" w:lineRule="auto"/>
        <w:ind w:left="425" w:leftChars="0" w:hanging="425" w:firstLineChars="0"/>
        <w:rPr>
          <w:rFonts w:hint="eastAsia" w:cs="Times New Roman"/>
          <w:lang w:val="en-US" w:eastAsia="zh-CN"/>
        </w:rPr>
      </w:pPr>
      <w:bookmarkStart w:id="33" w:name="_Toc12990"/>
      <w:r>
        <w:rPr>
          <w:rFonts w:hint="eastAsia" w:cs="Times New Roman"/>
          <w:lang w:val="en-US" w:eastAsia="zh-CN"/>
        </w:rPr>
        <w:t>组织保障</w:t>
      </w:r>
      <w:bookmarkEnd w:id="33"/>
    </w:p>
    <w:p w14:paraId="471DEEE4">
      <w:pPr>
        <w:keepNext w:val="0"/>
        <w:keepLines w:val="0"/>
        <w:pageBreakBefore w:val="0"/>
        <w:kinsoku/>
        <w:wordWrap/>
        <w:overflowPunct/>
        <w:topLinePunct w:val="0"/>
        <w:autoSpaceDE/>
        <w:autoSpaceDN/>
        <w:bidi w:val="0"/>
        <w:snapToGrid/>
        <w:spacing w:line="360" w:lineRule="auto"/>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设立由总指挥、技术负责人、专职安全员、作业班组组成的四级安全管理体系，明确总指挥负责整体协调与决策，安全员负责现场监督，作业人员按工种（起重工、电工、信号工等）持证上岗并分工到岗。</w:t>
      </w:r>
    </w:p>
    <w:p w14:paraId="385BAE43">
      <w:pPr>
        <w:keepNext w:val="0"/>
        <w:keepLines w:val="0"/>
        <w:pageBreakBefore w:val="0"/>
        <w:kinsoku/>
        <w:wordWrap/>
        <w:overflowPunct/>
        <w:topLinePunct w:val="0"/>
        <w:autoSpaceDE/>
        <w:autoSpaceDN/>
        <w:bidi w:val="0"/>
        <w:snapToGrid/>
        <w:spacing w:line="360" w:lineRule="auto"/>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责任落实到人要求签署《安全责任书》，明确职责范围（如技术负责人需审核方案并监督执行，班组人员需按规程操作），并在交底记录中体现签字确认。</w:t>
      </w:r>
    </w:p>
    <w:p w14:paraId="24436485">
      <w:pPr>
        <w:pStyle w:val="99"/>
        <w:rPr>
          <w:rFonts w:hint="eastAsia" w:eastAsia="宋体"/>
          <w:highlight w:val="none"/>
          <w:shd w:val="clear"/>
          <w:lang w:val="en-US" w:eastAsia="zh-CN"/>
        </w:rPr>
      </w:pPr>
      <w:r>
        <w:rPr>
          <w:rFonts w:hint="eastAsia"/>
          <w:highlight w:val="none"/>
          <w:shd w:val="clear"/>
          <w:lang w:val="en-US" w:eastAsia="zh-CN"/>
        </w:rPr>
        <w:t>表7.1</w:t>
      </w:r>
      <w:r>
        <w:rPr>
          <w:rFonts w:hint="eastAsia"/>
          <w:highlight w:val="none"/>
          <w:shd w:val="clear"/>
        </w:rPr>
        <w:t xml:space="preserve">-1 </w:t>
      </w:r>
      <w:r>
        <w:rPr>
          <w:rFonts w:hint="eastAsia"/>
          <w:highlight w:val="none"/>
          <w:shd w:val="clear"/>
          <w:lang w:val="en-US" w:eastAsia="zh-CN"/>
        </w:rPr>
        <w:t>安全</w:t>
      </w:r>
      <w:r>
        <w:rPr>
          <w:rFonts w:hint="eastAsia"/>
          <w:highlight w:val="none"/>
          <w:shd w:val="clear"/>
        </w:rPr>
        <w:t>管理组织机构</w:t>
      </w:r>
      <w:r>
        <w:rPr>
          <w:rFonts w:hint="eastAsia"/>
          <w:highlight w:val="none"/>
          <w:shd w:val="clear"/>
          <w:lang w:val="en-US" w:eastAsia="zh-CN"/>
        </w:rPr>
        <w:t>表</w:t>
      </w:r>
    </w:p>
    <w:tbl>
      <w:tblPr>
        <w:tblStyle w:val="10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2150"/>
        <w:gridCol w:w="890"/>
        <w:gridCol w:w="4475"/>
        <w:gridCol w:w="505"/>
      </w:tblGrid>
      <w:tr w14:paraId="25FFA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0B7B38FE">
            <w:pPr>
              <w:spacing w:line="240" w:lineRule="auto"/>
              <w:ind w:firstLine="0" w:firstLineChars="0"/>
              <w:jc w:val="center"/>
              <w:rPr>
                <w:b/>
                <w:sz w:val="21"/>
                <w:highlight w:val="yellow"/>
              </w:rPr>
            </w:pPr>
            <w:r>
              <w:rPr>
                <w:rFonts w:hint="eastAsia"/>
                <w:b/>
                <w:sz w:val="21"/>
                <w:highlight w:val="yellow"/>
              </w:rPr>
              <w:t>序号</w:t>
            </w:r>
          </w:p>
        </w:tc>
        <w:tc>
          <w:tcPr>
            <w:tcW w:w="1261" w:type="pct"/>
            <w:shd w:val="clear" w:color="auto" w:fill="auto"/>
            <w:vAlign w:val="center"/>
          </w:tcPr>
          <w:p w14:paraId="54EDCB41">
            <w:pPr>
              <w:spacing w:line="240" w:lineRule="auto"/>
              <w:ind w:firstLine="0" w:firstLineChars="0"/>
              <w:jc w:val="center"/>
              <w:rPr>
                <w:rFonts w:hint="eastAsia" w:eastAsia="宋体"/>
                <w:b/>
                <w:bCs/>
                <w:sz w:val="21"/>
                <w:highlight w:val="yellow"/>
                <w:lang w:eastAsia="zh-CN"/>
              </w:rPr>
            </w:pPr>
            <w:r>
              <w:rPr>
                <w:rFonts w:hint="eastAsia"/>
                <w:b/>
                <w:bCs/>
                <w:sz w:val="21"/>
                <w:highlight w:val="yellow"/>
                <w:lang w:val="en-US" w:eastAsia="zh-CN"/>
              </w:rPr>
              <w:t>岗位</w:t>
            </w:r>
          </w:p>
        </w:tc>
        <w:tc>
          <w:tcPr>
            <w:tcW w:w="522" w:type="pct"/>
            <w:shd w:val="clear" w:color="auto" w:fill="auto"/>
            <w:vAlign w:val="center"/>
          </w:tcPr>
          <w:p w14:paraId="7A1BABF6">
            <w:pPr>
              <w:spacing w:line="240" w:lineRule="auto"/>
              <w:ind w:firstLine="0" w:firstLineChars="0"/>
              <w:jc w:val="center"/>
              <w:rPr>
                <w:rFonts w:hint="eastAsia" w:eastAsia="宋体"/>
                <w:b/>
                <w:sz w:val="21"/>
                <w:highlight w:val="yellow"/>
                <w:lang w:eastAsia="zh-CN"/>
              </w:rPr>
            </w:pPr>
            <w:r>
              <w:rPr>
                <w:rFonts w:hint="eastAsia"/>
                <w:b/>
                <w:bCs/>
                <w:sz w:val="21"/>
                <w:highlight w:val="yellow"/>
                <w:lang w:val="en-US" w:eastAsia="zh-CN"/>
              </w:rPr>
              <w:t>姓名</w:t>
            </w:r>
          </w:p>
        </w:tc>
        <w:tc>
          <w:tcPr>
            <w:tcW w:w="2625" w:type="pct"/>
            <w:shd w:val="clear" w:color="auto" w:fill="auto"/>
            <w:vAlign w:val="center"/>
          </w:tcPr>
          <w:p w14:paraId="1AACBBE7">
            <w:pPr>
              <w:spacing w:line="240" w:lineRule="auto"/>
              <w:ind w:firstLine="0" w:firstLineChars="0"/>
              <w:jc w:val="center"/>
              <w:rPr>
                <w:rFonts w:hint="eastAsia" w:eastAsia="宋体"/>
                <w:b/>
                <w:sz w:val="21"/>
                <w:highlight w:val="yellow"/>
                <w:lang w:eastAsia="zh-CN"/>
              </w:rPr>
            </w:pPr>
            <w:r>
              <w:rPr>
                <w:rFonts w:hint="eastAsia"/>
                <w:b/>
                <w:sz w:val="21"/>
                <w:highlight w:val="yellow"/>
                <w:lang w:val="en-US" w:eastAsia="zh-CN"/>
              </w:rPr>
              <w:t>工作职责</w:t>
            </w:r>
          </w:p>
        </w:tc>
        <w:tc>
          <w:tcPr>
            <w:tcW w:w="296" w:type="pct"/>
            <w:shd w:val="clear" w:color="auto" w:fill="auto"/>
            <w:vAlign w:val="center"/>
          </w:tcPr>
          <w:p w14:paraId="1F1995F1">
            <w:pPr>
              <w:spacing w:line="240" w:lineRule="auto"/>
              <w:ind w:firstLine="0" w:firstLineChars="0"/>
              <w:jc w:val="center"/>
              <w:rPr>
                <w:rFonts w:hint="eastAsia" w:eastAsia="宋体"/>
                <w:b/>
                <w:sz w:val="21"/>
                <w:highlight w:val="yellow"/>
                <w:lang w:val="en-US" w:eastAsia="zh-CN"/>
              </w:rPr>
            </w:pPr>
            <w:r>
              <w:rPr>
                <w:rFonts w:hint="eastAsia"/>
                <w:b/>
                <w:sz w:val="21"/>
                <w:highlight w:val="yellow"/>
                <w:lang w:val="en-US" w:eastAsia="zh-CN"/>
              </w:rPr>
              <w:t>备注</w:t>
            </w:r>
          </w:p>
        </w:tc>
      </w:tr>
      <w:tr w14:paraId="76871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2C20CE8">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25156EEA">
            <w:pPr>
              <w:pStyle w:val="13"/>
              <w:ind w:firstLine="0" w:firstLineChars="0"/>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t>技术负责人</w:t>
            </w:r>
          </w:p>
        </w:tc>
        <w:tc>
          <w:tcPr>
            <w:tcW w:w="522" w:type="pct"/>
            <w:shd w:val="clear" w:color="auto" w:fill="auto"/>
            <w:vAlign w:val="center"/>
          </w:tcPr>
          <w:p w14:paraId="6A025C7E">
            <w:pPr>
              <w:pStyle w:val="13"/>
              <w:spacing w:line="240" w:lineRule="auto"/>
              <w:ind w:firstLine="0" w:firstLineChars="0"/>
              <w:jc w:val="cente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t>温涛</w:t>
            </w:r>
          </w:p>
        </w:tc>
        <w:tc>
          <w:tcPr>
            <w:tcW w:w="2625" w:type="pct"/>
            <w:shd w:val="clear" w:color="auto" w:fill="auto"/>
            <w:vAlign w:val="center"/>
          </w:tcPr>
          <w:p w14:paraId="44F7A145">
            <w:pPr>
              <w:pStyle w:val="13"/>
              <w:ind w:firstLine="0" w:firstLineChars="0"/>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t>负责组织人员按安拆工艺规程及塔吊使用说明书要求进行作业，负责每日的工作安排，安全交底、工作记录，制止任何违章作业。</w:t>
            </w:r>
          </w:p>
        </w:tc>
        <w:tc>
          <w:tcPr>
            <w:tcW w:w="296" w:type="pct"/>
            <w:shd w:val="clear" w:color="auto" w:fill="auto"/>
            <w:vAlign w:val="center"/>
          </w:tcPr>
          <w:p w14:paraId="43FB92AB">
            <w:pPr>
              <w:spacing w:line="240" w:lineRule="auto"/>
              <w:ind w:firstLine="0" w:firstLineChars="0"/>
              <w:jc w:val="center"/>
              <w:rPr>
                <w:sz w:val="21"/>
                <w:highlight w:val="yellow"/>
              </w:rPr>
            </w:pPr>
          </w:p>
        </w:tc>
      </w:tr>
      <w:tr w14:paraId="5EA7A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8341862">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584AF9AB">
            <w:pPr>
              <w:pStyle w:val="13"/>
              <w:ind w:firstLine="0" w:firstLineChars="0"/>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t>项目负责人</w:t>
            </w:r>
          </w:p>
        </w:tc>
        <w:tc>
          <w:tcPr>
            <w:tcW w:w="522" w:type="pct"/>
            <w:shd w:val="clear" w:color="auto" w:fill="auto"/>
            <w:vAlign w:val="center"/>
          </w:tcPr>
          <w:p w14:paraId="1B076A56">
            <w:pPr>
              <w:pStyle w:val="13"/>
              <w:spacing w:line="240" w:lineRule="auto"/>
              <w:ind w:firstLine="0" w:firstLineChars="0"/>
              <w:jc w:val="cente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t>明兴富</w:t>
            </w:r>
          </w:p>
        </w:tc>
        <w:tc>
          <w:tcPr>
            <w:tcW w:w="2625" w:type="pct"/>
            <w:shd w:val="clear" w:color="auto" w:fill="auto"/>
            <w:vAlign w:val="center"/>
          </w:tcPr>
          <w:p w14:paraId="70302209">
            <w:pPr>
              <w:pStyle w:val="13"/>
              <w:ind w:firstLine="0" w:firstLineChars="0"/>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pPr>
          </w:p>
        </w:tc>
        <w:tc>
          <w:tcPr>
            <w:tcW w:w="296" w:type="pct"/>
            <w:shd w:val="clear" w:color="auto" w:fill="auto"/>
            <w:vAlign w:val="center"/>
          </w:tcPr>
          <w:p w14:paraId="4D59372F">
            <w:pPr>
              <w:spacing w:line="240" w:lineRule="auto"/>
              <w:ind w:firstLine="0" w:firstLineChars="0"/>
              <w:jc w:val="center"/>
              <w:rPr>
                <w:sz w:val="21"/>
                <w:highlight w:val="yellow"/>
              </w:rPr>
            </w:pPr>
          </w:p>
        </w:tc>
      </w:tr>
      <w:tr w14:paraId="5416B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62ABB5E">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4A5FEC22">
            <w:pPr>
              <w:pStyle w:val="13"/>
              <w:ind w:firstLine="0" w:firstLineChars="0"/>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t>现场负责人</w:t>
            </w:r>
          </w:p>
        </w:tc>
        <w:tc>
          <w:tcPr>
            <w:tcW w:w="522" w:type="pct"/>
            <w:shd w:val="clear" w:color="auto" w:fill="auto"/>
            <w:vAlign w:val="center"/>
          </w:tcPr>
          <w:p w14:paraId="5C0D1B7E">
            <w:pPr>
              <w:pStyle w:val="13"/>
              <w:spacing w:line="240" w:lineRule="auto"/>
              <w:ind w:firstLine="0" w:firstLineChars="0"/>
              <w:jc w:val="cente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t>白美富</w:t>
            </w:r>
          </w:p>
        </w:tc>
        <w:tc>
          <w:tcPr>
            <w:tcW w:w="2625" w:type="pct"/>
            <w:shd w:val="clear" w:color="auto" w:fill="auto"/>
            <w:vAlign w:val="center"/>
          </w:tcPr>
          <w:p w14:paraId="2AC96AFA">
            <w:pPr>
              <w:pStyle w:val="13"/>
              <w:ind w:firstLine="0" w:firstLineChars="0"/>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yellow"/>
                <w:lang w:val="en-US" w:eastAsia="zh-CN" w:bidi="ar-SA"/>
                <w14:textFill>
                  <w14:solidFill>
                    <w14:schemeClr w14:val="tx1"/>
                  </w14:solidFill>
                </w14:textFill>
              </w:rPr>
              <w:t>负责现场安拆指导及安全管理</w:t>
            </w:r>
          </w:p>
        </w:tc>
        <w:tc>
          <w:tcPr>
            <w:tcW w:w="296" w:type="pct"/>
            <w:shd w:val="clear" w:color="auto" w:fill="auto"/>
            <w:vAlign w:val="center"/>
          </w:tcPr>
          <w:p w14:paraId="0F846CCA">
            <w:pPr>
              <w:spacing w:line="240" w:lineRule="auto"/>
              <w:ind w:firstLine="0" w:firstLineChars="0"/>
              <w:jc w:val="center"/>
              <w:rPr>
                <w:sz w:val="21"/>
                <w:highlight w:val="yellow"/>
              </w:rPr>
            </w:pPr>
          </w:p>
        </w:tc>
      </w:tr>
      <w:tr w14:paraId="553FE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3626A0D">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2A641BDA">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14BD704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Style w:val="72"/>
                <w:rFonts w:hint="eastAsia" w:cstheme="minorBidi"/>
                <w:b w:val="0"/>
                <w:i w:val="0"/>
                <w:color w:val="000000"/>
                <w:highlight w:val="yellow"/>
                <w:lang w:val="en-US" w:eastAsia="zh-CN"/>
              </w:rPr>
              <w:t>黄科</w:t>
            </w:r>
          </w:p>
        </w:tc>
        <w:tc>
          <w:tcPr>
            <w:tcW w:w="2625" w:type="pct"/>
            <w:shd w:val="clear" w:color="auto" w:fill="auto"/>
            <w:vAlign w:val="center"/>
          </w:tcPr>
          <w:p w14:paraId="6E54C2B8">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负责设备安拆调试</w:t>
            </w:r>
          </w:p>
          <w:p w14:paraId="0A574D7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及维保</w:t>
            </w:r>
          </w:p>
        </w:tc>
        <w:tc>
          <w:tcPr>
            <w:tcW w:w="296" w:type="pct"/>
            <w:shd w:val="clear" w:color="auto" w:fill="auto"/>
            <w:vAlign w:val="center"/>
          </w:tcPr>
          <w:p w14:paraId="34FA7C63">
            <w:pPr>
              <w:spacing w:line="240" w:lineRule="auto"/>
              <w:ind w:firstLine="0" w:firstLineChars="0"/>
              <w:jc w:val="center"/>
              <w:rPr>
                <w:sz w:val="21"/>
                <w:highlight w:val="yellow"/>
              </w:rPr>
            </w:pPr>
          </w:p>
        </w:tc>
      </w:tr>
      <w:tr w14:paraId="18CA0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FA690DA">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3CE5DD7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8E99354">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Style w:val="72"/>
                <w:rFonts w:hint="eastAsia" w:cstheme="minorBidi"/>
                <w:b w:val="0"/>
                <w:i w:val="0"/>
                <w:color w:val="000000"/>
                <w:highlight w:val="yellow"/>
                <w:lang w:val="en-US" w:eastAsia="zh-CN"/>
              </w:rPr>
              <w:t>徐刚</w:t>
            </w:r>
          </w:p>
        </w:tc>
        <w:tc>
          <w:tcPr>
            <w:tcW w:w="2625" w:type="pct"/>
            <w:shd w:val="clear" w:color="auto" w:fill="auto"/>
            <w:vAlign w:val="center"/>
          </w:tcPr>
          <w:p w14:paraId="68BF7A1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负责设备安拆调试及维保</w:t>
            </w:r>
          </w:p>
        </w:tc>
        <w:tc>
          <w:tcPr>
            <w:tcW w:w="296" w:type="pct"/>
            <w:shd w:val="clear" w:color="auto" w:fill="auto"/>
            <w:vAlign w:val="center"/>
          </w:tcPr>
          <w:p w14:paraId="3B92CFD4">
            <w:pPr>
              <w:spacing w:line="240" w:lineRule="auto"/>
              <w:ind w:firstLine="0" w:firstLineChars="0"/>
              <w:jc w:val="center"/>
              <w:rPr>
                <w:sz w:val="21"/>
                <w:highlight w:val="yellow"/>
              </w:rPr>
            </w:pPr>
          </w:p>
        </w:tc>
      </w:tr>
      <w:tr w14:paraId="3AB0F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3CFD67A3">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67CC8E03">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1A0AE2D">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王祯权</w:t>
            </w:r>
          </w:p>
        </w:tc>
        <w:tc>
          <w:tcPr>
            <w:tcW w:w="2625" w:type="pct"/>
            <w:shd w:val="clear" w:color="auto" w:fill="auto"/>
            <w:vAlign w:val="center"/>
          </w:tcPr>
          <w:p w14:paraId="0AB5C20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负责设备安拆调试及维保</w:t>
            </w:r>
          </w:p>
        </w:tc>
        <w:tc>
          <w:tcPr>
            <w:tcW w:w="296" w:type="pct"/>
            <w:shd w:val="clear" w:color="auto" w:fill="auto"/>
            <w:vAlign w:val="center"/>
          </w:tcPr>
          <w:p w14:paraId="111B7182">
            <w:pPr>
              <w:spacing w:line="240" w:lineRule="auto"/>
              <w:ind w:firstLine="0" w:firstLineChars="0"/>
              <w:jc w:val="center"/>
              <w:rPr>
                <w:sz w:val="21"/>
                <w:highlight w:val="yellow"/>
              </w:rPr>
            </w:pPr>
          </w:p>
        </w:tc>
      </w:tr>
      <w:tr w14:paraId="1B45F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7FBF856">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18246A8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B8DBD29">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Style w:val="72"/>
                <w:rFonts w:hint="eastAsia" w:cstheme="minorBidi"/>
                <w:b w:val="0"/>
                <w:i w:val="0"/>
                <w:color w:val="000000"/>
                <w:highlight w:val="yellow"/>
                <w:lang w:val="en-US" w:eastAsia="zh-CN"/>
              </w:rPr>
              <w:t>黄仁训</w:t>
            </w:r>
          </w:p>
        </w:tc>
        <w:tc>
          <w:tcPr>
            <w:tcW w:w="2625" w:type="pct"/>
            <w:shd w:val="clear" w:color="auto" w:fill="auto"/>
            <w:vAlign w:val="center"/>
          </w:tcPr>
          <w:p w14:paraId="4FF8317E">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负责设备安拆调试及维保</w:t>
            </w:r>
          </w:p>
        </w:tc>
        <w:tc>
          <w:tcPr>
            <w:tcW w:w="296" w:type="pct"/>
            <w:shd w:val="clear" w:color="auto" w:fill="auto"/>
            <w:vAlign w:val="center"/>
          </w:tcPr>
          <w:p w14:paraId="3BB5CB54">
            <w:pPr>
              <w:spacing w:line="240" w:lineRule="auto"/>
              <w:ind w:firstLine="0" w:firstLineChars="0"/>
              <w:jc w:val="center"/>
              <w:rPr>
                <w:sz w:val="21"/>
                <w:highlight w:val="yellow"/>
              </w:rPr>
            </w:pPr>
          </w:p>
        </w:tc>
      </w:tr>
      <w:tr w14:paraId="41E6F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D6D8891">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4094A72C">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建筑电工（维保人员）</w:t>
            </w:r>
          </w:p>
        </w:tc>
        <w:tc>
          <w:tcPr>
            <w:tcW w:w="522" w:type="pct"/>
            <w:shd w:val="clear" w:color="auto" w:fill="auto"/>
            <w:vAlign w:val="center"/>
          </w:tcPr>
          <w:p w14:paraId="317A19A2">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Style w:val="72"/>
                <w:rFonts w:hint="eastAsia" w:cstheme="minorBidi"/>
                <w:b w:val="0"/>
                <w:i w:val="0"/>
                <w:color w:val="000000"/>
                <w:highlight w:val="yellow"/>
                <w:lang w:val="en-US" w:eastAsia="zh-CN"/>
              </w:rPr>
              <w:t>蒲贵良</w:t>
            </w:r>
          </w:p>
        </w:tc>
        <w:tc>
          <w:tcPr>
            <w:tcW w:w="2625" w:type="pct"/>
            <w:shd w:val="clear" w:color="auto" w:fill="auto"/>
            <w:vAlign w:val="center"/>
          </w:tcPr>
          <w:p w14:paraId="44AE0021">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负责设备安拆电气调试及维保</w:t>
            </w:r>
          </w:p>
        </w:tc>
        <w:tc>
          <w:tcPr>
            <w:tcW w:w="296" w:type="pct"/>
            <w:shd w:val="clear" w:color="auto" w:fill="auto"/>
            <w:vAlign w:val="center"/>
          </w:tcPr>
          <w:p w14:paraId="666574D0">
            <w:pPr>
              <w:spacing w:line="240" w:lineRule="auto"/>
              <w:ind w:firstLine="0" w:firstLineChars="0"/>
              <w:jc w:val="center"/>
              <w:rPr>
                <w:sz w:val="21"/>
                <w:highlight w:val="yellow"/>
              </w:rPr>
            </w:pPr>
          </w:p>
        </w:tc>
      </w:tr>
      <w:tr w14:paraId="445F9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F51BD26">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440ABAB7">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司机</w:t>
            </w:r>
          </w:p>
        </w:tc>
        <w:tc>
          <w:tcPr>
            <w:tcW w:w="522" w:type="pct"/>
            <w:shd w:val="clear" w:color="auto" w:fill="auto"/>
            <w:vAlign w:val="center"/>
          </w:tcPr>
          <w:p w14:paraId="6DB1A7D0">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Style w:val="72"/>
                <w:rFonts w:hint="eastAsia" w:cstheme="minorBidi"/>
                <w:b w:val="0"/>
                <w:i w:val="0"/>
                <w:color w:val="000000"/>
                <w:highlight w:val="yellow"/>
                <w:lang w:val="en-US" w:eastAsia="zh-CN"/>
              </w:rPr>
              <w:t>彭兴华</w:t>
            </w:r>
          </w:p>
        </w:tc>
        <w:tc>
          <w:tcPr>
            <w:tcW w:w="2625" w:type="pct"/>
            <w:shd w:val="clear" w:color="auto" w:fill="auto"/>
            <w:vAlign w:val="center"/>
          </w:tcPr>
          <w:p w14:paraId="20875034">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在安拆过程中对塔吊进行操作。严守操作规程，严格安照日常保养维护检查，确保塔吊处于良好状态。</w:t>
            </w:r>
          </w:p>
        </w:tc>
        <w:tc>
          <w:tcPr>
            <w:tcW w:w="296" w:type="pct"/>
            <w:shd w:val="clear" w:color="auto" w:fill="auto"/>
            <w:vAlign w:val="center"/>
          </w:tcPr>
          <w:p w14:paraId="0BD305DE">
            <w:pPr>
              <w:spacing w:line="240" w:lineRule="auto"/>
              <w:ind w:firstLine="0" w:firstLineChars="0"/>
              <w:jc w:val="center"/>
              <w:rPr>
                <w:sz w:val="21"/>
                <w:highlight w:val="yellow"/>
              </w:rPr>
            </w:pPr>
          </w:p>
        </w:tc>
      </w:tr>
      <w:tr w14:paraId="2EA05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270C56E">
            <w:pPr>
              <w:numPr>
                <w:ilvl w:val="0"/>
                <w:numId w:val="10"/>
              </w:numPr>
              <w:spacing w:line="240" w:lineRule="auto"/>
              <w:ind w:left="0" w:leftChars="0" w:firstLine="0" w:firstLineChars="0"/>
              <w:jc w:val="center"/>
              <w:rPr>
                <w:sz w:val="21"/>
                <w:highlight w:val="yellow"/>
              </w:rPr>
            </w:pPr>
          </w:p>
        </w:tc>
        <w:tc>
          <w:tcPr>
            <w:tcW w:w="1261" w:type="pct"/>
            <w:shd w:val="clear" w:color="auto" w:fill="auto"/>
            <w:vAlign w:val="center"/>
          </w:tcPr>
          <w:p w14:paraId="1954F0CE">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指挥</w:t>
            </w:r>
          </w:p>
        </w:tc>
        <w:tc>
          <w:tcPr>
            <w:tcW w:w="522" w:type="pct"/>
            <w:shd w:val="clear" w:color="auto" w:fill="auto"/>
            <w:vAlign w:val="center"/>
          </w:tcPr>
          <w:p w14:paraId="05D09984">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张全超</w:t>
            </w:r>
          </w:p>
        </w:tc>
        <w:tc>
          <w:tcPr>
            <w:tcW w:w="2625" w:type="pct"/>
            <w:shd w:val="clear" w:color="auto" w:fill="auto"/>
            <w:vAlign w:val="center"/>
          </w:tcPr>
          <w:p w14:paraId="4B8B9B56">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t>负责安拆过程中的指挥信号</w:t>
            </w:r>
          </w:p>
        </w:tc>
        <w:tc>
          <w:tcPr>
            <w:tcW w:w="296" w:type="pct"/>
            <w:shd w:val="clear" w:color="auto" w:fill="auto"/>
            <w:vAlign w:val="center"/>
          </w:tcPr>
          <w:p w14:paraId="22EA4E9B">
            <w:pPr>
              <w:spacing w:line="240" w:lineRule="auto"/>
              <w:ind w:firstLine="0" w:firstLineChars="0"/>
              <w:jc w:val="center"/>
              <w:rPr>
                <w:sz w:val="21"/>
                <w:highlight w:val="yellow"/>
              </w:rPr>
            </w:pPr>
          </w:p>
        </w:tc>
      </w:tr>
    </w:tbl>
    <w:p w14:paraId="4616BBF9">
      <w:pPr>
        <w:pStyle w:val="17"/>
        <w:spacing w:after="0" w:line="240" w:lineRule="auto"/>
        <w:rPr>
          <w:rFonts w:hint="eastAsia"/>
          <w:lang w:val="en-US" w:eastAsia="zh-CN"/>
        </w:rPr>
      </w:pPr>
    </w:p>
    <w:p w14:paraId="2CB65737">
      <w:pPr>
        <w:pStyle w:val="5"/>
        <w:pageBreakBefore w:val="0"/>
        <w:numPr>
          <w:ilvl w:val="0"/>
          <w:numId w:val="9"/>
        </w:numPr>
        <w:kinsoku/>
        <w:wordWrap/>
        <w:overflowPunct/>
        <w:topLinePunct w:val="0"/>
        <w:bidi w:val="0"/>
        <w:spacing w:line="360" w:lineRule="auto"/>
        <w:ind w:left="425" w:leftChars="0" w:hanging="425" w:firstLineChars="0"/>
        <w:rPr>
          <w:rFonts w:hint="eastAsia" w:cs="Times New Roman"/>
          <w:lang w:val="en-US" w:eastAsia="zh-CN"/>
        </w:rPr>
      </w:pPr>
      <w:bookmarkStart w:id="34" w:name="_Toc21696"/>
      <w:r>
        <w:rPr>
          <w:rFonts w:hint="eastAsia" w:cs="Times New Roman"/>
          <w:lang w:val="en-US" w:eastAsia="zh-CN"/>
        </w:rPr>
        <w:t>技术措施</w:t>
      </w:r>
      <w:bookmarkEnd w:id="34"/>
    </w:p>
    <w:p w14:paraId="303A27FF">
      <w:pPr>
        <w:keepNext w:val="0"/>
        <w:keepLines w:val="0"/>
        <w:pageBreakBefore w:val="0"/>
        <w:kinsoku/>
        <w:wordWrap/>
        <w:overflowPunct/>
        <w:topLinePunct w:val="0"/>
        <w:autoSpaceDE/>
        <w:autoSpaceDN/>
        <w:bidi w:val="0"/>
        <w:snapToGrid/>
        <w:spacing w:line="360" w:lineRule="auto"/>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临边与洞口防护：操作平台设置双层防护栏杆（上杆高1.2m，下杆高0.6m），挂设密目式安全立网；通道搭设双层防护棚，覆盖坠落半径范围。</w:t>
      </w:r>
    </w:p>
    <w:p w14:paraId="15447327">
      <w:pPr>
        <w:keepNext w:val="0"/>
        <w:keepLines w:val="0"/>
        <w:pageBreakBefore w:val="0"/>
        <w:kinsoku/>
        <w:wordWrap/>
        <w:overflowPunct/>
        <w:topLinePunct w:val="0"/>
        <w:autoSpaceDE/>
        <w:autoSpaceDN/>
        <w:bidi w:val="0"/>
        <w:snapToGrid/>
        <w:spacing w:line="360" w:lineRule="auto"/>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高处作业规范：作业人员必须穿戴安全帽、防滑鞋、安全带（高挂低用），禁止抛掷工具，物料传递使用专用工具袋。</w:t>
      </w:r>
    </w:p>
    <w:p w14:paraId="471856A9">
      <w:pPr>
        <w:keepNext w:val="0"/>
        <w:keepLines w:val="0"/>
        <w:pageBreakBefore w:val="0"/>
        <w:kinsoku/>
        <w:wordWrap/>
        <w:overflowPunct/>
        <w:topLinePunct w:val="0"/>
        <w:autoSpaceDE/>
        <w:autoSpaceDN/>
        <w:bidi w:val="0"/>
        <w:snapToGrid/>
        <w:spacing w:line="360" w:lineRule="auto"/>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关键工序控制：附着杆安拆前需确保塔身自由高度符合说明书要求；降节时风速不得超4级，液压系统油压≤21MPa，顶升速度≤0.47m/min。</w:t>
      </w:r>
    </w:p>
    <w:p w14:paraId="00E86FB8">
      <w:pPr>
        <w:pStyle w:val="5"/>
        <w:pageBreakBefore w:val="0"/>
        <w:numPr>
          <w:ilvl w:val="0"/>
          <w:numId w:val="9"/>
        </w:numPr>
        <w:kinsoku/>
        <w:wordWrap/>
        <w:overflowPunct/>
        <w:topLinePunct w:val="0"/>
        <w:bidi w:val="0"/>
        <w:spacing w:line="360" w:lineRule="auto"/>
        <w:ind w:left="425" w:leftChars="0" w:hanging="425" w:firstLineChars="0"/>
        <w:rPr>
          <w:rFonts w:hint="eastAsia" w:cs="Times New Roman"/>
          <w:lang w:val="en-US" w:eastAsia="zh-CN"/>
        </w:rPr>
      </w:pPr>
      <w:bookmarkStart w:id="35" w:name="_Toc1469"/>
      <w:r>
        <w:rPr>
          <w:rFonts w:hint="eastAsia" w:cs="Times New Roman"/>
          <w:lang w:val="en-US" w:eastAsia="zh-CN"/>
        </w:rPr>
        <w:t>安全管理制度</w:t>
      </w:r>
      <w:bookmarkEnd w:id="35"/>
    </w:p>
    <w:p w14:paraId="632DE99A">
      <w:pPr>
        <w:keepNext w:val="0"/>
        <w:keepLines w:val="0"/>
        <w:pageBreakBefore w:val="0"/>
        <w:kinsoku/>
        <w:wordWrap/>
        <w:overflowPunct/>
        <w:topLinePunct w:val="0"/>
        <w:autoSpaceDE/>
        <w:autoSpaceDN/>
        <w:bidi w:val="0"/>
        <w:snapToGrid/>
        <w:spacing w:line="360" w:lineRule="auto"/>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安拆前需结合方案进行针对性交底，内容涵盖安拆顺序（如先降节后拆锚固）、危险源（如高空坠落、物体打击）及防护要求，并留存交底签字记录。</w:t>
      </w:r>
    </w:p>
    <w:p w14:paraId="336F7411">
      <w:pPr>
        <w:keepNext w:val="0"/>
        <w:keepLines w:val="0"/>
        <w:pageBreakBefore w:val="0"/>
        <w:kinsoku/>
        <w:wordWrap/>
        <w:overflowPunct/>
        <w:topLinePunct w:val="0"/>
        <w:autoSpaceDE/>
        <w:autoSpaceDN/>
        <w:bidi w:val="0"/>
        <w:snapToGrid/>
        <w:spacing w:line="360" w:lineRule="auto"/>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动态监控与检查</w:t>
      </w:r>
    </w:p>
    <w:p w14:paraId="6D4B175D">
      <w:pPr>
        <w:keepNext w:val="0"/>
        <w:keepLines w:val="0"/>
        <w:pageBreakBefore w:val="0"/>
        <w:kinsoku/>
        <w:wordWrap/>
        <w:overflowPunct/>
        <w:topLinePunct w:val="0"/>
        <w:autoSpaceDE/>
        <w:autoSpaceDN/>
        <w:bidi w:val="0"/>
        <w:snapToGrid/>
        <w:spacing w:line="360" w:lineRule="auto"/>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作业前对设备状态（如钢丝绳磨损、螺栓紧固力矩）、工具（吊具、索具）及防护用品（安全带、安全网）进行专项检查，不合格严禁使用。</w:t>
      </w:r>
    </w:p>
    <w:p w14:paraId="4EBB3C77">
      <w:pPr>
        <w:keepNext w:val="0"/>
        <w:keepLines w:val="0"/>
        <w:pageBreakBefore w:val="0"/>
        <w:kinsoku/>
        <w:wordWrap/>
        <w:overflowPunct/>
        <w:topLinePunct w:val="0"/>
        <w:autoSpaceDE/>
        <w:autoSpaceDN/>
        <w:bidi w:val="0"/>
        <w:snapToGrid/>
        <w:spacing w:line="360" w:lineRule="auto"/>
      </w:pPr>
    </w:p>
    <w:p w14:paraId="6DB7D168">
      <w:pPr>
        <w:rPr>
          <w:rFonts w:hint="eastAsia" w:cs="Times New Roman"/>
        </w:rPr>
      </w:pPr>
      <w:r>
        <w:rPr>
          <w:rFonts w:hint="eastAsia" w:cs="Times New Roman"/>
          <w:lang w:val="en-US" w:eastAsia="zh-CN"/>
        </w:rPr>
        <w:br w:type="page"/>
      </w:r>
    </w:p>
    <w:p w14:paraId="295294D6">
      <w:pPr>
        <w:pStyle w:val="5"/>
        <w:pageBreakBefore w:val="0"/>
        <w:numPr>
          <w:ilvl w:val="0"/>
          <w:numId w:val="9"/>
        </w:numPr>
        <w:kinsoku/>
        <w:wordWrap/>
        <w:overflowPunct/>
        <w:topLinePunct w:val="0"/>
        <w:bidi w:val="0"/>
        <w:spacing w:line="360" w:lineRule="auto"/>
        <w:ind w:left="425" w:leftChars="0" w:hanging="425" w:firstLineChars="0"/>
        <w:rPr>
          <w:rFonts w:hint="eastAsia" w:ascii="Times New Roman" w:hAnsi="Times New Roman" w:cs="Times New Roman" w:eastAsiaTheme="majorEastAsia"/>
          <w:b/>
          <w:bCs/>
          <w:kern w:val="2"/>
          <w:sz w:val="28"/>
          <w:szCs w:val="32"/>
          <w:lang w:val="en-US" w:eastAsia="zh-CN" w:bidi="ar-SA"/>
        </w:rPr>
      </w:pPr>
      <w:bookmarkStart w:id="36" w:name="_Toc30381"/>
      <w:r>
        <w:rPr>
          <w:rFonts w:hint="eastAsia" w:cs="Times New Roman"/>
          <w:b/>
          <w:bCs/>
          <w:kern w:val="2"/>
          <w:sz w:val="28"/>
          <w:szCs w:val="32"/>
          <w:lang w:val="en-US" w:eastAsia="zh-CN" w:bidi="ar-SA"/>
        </w:rPr>
        <w:t>防高坠措施</w:t>
      </w:r>
      <w:bookmarkEnd w:id="36"/>
      <w:r>
        <w:rPr>
          <w:rFonts w:hint="eastAsia" w:cs="Times New Roman"/>
          <w:b/>
          <w:bCs/>
          <w:kern w:val="2"/>
          <w:sz w:val="28"/>
          <w:szCs w:val="32"/>
          <w:lang w:val="en-US" w:eastAsia="zh-CN" w:bidi="ar-SA"/>
        </w:rPr>
        <w:t xml:space="preserve">  </w:t>
      </w:r>
    </w:p>
    <w:p w14:paraId="4EAF20E1">
      <w:pPr>
        <w:pStyle w:val="6"/>
        <w:numPr>
          <w:ilvl w:val="0"/>
          <w:numId w:val="11"/>
        </w:numPr>
        <w:ind w:left="0" w:leftChars="0" w:firstLine="403" w:firstLineChars="0"/>
        <w:rPr>
          <w:rFonts w:hint="eastAsia"/>
        </w:rPr>
      </w:pPr>
      <w:r>
        <w:rPr>
          <w:rFonts w:hint="eastAsia"/>
        </w:rPr>
        <w:t>人员防高坠措施</w:t>
      </w:r>
    </w:p>
    <w:p w14:paraId="355E8860">
      <w:pPr>
        <w:numPr>
          <w:ilvl w:val="0"/>
          <w:numId w:val="12"/>
        </w:numPr>
        <w:ind w:left="425" w:leftChars="0" w:hanging="425" w:firstLineChars="0"/>
        <w:rPr>
          <w:rFonts w:hint="eastAsia"/>
        </w:rPr>
      </w:pPr>
      <w:r>
        <w:rPr>
          <w:rFonts w:hint="eastAsia"/>
        </w:rPr>
        <w:t>个人防护装备</w:t>
      </w:r>
    </w:p>
    <w:p w14:paraId="73780B30">
      <w:pPr>
        <w:numPr>
          <w:ilvl w:val="0"/>
          <w:numId w:val="13"/>
        </w:numPr>
        <w:ind w:left="0" w:leftChars="0" w:firstLine="480" w:firstLineChars="200"/>
        <w:rPr>
          <w:rFonts w:hint="eastAsia"/>
        </w:rPr>
      </w:pPr>
      <w:r>
        <w:rPr>
          <w:rFonts w:hint="eastAsia"/>
        </w:rPr>
        <w:t> 安全带</w:t>
      </w:r>
      <w:r>
        <w:rPr>
          <w:rFonts w:hint="eastAsia"/>
          <w:lang w:eastAsia="zh-CN"/>
        </w:rPr>
        <w:t>：</w:t>
      </w:r>
      <w:r>
        <w:rPr>
          <w:rFonts w:hint="eastAsia"/>
        </w:rPr>
        <w:t>高空作业必须佩戴符合国家标准的全身式安全带，且高挂低用（挂钩固定点高于作业位置）。定期检查安全带磨损、断裂情况，禁止使用老化或损坏的装备。</w:t>
      </w:r>
    </w:p>
    <w:p w14:paraId="637885F1">
      <w:pPr>
        <w:numPr>
          <w:ilvl w:val="0"/>
          <w:numId w:val="13"/>
        </w:numPr>
        <w:ind w:left="0" w:leftChars="0" w:firstLine="480" w:firstLineChars="200"/>
        <w:rPr>
          <w:rFonts w:hint="eastAsia"/>
        </w:rPr>
      </w:pPr>
      <w:r>
        <w:rPr>
          <w:rFonts w:hint="eastAsia"/>
        </w:rPr>
        <w:t> 安全帽</w:t>
      </w:r>
      <w:r>
        <w:rPr>
          <w:rFonts w:hint="eastAsia"/>
          <w:lang w:eastAsia="zh-CN"/>
        </w:rPr>
        <w:t>：</w:t>
      </w:r>
      <w:r>
        <w:rPr>
          <w:rFonts w:hint="eastAsia"/>
        </w:rPr>
        <w:t>进入高空作业区域或下方危险区域必须佩戴安全帽，系带需紧扣下颌。</w:t>
      </w:r>
    </w:p>
    <w:p w14:paraId="38B3B56C">
      <w:pPr>
        <w:numPr>
          <w:ilvl w:val="0"/>
          <w:numId w:val="13"/>
        </w:numPr>
        <w:ind w:left="0" w:leftChars="0" w:firstLine="480" w:firstLineChars="200"/>
        <w:rPr>
          <w:rFonts w:hint="eastAsia"/>
        </w:rPr>
      </w:pPr>
      <w:r>
        <w:rPr>
          <w:rFonts w:hint="eastAsia"/>
        </w:rPr>
        <w:t> 防滑鞋/防滑手套</w:t>
      </w:r>
      <w:r>
        <w:rPr>
          <w:rFonts w:hint="eastAsia"/>
          <w:lang w:eastAsia="zh-CN"/>
        </w:rPr>
        <w:t>：</w:t>
      </w:r>
      <w:r>
        <w:rPr>
          <w:rFonts w:hint="eastAsia"/>
        </w:rPr>
        <w:t>作业面湿滑、倾斜时，穿防滑性能良好的劳保鞋；攀爬或搬运时使用防滑手套。</w:t>
      </w:r>
    </w:p>
    <w:p w14:paraId="02DBCAE3">
      <w:pPr>
        <w:numPr>
          <w:ilvl w:val="0"/>
          <w:numId w:val="12"/>
        </w:numPr>
        <w:ind w:left="425" w:leftChars="0" w:hanging="425" w:firstLineChars="0"/>
        <w:rPr>
          <w:rFonts w:hint="eastAsia"/>
        </w:rPr>
      </w:pPr>
      <w:r>
        <w:rPr>
          <w:rFonts w:hint="eastAsia"/>
        </w:rPr>
        <w:t>作业环境安全防护</w:t>
      </w:r>
    </w:p>
    <w:p w14:paraId="5BC94D89">
      <w:pPr>
        <w:numPr>
          <w:ilvl w:val="0"/>
          <w:numId w:val="14"/>
        </w:numPr>
        <w:ind w:left="0" w:leftChars="0" w:firstLine="480" w:firstLineChars="200"/>
        <w:rPr>
          <w:rFonts w:hint="eastAsia"/>
        </w:rPr>
      </w:pPr>
      <w:r>
        <w:rPr>
          <w:rFonts w:hint="eastAsia"/>
        </w:rPr>
        <w:t> 临边与洞口防护</w:t>
      </w:r>
      <w:r>
        <w:rPr>
          <w:rFonts w:hint="eastAsia"/>
          <w:lang w:eastAsia="zh-CN"/>
        </w:rPr>
        <w:t>：</w:t>
      </w:r>
      <w:r>
        <w:rPr>
          <w:rFonts w:hint="eastAsia"/>
        </w:rPr>
        <w:t>楼梯口、电梯井口、阳台边缘等临边位置设置1.2米高防护栏杆+踢脚板，洞口覆盖坚实盖板或张挂安全平网。脚手架外侧满挂密目安全立网。</w:t>
      </w:r>
    </w:p>
    <w:p w14:paraId="37CF416B">
      <w:pPr>
        <w:numPr>
          <w:ilvl w:val="0"/>
          <w:numId w:val="14"/>
        </w:numPr>
        <w:ind w:left="0" w:leftChars="0" w:firstLine="480" w:firstLineChars="200"/>
        <w:rPr>
          <w:rFonts w:hint="eastAsia"/>
        </w:rPr>
      </w:pPr>
      <w:r>
        <w:rPr>
          <w:rFonts w:hint="eastAsia"/>
        </w:rPr>
        <w:t> 安全通道与操作平台</w:t>
      </w:r>
      <w:r>
        <w:rPr>
          <w:rFonts w:hint="eastAsia"/>
          <w:lang w:eastAsia="zh-CN"/>
        </w:rPr>
        <w:t>：</w:t>
      </w:r>
      <w:r>
        <w:rPr>
          <w:rFonts w:hint="eastAsia"/>
        </w:rPr>
        <w:t xml:space="preserve">高空作业设置固定爬梯、通道或操作平台（如脚手架、吊篮、悬挑平台），平台需有防滑措施及防护栏杆。吊篮作业前检查钢丝绳、安全锁，限载使用，严禁超载。 </w:t>
      </w:r>
    </w:p>
    <w:p w14:paraId="7506F0F2">
      <w:pPr>
        <w:numPr>
          <w:ilvl w:val="0"/>
          <w:numId w:val="14"/>
        </w:numPr>
        <w:ind w:left="0" w:leftChars="0" w:firstLine="480" w:firstLineChars="200"/>
        <w:rPr>
          <w:rFonts w:hint="eastAsia"/>
        </w:rPr>
      </w:pPr>
      <w:r>
        <w:rPr>
          <w:rFonts w:hint="eastAsia"/>
        </w:rPr>
        <w:t> 安全网设置</w:t>
      </w:r>
      <w:r>
        <w:rPr>
          <w:rFonts w:hint="eastAsia"/>
          <w:lang w:eastAsia="zh-CN"/>
        </w:rPr>
        <w:t>：</w:t>
      </w:r>
      <w:r>
        <w:rPr>
          <w:rFonts w:hint="eastAsia"/>
        </w:rPr>
        <w:t>多层建筑外架张挂水平安全网（每隔10米设置一道），首层设兜底网，防止人员坠落。</w:t>
      </w:r>
    </w:p>
    <w:p w14:paraId="67BE2367">
      <w:pPr>
        <w:numPr>
          <w:ilvl w:val="0"/>
          <w:numId w:val="12"/>
        </w:numPr>
        <w:ind w:left="425" w:leftChars="0" w:hanging="425" w:firstLineChars="0"/>
        <w:rPr>
          <w:rFonts w:hint="eastAsia"/>
        </w:rPr>
      </w:pPr>
      <w:r>
        <w:rPr>
          <w:rFonts w:hint="eastAsia"/>
        </w:rPr>
        <w:t>操作规范与管理</w:t>
      </w:r>
    </w:p>
    <w:p w14:paraId="1336F91D">
      <w:pPr>
        <w:numPr>
          <w:ilvl w:val="0"/>
          <w:numId w:val="15"/>
        </w:numPr>
        <w:ind w:left="0" w:leftChars="0" w:firstLine="480" w:firstLineChars="200"/>
        <w:rPr>
          <w:rFonts w:hint="eastAsia"/>
        </w:rPr>
      </w:pPr>
      <w:r>
        <w:rPr>
          <w:rFonts w:hint="eastAsia"/>
        </w:rPr>
        <w:t> 作业前准备</w:t>
      </w:r>
      <w:r>
        <w:rPr>
          <w:rFonts w:hint="eastAsia"/>
          <w:lang w:eastAsia="zh-CN"/>
        </w:rPr>
        <w:t>：</w:t>
      </w:r>
      <w:r>
        <w:rPr>
          <w:rFonts w:hint="eastAsia"/>
        </w:rPr>
        <w:t>开展风险评估，制定高空作业方案，明确防坠措施</w:t>
      </w:r>
      <w:r>
        <w:rPr>
          <w:rFonts w:hint="eastAsia"/>
          <w:lang w:eastAsia="zh-CN"/>
        </w:rPr>
        <w:t>。</w:t>
      </w:r>
      <w:r>
        <w:rPr>
          <w:rFonts w:hint="eastAsia"/>
        </w:rPr>
        <w:t>作业人员需经培训考核合格（如特种作业操作证），禁止疲劳、酒后作业。</w:t>
      </w:r>
    </w:p>
    <w:p w14:paraId="59BB20F6">
      <w:pPr>
        <w:numPr>
          <w:ilvl w:val="0"/>
          <w:numId w:val="15"/>
        </w:numPr>
        <w:ind w:left="0" w:leftChars="0" w:firstLine="480" w:firstLineChars="200"/>
        <w:rPr>
          <w:rFonts w:hint="eastAsia"/>
        </w:rPr>
      </w:pPr>
      <w:r>
        <w:rPr>
          <w:rFonts w:hint="eastAsia"/>
        </w:rPr>
        <w:t> 作业中安全措施</w:t>
      </w:r>
      <w:r>
        <w:rPr>
          <w:rFonts w:hint="eastAsia"/>
          <w:lang w:eastAsia="zh-CN"/>
        </w:rPr>
        <w:t>：</w:t>
      </w:r>
      <w:r>
        <w:rPr>
          <w:rFonts w:hint="eastAsia"/>
        </w:rPr>
        <w:t>移动作业时使用双钩安全带，交替挂钩确保“步步有防护”；垂直交叉作业设置隔离层。恶劣天气（</w:t>
      </w:r>
      <w:r>
        <w:rPr>
          <w:rFonts w:hint="eastAsia"/>
          <w:lang w:val="en-US" w:eastAsia="zh-CN"/>
        </w:rPr>
        <w:t>5</w:t>
      </w:r>
      <w:r>
        <w:rPr>
          <w:rFonts w:hint="eastAsia"/>
        </w:rPr>
        <w:t>级及以上大风、暴雨、雷电）禁止高空作业。</w:t>
      </w:r>
    </w:p>
    <w:p w14:paraId="0B330010">
      <w:pPr>
        <w:numPr>
          <w:ilvl w:val="0"/>
          <w:numId w:val="15"/>
        </w:numPr>
        <w:ind w:left="0" w:leftChars="0" w:firstLine="480" w:firstLineChars="200"/>
        <w:rPr>
          <w:rFonts w:hint="eastAsia"/>
        </w:rPr>
      </w:pPr>
      <w:r>
        <w:rPr>
          <w:rFonts w:hint="eastAsia"/>
        </w:rPr>
        <w:t> 应急防护</w:t>
      </w:r>
      <w:r>
        <w:rPr>
          <w:rFonts w:hint="eastAsia"/>
          <w:lang w:eastAsia="zh-CN"/>
        </w:rPr>
        <w:t>：</w:t>
      </w:r>
      <w:r>
        <w:rPr>
          <w:rFonts w:hint="eastAsia"/>
        </w:rPr>
        <w:t>作业区域下方设置警戒区（警戒范围≥作业高度半径），禁止无关人员进入。配备应急救援设备（如速差器、缓降器），定期开展坠落应急演练。</w:t>
      </w:r>
    </w:p>
    <w:p w14:paraId="4D33974A">
      <w:pPr>
        <w:pStyle w:val="6"/>
        <w:numPr>
          <w:ilvl w:val="0"/>
          <w:numId w:val="11"/>
        </w:numPr>
        <w:ind w:left="0" w:leftChars="0" w:firstLine="403" w:firstLineChars="0"/>
        <w:rPr>
          <w:rFonts w:hint="eastAsia" w:ascii="Times New Roman" w:hAnsi="Times New Roman" w:eastAsiaTheme="majorEastAsia" w:cstheme="majorBidi"/>
          <w:b/>
          <w:bCs/>
          <w:kern w:val="2"/>
          <w:sz w:val="28"/>
          <w:szCs w:val="32"/>
          <w:lang w:val="en-US" w:eastAsia="zh-CN" w:bidi="ar-SA"/>
        </w:rPr>
      </w:pPr>
      <w:r>
        <w:rPr>
          <w:rFonts w:hint="eastAsia" w:ascii="Times New Roman" w:hAnsi="Times New Roman" w:eastAsiaTheme="majorEastAsia" w:cstheme="majorBidi"/>
          <w:b/>
          <w:bCs/>
          <w:kern w:val="2"/>
          <w:sz w:val="28"/>
          <w:szCs w:val="32"/>
          <w:lang w:val="en-US" w:eastAsia="zh-CN" w:bidi="ar-SA"/>
        </w:rPr>
        <w:t>物体防高坠措施</w:t>
      </w:r>
    </w:p>
    <w:p w14:paraId="0D39EF2C">
      <w:pPr>
        <w:numPr>
          <w:ilvl w:val="0"/>
          <w:numId w:val="16"/>
        </w:numPr>
        <w:ind w:left="425" w:leftChars="0" w:hanging="425" w:firstLineChars="0"/>
        <w:rPr>
          <w:rFonts w:hint="eastAsia"/>
          <w:lang w:val="en-US" w:eastAsia="zh-CN"/>
        </w:rPr>
      </w:pPr>
      <w:r>
        <w:rPr>
          <w:rFonts w:hint="eastAsia"/>
          <w:lang w:val="en-US" w:eastAsia="zh-CN"/>
        </w:rPr>
        <w:t>物体固定与堆放</w:t>
      </w:r>
    </w:p>
    <w:p w14:paraId="1D1EDF56">
      <w:pPr>
        <w:numPr>
          <w:ilvl w:val="0"/>
          <w:numId w:val="17"/>
        </w:numPr>
        <w:ind w:left="0" w:leftChars="0" w:firstLine="480" w:firstLineChars="200"/>
        <w:rPr>
          <w:rFonts w:hint="eastAsia"/>
          <w:lang w:val="en-US" w:eastAsia="zh-CN"/>
        </w:rPr>
      </w:pPr>
      <w:r>
        <w:rPr>
          <w:rFonts w:hint="eastAsia"/>
          <w:lang w:val="en-US" w:eastAsia="zh-CN"/>
        </w:rPr>
        <w:t> 材料与工具管理：高空堆放材料（如钢管、板材）需固定牢固，禁止超载，边缘设置≥15cm高挡脚板。工具、零件放入工具袋或专用工具箱，禁止随手搁置在临边、孔洞旁，使用时用安全绳拴牢（如扳手、螺丝刀配防坠绳）。</w:t>
      </w:r>
    </w:p>
    <w:p w14:paraId="3DC0F5DB">
      <w:pPr>
        <w:numPr>
          <w:ilvl w:val="0"/>
          <w:numId w:val="17"/>
        </w:numPr>
        <w:ind w:left="0" w:leftChars="0" w:firstLine="480" w:firstLineChars="200"/>
        <w:rPr>
          <w:rFonts w:hint="eastAsia"/>
          <w:lang w:val="en-US" w:eastAsia="zh-CN"/>
        </w:rPr>
      </w:pPr>
      <w:r>
        <w:rPr>
          <w:rFonts w:hint="eastAsia"/>
          <w:lang w:val="en-US" w:eastAsia="zh-CN"/>
        </w:rPr>
        <w:t> 设备与构件防护：吊装作业前检查吊具、钢丝绳，捆绑牢固后起吊；零散物件用吊笼吊运，禁止抛掷。外脚手架脚手板满铺并固定，禁止探头板；架体与结构间隙≤15cm，否则设防护措施。</w:t>
      </w:r>
    </w:p>
    <w:p w14:paraId="4E94BEB3">
      <w:pPr>
        <w:numPr>
          <w:ilvl w:val="0"/>
          <w:numId w:val="16"/>
        </w:numPr>
        <w:ind w:left="425" w:leftChars="0" w:hanging="425" w:firstLineChars="0"/>
        <w:rPr>
          <w:rFonts w:hint="eastAsia"/>
          <w:lang w:val="en-US" w:eastAsia="zh-CN"/>
        </w:rPr>
      </w:pPr>
      <w:r>
        <w:rPr>
          <w:rFonts w:hint="eastAsia"/>
          <w:lang w:val="en-US" w:eastAsia="zh-CN"/>
        </w:rPr>
        <w:t>防护设施设置</w:t>
      </w:r>
    </w:p>
    <w:p w14:paraId="3FC5C436">
      <w:pPr>
        <w:numPr>
          <w:ilvl w:val="0"/>
          <w:numId w:val="18"/>
        </w:numPr>
        <w:ind w:left="0" w:leftChars="0" w:firstLine="480" w:firstLineChars="200"/>
        <w:rPr>
          <w:rFonts w:hint="eastAsia"/>
          <w:lang w:val="en-US" w:eastAsia="zh-CN"/>
        </w:rPr>
      </w:pPr>
      <w:r>
        <w:rPr>
          <w:rFonts w:hint="eastAsia"/>
          <w:lang w:val="en-US" w:eastAsia="zh-CN"/>
        </w:rPr>
        <w:t> 下方防护棚：人员通行区域、加工区上方设置双层硬质防护棚，覆盖范围≥坠落半径（作业高度h≥20m时，半径≥6m）。</w:t>
      </w:r>
    </w:p>
    <w:p w14:paraId="5005ACB4">
      <w:pPr>
        <w:numPr>
          <w:ilvl w:val="0"/>
          <w:numId w:val="18"/>
        </w:numPr>
        <w:ind w:left="0" w:leftChars="0" w:firstLine="480" w:firstLineChars="200"/>
        <w:rPr>
          <w:rFonts w:hint="eastAsia"/>
          <w:lang w:val="en-US" w:eastAsia="zh-CN"/>
        </w:rPr>
      </w:pPr>
      <w:r>
        <w:rPr>
          <w:rFonts w:hint="eastAsia"/>
          <w:lang w:val="en-US" w:eastAsia="zh-CN"/>
        </w:rPr>
        <w:t xml:space="preserve"> 水平防护与遮挡：高层建筑外架每两层设置硬质隔离层，防止物料坠落。窗口、管道井口等洞口内侧设防护网或盖板，外侧作业时设临时挡板。 </w:t>
      </w:r>
    </w:p>
    <w:p w14:paraId="3FBF7DE7">
      <w:pPr>
        <w:numPr>
          <w:ilvl w:val="0"/>
          <w:numId w:val="18"/>
        </w:numPr>
        <w:ind w:left="0" w:leftChars="0" w:firstLine="480" w:firstLineChars="200"/>
        <w:rPr>
          <w:rFonts w:hint="eastAsia"/>
          <w:lang w:val="en-US" w:eastAsia="zh-CN"/>
        </w:rPr>
      </w:pPr>
      <w:r>
        <w:rPr>
          <w:rFonts w:hint="eastAsia"/>
          <w:lang w:val="en-US" w:eastAsia="zh-CN"/>
        </w:rPr>
        <w:t> 警示与监控：高空作业区域悬挂“禁止抛物”“注意高空坠物”等警示标志。重要区域安装监控摄像头，实时监测物体堆放及作业行为。</w:t>
      </w:r>
    </w:p>
    <w:p w14:paraId="383C5499">
      <w:pPr>
        <w:numPr>
          <w:ilvl w:val="0"/>
          <w:numId w:val="16"/>
        </w:numPr>
        <w:ind w:left="425" w:leftChars="0" w:hanging="425" w:firstLineChars="0"/>
        <w:rPr>
          <w:rFonts w:hint="eastAsia"/>
          <w:lang w:val="en-US" w:eastAsia="zh-CN"/>
        </w:rPr>
      </w:pPr>
      <w:r>
        <w:rPr>
          <w:rFonts w:hint="eastAsia"/>
          <w:lang w:val="en-US" w:eastAsia="zh-CN"/>
        </w:rPr>
        <w:t>技术措施与设备</w:t>
      </w:r>
    </w:p>
    <w:p w14:paraId="51C556F2">
      <w:pPr>
        <w:numPr>
          <w:ilvl w:val="0"/>
          <w:numId w:val="19"/>
        </w:numPr>
        <w:ind w:left="0" w:leftChars="0" w:firstLine="480" w:firstLineChars="200"/>
        <w:rPr>
          <w:rFonts w:hint="eastAsia"/>
          <w:lang w:val="en-US" w:eastAsia="zh-CN"/>
        </w:rPr>
      </w:pPr>
      <w:r>
        <w:rPr>
          <w:rFonts w:hint="eastAsia"/>
          <w:lang w:val="en-US" w:eastAsia="zh-CN"/>
        </w:rPr>
        <w:t> 防坠落装置：施工升降机、物料提升机设置防坠安全器，层门联动闭锁。塔吊起重臂端部设防碰撞装置，吊钩安装防脱钩保险。</w:t>
      </w:r>
    </w:p>
    <w:p w14:paraId="2A382AD6">
      <w:pPr>
        <w:numPr>
          <w:ilvl w:val="0"/>
          <w:numId w:val="19"/>
        </w:numPr>
        <w:ind w:left="0" w:leftChars="0" w:firstLine="480" w:firstLineChars="200"/>
        <w:rPr>
          <w:rFonts w:hint="eastAsia"/>
          <w:lang w:val="en-US" w:eastAsia="zh-CN"/>
        </w:rPr>
      </w:pPr>
      <w:r>
        <w:rPr>
          <w:rFonts w:hint="eastAsia"/>
          <w:lang w:val="en-US" w:eastAsia="zh-CN"/>
        </w:rPr>
        <w:t> 自动化与封闭作业：采用爬架（附着式升降脚手架）、全封闭防护平台，减少露天高空作业。外墙施工使用电动吊篮时，篮体四周设高度≥1.2米防护栏及防物体掉落的裙板。</w:t>
      </w:r>
    </w:p>
    <w:p w14:paraId="51F0E953">
      <w:pPr>
        <w:pStyle w:val="5"/>
        <w:numPr>
          <w:ilvl w:val="0"/>
          <w:numId w:val="9"/>
        </w:numPr>
        <w:ind w:left="425" w:leftChars="0" w:hanging="425" w:firstLineChars="0"/>
        <w:rPr>
          <w:rFonts w:hint="eastAsia" w:ascii="Times New Roman" w:hAnsi="Times New Roman" w:cs="Times New Roman" w:eastAsiaTheme="majorEastAsia"/>
          <w:b/>
          <w:bCs/>
          <w:kern w:val="2"/>
          <w:sz w:val="28"/>
          <w:szCs w:val="32"/>
          <w:highlight w:val="yellow"/>
          <w:lang w:val="en-US" w:eastAsia="zh-CN" w:bidi="ar-SA"/>
        </w:rPr>
      </w:pPr>
      <w:bookmarkStart w:id="37" w:name="_Toc28433"/>
      <w:r>
        <w:rPr>
          <w:rFonts w:hint="eastAsia" w:cs="Times New Roman"/>
          <w:b/>
          <w:bCs/>
          <w:kern w:val="2"/>
          <w:sz w:val="28"/>
          <w:szCs w:val="32"/>
          <w:highlight w:val="yellow"/>
          <w:lang w:val="en-US" w:eastAsia="zh-CN" w:bidi="ar-SA"/>
        </w:rPr>
        <w:t>起重吊装作业保障措施</w:t>
      </w:r>
      <w:bookmarkEnd w:id="37"/>
    </w:p>
    <w:p w14:paraId="699E048E">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组织作业人员学习安全规章制度，提高安全防范意识；</w:t>
      </w:r>
    </w:p>
    <w:p w14:paraId="3A2CFFA1">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严禁酒后作业，严格遵守项目部相关安全规定；</w:t>
      </w:r>
    </w:p>
    <w:p w14:paraId="0CB93515">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吊装作业人员统一配戴项目部的安全帽。</w:t>
      </w:r>
    </w:p>
    <w:p w14:paraId="35FFB562">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作业时必须执行安全技术交底，听从统一指挥；</w:t>
      </w:r>
    </w:p>
    <w:p w14:paraId="2914782F">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起重工、信号工必须经专门安全技术培训，持证上岗；</w:t>
      </w:r>
    </w:p>
    <w:p w14:paraId="7F812640">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信号工高空指挥时，需戴安全带，脚穿防滑鞋；</w:t>
      </w:r>
    </w:p>
    <w:p w14:paraId="083C3D95">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吊车尾部为司机盲区，管理人员注意吊车尾部的旋转动态；</w:t>
      </w:r>
    </w:p>
    <w:p w14:paraId="433D6F88">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司机作业时，严禁收听任何有声电器及电话（除指挥使用对讲机除外），严禁和其他人员交谈；</w:t>
      </w:r>
    </w:p>
    <w:p w14:paraId="30AC9A6B">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司机和信号工必须使用对讲机进行指令的接受和发出，确保对讲机的音质清晰，调频无干扰；</w:t>
      </w:r>
    </w:p>
    <w:p w14:paraId="14E06BE5">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作业前必须检查作业环境、吊索具、防护用品。吊装区域无闲散人员，障碍已排除。吊具无缺陷，捆绑正确牢固。在信号不明和作业现场光线阴暗时，严禁进行起吊作业；</w:t>
      </w:r>
    </w:p>
    <w:p w14:paraId="46001F71">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严格按照方案中的吊车站位进行吊装作业。起重作业时，必须正确选择吊点的位置，合理穿挂索具；</w:t>
      </w:r>
    </w:p>
    <w:p w14:paraId="6E5751B8">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试吊：吊绳套挂牢固，起重机缓缓起升，将吊绳绷直稍停，试吊高度为100mm～200mm。试吊中，指挥信号工、司索工、司机必须协调配合。如发现吊物重心滑移或其他物件粘连等情况时，必须立即停止起吊，采取措施并确认安全后方可起吊；</w:t>
      </w:r>
    </w:p>
    <w:p w14:paraId="05167CB4">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highlight w:val="yellow"/>
        </w:rPr>
      </w:pPr>
      <w:r>
        <w:rPr>
          <w:rFonts w:hint="eastAsia"/>
          <w:highlight w:val="yellow"/>
        </w:rPr>
        <w:t>严格执行“十不吊”的原则。</w:t>
      </w:r>
    </w:p>
    <w:p w14:paraId="04B21102">
      <w:pPr>
        <w:pStyle w:val="5"/>
        <w:numPr>
          <w:ilvl w:val="0"/>
          <w:numId w:val="9"/>
        </w:numPr>
        <w:ind w:left="425" w:leftChars="0" w:hanging="425" w:firstLineChars="0"/>
        <w:rPr>
          <w:rFonts w:hint="eastAsia" w:ascii="Times New Roman" w:hAnsi="Times New Roman" w:cs="Times New Roman" w:eastAsiaTheme="majorEastAsia"/>
          <w:b/>
          <w:bCs/>
          <w:kern w:val="2"/>
          <w:sz w:val="28"/>
          <w:szCs w:val="32"/>
          <w:highlight w:val="yellow"/>
          <w:lang w:val="en-US" w:eastAsia="zh-CN" w:bidi="ar-SA"/>
        </w:rPr>
      </w:pPr>
      <w:bookmarkStart w:id="38" w:name="_Toc24438"/>
      <w:r>
        <w:rPr>
          <w:rFonts w:hint="eastAsia" w:cs="Times New Roman"/>
          <w:b/>
          <w:bCs/>
          <w:kern w:val="2"/>
          <w:sz w:val="28"/>
          <w:szCs w:val="32"/>
          <w:highlight w:val="yellow"/>
          <w:lang w:val="en-US" w:eastAsia="zh-CN" w:bidi="ar-SA"/>
        </w:rPr>
        <w:t>高空作业保障措施</w:t>
      </w:r>
      <w:bookmarkEnd w:id="38"/>
    </w:p>
    <w:p w14:paraId="218B85FD">
      <w:pPr>
        <w:numPr>
          <w:ilvl w:val="0"/>
          <w:numId w:val="21"/>
        </w:numPr>
        <w:ind w:firstLineChars="0"/>
        <w:rPr>
          <w:highlight w:val="yellow"/>
        </w:rPr>
      </w:pPr>
      <w:r>
        <w:rPr>
          <w:rFonts w:hint="eastAsia"/>
          <w:highlight w:val="yellow"/>
        </w:rPr>
        <w:t>塔式起重机操作室、检修通道四周必须安装平台防护栏杆，上操作室的爬梯需安装安全背圈。</w:t>
      </w:r>
    </w:p>
    <w:p w14:paraId="15574495">
      <w:pPr>
        <w:numPr>
          <w:ilvl w:val="0"/>
          <w:numId w:val="21"/>
        </w:numPr>
        <w:ind w:firstLineChars="0"/>
        <w:rPr>
          <w:highlight w:val="yellow"/>
        </w:rPr>
      </w:pPr>
      <w:r>
        <w:rPr>
          <w:rFonts w:hint="eastAsia"/>
          <w:highlight w:val="yellow"/>
        </w:rPr>
        <w:t>高处作业人员必须正确佩带安全帽，必须系好安全带，并挂在牢固处（高挂低用）；</w:t>
      </w:r>
    </w:p>
    <w:p w14:paraId="770208D6">
      <w:pPr>
        <w:numPr>
          <w:ilvl w:val="0"/>
          <w:numId w:val="21"/>
        </w:numPr>
        <w:ind w:firstLineChars="0"/>
        <w:rPr>
          <w:highlight w:val="yellow"/>
        </w:rPr>
      </w:pPr>
      <w:r>
        <w:rPr>
          <w:rFonts w:hint="eastAsia"/>
          <w:highlight w:val="yellow"/>
        </w:rPr>
        <w:t>高处作业使用的吊架、平台、脚手板、梯子、护栏、索具（钢丝绳、麻绳、化学纤维绳）等料具和安全带、安全网等安全防护用品的质量都必须符合国家规范的要求；</w:t>
      </w:r>
    </w:p>
    <w:p w14:paraId="70266A94">
      <w:pPr>
        <w:numPr>
          <w:ilvl w:val="0"/>
          <w:numId w:val="21"/>
        </w:numPr>
        <w:ind w:firstLineChars="0"/>
        <w:rPr>
          <w:highlight w:val="yellow"/>
        </w:rPr>
      </w:pPr>
      <w:r>
        <w:rPr>
          <w:rFonts w:hint="eastAsia"/>
          <w:highlight w:val="yellow"/>
        </w:rPr>
        <w:t>高处施工作业前，应进行针对性的书面安全交底，要被交底人的签字，同时必须落实所有的安全技术措施和个人防护用品，未经落实时不得进行施工作业；</w:t>
      </w:r>
    </w:p>
    <w:p w14:paraId="7083292D">
      <w:pPr>
        <w:numPr>
          <w:ilvl w:val="0"/>
          <w:numId w:val="21"/>
        </w:numPr>
        <w:ind w:firstLineChars="0"/>
        <w:rPr>
          <w:highlight w:val="yellow"/>
        </w:rPr>
      </w:pPr>
      <w:r>
        <w:rPr>
          <w:rFonts w:hint="eastAsia"/>
          <w:highlight w:val="yellow"/>
        </w:rPr>
        <w:t>从事高处作业的人员，必须定期体检。凡患有高血压、心脏病、贫血、癫痫症、严重近视及患有其他不适应高处作业病症的人员，均不得登高作业；</w:t>
      </w:r>
    </w:p>
    <w:p w14:paraId="3C814F72">
      <w:pPr>
        <w:numPr>
          <w:ilvl w:val="0"/>
          <w:numId w:val="21"/>
        </w:numPr>
        <w:ind w:firstLineChars="0"/>
        <w:rPr>
          <w:highlight w:val="yellow"/>
        </w:rPr>
      </w:pPr>
      <w:r>
        <w:rPr>
          <w:rFonts w:hint="eastAsia"/>
          <w:highlight w:val="yellow"/>
        </w:rPr>
        <w:t>攀登和悬空高处作业人员以及搭设高处作业安全设施的人员，必须经过专业技术培训及专业考试合格，持证上岗；</w:t>
      </w:r>
    </w:p>
    <w:p w14:paraId="3EFF6745">
      <w:pPr>
        <w:numPr>
          <w:ilvl w:val="0"/>
          <w:numId w:val="21"/>
        </w:numPr>
        <w:ind w:firstLineChars="0"/>
        <w:rPr>
          <w:highlight w:val="yellow"/>
        </w:rPr>
      </w:pPr>
      <w:r>
        <w:rPr>
          <w:rFonts w:hint="eastAsia"/>
          <w:highlight w:val="yellow"/>
        </w:rPr>
        <w:t>施工中，对高处作业的安全技术设施，使用中发生损坏，必须及时解决，危及人身安全的，必须立即停止作业，排除险情或隐患后，方准作业；</w:t>
      </w:r>
    </w:p>
    <w:p w14:paraId="23E4BA18">
      <w:pPr>
        <w:numPr>
          <w:ilvl w:val="0"/>
          <w:numId w:val="21"/>
        </w:numPr>
        <w:ind w:firstLineChars="0"/>
        <w:rPr>
          <w:highlight w:val="yellow"/>
        </w:rPr>
      </w:pPr>
      <w:r>
        <w:rPr>
          <w:rFonts w:hint="eastAsia"/>
          <w:highlight w:val="yellow"/>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44EABF7E">
      <w:pPr>
        <w:numPr>
          <w:ilvl w:val="0"/>
          <w:numId w:val="21"/>
        </w:numPr>
        <w:ind w:firstLineChars="0"/>
        <w:rPr>
          <w:highlight w:val="yellow"/>
        </w:rPr>
      </w:pPr>
      <w:r>
        <w:rPr>
          <w:rFonts w:hint="eastAsia"/>
          <w:highlight w:val="yellow"/>
        </w:rPr>
        <w:t>高处作业无法搭设严密的防护设施的，必须使用安全带。安全带必须系挂在施工作业上方牢固的物体上，并高挂低用，禁止低挂高用；</w:t>
      </w:r>
    </w:p>
    <w:p w14:paraId="7465A616">
      <w:pPr>
        <w:numPr>
          <w:ilvl w:val="0"/>
          <w:numId w:val="21"/>
        </w:numPr>
        <w:ind w:firstLineChars="0"/>
        <w:rPr>
          <w:highlight w:val="yellow"/>
        </w:rPr>
      </w:pPr>
      <w:r>
        <w:rPr>
          <w:rFonts w:hint="eastAsia"/>
          <w:highlight w:val="yellow"/>
        </w:rPr>
        <w:t>高处作业人员不准骑坐临时搭建的安装平台上的护栏、未安装牢固的管道、设备上和躺在平台、孔洞边缘上休息。在没有安全防护设施的条件下，严禁在木桁架、挑梁，砌体及构架上行走或作业；</w:t>
      </w:r>
    </w:p>
    <w:p w14:paraId="6E028315">
      <w:pPr>
        <w:numPr>
          <w:ilvl w:val="0"/>
          <w:numId w:val="21"/>
        </w:numPr>
        <w:ind w:firstLineChars="0"/>
        <w:rPr>
          <w:highlight w:val="yellow"/>
        </w:rPr>
      </w:pPr>
      <w:r>
        <w:rPr>
          <w:rFonts w:hint="eastAsia"/>
          <w:highlight w:val="yellow"/>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rPr>
          <w:highlight w:val="yellow"/>
        </w:rPr>
        <w:t>6</w:t>
      </w:r>
      <w:r>
        <w:rPr>
          <w:rFonts w:hint="eastAsia"/>
          <w:highlight w:val="yellow"/>
        </w:rPr>
        <w:t>级大风立即停止露天高处作业；</w:t>
      </w:r>
    </w:p>
    <w:p w14:paraId="26A17E9A">
      <w:pPr>
        <w:numPr>
          <w:ilvl w:val="0"/>
          <w:numId w:val="21"/>
        </w:numPr>
        <w:ind w:firstLineChars="0"/>
        <w:rPr>
          <w:highlight w:val="yellow"/>
        </w:rPr>
      </w:pPr>
      <w:r>
        <w:rPr>
          <w:rFonts w:hint="eastAsia"/>
          <w:highlight w:val="yellow"/>
        </w:rPr>
        <w:t>因作业需要，临时拆除或变动安全防护设施的，必须经施工负责人同意，并采取相应的可靠措施，作业后立即恢复；</w:t>
      </w:r>
    </w:p>
    <w:p w14:paraId="37EDFDBE">
      <w:pPr>
        <w:numPr>
          <w:ilvl w:val="0"/>
          <w:numId w:val="21"/>
        </w:numPr>
        <w:ind w:firstLineChars="0"/>
        <w:rPr>
          <w:highlight w:val="yellow"/>
        </w:rPr>
      </w:pPr>
      <w:r>
        <w:rPr>
          <w:rFonts w:hint="eastAsia"/>
          <w:highlight w:val="yellow"/>
        </w:rPr>
        <w:t>高处作业人员应沿着斜道、梯子上下，严禁沿着绳索、立杆、井架或栏杆等攀登；</w:t>
      </w:r>
    </w:p>
    <w:p w14:paraId="6FF51E41">
      <w:pPr>
        <w:numPr>
          <w:ilvl w:val="0"/>
          <w:numId w:val="21"/>
        </w:numPr>
        <w:ind w:firstLineChars="0"/>
        <w:rPr>
          <w:highlight w:val="yellow"/>
        </w:rPr>
      </w:pPr>
      <w:r>
        <w:rPr>
          <w:rFonts w:hint="eastAsia"/>
          <w:highlight w:val="yellow"/>
        </w:rPr>
        <w:t>人字梯的使用：</w:t>
      </w:r>
    </w:p>
    <w:p w14:paraId="78DBD9FB">
      <w:pPr>
        <w:numPr>
          <w:ilvl w:val="0"/>
          <w:numId w:val="22"/>
        </w:numPr>
        <w:ind w:firstLineChars="0"/>
        <w:rPr>
          <w:highlight w:val="yellow"/>
        </w:rPr>
      </w:pPr>
      <w:r>
        <w:rPr>
          <w:rFonts w:hint="eastAsia"/>
          <w:highlight w:val="yellow"/>
        </w:rPr>
        <w:t>使用前检查该梯子是否安全，即检查梯子的铆钉是否松动，焊接是否开裂；</w:t>
      </w:r>
    </w:p>
    <w:p w14:paraId="1943B25F">
      <w:pPr>
        <w:numPr>
          <w:ilvl w:val="0"/>
          <w:numId w:val="22"/>
        </w:numPr>
        <w:ind w:firstLineChars="0"/>
        <w:rPr>
          <w:highlight w:val="yellow"/>
        </w:rPr>
      </w:pPr>
      <w:r>
        <w:rPr>
          <w:rFonts w:hint="eastAsia"/>
          <w:highlight w:val="yellow"/>
        </w:rPr>
        <w:t>用结实的绳索将两边拉住、拴紧、绷直；</w:t>
      </w:r>
    </w:p>
    <w:p w14:paraId="504D5541">
      <w:pPr>
        <w:numPr>
          <w:ilvl w:val="0"/>
          <w:numId w:val="22"/>
        </w:numPr>
        <w:ind w:firstLineChars="0"/>
        <w:rPr>
          <w:highlight w:val="yellow"/>
        </w:rPr>
      </w:pPr>
      <w:r>
        <w:rPr>
          <w:rFonts w:hint="eastAsia"/>
          <w:highlight w:val="yellow"/>
        </w:rPr>
        <w:t>梯子须安放稳固，使用材料需经人传递或用小桶吊放，严禁上下抛物；</w:t>
      </w:r>
    </w:p>
    <w:p w14:paraId="2D9A0A6D">
      <w:pPr>
        <w:numPr>
          <w:ilvl w:val="0"/>
          <w:numId w:val="22"/>
        </w:numPr>
        <w:ind w:firstLineChars="0"/>
        <w:rPr>
          <w:highlight w:val="yellow"/>
        </w:rPr>
      </w:pPr>
      <w:r>
        <w:rPr>
          <w:rFonts w:hint="eastAsia"/>
          <w:highlight w:val="yellow"/>
        </w:rPr>
        <w:t>使用梯子时至少两人一组，有专人扶梯；</w:t>
      </w:r>
    </w:p>
    <w:p w14:paraId="01CC490E">
      <w:pPr>
        <w:numPr>
          <w:ilvl w:val="0"/>
          <w:numId w:val="22"/>
        </w:numPr>
        <w:ind w:firstLineChars="0"/>
        <w:rPr>
          <w:highlight w:val="yellow"/>
        </w:rPr>
      </w:pPr>
      <w:r>
        <w:rPr>
          <w:rFonts w:hint="eastAsia"/>
          <w:highlight w:val="yellow"/>
        </w:rPr>
        <w:t>严禁使用梯子最上面两格；</w:t>
      </w:r>
    </w:p>
    <w:p w14:paraId="7173E66A">
      <w:pPr>
        <w:numPr>
          <w:ilvl w:val="0"/>
          <w:numId w:val="22"/>
        </w:numPr>
        <w:ind w:firstLineChars="0"/>
        <w:rPr>
          <w:highlight w:val="yellow"/>
        </w:rPr>
      </w:pPr>
      <w:r>
        <w:rPr>
          <w:rFonts w:hint="eastAsia"/>
          <w:highlight w:val="yellow"/>
        </w:rPr>
        <w:t>严禁背对梯子作业；</w:t>
      </w:r>
    </w:p>
    <w:p w14:paraId="541CD9CB">
      <w:pPr>
        <w:numPr>
          <w:ilvl w:val="0"/>
          <w:numId w:val="22"/>
        </w:numPr>
        <w:ind w:firstLineChars="0"/>
        <w:rPr>
          <w:highlight w:val="yellow"/>
        </w:rPr>
      </w:pPr>
      <w:r>
        <w:rPr>
          <w:rFonts w:hint="eastAsia"/>
          <w:highlight w:val="yellow"/>
        </w:rPr>
        <w:t>超过2m以上的作业，且安全带无挂点时，除扶梯人外，须再设置一名监护人；</w:t>
      </w:r>
    </w:p>
    <w:p w14:paraId="0D606064">
      <w:pPr>
        <w:numPr>
          <w:ilvl w:val="0"/>
          <w:numId w:val="22"/>
        </w:numPr>
        <w:ind w:firstLineChars="0"/>
        <w:rPr>
          <w:highlight w:val="yellow"/>
        </w:rPr>
      </w:pPr>
      <w:r>
        <w:rPr>
          <w:rFonts w:hint="eastAsia"/>
          <w:highlight w:val="yellow"/>
        </w:rPr>
        <w:t>严禁交叉作业；</w:t>
      </w:r>
    </w:p>
    <w:p w14:paraId="34DB99CB">
      <w:pPr>
        <w:numPr>
          <w:ilvl w:val="0"/>
          <w:numId w:val="22"/>
        </w:numPr>
        <w:ind w:firstLineChars="0"/>
        <w:rPr>
          <w:highlight w:val="yellow"/>
        </w:rPr>
      </w:pPr>
      <w:r>
        <w:rPr>
          <w:rFonts w:hint="eastAsia"/>
          <w:highlight w:val="yellow"/>
        </w:rPr>
        <w:t>作业区域应用警示带围好、设置监护人，严禁非作业人员入内；</w:t>
      </w:r>
    </w:p>
    <w:p w14:paraId="024BE028">
      <w:pPr>
        <w:numPr>
          <w:ilvl w:val="0"/>
          <w:numId w:val="21"/>
        </w:numPr>
        <w:ind w:firstLineChars="0"/>
        <w:rPr>
          <w:highlight w:val="yellow"/>
        </w:rPr>
      </w:pPr>
      <w:r>
        <w:rPr>
          <w:rFonts w:hint="eastAsia"/>
          <w:highlight w:val="yellow"/>
        </w:rPr>
        <w:t>高温季节必须按照防暑降温的要求合理安排工作时间，配备充足的饮用水，采取必要的防暑降温措施；</w:t>
      </w:r>
    </w:p>
    <w:p w14:paraId="4EE1DB9C">
      <w:pPr>
        <w:ind w:firstLine="480"/>
        <w:rPr>
          <w:rFonts w:hint="eastAsia"/>
          <w:highlight w:val="yellow"/>
          <w:lang w:val="en-US" w:eastAsia="zh-CN"/>
        </w:rPr>
      </w:pPr>
      <w:r>
        <w:rPr>
          <w:rFonts w:hint="eastAsia"/>
          <w:highlight w:val="yellow"/>
        </w:rPr>
        <w:t>（16）临近傍晚及气候突变等照明不良的情况下，必须确保人员和各类构件的安全。</w:t>
      </w:r>
    </w:p>
    <w:p w14:paraId="662FF437">
      <w:pPr>
        <w:pStyle w:val="5"/>
        <w:numPr>
          <w:ilvl w:val="0"/>
          <w:numId w:val="9"/>
        </w:numPr>
        <w:ind w:left="425" w:leftChars="0" w:hanging="425" w:firstLineChars="0"/>
        <w:rPr>
          <w:rFonts w:hint="eastAsia" w:ascii="Times New Roman" w:hAnsi="Times New Roman" w:cs="Times New Roman" w:eastAsiaTheme="majorEastAsia"/>
          <w:b/>
          <w:bCs/>
          <w:kern w:val="2"/>
          <w:sz w:val="28"/>
          <w:szCs w:val="32"/>
          <w:highlight w:val="yellow"/>
          <w:lang w:val="en-US" w:eastAsia="zh-CN" w:bidi="ar-SA"/>
        </w:rPr>
      </w:pPr>
      <w:bookmarkStart w:id="39" w:name="_Toc4102"/>
      <w:r>
        <w:rPr>
          <w:rFonts w:hint="eastAsia" w:cs="Times New Roman"/>
          <w:b/>
          <w:bCs/>
          <w:kern w:val="2"/>
          <w:sz w:val="28"/>
          <w:szCs w:val="32"/>
          <w:highlight w:val="yellow"/>
          <w:lang w:val="en-US" w:eastAsia="zh-CN" w:bidi="ar-SA"/>
        </w:rPr>
        <w:t>施工用电保障措施</w:t>
      </w:r>
      <w:bookmarkEnd w:id="39"/>
    </w:p>
    <w:p w14:paraId="31E37F65">
      <w:pPr>
        <w:numPr>
          <w:ilvl w:val="0"/>
          <w:numId w:val="23"/>
        </w:numPr>
        <w:ind w:firstLineChars="0"/>
        <w:rPr>
          <w:highlight w:val="yellow"/>
        </w:rPr>
      </w:pPr>
      <w:r>
        <w:rPr>
          <w:highlight w:val="yellow"/>
        </w:rP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42A2F9D8">
      <w:pPr>
        <w:numPr>
          <w:ilvl w:val="0"/>
          <w:numId w:val="23"/>
        </w:numPr>
        <w:ind w:firstLineChars="0"/>
        <w:rPr>
          <w:highlight w:val="yellow"/>
        </w:rPr>
      </w:pPr>
      <w:r>
        <w:rPr>
          <w:highlight w:val="yellow"/>
        </w:rPr>
        <w:t>配电箱、开关箱内电气设备完好无缺。箱体下方进出线，开关箱应符合</w:t>
      </w:r>
      <w:r>
        <w:rPr>
          <w:rFonts w:hint="eastAsia"/>
          <w:highlight w:val="yellow"/>
        </w:rPr>
        <w:t>“</w:t>
      </w:r>
      <w:r>
        <w:rPr>
          <w:highlight w:val="yellow"/>
        </w:rPr>
        <w:t>一机一闸一漏一箱</w:t>
      </w:r>
      <w:r>
        <w:rPr>
          <w:rFonts w:hint="eastAsia"/>
          <w:highlight w:val="yellow"/>
        </w:rPr>
        <w:t>”</w:t>
      </w:r>
      <w:r>
        <w:rPr>
          <w:highlight w:val="yellow"/>
        </w:rPr>
        <w:t>的要求，门、锁完善，有防雨、防尘措施，箱内无杂物，箱前通道畅通，并应对电箱统一编号，刷上危险标志。保护零线（PE、绿/黄线）中间和末端必须重复接地，严禁与工作零线混接；产生振动的设备的重复接地不少于两处；</w:t>
      </w:r>
    </w:p>
    <w:p w14:paraId="263BCD22">
      <w:pPr>
        <w:numPr>
          <w:ilvl w:val="0"/>
          <w:numId w:val="23"/>
        </w:numPr>
        <w:ind w:firstLineChars="0"/>
        <w:rPr>
          <w:highlight w:val="yellow"/>
        </w:rPr>
      </w:pPr>
      <w:r>
        <w:rPr>
          <w:highlight w:val="yellow"/>
        </w:rPr>
        <w:t>临时用电施工组织设计和临时安全用电技术措施及电气防火措施，必须由电气工程技术人员编制，技术负责人审核，经主管部门批准后实施；</w:t>
      </w:r>
    </w:p>
    <w:p w14:paraId="5FE66E1A">
      <w:pPr>
        <w:numPr>
          <w:ilvl w:val="0"/>
          <w:numId w:val="23"/>
        </w:numPr>
        <w:ind w:firstLineChars="0"/>
        <w:rPr>
          <w:highlight w:val="yellow"/>
        </w:rPr>
      </w:pPr>
      <w:r>
        <w:rPr>
          <w:highlight w:val="yellow"/>
        </w:rPr>
        <w:t>安装、维修或拆除临时用电工程，必须由持证电工完成，无证人员禁止上岗。电工等级应同工程的难易程度和技术复杂性相适应；</w:t>
      </w:r>
    </w:p>
    <w:p w14:paraId="14C5BE26">
      <w:pPr>
        <w:numPr>
          <w:ilvl w:val="0"/>
          <w:numId w:val="23"/>
        </w:numPr>
        <w:ind w:firstLineChars="0"/>
        <w:rPr>
          <w:highlight w:val="yellow"/>
        </w:rPr>
      </w:pPr>
      <w:r>
        <w:rPr>
          <w:highlight w:val="yellow"/>
        </w:rPr>
        <w:t>使用设备必须按规定穿戴和配备好相应的劳动保护用品，并应检查电气装置和保护设施是否完好，严禁设备带病运转和进行运转中维修；</w:t>
      </w:r>
    </w:p>
    <w:p w14:paraId="110D3CCE">
      <w:pPr>
        <w:numPr>
          <w:ilvl w:val="0"/>
          <w:numId w:val="23"/>
        </w:numPr>
        <w:ind w:firstLineChars="0"/>
        <w:rPr>
          <w:highlight w:val="yellow"/>
        </w:rPr>
      </w:pPr>
      <w:r>
        <w:rPr>
          <w:highlight w:val="yellow"/>
        </w:rPr>
        <w:t>停用的设备必须拉闸断电，锁好开关箱。负载线、保护零线和开关箱发现问题应及时报告解决。搬迁或移动的用电设备，必须由专业电工切断电源并作妥善处理；</w:t>
      </w:r>
    </w:p>
    <w:p w14:paraId="260611F6">
      <w:pPr>
        <w:numPr>
          <w:ilvl w:val="0"/>
          <w:numId w:val="23"/>
        </w:numPr>
        <w:ind w:firstLineChars="0"/>
        <w:rPr>
          <w:highlight w:val="yellow"/>
        </w:rPr>
      </w:pPr>
      <w:r>
        <w:rPr>
          <w:highlight w:val="yellow"/>
        </w:rPr>
        <w:t>按规范做好施工现场临时安全用电的安全技术档案；</w:t>
      </w:r>
    </w:p>
    <w:p w14:paraId="637E8015">
      <w:pPr>
        <w:numPr>
          <w:ilvl w:val="0"/>
          <w:numId w:val="23"/>
        </w:numPr>
        <w:ind w:firstLineChars="0"/>
        <w:rPr>
          <w:highlight w:val="yellow"/>
        </w:rPr>
      </w:pPr>
      <w:r>
        <w:rPr>
          <w:highlight w:val="yellow"/>
        </w:rPr>
        <w:t>在建工程与外电线路的安全距离及外电防护和接地与防雷等应严格按规范执行；</w:t>
      </w:r>
    </w:p>
    <w:p w14:paraId="5E8F1C9D">
      <w:pPr>
        <w:numPr>
          <w:ilvl w:val="0"/>
          <w:numId w:val="23"/>
        </w:numPr>
        <w:ind w:firstLineChars="0"/>
        <w:rPr>
          <w:highlight w:val="yellow"/>
        </w:rPr>
      </w:pPr>
      <w:r>
        <w:rPr>
          <w:highlight w:val="yellow"/>
        </w:rPr>
        <w:t>配电线路的架空线必须采用绝缘铜线和绝缘铝线。架空线必须设置在专用电杆上；</w:t>
      </w:r>
    </w:p>
    <w:p w14:paraId="3D98DC3F">
      <w:pPr>
        <w:numPr>
          <w:ilvl w:val="0"/>
          <w:numId w:val="23"/>
        </w:numPr>
        <w:ind w:firstLineChars="0"/>
        <w:rPr>
          <w:highlight w:val="yellow"/>
        </w:rPr>
      </w:pPr>
      <w:r>
        <w:rPr>
          <w:highlight w:val="yellow"/>
        </w:rPr>
        <w:t>空线的接头、相序排列、档距、线间距离及横担的垂直距离和横担的选择及规格，严格执行规范规定；</w:t>
      </w:r>
    </w:p>
    <w:p w14:paraId="5B58F548">
      <w:pPr>
        <w:numPr>
          <w:ilvl w:val="0"/>
          <w:numId w:val="23"/>
        </w:numPr>
        <w:ind w:firstLineChars="0"/>
        <w:rPr>
          <w:highlight w:val="yellow"/>
        </w:rPr>
      </w:pPr>
      <w:r>
        <w:rPr>
          <w:highlight w:val="yellow"/>
        </w:rPr>
        <w:t>动力配电箱与照明配电箱应分别设置，如合置在同一配电箱内，动力和照明线路应分路设置；</w:t>
      </w:r>
    </w:p>
    <w:p w14:paraId="5A3CD371">
      <w:pPr>
        <w:numPr>
          <w:ilvl w:val="0"/>
          <w:numId w:val="23"/>
        </w:numPr>
        <w:ind w:firstLineChars="0"/>
        <w:rPr>
          <w:highlight w:val="yellow"/>
        </w:rPr>
      </w:pPr>
      <w:r>
        <w:rPr>
          <w:highlight w:val="yellow"/>
        </w:rPr>
        <w:t>开关箱应由末级配电箱配电，配电箱、开关箱制作所用的材料、箱的规格设置要求及安装技术应按规范执行。配电箱、开关箱最好购合格的成品使用；</w:t>
      </w:r>
    </w:p>
    <w:p w14:paraId="7A36BA41">
      <w:pPr>
        <w:numPr>
          <w:ilvl w:val="0"/>
          <w:numId w:val="23"/>
        </w:numPr>
        <w:ind w:firstLineChars="0"/>
        <w:rPr>
          <w:highlight w:val="yellow"/>
        </w:rPr>
      </w:pPr>
      <w:r>
        <w:rPr>
          <w:highlight w:val="yellow"/>
        </w:rPr>
        <w:t>配电箱、开关箱内的开关电器安装，绝缘要求和箱壳保护接零应按规范执行；</w:t>
      </w:r>
    </w:p>
    <w:p w14:paraId="7E4D42CD">
      <w:pPr>
        <w:numPr>
          <w:ilvl w:val="0"/>
          <w:numId w:val="23"/>
        </w:numPr>
        <w:ind w:firstLineChars="0"/>
        <w:rPr>
          <w:highlight w:val="yellow"/>
        </w:rPr>
      </w:pPr>
      <w:r>
        <w:rPr>
          <w:highlight w:val="yellow"/>
        </w:rPr>
        <w:t>严禁用同一个开关电器直接控制2台及2台以上用电设备（含插座）；</w:t>
      </w:r>
    </w:p>
    <w:p w14:paraId="557290B7">
      <w:pPr>
        <w:numPr>
          <w:ilvl w:val="0"/>
          <w:numId w:val="23"/>
        </w:numPr>
        <w:ind w:firstLineChars="0"/>
        <w:rPr>
          <w:highlight w:val="yellow"/>
        </w:rPr>
      </w:pPr>
      <w:r>
        <w:rPr>
          <w:highlight w:val="yellow"/>
        </w:rPr>
        <w:t>开关箱内必须装设漏电保护器，漏电保护器的选择应符合要求。漏电保护器的安装要求和额定漏电动作应符合规范要求；</w:t>
      </w:r>
    </w:p>
    <w:p w14:paraId="5CB79449">
      <w:pPr>
        <w:numPr>
          <w:ilvl w:val="0"/>
          <w:numId w:val="23"/>
        </w:numPr>
        <w:ind w:firstLineChars="0"/>
        <w:rPr>
          <w:highlight w:val="yellow"/>
        </w:rPr>
      </w:pPr>
      <w:r>
        <w:rPr>
          <w:highlight w:val="yellow"/>
        </w:rPr>
        <w:t>配电箱和开关箱中两级漏电保护器的额定漏电动作时间作合理配合，使之具有分段保护的功能；</w:t>
      </w:r>
    </w:p>
    <w:p w14:paraId="18753F22">
      <w:pPr>
        <w:numPr>
          <w:ilvl w:val="0"/>
          <w:numId w:val="23"/>
        </w:numPr>
        <w:ind w:firstLineChars="0"/>
        <w:rPr>
          <w:highlight w:val="yellow"/>
        </w:rPr>
      </w:pPr>
      <w:r>
        <w:rPr>
          <w:highlight w:val="yellow"/>
        </w:rPr>
        <w:t>手动开关电器只许用于直接控制照明电器和容量不大于5.5kW动力电路。容量大于5.5kW的动力电路应采用自动开关电器或降压启动装置控制。各种开关电器的额定值与其控制用电设备的额定值相适应；</w:t>
      </w:r>
    </w:p>
    <w:p w14:paraId="0EB95772">
      <w:pPr>
        <w:numPr>
          <w:ilvl w:val="0"/>
          <w:numId w:val="23"/>
        </w:numPr>
        <w:ind w:firstLineChars="0"/>
        <w:rPr>
          <w:highlight w:val="yellow"/>
        </w:rPr>
      </w:pPr>
      <w:r>
        <w:rPr>
          <w:highlight w:val="yellow"/>
        </w:rPr>
        <w:t>对配电箱、开关箱进行检查、维修时，必须将其前一级相应的电源开关分闸断电，并悬挂停电检修标志牌，严禁带电作业；</w:t>
      </w:r>
    </w:p>
    <w:p w14:paraId="196526DF">
      <w:pPr>
        <w:numPr>
          <w:ilvl w:val="0"/>
          <w:numId w:val="23"/>
        </w:numPr>
        <w:ind w:firstLineChars="0"/>
        <w:rPr>
          <w:highlight w:val="yellow"/>
        </w:rPr>
      </w:pPr>
      <w:r>
        <w:rPr>
          <w:highlight w:val="yellow"/>
        </w:rPr>
        <w:t>移动的用电设备使用的电源线路，必须使用绝缘胶套管式电缆；</w:t>
      </w:r>
    </w:p>
    <w:p w14:paraId="5506EC66">
      <w:pPr>
        <w:numPr>
          <w:ilvl w:val="0"/>
          <w:numId w:val="23"/>
        </w:numPr>
        <w:ind w:firstLineChars="0"/>
        <w:rPr>
          <w:highlight w:val="yellow"/>
        </w:rPr>
      </w:pPr>
      <w:r>
        <w:rPr>
          <w:highlight w:val="yellow"/>
        </w:rPr>
        <w:t>用电设备和电气线路必须有保护接零；</w:t>
      </w:r>
    </w:p>
    <w:p w14:paraId="7C724DD7">
      <w:pPr>
        <w:numPr>
          <w:ilvl w:val="0"/>
          <w:numId w:val="23"/>
        </w:numPr>
        <w:ind w:firstLineChars="0"/>
        <w:rPr>
          <w:highlight w:val="yellow"/>
        </w:rPr>
      </w:pPr>
      <w:r>
        <w:rPr>
          <w:highlight w:val="yellow"/>
        </w:rPr>
        <w:t>电动工具、机械设备有良好的接地装置，所用电源有可靠的触电保护器。阴雨天气及在潮湿部位工作所使用的电动工机具、机械、工作人员的劳保用品必须符合有关的要求；</w:t>
      </w:r>
    </w:p>
    <w:p w14:paraId="078176B1">
      <w:pPr>
        <w:numPr>
          <w:ilvl w:val="0"/>
          <w:numId w:val="23"/>
        </w:numPr>
        <w:ind w:firstLineChars="0"/>
        <w:rPr>
          <w:highlight w:val="yellow"/>
        </w:rPr>
      </w:pPr>
      <w:r>
        <w:rPr>
          <w:highlight w:val="yellow"/>
        </w:rPr>
        <w:t>严禁施工现场非正式电工乱接用电线和安装用电开关；</w:t>
      </w:r>
    </w:p>
    <w:p w14:paraId="19F40567">
      <w:pPr>
        <w:numPr>
          <w:ilvl w:val="0"/>
          <w:numId w:val="23"/>
        </w:numPr>
        <w:ind w:firstLineChars="0"/>
        <w:rPr>
          <w:highlight w:val="yellow"/>
        </w:rPr>
      </w:pPr>
      <w:r>
        <w:rPr>
          <w:highlight w:val="yellow"/>
        </w:rPr>
        <w:t>残缺绝缘盖的闸刀开关禁止使用，开关不得采用铜、铁、铝线作熔断保险丝；</w:t>
      </w:r>
    </w:p>
    <w:p w14:paraId="51BFCB24">
      <w:pPr>
        <w:numPr>
          <w:ilvl w:val="0"/>
          <w:numId w:val="23"/>
        </w:numPr>
        <w:ind w:firstLineChars="0"/>
        <w:rPr>
          <w:rFonts w:hint="eastAsia"/>
          <w:highlight w:val="yellow"/>
          <w:lang w:val="en-US" w:eastAsia="zh-CN"/>
        </w:rPr>
      </w:pPr>
      <w:r>
        <w:rPr>
          <w:highlight w:val="yellow"/>
        </w:rPr>
        <w:t>在施工现场设置围栏、警示牌、夜间警示灯，以告示行人。</w:t>
      </w:r>
    </w:p>
    <w:p w14:paraId="3732F3CD">
      <w:pPr>
        <w:pStyle w:val="5"/>
        <w:numPr>
          <w:ilvl w:val="0"/>
          <w:numId w:val="9"/>
        </w:numPr>
        <w:ind w:left="425" w:leftChars="0" w:hanging="425" w:firstLineChars="0"/>
        <w:rPr>
          <w:rFonts w:hint="eastAsia" w:ascii="Times New Roman" w:hAnsi="Times New Roman" w:cs="Times New Roman" w:eastAsiaTheme="majorEastAsia"/>
          <w:b/>
          <w:bCs/>
          <w:kern w:val="2"/>
          <w:sz w:val="28"/>
          <w:szCs w:val="32"/>
          <w:highlight w:val="yellow"/>
          <w:lang w:val="en-US" w:eastAsia="zh-CN" w:bidi="ar-SA"/>
        </w:rPr>
      </w:pPr>
      <w:bookmarkStart w:id="40" w:name="_Toc3535"/>
      <w:r>
        <w:rPr>
          <w:rFonts w:hint="eastAsia" w:cs="Times New Roman"/>
          <w:b/>
          <w:bCs/>
          <w:kern w:val="2"/>
          <w:sz w:val="28"/>
          <w:szCs w:val="32"/>
          <w:highlight w:val="yellow"/>
          <w:lang w:val="en-US" w:eastAsia="zh-CN" w:bidi="ar-SA"/>
        </w:rPr>
        <w:t>恶劣天气保障措施</w:t>
      </w:r>
      <w:bookmarkEnd w:id="40"/>
    </w:p>
    <w:p w14:paraId="6AB35EB0">
      <w:pPr>
        <w:pStyle w:val="6"/>
        <w:numPr>
          <w:ilvl w:val="0"/>
          <w:numId w:val="24"/>
        </w:numPr>
        <w:bidi w:val="0"/>
        <w:ind w:left="425" w:leftChars="0" w:hanging="425" w:firstLineChars="0"/>
        <w:rPr>
          <w:rFonts w:hint="eastAsia"/>
          <w:highlight w:val="yellow"/>
        </w:rPr>
      </w:pPr>
      <w:r>
        <w:rPr>
          <w:rFonts w:hint="eastAsia"/>
          <w:highlight w:val="yellow"/>
        </w:rPr>
        <w:t>防风安全保证措施</w:t>
      </w:r>
    </w:p>
    <w:p w14:paraId="55CFB213">
      <w:pPr>
        <w:numPr>
          <w:ilvl w:val="0"/>
          <w:numId w:val="25"/>
        </w:numPr>
        <w:bidi w:val="0"/>
        <w:ind w:left="0" w:leftChars="0" w:firstLine="480" w:firstLineChars="200"/>
        <w:rPr>
          <w:rFonts w:hint="eastAsia"/>
          <w:highlight w:val="yellow"/>
        </w:rPr>
      </w:pPr>
      <w:r>
        <w:rPr>
          <w:rFonts w:hint="eastAsia"/>
          <w:highlight w:val="yellow"/>
        </w:rPr>
        <w:t>工程建设地处</w:t>
      </w:r>
      <w:r>
        <w:rPr>
          <w:rFonts w:hint="eastAsia"/>
          <w:highlight w:val="yellow"/>
          <w:lang w:eastAsia="zh-CN"/>
        </w:rPr>
        <w:t>大风</w:t>
      </w:r>
      <w:r>
        <w:rPr>
          <w:rFonts w:hint="eastAsia"/>
          <w:highlight w:val="yellow"/>
        </w:rPr>
        <w:t>多发区域，几乎每年都有强热带风暴侵袭，有时风载将会超出规范的设计范围，威胁到塔机的安全。为避免自然灾害造成的损失，应根据实际情况制定出防强台风的措施，具体如下：</w:t>
      </w:r>
    </w:p>
    <w:p w14:paraId="3E24D102">
      <w:pPr>
        <w:numPr>
          <w:ilvl w:val="0"/>
          <w:numId w:val="25"/>
        </w:numPr>
        <w:bidi w:val="0"/>
        <w:ind w:left="0" w:leftChars="0" w:firstLine="480" w:firstLineChars="200"/>
        <w:rPr>
          <w:rFonts w:hint="eastAsia"/>
          <w:highlight w:val="yellow"/>
        </w:rPr>
      </w:pPr>
      <w:r>
        <w:rPr>
          <w:rFonts w:hint="eastAsia"/>
          <w:highlight w:val="yellow"/>
        </w:rPr>
        <w:t>塔机用户应密切注意天气、风力动向，当预报风力大于6级小于11级时，塔机应停止工作，检查塔身、附墙杆、机构、广告牌、电气箱、灯具等是否连接牢固，有问题应及时处理，吊钩升到最高处，吊臂应能随风转动，回转范围内不得有障碍。</w:t>
      </w:r>
    </w:p>
    <w:p w14:paraId="754F9E67">
      <w:pPr>
        <w:numPr>
          <w:ilvl w:val="0"/>
          <w:numId w:val="25"/>
        </w:numPr>
        <w:bidi w:val="0"/>
        <w:ind w:left="0" w:leftChars="0" w:firstLine="480" w:firstLineChars="200"/>
        <w:rPr>
          <w:rFonts w:hint="eastAsia"/>
          <w:highlight w:val="yellow"/>
        </w:rPr>
      </w:pPr>
      <w:r>
        <w:rPr>
          <w:rFonts w:hint="eastAsia"/>
          <w:highlight w:val="yellow"/>
        </w:rPr>
        <w:t>当预报风力大于11级时，独立高度的塔机应至少降下1/3的高度，或者在塔身上部安装一道附墙，并适当降低高度到不碰建筑物顶部为止，让塔身尽量降低，当塔机独立固定高度满足缆风绳方案时，可以使用缆风绳防护。塔机在独立高度时候，应将回转机构拆下。</w:t>
      </w:r>
    </w:p>
    <w:p w14:paraId="383F385C">
      <w:pPr>
        <w:numPr>
          <w:ilvl w:val="0"/>
          <w:numId w:val="25"/>
        </w:numPr>
        <w:bidi w:val="0"/>
        <w:ind w:left="0" w:leftChars="0" w:firstLine="480" w:firstLineChars="200"/>
        <w:rPr>
          <w:rFonts w:hint="eastAsia"/>
          <w:highlight w:val="yellow"/>
        </w:rPr>
      </w:pPr>
      <w:r>
        <w:rPr>
          <w:rFonts w:hint="eastAsia"/>
          <w:highlight w:val="yellow"/>
        </w:rPr>
        <w:t>对于超过独立高度并安装有附着的塔机，且四周空旷，风力不受阻碍的高层建筑塔机用户，当预报风力大于11级时，应将塔机降低至建筑物高度以下，并将吊臂和平衡臂与建筑物主体结构连接牢固。并且平时就应准备好固定塔机的工具，以免临时没办法加固。</w:t>
      </w:r>
    </w:p>
    <w:p w14:paraId="66517316">
      <w:pPr>
        <w:numPr>
          <w:ilvl w:val="0"/>
          <w:numId w:val="25"/>
        </w:numPr>
        <w:bidi w:val="0"/>
        <w:ind w:left="0" w:leftChars="0" w:firstLine="480" w:firstLineChars="200"/>
        <w:rPr>
          <w:rFonts w:hint="eastAsia"/>
          <w:highlight w:val="yellow"/>
        </w:rPr>
      </w:pPr>
      <w:r>
        <w:rPr>
          <w:rFonts w:hint="eastAsia"/>
          <w:highlight w:val="yellow"/>
        </w:rPr>
        <w:t>严格按照塔机使用说明书安装和使用，塔身高度不得超过说明书规定的范围。</w:t>
      </w:r>
    </w:p>
    <w:p w14:paraId="0EFD5172">
      <w:pPr>
        <w:numPr>
          <w:ilvl w:val="0"/>
          <w:numId w:val="25"/>
        </w:numPr>
        <w:bidi w:val="0"/>
        <w:ind w:left="0" w:leftChars="0" w:firstLine="480" w:firstLineChars="200"/>
        <w:rPr>
          <w:rFonts w:hint="eastAsia"/>
          <w:highlight w:val="yellow"/>
        </w:rPr>
      </w:pPr>
      <w:r>
        <w:rPr>
          <w:rFonts w:hint="eastAsia"/>
          <w:highlight w:val="yellow"/>
        </w:rPr>
        <w:t>严格按设计要求制作塔机基础，不得心存侥幸、降低要求。</w:t>
      </w:r>
    </w:p>
    <w:p w14:paraId="68B5798C">
      <w:pPr>
        <w:numPr>
          <w:ilvl w:val="0"/>
          <w:numId w:val="25"/>
        </w:numPr>
        <w:bidi w:val="0"/>
        <w:ind w:left="0" w:leftChars="0" w:firstLine="480" w:firstLineChars="200"/>
        <w:rPr>
          <w:rFonts w:hint="eastAsia"/>
          <w:highlight w:val="yellow"/>
        </w:rPr>
      </w:pPr>
      <w:r>
        <w:rPr>
          <w:rFonts w:hint="eastAsia"/>
          <w:highlight w:val="yellow"/>
        </w:rPr>
        <w:t>因为</w:t>
      </w:r>
      <w:r>
        <w:rPr>
          <w:rFonts w:hint="eastAsia"/>
          <w:highlight w:val="yellow"/>
          <w:lang w:eastAsia="zh-CN"/>
        </w:rPr>
        <w:t>大</w:t>
      </w:r>
      <w:r>
        <w:rPr>
          <w:rFonts w:hint="eastAsia"/>
          <w:highlight w:val="yellow"/>
        </w:rPr>
        <w:t>风来袭时的方向还是有规律可循，塔机安装时尽量安装在建筑物能挡风的背风面。</w:t>
      </w:r>
    </w:p>
    <w:p w14:paraId="66B741E2">
      <w:pPr>
        <w:pStyle w:val="6"/>
        <w:numPr>
          <w:ilvl w:val="0"/>
          <w:numId w:val="24"/>
        </w:numPr>
        <w:bidi w:val="0"/>
        <w:ind w:left="425" w:leftChars="0" w:hanging="425" w:firstLineChars="0"/>
        <w:rPr>
          <w:rFonts w:hint="eastAsia"/>
          <w:highlight w:val="yellow"/>
        </w:rPr>
      </w:pPr>
      <w:r>
        <w:rPr>
          <w:rFonts w:hint="eastAsia"/>
          <w:highlight w:val="yellow"/>
        </w:rPr>
        <w:t>防雷安全保证措施</w:t>
      </w:r>
    </w:p>
    <w:p w14:paraId="19AA2226">
      <w:pPr>
        <w:numPr>
          <w:ilvl w:val="0"/>
          <w:numId w:val="26"/>
        </w:numPr>
        <w:bidi w:val="0"/>
        <w:ind w:left="0" w:leftChars="0" w:firstLine="480" w:firstLineChars="200"/>
        <w:rPr>
          <w:rFonts w:hint="eastAsia"/>
          <w:highlight w:val="yellow"/>
        </w:rPr>
      </w:pPr>
      <w:r>
        <w:rPr>
          <w:rFonts w:hint="eastAsia"/>
          <w:highlight w:val="yellow"/>
        </w:rPr>
        <w:t>塔机装有防雷装置。防雷接地电阻实际检测一般不超过10Ω，特殊情况遵从安全设计值，允许与其他接地装置共用时，应满足其中最低的要求。</w:t>
      </w:r>
    </w:p>
    <w:p w14:paraId="6B46DE4C">
      <w:pPr>
        <w:numPr>
          <w:ilvl w:val="0"/>
          <w:numId w:val="26"/>
        </w:numPr>
        <w:bidi w:val="0"/>
        <w:ind w:left="0" w:leftChars="0" w:firstLine="480" w:firstLineChars="200"/>
        <w:rPr>
          <w:rFonts w:hint="eastAsia"/>
          <w:highlight w:val="yellow"/>
        </w:rPr>
      </w:pPr>
      <w:r>
        <w:rPr>
          <w:rFonts w:hint="eastAsia"/>
          <w:highlight w:val="yellow"/>
        </w:rPr>
        <w:t>避雷针（带）与引下线的接地装置连接应采用焊接。整体防雷装置应保证完好的电气通路和连接的可靠性（包括跨接线和过度伸缩缝的处理等）。  </w:t>
      </w:r>
    </w:p>
    <w:p w14:paraId="6AD003F3">
      <w:pPr>
        <w:numPr>
          <w:ilvl w:val="0"/>
          <w:numId w:val="26"/>
        </w:numPr>
        <w:bidi w:val="0"/>
        <w:ind w:left="0" w:leftChars="0" w:firstLine="480" w:firstLineChars="200"/>
        <w:rPr>
          <w:rFonts w:hint="eastAsia"/>
          <w:highlight w:val="yellow"/>
        </w:rPr>
      </w:pPr>
      <w:r>
        <w:rPr>
          <w:rFonts w:hint="eastAsia"/>
          <w:highlight w:val="yellow"/>
        </w:rPr>
        <w:t>对防雷装置应当作为电力设备一样进行预防性试验与检查、检测，保持其良好的保护性能。</w:t>
      </w:r>
    </w:p>
    <w:p w14:paraId="53D9F27D">
      <w:pPr>
        <w:numPr>
          <w:ilvl w:val="0"/>
          <w:numId w:val="26"/>
        </w:numPr>
        <w:bidi w:val="0"/>
        <w:ind w:left="0" w:leftChars="0" w:firstLine="480" w:firstLineChars="200"/>
        <w:rPr>
          <w:rFonts w:hint="eastAsia"/>
          <w:highlight w:val="yellow"/>
          <w:lang w:val="en-US" w:eastAsia="zh-CN"/>
        </w:rPr>
      </w:pPr>
      <w:r>
        <w:rPr>
          <w:rFonts w:hint="eastAsia"/>
          <w:highlight w:val="yellow"/>
        </w:rPr>
        <w:t>对各种防雷装置应按规范标准要求检查整体和器件情况，例如，连接点有无裂纹，引下线上有无闪络或烧损痕迹，腐蚀锈蚀以及与相邻异体的安全距离情况等。</w:t>
      </w:r>
    </w:p>
    <w:p w14:paraId="430B6268">
      <w:pPr>
        <w:pStyle w:val="6"/>
        <w:numPr>
          <w:ilvl w:val="0"/>
          <w:numId w:val="24"/>
        </w:numPr>
        <w:bidi w:val="0"/>
        <w:ind w:left="425" w:leftChars="0" w:hanging="425" w:firstLineChars="0"/>
        <w:rPr>
          <w:rFonts w:hint="eastAsia"/>
          <w:highlight w:val="yellow"/>
          <w:lang w:val="en-US" w:eastAsia="zh-CN"/>
        </w:rPr>
      </w:pPr>
      <w:r>
        <w:rPr>
          <w:rFonts w:hint="eastAsia"/>
          <w:highlight w:val="yellow"/>
          <w:lang w:val="en-US" w:eastAsia="zh-CN"/>
        </w:rPr>
        <w:t>高温中暑安全保障措施</w:t>
      </w:r>
    </w:p>
    <w:p w14:paraId="5FE739DF">
      <w:pPr>
        <w:numPr>
          <w:ilvl w:val="0"/>
          <w:numId w:val="27"/>
        </w:numPr>
        <w:bidi w:val="0"/>
        <w:ind w:left="425" w:leftChars="0" w:hanging="425" w:firstLineChars="0"/>
        <w:rPr>
          <w:rFonts w:hint="eastAsia" w:ascii="宋体" w:hAnsi="宋体" w:eastAsia="宋体" w:cs="宋体"/>
          <w:bCs w:val="0"/>
          <w:kern w:val="2"/>
          <w:sz w:val="24"/>
          <w:szCs w:val="22"/>
          <w:highlight w:val="yellow"/>
          <w:lang w:val="en-US" w:eastAsia="zh-CN" w:bidi="ar-SA"/>
        </w:rPr>
      </w:pPr>
      <w:r>
        <w:rPr>
          <w:rFonts w:hint="eastAsia" w:ascii="宋体" w:hAnsi="宋体" w:eastAsia="宋体" w:cs="宋体"/>
          <w:bCs w:val="0"/>
          <w:kern w:val="2"/>
          <w:sz w:val="24"/>
          <w:szCs w:val="22"/>
          <w:highlight w:val="yellow"/>
          <w:lang w:val="en-US" w:eastAsia="zh-CN" w:bidi="ar-SA"/>
        </w:rPr>
        <w:t>事故发生主要环节</w:t>
      </w:r>
    </w:p>
    <w:p w14:paraId="11DC849A">
      <w:pPr>
        <w:bidi w:val="0"/>
        <w:rPr>
          <w:rFonts w:hint="eastAsia" w:ascii="宋体" w:hAnsi="宋体" w:eastAsia="宋体" w:cs="宋体"/>
          <w:bCs w:val="0"/>
          <w:kern w:val="2"/>
          <w:sz w:val="24"/>
          <w:szCs w:val="22"/>
          <w:highlight w:val="yellow"/>
          <w:lang w:val="en-US" w:eastAsia="zh-CN" w:bidi="ar-SA"/>
        </w:rPr>
      </w:pPr>
      <w:r>
        <w:rPr>
          <w:rFonts w:hint="eastAsia" w:ascii="宋体" w:hAnsi="宋体" w:eastAsia="宋体" w:cs="宋体"/>
          <w:bCs w:val="0"/>
          <w:kern w:val="2"/>
          <w:sz w:val="24"/>
          <w:szCs w:val="22"/>
          <w:highlight w:val="yellow"/>
          <w:lang w:val="en-US" w:eastAsia="zh-CN" w:bidi="ar-SA"/>
        </w:rPr>
        <w:t>夏季施工温度高，工作持续时间长，易发生中暑事件。</w:t>
      </w:r>
    </w:p>
    <w:p w14:paraId="6C0BCD32">
      <w:pPr>
        <w:numPr>
          <w:ilvl w:val="0"/>
          <w:numId w:val="27"/>
        </w:numPr>
        <w:bidi w:val="0"/>
        <w:ind w:left="425" w:leftChars="0" w:hanging="425" w:firstLineChars="0"/>
        <w:rPr>
          <w:rFonts w:hint="eastAsia" w:ascii="宋体" w:hAnsi="宋体" w:eastAsia="宋体" w:cs="宋体"/>
          <w:bCs w:val="0"/>
          <w:kern w:val="2"/>
          <w:sz w:val="24"/>
          <w:szCs w:val="22"/>
          <w:highlight w:val="yellow"/>
          <w:lang w:val="en-US" w:eastAsia="zh-CN" w:bidi="ar-SA"/>
        </w:rPr>
      </w:pPr>
      <w:r>
        <w:rPr>
          <w:rFonts w:hint="eastAsia" w:ascii="宋体" w:hAnsi="宋体" w:eastAsia="宋体" w:cs="宋体"/>
          <w:bCs w:val="0"/>
          <w:kern w:val="2"/>
          <w:sz w:val="24"/>
          <w:szCs w:val="22"/>
          <w:highlight w:val="yellow"/>
          <w:lang w:val="en-US" w:eastAsia="zh-CN" w:bidi="ar-SA"/>
        </w:rPr>
        <w:t>预防措施</w:t>
      </w:r>
    </w:p>
    <w:p w14:paraId="6F21231E">
      <w:pPr>
        <w:numPr>
          <w:ilvl w:val="0"/>
          <w:numId w:val="28"/>
        </w:numPr>
        <w:bidi w:val="0"/>
        <w:ind w:left="0" w:leftChars="0" w:firstLine="480" w:firstLineChars="200"/>
        <w:rPr>
          <w:rFonts w:hint="eastAsia" w:ascii="宋体" w:hAnsi="宋体" w:eastAsia="宋体" w:cs="宋体"/>
          <w:bCs w:val="0"/>
          <w:kern w:val="2"/>
          <w:sz w:val="24"/>
          <w:szCs w:val="22"/>
          <w:highlight w:val="yellow"/>
          <w:lang w:val="en-US" w:eastAsia="zh-CN" w:bidi="ar-SA"/>
        </w:rPr>
      </w:pPr>
      <w:r>
        <w:rPr>
          <w:rFonts w:hint="eastAsia" w:ascii="宋体" w:hAnsi="宋体" w:eastAsia="宋体" w:cs="宋体"/>
          <w:bCs w:val="0"/>
          <w:kern w:val="2"/>
          <w:sz w:val="24"/>
          <w:szCs w:val="22"/>
          <w:highlight w:val="yellow"/>
          <w:lang w:val="en-US" w:eastAsia="zh-CN" w:bidi="ar-SA"/>
        </w:rPr>
        <w:t>现场设置临时休息亭，配备饮用水及必要的防暑药品。</w:t>
      </w:r>
    </w:p>
    <w:p w14:paraId="7E7F6BB0">
      <w:pPr>
        <w:numPr>
          <w:ilvl w:val="0"/>
          <w:numId w:val="28"/>
        </w:numPr>
        <w:bidi w:val="0"/>
        <w:ind w:left="0" w:leftChars="0" w:firstLine="480" w:firstLineChars="200"/>
        <w:rPr>
          <w:rFonts w:hint="eastAsia" w:ascii="宋体" w:hAnsi="宋体" w:eastAsia="宋体" w:cs="宋体"/>
          <w:bCs w:val="0"/>
          <w:kern w:val="2"/>
          <w:sz w:val="24"/>
          <w:szCs w:val="22"/>
          <w:highlight w:val="yellow"/>
          <w:lang w:val="en-US" w:eastAsia="zh-CN" w:bidi="ar-SA"/>
        </w:rPr>
      </w:pPr>
      <w:r>
        <w:rPr>
          <w:rFonts w:hint="eastAsia" w:ascii="宋体" w:hAnsi="宋体" w:eastAsia="宋体" w:cs="宋体"/>
          <w:bCs w:val="0"/>
          <w:kern w:val="2"/>
          <w:sz w:val="24"/>
          <w:szCs w:val="22"/>
          <w:highlight w:val="yellow"/>
          <w:lang w:val="en-US" w:eastAsia="zh-CN" w:bidi="ar-SA"/>
        </w:rPr>
        <w:t>调整作业时间，早晚作业。</w:t>
      </w:r>
    </w:p>
    <w:p w14:paraId="0CF1C45E">
      <w:pPr>
        <w:numPr>
          <w:ilvl w:val="0"/>
          <w:numId w:val="27"/>
        </w:numPr>
        <w:bidi w:val="0"/>
        <w:ind w:left="425" w:leftChars="0" w:hanging="425" w:firstLineChars="0"/>
        <w:rPr>
          <w:rFonts w:hint="eastAsia" w:ascii="宋体" w:hAnsi="宋体" w:eastAsia="宋体" w:cs="宋体"/>
          <w:bCs w:val="0"/>
          <w:kern w:val="2"/>
          <w:sz w:val="24"/>
          <w:szCs w:val="22"/>
          <w:highlight w:val="yellow"/>
          <w:lang w:val="en-US" w:eastAsia="zh-CN" w:bidi="ar-SA"/>
        </w:rPr>
      </w:pPr>
      <w:r>
        <w:rPr>
          <w:rFonts w:hint="eastAsia" w:ascii="宋体" w:hAnsi="宋体" w:eastAsia="宋体" w:cs="宋体"/>
          <w:bCs w:val="0"/>
          <w:kern w:val="2"/>
          <w:sz w:val="24"/>
          <w:szCs w:val="22"/>
          <w:highlight w:val="yellow"/>
          <w:lang w:val="en-US" w:eastAsia="zh-CN" w:bidi="ar-SA"/>
        </w:rPr>
        <w:t>应急处置措施</w:t>
      </w:r>
    </w:p>
    <w:p w14:paraId="755D8F31">
      <w:pPr>
        <w:numPr>
          <w:ilvl w:val="0"/>
          <w:numId w:val="29"/>
        </w:numPr>
        <w:bidi w:val="0"/>
        <w:ind w:left="0" w:leftChars="0" w:firstLine="480" w:firstLineChars="200"/>
        <w:rPr>
          <w:rFonts w:hint="eastAsia" w:ascii="宋体" w:hAnsi="宋体" w:eastAsia="宋体" w:cs="宋体"/>
          <w:bCs w:val="0"/>
          <w:kern w:val="2"/>
          <w:sz w:val="24"/>
          <w:szCs w:val="22"/>
          <w:highlight w:val="yellow"/>
          <w:lang w:val="en-US" w:eastAsia="zh-CN" w:bidi="ar-SA"/>
        </w:rPr>
      </w:pPr>
      <w:r>
        <w:rPr>
          <w:rFonts w:hint="eastAsia" w:ascii="宋体" w:hAnsi="宋体" w:eastAsia="宋体" w:cs="宋体"/>
          <w:bCs w:val="0"/>
          <w:kern w:val="2"/>
          <w:sz w:val="24"/>
          <w:szCs w:val="22"/>
          <w:highlight w:val="yellow"/>
          <w:lang w:val="en-US" w:eastAsia="zh-CN" w:bidi="ar-SA"/>
        </w:rPr>
        <w:t>高温中暑突发事件发生后，救护人员迅速将中暑者移至阴凉、通风的地方，同时垫高头部，解开衣裤，以利呼吸和散热，给予仁丹、十滴水或霍香正气散等，并补充含盐清凉饮料：淡盐水、冷西瓜水、绿豆汤等饮品。</w:t>
      </w:r>
    </w:p>
    <w:p w14:paraId="1E91E755">
      <w:pPr>
        <w:numPr>
          <w:ilvl w:val="0"/>
          <w:numId w:val="29"/>
        </w:numPr>
        <w:bidi w:val="0"/>
        <w:ind w:left="0" w:leftChars="0" w:firstLine="480" w:firstLineChars="200"/>
        <w:rPr>
          <w:rFonts w:hint="eastAsia" w:ascii="宋体" w:hAnsi="宋体" w:eastAsia="宋体" w:cs="宋体"/>
          <w:bCs w:val="0"/>
          <w:kern w:val="2"/>
          <w:sz w:val="24"/>
          <w:szCs w:val="22"/>
          <w:highlight w:val="yellow"/>
          <w:lang w:val="en-US" w:eastAsia="zh-CN" w:bidi="ar-SA"/>
        </w:rPr>
      </w:pPr>
      <w:r>
        <w:rPr>
          <w:rFonts w:hint="eastAsia" w:ascii="宋体" w:hAnsi="宋体" w:eastAsia="宋体" w:cs="宋体"/>
          <w:bCs w:val="0"/>
          <w:kern w:val="2"/>
          <w:sz w:val="24"/>
          <w:szCs w:val="22"/>
          <w:highlight w:val="yellow"/>
          <w:lang w:val="en-US" w:eastAsia="zh-CN" w:bidi="ar-SA"/>
        </w:rPr>
        <w:t>观察中暑者的生命体征、神志变化及各脏器功能状况、防治并发症。</w:t>
      </w:r>
    </w:p>
    <w:p w14:paraId="453131FB">
      <w:pPr>
        <w:numPr>
          <w:ilvl w:val="0"/>
          <w:numId w:val="29"/>
        </w:numPr>
        <w:bidi w:val="0"/>
        <w:ind w:left="0" w:leftChars="0" w:firstLine="480" w:firstLineChars="200"/>
        <w:rPr>
          <w:rFonts w:hint="eastAsia" w:ascii="宋体" w:hAnsi="宋体" w:eastAsia="宋体" w:cs="宋体"/>
          <w:highlight w:val="yellow"/>
        </w:rPr>
      </w:pPr>
      <w:r>
        <w:rPr>
          <w:rFonts w:hint="eastAsia" w:ascii="宋体" w:hAnsi="宋体" w:eastAsia="宋体" w:cs="宋体"/>
          <w:bCs w:val="0"/>
          <w:kern w:val="2"/>
          <w:sz w:val="24"/>
          <w:szCs w:val="22"/>
          <w:highlight w:val="yellow"/>
          <w:lang w:val="en-US" w:eastAsia="zh-CN" w:bidi="ar-SA"/>
        </w:rPr>
        <w:t>采用物理降温与药物降温结合的降温措施（如：头置冰袋或冰帽、大血管区置冰袋、将身体(头部除外)置于4℃水中）给中暑者进行降温，同时要不断摩擦四肢，防止血液循环停滞，促使热量散发。</w:t>
      </w:r>
    </w:p>
    <w:p w14:paraId="23D6F2AE">
      <w:pPr>
        <w:pStyle w:val="6"/>
        <w:numPr>
          <w:ilvl w:val="0"/>
          <w:numId w:val="24"/>
        </w:numPr>
        <w:bidi w:val="0"/>
        <w:ind w:left="425" w:leftChars="0" w:hanging="425" w:firstLineChars="0"/>
        <w:rPr>
          <w:rFonts w:hint="eastAsia"/>
          <w:highlight w:val="yellow"/>
        </w:rPr>
      </w:pPr>
      <w:r>
        <w:rPr>
          <w:rFonts w:hint="eastAsia"/>
          <w:highlight w:val="yellow"/>
        </w:rPr>
        <w:t>突发性天气</w:t>
      </w:r>
      <w:r>
        <w:rPr>
          <w:rFonts w:hint="eastAsia"/>
          <w:highlight w:val="yellow"/>
          <w:lang w:val="en-US" w:eastAsia="zh-CN"/>
        </w:rPr>
        <w:t>安全保障措施</w:t>
      </w:r>
    </w:p>
    <w:p w14:paraId="475686E8">
      <w:pPr>
        <w:numPr>
          <w:ilvl w:val="0"/>
          <w:numId w:val="30"/>
        </w:numPr>
        <w:bidi w:val="0"/>
        <w:ind w:left="425" w:leftChars="0" w:hanging="425" w:firstLineChars="0"/>
        <w:rPr>
          <w:rFonts w:hint="eastAsia"/>
          <w:highlight w:val="yellow"/>
        </w:rPr>
      </w:pPr>
      <w:r>
        <w:rPr>
          <w:rFonts w:hint="eastAsia"/>
          <w:highlight w:val="yellow"/>
        </w:rPr>
        <w:t>突发性天气预警阶段</w:t>
      </w:r>
    </w:p>
    <w:p w14:paraId="297A31BD">
      <w:pPr>
        <w:numPr>
          <w:ilvl w:val="0"/>
          <w:numId w:val="31"/>
        </w:numPr>
        <w:bidi w:val="0"/>
        <w:ind w:left="0" w:leftChars="0" w:firstLine="480" w:firstLineChars="200"/>
        <w:rPr>
          <w:rFonts w:hint="eastAsia"/>
          <w:highlight w:val="yellow"/>
        </w:rPr>
      </w:pPr>
      <w:r>
        <w:rPr>
          <w:rFonts w:hint="eastAsia"/>
          <w:highlight w:val="yellow"/>
        </w:rPr>
        <w:t>通常突发性天气伴有强雷电活动，影响时间短，但来势突然，使得准备防范的时间较短，因此各部门要平时做好预防及准备工作，在接到突发性天气预警后能够及时撤离，做好防风防雷电工作。</w:t>
      </w:r>
    </w:p>
    <w:p w14:paraId="08CF545D">
      <w:pPr>
        <w:numPr>
          <w:ilvl w:val="0"/>
          <w:numId w:val="31"/>
        </w:numPr>
        <w:bidi w:val="0"/>
        <w:ind w:left="0" w:leftChars="0" w:firstLine="480" w:firstLineChars="200"/>
        <w:rPr>
          <w:rFonts w:hint="eastAsia"/>
          <w:highlight w:val="yellow"/>
        </w:rPr>
      </w:pPr>
      <w:r>
        <w:rPr>
          <w:rFonts w:hint="eastAsia"/>
          <w:highlight w:val="yellow"/>
        </w:rPr>
        <w:t>生产安全部在接到突发性天气预警后，应立即通知三防领导小组、各个工区。</w:t>
      </w:r>
    </w:p>
    <w:p w14:paraId="6B70B41E">
      <w:pPr>
        <w:numPr>
          <w:ilvl w:val="0"/>
          <w:numId w:val="31"/>
        </w:numPr>
        <w:bidi w:val="0"/>
        <w:ind w:left="0" w:leftChars="0" w:firstLine="480" w:firstLineChars="200"/>
        <w:rPr>
          <w:rFonts w:hint="eastAsia"/>
          <w:highlight w:val="yellow"/>
        </w:rPr>
      </w:pPr>
      <w:r>
        <w:rPr>
          <w:rFonts w:hint="eastAsia"/>
          <w:highlight w:val="yellow"/>
        </w:rPr>
        <w:t>各部门在接到突发性天气预警后，应立即做好防风防雷电准备工作。停止高处作业，各用电设备要切断电源并做防水措施，未完成结构进行加固。</w:t>
      </w:r>
    </w:p>
    <w:p w14:paraId="4DA0F036">
      <w:pPr>
        <w:numPr>
          <w:ilvl w:val="0"/>
          <w:numId w:val="31"/>
        </w:numPr>
        <w:bidi w:val="0"/>
        <w:ind w:left="0" w:leftChars="0" w:firstLine="480" w:firstLineChars="200"/>
        <w:rPr>
          <w:rFonts w:hint="eastAsia"/>
          <w:highlight w:val="yellow"/>
        </w:rPr>
      </w:pPr>
      <w:r>
        <w:rPr>
          <w:rFonts w:hint="eastAsia"/>
          <w:highlight w:val="yellow"/>
        </w:rPr>
        <w:t>各小组工作落实到位后，并将落实情况向三防领导小组汇报，由三防领导小组进行检查。</w:t>
      </w:r>
    </w:p>
    <w:p w14:paraId="28485074">
      <w:pPr>
        <w:numPr>
          <w:ilvl w:val="0"/>
          <w:numId w:val="30"/>
        </w:numPr>
        <w:bidi w:val="0"/>
        <w:ind w:left="425" w:leftChars="0" w:hanging="425" w:firstLineChars="0"/>
        <w:rPr>
          <w:rFonts w:hint="eastAsia"/>
          <w:highlight w:val="yellow"/>
        </w:rPr>
      </w:pPr>
      <w:r>
        <w:rPr>
          <w:rFonts w:hint="eastAsia"/>
          <w:highlight w:val="yellow"/>
        </w:rPr>
        <w:t>突发性天气来临阶段</w:t>
      </w:r>
    </w:p>
    <w:p w14:paraId="3E5A97D6">
      <w:pPr>
        <w:numPr>
          <w:ilvl w:val="0"/>
          <w:numId w:val="32"/>
        </w:numPr>
        <w:bidi w:val="0"/>
        <w:ind w:left="0" w:leftChars="0" w:firstLine="480" w:firstLineChars="200"/>
        <w:rPr>
          <w:rFonts w:hint="eastAsia"/>
          <w:highlight w:val="yellow"/>
        </w:rPr>
      </w:pPr>
      <w:r>
        <w:rPr>
          <w:rFonts w:hint="eastAsia"/>
          <w:highlight w:val="yellow"/>
        </w:rPr>
        <w:t>各施工班组应停止施工，禁止外出作业。</w:t>
      </w:r>
    </w:p>
    <w:p w14:paraId="0B1E522C">
      <w:pPr>
        <w:numPr>
          <w:ilvl w:val="0"/>
          <w:numId w:val="32"/>
        </w:numPr>
        <w:bidi w:val="0"/>
        <w:ind w:left="0" w:leftChars="0" w:firstLine="480" w:firstLineChars="200"/>
        <w:rPr>
          <w:rFonts w:hint="eastAsia"/>
          <w:highlight w:val="yellow"/>
        </w:rPr>
      </w:pPr>
      <w:r>
        <w:rPr>
          <w:rFonts w:hint="eastAsia"/>
          <w:highlight w:val="yellow"/>
        </w:rPr>
        <w:t>设备停止作业。发生险情还应报告</w:t>
      </w:r>
      <w:r>
        <w:rPr>
          <w:rFonts w:hint="eastAsia"/>
          <w:highlight w:val="yellow"/>
          <w:lang w:val="en-US" w:eastAsia="zh-CN"/>
        </w:rPr>
        <w:t>相关</w:t>
      </w:r>
      <w:r>
        <w:rPr>
          <w:rFonts w:hint="eastAsia"/>
          <w:highlight w:val="yellow"/>
        </w:rPr>
        <w:t>部门。</w:t>
      </w:r>
    </w:p>
    <w:p w14:paraId="4F7ABD03">
      <w:pPr>
        <w:numPr>
          <w:ilvl w:val="0"/>
          <w:numId w:val="30"/>
        </w:numPr>
        <w:bidi w:val="0"/>
        <w:ind w:left="425" w:leftChars="0" w:hanging="425" w:firstLineChars="0"/>
        <w:rPr>
          <w:rFonts w:hint="eastAsia"/>
          <w:highlight w:val="yellow"/>
        </w:rPr>
      </w:pPr>
      <w:r>
        <w:rPr>
          <w:rFonts w:hint="eastAsia"/>
          <w:highlight w:val="yellow"/>
        </w:rPr>
        <w:t>突发性天气预警解除阶段</w:t>
      </w:r>
    </w:p>
    <w:p w14:paraId="6E6F96B6">
      <w:pPr>
        <w:numPr>
          <w:ilvl w:val="0"/>
          <w:numId w:val="33"/>
        </w:numPr>
        <w:bidi w:val="0"/>
        <w:ind w:left="0" w:leftChars="0" w:firstLine="480" w:firstLineChars="200"/>
        <w:rPr>
          <w:rFonts w:hint="eastAsia"/>
          <w:highlight w:val="yellow"/>
        </w:rPr>
      </w:pPr>
      <w:r>
        <w:rPr>
          <w:rFonts w:hint="eastAsia"/>
          <w:highlight w:val="yellow"/>
        </w:rPr>
        <w:t>当调度中心接到突发性天气预警解除信号时，要及时通报三防领导小组，当得到三防领导小组的同意后，各工区方可恢复施工。</w:t>
      </w:r>
    </w:p>
    <w:p w14:paraId="532A0365">
      <w:pPr>
        <w:numPr>
          <w:ilvl w:val="0"/>
          <w:numId w:val="33"/>
        </w:numPr>
        <w:bidi w:val="0"/>
        <w:ind w:left="0" w:leftChars="0" w:firstLine="480" w:firstLineChars="200"/>
        <w:rPr>
          <w:rFonts w:hint="eastAsia"/>
          <w:highlight w:val="yellow"/>
        </w:rPr>
      </w:pPr>
      <w:r>
        <w:rPr>
          <w:rFonts w:hint="eastAsia"/>
          <w:highlight w:val="yellow"/>
        </w:rPr>
        <w:t>各工区接到恢复施工的通知后，应检查机械、电气设备及安全防护设施是否完成。</w:t>
      </w:r>
    </w:p>
    <w:p w14:paraId="1FAB7987">
      <w:pPr>
        <w:pStyle w:val="6"/>
        <w:numPr>
          <w:ilvl w:val="0"/>
          <w:numId w:val="24"/>
        </w:numPr>
        <w:bidi w:val="0"/>
        <w:ind w:left="425" w:leftChars="0" w:hanging="425" w:firstLineChars="0"/>
        <w:rPr>
          <w:rFonts w:hint="eastAsia"/>
          <w:highlight w:val="yellow"/>
        </w:rPr>
      </w:pPr>
      <w:r>
        <w:rPr>
          <w:rFonts w:hint="eastAsia"/>
          <w:highlight w:val="yellow"/>
        </w:rPr>
        <w:t>能见度不良（雾天）</w:t>
      </w:r>
      <w:r>
        <w:rPr>
          <w:rFonts w:hint="eastAsia"/>
          <w:highlight w:val="yellow"/>
          <w:lang w:val="en-US" w:eastAsia="zh-CN"/>
        </w:rPr>
        <w:t>安全保障</w:t>
      </w:r>
      <w:r>
        <w:rPr>
          <w:rFonts w:hint="eastAsia"/>
          <w:highlight w:val="yellow"/>
        </w:rPr>
        <w:t>措施</w:t>
      </w:r>
    </w:p>
    <w:p w14:paraId="4842B101">
      <w:pPr>
        <w:bidi w:val="0"/>
        <w:rPr>
          <w:rFonts w:hint="eastAsia"/>
          <w:highlight w:val="yellow"/>
        </w:rPr>
      </w:pPr>
      <w:r>
        <w:rPr>
          <w:rFonts w:hint="eastAsia"/>
          <w:highlight w:val="yellow"/>
        </w:rPr>
        <w:t>根据防能见度不良影响范围和程度，将预警等级分为三级：Ⅰ级（特别严重），Ⅱ级（严重），Ⅲ级（较重）。预警信号分三种，分别以黄色、橙色和红色表示。</w:t>
      </w:r>
    </w:p>
    <w:p w14:paraId="196816C8">
      <w:pPr>
        <w:pStyle w:val="17"/>
        <w:jc w:val="center"/>
        <w:rPr>
          <w:rFonts w:hint="eastAsia" w:ascii="仿宋" w:hAnsi="仿宋" w:eastAsia="仿宋" w:cstheme="minorBidi"/>
          <w:kern w:val="2"/>
          <w:sz w:val="24"/>
          <w:szCs w:val="24"/>
          <w:highlight w:val="yellow"/>
          <w:lang w:val="en-US" w:eastAsia="zh-CN" w:bidi="ar-SA"/>
        </w:rPr>
      </w:pPr>
      <w:r>
        <w:rPr>
          <w:rFonts w:hint="eastAsia" w:ascii="仿宋" w:hAnsi="仿宋" w:eastAsia="仿宋" w:cstheme="minorBidi"/>
          <w:kern w:val="2"/>
          <w:sz w:val="24"/>
          <w:szCs w:val="24"/>
          <w:highlight w:val="yellow"/>
          <w:lang w:val="en-US" w:eastAsia="zh-CN" w:bidi="ar-SA"/>
        </w:rPr>
        <w:t>表7.8.5-1 能见度不良预警、响应标准及采取措施表</w:t>
      </w:r>
    </w:p>
    <w:tbl>
      <w:tblPr>
        <w:tblStyle w:val="33"/>
        <w:tblW w:w="9400" w:type="dxa"/>
        <w:jc w:val="cente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Layout w:type="fixed"/>
        <w:tblCellMar>
          <w:top w:w="0" w:type="dxa"/>
          <w:left w:w="108" w:type="dxa"/>
          <w:bottom w:w="0" w:type="dxa"/>
          <w:right w:w="108" w:type="dxa"/>
        </w:tblCellMar>
      </w:tblPr>
      <w:tblGrid>
        <w:gridCol w:w="2385"/>
        <w:gridCol w:w="2266"/>
        <w:gridCol w:w="4749"/>
      </w:tblGrid>
      <w:tr w14:paraId="2D67362A">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437" w:hRule="atLeast"/>
          <w:jc w:val="center"/>
        </w:trPr>
        <w:tc>
          <w:tcPr>
            <w:tcW w:w="2385" w:type="dxa"/>
            <w:shd w:val="clear" w:color="auto" w:fill="92CDDC"/>
            <w:vAlign w:val="center"/>
          </w:tcPr>
          <w:p w14:paraId="48B1A7B1">
            <w:pPr>
              <w:pStyle w:val="98"/>
              <w:ind w:firstLine="0" w:firstLineChars="0"/>
              <w:rPr>
                <w:rFonts w:hint="eastAsia" w:ascii="宋体" w:hAnsi="宋体" w:eastAsia="宋体" w:cs="宋体"/>
                <w:sz w:val="21"/>
                <w:highlight w:val="yellow"/>
                <w:lang w:val="en-US"/>
              </w:rPr>
            </w:pPr>
            <w:r>
              <w:rPr>
                <w:rFonts w:hint="eastAsia" w:ascii="宋体" w:hAnsi="宋体" w:eastAsia="宋体" w:cs="宋体"/>
                <w:sz w:val="21"/>
                <w:highlight w:val="yellow"/>
                <w:lang w:val="en-US"/>
              </w:rPr>
              <w:t>能见度不良预警信号</w:t>
            </w:r>
          </w:p>
        </w:tc>
        <w:tc>
          <w:tcPr>
            <w:tcW w:w="2266" w:type="dxa"/>
            <w:shd w:val="clear" w:color="auto" w:fill="92CDDC"/>
            <w:vAlign w:val="center"/>
          </w:tcPr>
          <w:p w14:paraId="10781C58">
            <w:pPr>
              <w:pStyle w:val="98"/>
              <w:ind w:firstLine="0" w:firstLineChars="0"/>
              <w:rPr>
                <w:rFonts w:hint="eastAsia" w:ascii="宋体" w:hAnsi="宋体" w:eastAsia="宋体" w:cs="宋体"/>
                <w:sz w:val="21"/>
                <w:highlight w:val="yellow"/>
                <w:lang w:val="en-US"/>
              </w:rPr>
            </w:pPr>
            <w:r>
              <w:rPr>
                <w:rFonts w:hint="eastAsia" w:ascii="宋体" w:hAnsi="宋体" w:eastAsia="宋体" w:cs="宋体"/>
                <w:sz w:val="21"/>
                <w:highlight w:val="yellow"/>
                <w:lang w:val="en-US"/>
              </w:rPr>
              <w:t>响应标准</w:t>
            </w:r>
          </w:p>
        </w:tc>
        <w:tc>
          <w:tcPr>
            <w:tcW w:w="4749" w:type="dxa"/>
            <w:shd w:val="clear" w:color="auto" w:fill="92CDDC"/>
            <w:vAlign w:val="center"/>
          </w:tcPr>
          <w:p w14:paraId="00EADF4C">
            <w:pPr>
              <w:pStyle w:val="98"/>
              <w:ind w:firstLine="0" w:firstLineChars="0"/>
              <w:rPr>
                <w:rFonts w:hint="eastAsia" w:ascii="宋体" w:hAnsi="宋体" w:eastAsia="宋体" w:cs="宋体"/>
                <w:sz w:val="21"/>
                <w:highlight w:val="yellow"/>
                <w:lang w:val="en-US"/>
              </w:rPr>
            </w:pPr>
            <w:r>
              <w:rPr>
                <w:rFonts w:hint="eastAsia" w:ascii="宋体" w:hAnsi="宋体" w:eastAsia="宋体" w:cs="宋体"/>
                <w:sz w:val="21"/>
                <w:highlight w:val="yellow"/>
                <w:lang w:val="en-US"/>
              </w:rPr>
              <w:t>采取的措施</w:t>
            </w:r>
          </w:p>
        </w:tc>
      </w:tr>
      <w:tr w14:paraId="4D77EE2E">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2385" w:type="dxa"/>
            <w:shd w:val="clear" w:color="auto" w:fill="DAEEF3"/>
            <w:vAlign w:val="center"/>
          </w:tcPr>
          <w:p w14:paraId="0C41759A">
            <w:pPr>
              <w:pStyle w:val="98"/>
              <w:ind w:firstLine="0" w:firstLineChars="0"/>
              <w:rPr>
                <w:rFonts w:hint="eastAsia" w:ascii="宋体" w:hAnsi="宋体" w:eastAsia="宋体" w:cs="宋体"/>
                <w:sz w:val="21"/>
                <w:highlight w:val="yellow"/>
                <w:lang w:val="en-US"/>
              </w:rPr>
            </w:pPr>
            <w:r>
              <w:rPr>
                <w:rFonts w:hint="eastAsia" w:ascii="宋体" w:hAnsi="宋体" w:eastAsia="宋体" w:cs="宋体"/>
                <w:sz w:val="21"/>
                <w:highlight w:val="yellow"/>
                <w:lang w:val="en-US"/>
              </w:rPr>
              <w:drawing>
                <wp:inline distT="0" distB="0" distL="0" distR="0">
                  <wp:extent cx="1009650" cy="847725"/>
                  <wp:effectExtent l="0" t="0" r="0" b="9525"/>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09650" cy="847725"/>
                          </a:xfrm>
                          <a:prstGeom prst="rect">
                            <a:avLst/>
                          </a:prstGeom>
                          <a:noFill/>
                          <a:ln>
                            <a:noFill/>
                          </a:ln>
                        </pic:spPr>
                      </pic:pic>
                    </a:graphicData>
                  </a:graphic>
                </wp:inline>
              </w:drawing>
            </w:r>
          </w:p>
        </w:tc>
        <w:tc>
          <w:tcPr>
            <w:tcW w:w="2266" w:type="dxa"/>
            <w:shd w:val="clear" w:color="auto" w:fill="DAEEF3"/>
            <w:vAlign w:val="center"/>
          </w:tcPr>
          <w:p w14:paraId="7CEB0E64">
            <w:pPr>
              <w:pStyle w:val="98"/>
              <w:ind w:firstLine="0" w:firstLineChars="0"/>
              <w:rPr>
                <w:rFonts w:hint="eastAsia" w:ascii="宋体" w:hAnsi="宋体" w:eastAsia="宋体" w:cs="宋体"/>
                <w:sz w:val="21"/>
                <w:highlight w:val="yellow"/>
                <w:lang w:val="en-US"/>
              </w:rPr>
            </w:pPr>
            <w:r>
              <w:rPr>
                <w:rFonts w:hint="eastAsia" w:ascii="宋体" w:hAnsi="宋体" w:eastAsia="宋体" w:cs="宋体"/>
                <w:sz w:val="21"/>
                <w:highlight w:val="yellow"/>
                <w:lang w:val="en-US"/>
              </w:rPr>
              <w:t>Ⅲ级响应标准：12小时内可能出现</w:t>
            </w:r>
            <w:r>
              <w:rPr>
                <w:rFonts w:hint="eastAsia" w:ascii="宋体" w:hAnsi="宋体" w:eastAsia="宋体" w:cs="宋体"/>
                <w:sz w:val="21"/>
                <w:highlight w:val="yellow"/>
              </w:rPr>
              <w:fldChar w:fldCharType="begin"/>
            </w:r>
            <w:r>
              <w:rPr>
                <w:rFonts w:hint="eastAsia" w:ascii="宋体" w:hAnsi="宋体" w:eastAsia="宋体" w:cs="宋体"/>
                <w:sz w:val="21"/>
                <w:highlight w:val="yellow"/>
              </w:rPr>
              <w:instrText xml:space="preserve"> HYPERLINK "https://baike.so.com/doc/4600678-4812634.html" \t "https://baike.so.com/doc/_blank" </w:instrText>
            </w:r>
            <w:r>
              <w:rPr>
                <w:rFonts w:hint="eastAsia" w:ascii="宋体" w:hAnsi="宋体" w:eastAsia="宋体" w:cs="宋体"/>
                <w:sz w:val="21"/>
                <w:highlight w:val="yellow"/>
              </w:rPr>
              <w:fldChar w:fldCharType="separate"/>
            </w:r>
            <w:r>
              <w:rPr>
                <w:rFonts w:hint="eastAsia" w:ascii="宋体" w:hAnsi="宋体" w:eastAsia="宋体" w:cs="宋体"/>
                <w:sz w:val="21"/>
                <w:highlight w:val="yellow"/>
                <w:lang w:val="en-US"/>
              </w:rPr>
              <w:t>能见度</w:t>
            </w:r>
            <w:r>
              <w:rPr>
                <w:rFonts w:hint="eastAsia" w:ascii="宋体" w:hAnsi="宋体" w:eastAsia="宋体" w:cs="宋体"/>
                <w:sz w:val="21"/>
                <w:highlight w:val="yellow"/>
                <w:lang w:val="en-US"/>
              </w:rPr>
              <w:fldChar w:fldCharType="end"/>
            </w:r>
            <w:r>
              <w:rPr>
                <w:rFonts w:hint="eastAsia" w:ascii="宋体" w:hAnsi="宋体" w:eastAsia="宋体" w:cs="宋体"/>
                <w:sz w:val="21"/>
                <w:highlight w:val="yellow"/>
                <w:lang w:val="en-US"/>
              </w:rPr>
              <w:t>小于500米的雾，或者已经出现能见度小于500米、大于等于200米的雾并将持续；</w:t>
            </w:r>
          </w:p>
        </w:tc>
        <w:tc>
          <w:tcPr>
            <w:tcW w:w="4749" w:type="dxa"/>
            <w:shd w:val="clear" w:color="auto" w:fill="DAEEF3"/>
            <w:vAlign w:val="center"/>
          </w:tcPr>
          <w:p w14:paraId="370413B3">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（1）密切关注灾害发展趋势并通报，应急领导小组副组长或组长组织召开专题会议进行部署；</w:t>
            </w:r>
          </w:p>
          <w:p w14:paraId="4A4B3DE9">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（2）各部门（班组）按照职责做好预防工作；</w:t>
            </w:r>
          </w:p>
          <w:p w14:paraId="79B2DED6">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（3）施工机械设备加强调度工作。</w:t>
            </w:r>
          </w:p>
        </w:tc>
      </w:tr>
      <w:tr w14:paraId="64D9F90F">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0" w:hRule="atLeast"/>
          <w:jc w:val="center"/>
        </w:trPr>
        <w:tc>
          <w:tcPr>
            <w:tcW w:w="2385" w:type="dxa"/>
            <w:shd w:val="clear" w:color="auto" w:fill="DAEEF3"/>
            <w:vAlign w:val="center"/>
          </w:tcPr>
          <w:p w14:paraId="12D33AF1">
            <w:pPr>
              <w:pStyle w:val="98"/>
              <w:ind w:firstLine="0" w:firstLineChars="0"/>
              <w:rPr>
                <w:rFonts w:hint="eastAsia" w:ascii="宋体" w:hAnsi="宋体" w:eastAsia="宋体" w:cs="宋体"/>
                <w:sz w:val="21"/>
                <w:highlight w:val="yellow"/>
                <w:lang w:val="en-US"/>
              </w:rPr>
            </w:pPr>
            <w:r>
              <w:rPr>
                <w:rFonts w:hint="eastAsia" w:ascii="宋体" w:hAnsi="宋体" w:eastAsia="宋体" w:cs="宋体"/>
                <w:sz w:val="21"/>
                <w:highlight w:val="yellow"/>
                <w:lang w:val="en-US"/>
              </w:rPr>
              <w:drawing>
                <wp:inline distT="0" distB="0" distL="0" distR="0">
                  <wp:extent cx="990600" cy="828675"/>
                  <wp:effectExtent l="0" t="0" r="0" b="9525"/>
                  <wp:docPr id="1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90600" cy="828675"/>
                          </a:xfrm>
                          <a:prstGeom prst="rect">
                            <a:avLst/>
                          </a:prstGeom>
                          <a:noFill/>
                          <a:ln>
                            <a:noFill/>
                          </a:ln>
                        </pic:spPr>
                      </pic:pic>
                    </a:graphicData>
                  </a:graphic>
                </wp:inline>
              </w:drawing>
            </w:r>
          </w:p>
        </w:tc>
        <w:tc>
          <w:tcPr>
            <w:tcW w:w="2266" w:type="dxa"/>
            <w:shd w:val="clear" w:color="auto" w:fill="DAEEF3"/>
            <w:vAlign w:val="center"/>
          </w:tcPr>
          <w:p w14:paraId="0AA32724">
            <w:pPr>
              <w:pStyle w:val="98"/>
              <w:ind w:firstLine="0" w:firstLineChars="0"/>
              <w:rPr>
                <w:rFonts w:hint="eastAsia" w:ascii="宋体" w:hAnsi="宋体" w:eastAsia="宋体" w:cs="宋体"/>
                <w:sz w:val="21"/>
                <w:highlight w:val="yellow"/>
                <w:lang w:val="en-US"/>
              </w:rPr>
            </w:pPr>
            <w:r>
              <w:rPr>
                <w:rFonts w:hint="eastAsia" w:ascii="宋体" w:hAnsi="宋体" w:eastAsia="宋体" w:cs="宋体"/>
                <w:sz w:val="21"/>
                <w:highlight w:val="yellow"/>
                <w:lang w:val="en-US"/>
              </w:rPr>
              <w:t>Ⅱ级响应标准：6小时内可能出现能见度小于200米的雾，或者已经出现能见度小于200米、大于等于50米的雾并将持续；</w:t>
            </w:r>
          </w:p>
        </w:tc>
        <w:tc>
          <w:tcPr>
            <w:tcW w:w="4749" w:type="dxa"/>
            <w:shd w:val="clear" w:color="auto" w:fill="DAEEF3"/>
            <w:vAlign w:val="center"/>
          </w:tcPr>
          <w:p w14:paraId="5329BAF7">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（1）及时了解灾害最新动态信息并发布，领导小组成员开始应急值班；</w:t>
            </w:r>
          </w:p>
          <w:p w14:paraId="10F11576">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（2）停止起重吊装等危险性较大作业；</w:t>
            </w:r>
          </w:p>
          <w:p w14:paraId="4B9773CC">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（3）施工机械设备加强管理工作；</w:t>
            </w:r>
          </w:p>
          <w:p w14:paraId="7D249E4F">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（4）组织将施工人员撤离至</w:t>
            </w:r>
            <w:r>
              <w:rPr>
                <w:rFonts w:hint="eastAsia" w:cs="宋体"/>
                <w:sz w:val="21"/>
                <w:highlight w:val="yellow"/>
                <w:lang w:val="en-US" w:eastAsia="zh-CN"/>
              </w:rPr>
              <w:t>公司</w:t>
            </w:r>
            <w:r>
              <w:rPr>
                <w:rFonts w:hint="eastAsia" w:ascii="宋体" w:hAnsi="宋体" w:eastAsia="宋体" w:cs="宋体"/>
                <w:sz w:val="21"/>
                <w:highlight w:val="yellow"/>
                <w:lang w:val="en-US"/>
              </w:rPr>
              <w:t>驻地。</w:t>
            </w:r>
          </w:p>
        </w:tc>
      </w:tr>
      <w:tr w14:paraId="6EBD1766">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870" w:hRule="atLeast"/>
          <w:jc w:val="center"/>
        </w:trPr>
        <w:tc>
          <w:tcPr>
            <w:tcW w:w="2385" w:type="dxa"/>
            <w:shd w:val="clear" w:color="auto" w:fill="DAEEF3"/>
            <w:vAlign w:val="center"/>
          </w:tcPr>
          <w:p w14:paraId="5D0F731B">
            <w:pPr>
              <w:pStyle w:val="98"/>
              <w:ind w:firstLine="0" w:firstLineChars="0"/>
              <w:rPr>
                <w:rFonts w:hint="eastAsia" w:ascii="宋体" w:hAnsi="宋体" w:eastAsia="宋体" w:cs="宋体"/>
                <w:sz w:val="21"/>
                <w:highlight w:val="yellow"/>
                <w:lang w:val="en-US"/>
              </w:rPr>
            </w:pPr>
            <w:r>
              <w:rPr>
                <w:rFonts w:hint="eastAsia" w:ascii="宋体" w:hAnsi="宋体" w:eastAsia="宋体" w:cs="宋体"/>
                <w:sz w:val="21"/>
                <w:highlight w:val="yellow"/>
                <w:lang w:val="en-US"/>
              </w:rPr>
              <w:drawing>
                <wp:inline distT="0" distB="0" distL="0" distR="0">
                  <wp:extent cx="952500" cy="781050"/>
                  <wp:effectExtent l="0" t="0" r="0" b="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52500" cy="781050"/>
                          </a:xfrm>
                          <a:prstGeom prst="rect">
                            <a:avLst/>
                          </a:prstGeom>
                          <a:noFill/>
                          <a:ln>
                            <a:noFill/>
                          </a:ln>
                        </pic:spPr>
                      </pic:pic>
                    </a:graphicData>
                  </a:graphic>
                </wp:inline>
              </w:drawing>
            </w:r>
          </w:p>
        </w:tc>
        <w:tc>
          <w:tcPr>
            <w:tcW w:w="2266" w:type="dxa"/>
            <w:shd w:val="clear" w:color="auto" w:fill="DAEEF3"/>
            <w:vAlign w:val="center"/>
          </w:tcPr>
          <w:p w14:paraId="251F8693">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Ⅰ级响应标准：2小时内可能出现能见度小于50米的雾，或者已经出现能见度小于50米的雾并将持</w:t>
            </w:r>
            <w:bookmarkStart w:id="41" w:name="6253351-6466763-3_2"/>
            <w:bookmarkEnd w:id="41"/>
          </w:p>
        </w:tc>
        <w:tc>
          <w:tcPr>
            <w:tcW w:w="4749" w:type="dxa"/>
            <w:shd w:val="clear" w:color="auto" w:fill="DAEEF3"/>
            <w:vAlign w:val="center"/>
          </w:tcPr>
          <w:p w14:paraId="78572464">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（1）各部门（班组）按照职责做好防能见度不良的应急和抢险工作；</w:t>
            </w:r>
          </w:p>
          <w:p w14:paraId="01639386">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（2）应急领导小组组长在岗指挥，组织24小时应急值班；</w:t>
            </w:r>
          </w:p>
          <w:p w14:paraId="7D42A44F">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（3）停止各作业点一切施工作业活动；</w:t>
            </w:r>
          </w:p>
          <w:p w14:paraId="6C39916F">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（4）确保全部人员撤离至安置点并严格管理；</w:t>
            </w:r>
          </w:p>
          <w:p w14:paraId="071DFF98">
            <w:pPr>
              <w:pStyle w:val="98"/>
              <w:ind w:firstLine="0" w:firstLineChars="0"/>
              <w:jc w:val="left"/>
              <w:rPr>
                <w:rFonts w:hint="eastAsia" w:ascii="宋体" w:hAnsi="宋体" w:eastAsia="宋体" w:cs="宋体"/>
                <w:sz w:val="21"/>
                <w:highlight w:val="yellow"/>
                <w:lang w:val="en-US"/>
              </w:rPr>
            </w:pPr>
            <w:r>
              <w:rPr>
                <w:rFonts w:hint="eastAsia" w:ascii="宋体" w:hAnsi="宋体" w:eastAsia="宋体" w:cs="宋体"/>
                <w:sz w:val="21"/>
                <w:highlight w:val="yellow"/>
                <w:lang w:val="en-US"/>
              </w:rPr>
              <w:t>（5）各应急小组人员保持信息畅通及时反馈情况。</w:t>
            </w:r>
          </w:p>
        </w:tc>
      </w:tr>
    </w:tbl>
    <w:p w14:paraId="0440E220">
      <w:pPr>
        <w:pStyle w:val="17"/>
        <w:rPr>
          <w:rFonts w:hint="eastAsia"/>
          <w:lang w:val="en-US" w:eastAsia="zh-CN"/>
        </w:rPr>
      </w:pPr>
    </w:p>
    <w:p w14:paraId="1D8B2A14">
      <w:pPr>
        <w:pStyle w:val="17"/>
        <w:rPr>
          <w:rFonts w:hint="eastAsia"/>
          <w:lang w:val="en-US" w:eastAsia="zh-CN"/>
        </w:rPr>
      </w:pPr>
    </w:p>
    <w:p w14:paraId="50434860">
      <w:pPr>
        <w:rPr>
          <w:rFonts w:hint="eastAsia" w:cs="Times New Roman"/>
        </w:rPr>
      </w:pPr>
      <w:r>
        <w:rPr>
          <w:rFonts w:hint="eastAsia" w:cs="Times New Roman"/>
          <w:lang w:val="en-US" w:eastAsia="zh-CN"/>
        </w:rPr>
        <w:br w:type="page"/>
      </w:r>
    </w:p>
    <w:p w14:paraId="57783B3F">
      <w:pPr>
        <w:pStyle w:val="4"/>
        <w:pageBreakBefore w:val="0"/>
        <w:numPr>
          <w:ilvl w:val="0"/>
          <w:numId w:val="6"/>
        </w:numPr>
        <w:kinsoku/>
        <w:wordWrap/>
        <w:overflowPunct/>
        <w:topLinePunct w:val="0"/>
        <w:bidi w:val="0"/>
        <w:spacing w:line="360" w:lineRule="auto"/>
        <w:ind w:left="425" w:leftChars="0" w:hanging="425" w:firstLineChars="0"/>
        <w:rPr>
          <w:rFonts w:hint="eastAsia" w:cs="Times New Roman"/>
        </w:rPr>
      </w:pPr>
      <w:bookmarkStart w:id="42" w:name="_Toc26621"/>
      <w:r>
        <w:rPr>
          <w:rFonts w:hint="eastAsia" w:cs="Times New Roman"/>
          <w:lang w:val="en-US" w:eastAsia="zh-CN"/>
        </w:rPr>
        <w:t>安装顺序</w:t>
      </w:r>
      <w:bookmarkEnd w:id="42"/>
    </w:p>
    <w:p w14:paraId="2154726C">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43" w:name="_Toc22305"/>
      <w:bookmarkStart w:id="44" w:name="_Toc16205"/>
      <w:bookmarkStart w:id="45" w:name="_Toc6408"/>
      <w:r>
        <w:rPr>
          <w:rFonts w:hint="eastAsia" w:ascii="Times New Roman" w:hAnsi="Times New Roman" w:cs="Times New Roman"/>
          <w:color w:val="auto"/>
          <w:sz w:val="24"/>
          <w:szCs w:val="24"/>
          <w:lang w:val="en-US" w:eastAsia="zh-CN"/>
        </w:rPr>
        <w:t>施工准备</w:t>
      </w:r>
      <w:bookmarkEnd w:id="43"/>
      <w:bookmarkEnd w:id="44"/>
      <w:bookmarkEnd w:id="45"/>
    </w:p>
    <w:p w14:paraId="02CDD437">
      <w:pPr>
        <w:pStyle w:val="6"/>
        <w:pageBreakBefore w:val="0"/>
        <w:numPr>
          <w:ilvl w:val="2"/>
          <w:numId w:val="6"/>
        </w:numPr>
        <w:tabs>
          <w:tab w:val="left" w:pos="936"/>
        </w:tabs>
        <w:kinsoku/>
        <w:wordWrap/>
        <w:overflowPunct/>
        <w:topLinePunct w:val="0"/>
        <w:bidi w:val="0"/>
        <w:spacing w:line="360" w:lineRule="auto"/>
        <w:ind w:left="709" w:leftChars="0" w:hanging="709" w:firstLineChars="0"/>
        <w:outlineLvl w:val="2"/>
        <w:rPr>
          <w:rFonts w:hint="eastAsia"/>
          <w:b/>
          <w:bCs/>
          <w:lang w:val="en-US" w:eastAsia="zh-CN"/>
        </w:rPr>
      </w:pPr>
      <w:bookmarkStart w:id="46" w:name="_Toc28627"/>
      <w:bookmarkEnd w:id="46"/>
      <w:bookmarkStart w:id="47" w:name="_Toc29161"/>
      <w:bookmarkEnd w:id="47"/>
      <w:bookmarkStart w:id="48" w:name="_Toc8579"/>
      <w:bookmarkEnd w:id="48"/>
      <w:bookmarkStart w:id="49" w:name="_Toc21261"/>
      <w:bookmarkEnd w:id="49"/>
      <w:bookmarkStart w:id="50" w:name="_Toc6511"/>
      <w:bookmarkEnd w:id="50"/>
      <w:bookmarkStart w:id="51" w:name="_Toc24331"/>
      <w:bookmarkStart w:id="52" w:name="_Toc10420"/>
      <w:r>
        <w:rPr>
          <w:rFonts w:hint="eastAsia"/>
          <w:b/>
          <w:bCs/>
          <w:lang w:val="en-US" w:eastAsia="zh-CN"/>
        </w:rPr>
        <w:t>安装场地及要求</w:t>
      </w:r>
      <w:bookmarkEnd w:id="51"/>
      <w:bookmarkEnd w:id="52"/>
    </w:p>
    <w:p w14:paraId="6E4DC444">
      <w:pPr>
        <w:keepNext w:val="0"/>
        <w:keepLines w:val="0"/>
        <w:pageBreakBefore w:val="0"/>
        <w:kinsoku/>
        <w:wordWrap/>
        <w:overflowPunct/>
        <w:topLinePunct w:val="0"/>
        <w:autoSpaceDE/>
        <w:autoSpaceDN/>
        <w:bidi w:val="0"/>
        <w:snapToGrid/>
        <w:spacing w:line="360" w:lineRule="auto"/>
        <w:ind w:firstLine="420" w:firstLineChars="0"/>
        <w:rPr>
          <w:rFonts w:hint="default" w:ascii="宋体" w:hAnsi="宋体" w:eastAsia="宋体" w:cs="宋体"/>
          <w:color w:val="auto"/>
          <w:lang w:val="en-US" w:eastAsia="zh-CN"/>
        </w:rPr>
      </w:pPr>
      <w:r>
        <w:rPr>
          <w:rFonts w:hint="eastAsia" w:ascii="宋体" w:hAnsi="宋体" w:cs="宋体"/>
          <w:lang w:val="en-US" w:eastAsia="zh-CN"/>
        </w:rPr>
        <w:t>塔式起重机</w:t>
      </w:r>
      <w:r>
        <w:rPr>
          <w:rFonts w:hint="eastAsia" w:ascii="宋体" w:hAnsi="宋体" w:eastAsia="宋体" w:cs="宋体"/>
          <w:lang w:eastAsia="zh-CN"/>
        </w:rPr>
        <w:t>安装地</w:t>
      </w:r>
      <w:r>
        <w:rPr>
          <w:rFonts w:hint="eastAsia" w:ascii="宋体" w:hAnsi="宋体" w:eastAsia="宋体" w:cs="宋体"/>
          <w:color w:val="auto"/>
          <w:lang w:eastAsia="zh-CN"/>
        </w:rPr>
        <w:t>点</w:t>
      </w:r>
      <w:r>
        <w:rPr>
          <w:rFonts w:hint="eastAsia" w:ascii="宋体" w:hAnsi="宋体" w:cs="宋体"/>
          <w:color w:val="auto"/>
          <w:lang w:eastAsia="zh-CN"/>
        </w:rPr>
        <w:t>：下</w:t>
      </w:r>
      <w:r>
        <w:t xml:space="preserve">图 </w:t>
      </w:r>
      <w:r>
        <w:fldChar w:fldCharType="begin"/>
      </w:r>
      <w:r>
        <w:instrText xml:space="preserve"> STYLEREF 3 \s </w:instrText>
      </w:r>
      <w:r>
        <w:fldChar w:fldCharType="separate"/>
      </w:r>
      <w:r>
        <w:t>8.1.1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宋体" w:hAnsi="宋体" w:cs="宋体"/>
          <w:color w:val="auto"/>
          <w:lang w:val="en-US" w:eastAsia="zh-CN"/>
        </w:rPr>
        <w:t>所示。</w:t>
      </w:r>
    </w:p>
    <w:p w14:paraId="41B1F20E">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cs="宋体"/>
          <w:color w:val="auto"/>
          <w:lang w:val="en-US" w:eastAsia="zh-CN"/>
        </w:rPr>
        <w:t>塔式起重机安装</w:t>
      </w:r>
      <w:r>
        <w:rPr>
          <w:rFonts w:hint="eastAsia" w:ascii="宋体" w:hAnsi="宋体" w:eastAsia="宋体" w:cs="宋体"/>
          <w:color w:val="auto"/>
          <w:lang w:eastAsia="zh-CN"/>
        </w:rPr>
        <w:t>场地要求：施工现场</w:t>
      </w:r>
      <w:r>
        <w:rPr>
          <w:rFonts w:hint="eastAsia" w:ascii="宋体" w:hAnsi="宋体" w:eastAsia="宋体" w:cs="宋体"/>
          <w:color w:val="auto"/>
          <w:lang w:val="en-US" w:eastAsia="zh-CN"/>
        </w:rPr>
        <w:t>需</w:t>
      </w:r>
      <w:r>
        <w:rPr>
          <w:rFonts w:hint="eastAsia" w:ascii="宋体" w:hAnsi="宋体" w:eastAsia="宋体" w:cs="宋体"/>
          <w:color w:val="auto"/>
          <w:lang w:eastAsia="zh-CN"/>
        </w:rPr>
        <w:t>有足够宽阔地带可以摆放</w:t>
      </w:r>
      <w:r>
        <w:rPr>
          <w:rFonts w:hint="eastAsia" w:ascii="宋体" w:hAnsi="宋体" w:cs="宋体"/>
          <w:color w:val="auto"/>
          <w:lang w:val="en-US" w:eastAsia="zh-CN"/>
        </w:rPr>
        <w:t>安装</w:t>
      </w:r>
      <w:r>
        <w:rPr>
          <w:rFonts w:hint="eastAsia" w:ascii="宋体" w:hAnsi="宋体" w:eastAsia="宋体" w:cs="宋体"/>
          <w:color w:val="auto"/>
          <w:lang w:eastAsia="zh-CN"/>
        </w:rPr>
        <w:t>部件，场</w:t>
      </w:r>
      <w:r>
        <w:rPr>
          <w:rFonts w:hint="eastAsia" w:ascii="宋体" w:hAnsi="宋体" w:eastAsia="宋体" w:cs="宋体"/>
          <w:lang w:eastAsia="zh-CN"/>
        </w:rPr>
        <w:t>地上空在汽车吊作业范围内无高压线及其他阻碍物。</w:t>
      </w:r>
    </w:p>
    <w:p w14:paraId="3CBD356C">
      <w:pPr>
        <w:keepNext w:val="0"/>
        <w:keepLines w:val="0"/>
        <w:pageBreakBefore w:val="0"/>
        <w:tabs>
          <w:tab w:val="left" w:pos="1200"/>
        </w:tabs>
        <w:kinsoku/>
        <w:wordWrap/>
        <w:overflowPunct/>
        <w:topLinePunct w:val="0"/>
        <w:autoSpaceDE/>
        <w:autoSpaceDN/>
        <w:bidi w:val="0"/>
        <w:snapToGrid/>
        <w:spacing w:line="360" w:lineRule="auto"/>
        <w:ind w:left="0" w:leftChars="0" w:firstLine="0" w:firstLineChars="0"/>
        <w:jc w:val="center"/>
        <w:outlineLvl w:val="9"/>
      </w:pPr>
      <w:r>
        <w:drawing>
          <wp:inline distT="0" distB="0" distL="114300" distR="114300">
            <wp:extent cx="5934075" cy="1843405"/>
            <wp:effectExtent l="0" t="0" r="9525" b="444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5"/>
                    <a:stretch>
                      <a:fillRect/>
                    </a:stretch>
                  </pic:blipFill>
                  <pic:spPr>
                    <a:xfrm>
                      <a:off x="0" y="0"/>
                      <a:ext cx="5934075" cy="1843405"/>
                    </a:xfrm>
                    <a:prstGeom prst="rect">
                      <a:avLst/>
                    </a:prstGeom>
                    <a:noFill/>
                    <a:ln>
                      <a:noFill/>
                    </a:ln>
                  </pic:spPr>
                </pic:pic>
              </a:graphicData>
            </a:graphic>
          </wp:inline>
        </w:drawing>
      </w:r>
    </w:p>
    <w:p w14:paraId="74494054">
      <w:pPr>
        <w:pStyle w:val="12"/>
        <w:rPr>
          <w:rFonts w:hint="eastAsia" w:ascii="宋体" w:hAnsi="宋体" w:eastAsia="宋体" w:cs="Times New Roman"/>
          <w:kern w:val="2"/>
          <w:sz w:val="24"/>
          <w:szCs w:val="24"/>
          <w:highlight w:val="none"/>
          <w:lang w:val="en-US" w:eastAsia="zh-CN" w:bidi="ar-SA"/>
        </w:rPr>
      </w:pPr>
      <w:r>
        <w:t xml:space="preserve">图 </w:t>
      </w:r>
      <w:r>
        <w:fldChar w:fldCharType="begin"/>
      </w:r>
      <w:r>
        <w:instrText xml:space="preserve"> STYLEREF 3 \s </w:instrText>
      </w:r>
      <w:r>
        <w:fldChar w:fldCharType="separate"/>
      </w:r>
      <w:r>
        <w:t>8.1.1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w:t>
      </w:r>
      <w:r>
        <w:rPr>
          <w:rFonts w:hint="eastAsia" w:ascii="宋体" w:hAnsi="宋体" w:cs="宋体"/>
          <w:lang w:val="en-US" w:eastAsia="zh-CN"/>
        </w:rPr>
        <w:t>1#、2#、3#、4</w:t>
      </w:r>
      <w:r>
        <w:rPr>
          <w:rFonts w:hint="eastAsia" w:ascii="宋体" w:hAnsi="宋体" w:cs="宋体"/>
          <w:highlight w:val="none"/>
          <w:lang w:val="en-US" w:eastAsia="zh-CN"/>
        </w:rPr>
        <w:t>#</w:t>
      </w:r>
      <w:r>
        <w:rPr>
          <w:rFonts w:hint="eastAsia" w:ascii="宋体" w:hAnsi="宋体" w:eastAsia="宋体" w:cs="Times New Roman"/>
          <w:kern w:val="2"/>
          <w:sz w:val="24"/>
          <w:szCs w:val="24"/>
          <w:highlight w:val="none"/>
          <w:lang w:val="en-US" w:eastAsia="zh-CN" w:bidi="ar-SA"/>
        </w:rPr>
        <w:t>塔吊</w:t>
      </w:r>
      <w:r>
        <w:rPr>
          <w:rFonts w:hint="eastAsia" w:ascii="宋体" w:hAnsi="宋体" w:cs="Times New Roman"/>
          <w:kern w:val="2"/>
          <w:sz w:val="24"/>
          <w:szCs w:val="24"/>
          <w:highlight w:val="none"/>
          <w:lang w:val="en-US" w:eastAsia="zh-CN" w:bidi="ar-SA"/>
        </w:rPr>
        <w:t>安装</w:t>
      </w:r>
      <w:r>
        <w:rPr>
          <w:rFonts w:hint="eastAsia" w:ascii="宋体" w:hAnsi="宋体" w:eastAsia="宋体" w:cs="Times New Roman"/>
          <w:kern w:val="2"/>
          <w:sz w:val="24"/>
          <w:szCs w:val="24"/>
          <w:highlight w:val="none"/>
          <w:lang w:val="en-US" w:eastAsia="zh-CN" w:bidi="ar-SA"/>
        </w:rPr>
        <w:t>示意图</w:t>
      </w:r>
    </w:p>
    <w:p w14:paraId="3DB4BCF3">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cs="宋体"/>
          <w:lang w:val="en-US" w:eastAsia="zh-CN"/>
        </w:rPr>
        <w:t>塔式起重机安装前</w:t>
      </w:r>
      <w:r>
        <w:rPr>
          <w:rFonts w:hint="eastAsia" w:ascii="宋体" w:hAnsi="宋体" w:eastAsia="宋体" w:cs="宋体"/>
          <w:lang w:eastAsia="zh-CN"/>
        </w:rPr>
        <w:t>气象要求：安</w:t>
      </w:r>
      <w:r>
        <w:rPr>
          <w:rFonts w:hint="eastAsia" w:ascii="宋体" w:hAnsi="宋体" w:cs="宋体"/>
          <w:lang w:val="en-US" w:eastAsia="zh-CN"/>
        </w:rPr>
        <w:t>装</w:t>
      </w:r>
      <w:r>
        <w:rPr>
          <w:rFonts w:hint="eastAsia" w:ascii="宋体" w:hAnsi="宋体" w:eastAsia="宋体" w:cs="宋体"/>
          <w:lang w:eastAsia="zh-CN"/>
        </w:rPr>
        <w:t>地点48小时内无</w:t>
      </w:r>
      <w:r>
        <w:rPr>
          <w:rFonts w:hint="eastAsia" w:ascii="宋体" w:hAnsi="宋体" w:cs="宋体"/>
          <w:highlight w:val="yellow"/>
          <w:lang w:val="en-US" w:eastAsia="zh-CN"/>
        </w:rPr>
        <w:t>5.5m/s</w:t>
      </w:r>
      <w:r>
        <w:rPr>
          <w:rFonts w:hint="eastAsia" w:ascii="宋体" w:hAnsi="宋体" w:eastAsia="宋体" w:cs="宋体"/>
          <w:lang w:eastAsia="zh-CN"/>
        </w:rPr>
        <w:t>以上强风天气，否则停止安装，做好防护准备。</w:t>
      </w:r>
    </w:p>
    <w:p w14:paraId="36527373">
      <w:pPr>
        <w:pStyle w:val="6"/>
        <w:pageBreakBefore w:val="0"/>
        <w:numPr>
          <w:ilvl w:val="2"/>
          <w:numId w:val="6"/>
        </w:numPr>
        <w:tabs>
          <w:tab w:val="left" w:pos="936"/>
        </w:tabs>
        <w:kinsoku/>
        <w:wordWrap/>
        <w:overflowPunct/>
        <w:topLinePunct w:val="0"/>
        <w:bidi w:val="0"/>
        <w:spacing w:line="360" w:lineRule="auto"/>
        <w:ind w:left="709" w:leftChars="0" w:hanging="709" w:firstLineChars="0"/>
        <w:outlineLvl w:val="2"/>
        <w:rPr>
          <w:rFonts w:hint="eastAsia"/>
          <w:b/>
          <w:bCs/>
          <w:lang w:val="en-US" w:eastAsia="zh-CN"/>
        </w:rPr>
      </w:pPr>
      <w:bookmarkStart w:id="53" w:name="_Toc17467"/>
      <w:bookmarkEnd w:id="53"/>
      <w:bookmarkStart w:id="54" w:name="_Toc19360"/>
      <w:bookmarkEnd w:id="54"/>
      <w:bookmarkStart w:id="55" w:name="_Toc13134"/>
      <w:bookmarkEnd w:id="55"/>
      <w:bookmarkStart w:id="56" w:name="_Toc24165"/>
      <w:bookmarkEnd w:id="56"/>
      <w:bookmarkStart w:id="57" w:name="_Toc19483"/>
      <w:bookmarkEnd w:id="57"/>
      <w:bookmarkStart w:id="58" w:name="_Toc16151"/>
      <w:bookmarkEnd w:id="58"/>
      <w:bookmarkStart w:id="59" w:name="_Toc18669"/>
      <w:bookmarkEnd w:id="59"/>
      <w:bookmarkStart w:id="60" w:name="_Toc6694"/>
      <w:bookmarkEnd w:id="60"/>
      <w:bookmarkStart w:id="61" w:name="_Toc30538"/>
      <w:bookmarkEnd w:id="61"/>
      <w:bookmarkStart w:id="62" w:name="_Toc7052"/>
      <w:bookmarkEnd w:id="62"/>
      <w:bookmarkStart w:id="63" w:name="_Toc17264"/>
      <w:bookmarkStart w:id="64" w:name="_Toc5951"/>
      <w:bookmarkStart w:id="65" w:name="_Toc19405"/>
      <w:r>
        <w:rPr>
          <w:rFonts w:hint="eastAsia"/>
          <w:b/>
          <w:bCs/>
          <w:lang w:val="en-US" w:eastAsia="zh-CN"/>
        </w:rPr>
        <w:t>技术准备</w:t>
      </w:r>
      <w:bookmarkEnd w:id="63"/>
      <w:bookmarkEnd w:id="64"/>
    </w:p>
    <w:p w14:paraId="6C24D77F">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eastAsia="宋体" w:cs="宋体"/>
          <w:lang w:eastAsia="zh-CN"/>
        </w:rPr>
        <w:t>(1)收集</w:t>
      </w:r>
      <w:r>
        <w:rPr>
          <w:rFonts w:hint="eastAsia" w:ascii="宋体" w:hAnsi="宋体" w:cs="宋体"/>
          <w:lang w:val="en-US" w:eastAsia="zh-CN"/>
        </w:rPr>
        <w:t>塔式起重</w:t>
      </w:r>
      <w:r>
        <w:rPr>
          <w:rFonts w:hint="eastAsia" w:ascii="宋体" w:hAnsi="宋体" w:eastAsia="宋体" w:cs="宋体"/>
          <w:lang w:eastAsia="zh-CN"/>
        </w:rPr>
        <w:t>机相关图纸及技术资料，组织作业人员学习领会设备安</w:t>
      </w:r>
      <w:r>
        <w:rPr>
          <w:rFonts w:hint="eastAsia" w:ascii="宋体" w:hAnsi="宋体" w:cs="宋体"/>
          <w:lang w:val="en-US" w:eastAsia="zh-CN"/>
        </w:rPr>
        <w:t>拆</w:t>
      </w:r>
      <w:r>
        <w:rPr>
          <w:rFonts w:hint="eastAsia" w:ascii="宋体" w:hAnsi="宋体" w:eastAsia="宋体" w:cs="宋体"/>
          <w:lang w:eastAsia="zh-CN"/>
        </w:rPr>
        <w:t>技术要求。</w:t>
      </w:r>
    </w:p>
    <w:p w14:paraId="75A15750">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eastAsia="宋体" w:cs="宋体"/>
          <w:lang w:eastAsia="zh-CN"/>
        </w:rPr>
        <w:t>(2)做好</w:t>
      </w:r>
      <w:r>
        <w:rPr>
          <w:rFonts w:hint="eastAsia" w:ascii="宋体" w:hAnsi="宋体" w:cs="宋体"/>
          <w:lang w:eastAsia="zh-CN"/>
        </w:rPr>
        <w:t>塔式</w:t>
      </w:r>
      <w:r>
        <w:rPr>
          <w:rFonts w:hint="eastAsia" w:ascii="宋体" w:hAnsi="宋体" w:cs="宋体"/>
          <w:lang w:val="en-US" w:eastAsia="zh-CN"/>
        </w:rPr>
        <w:t>起重</w:t>
      </w:r>
      <w:r>
        <w:rPr>
          <w:rFonts w:hint="eastAsia" w:ascii="宋体" w:hAnsi="宋体" w:eastAsia="宋体" w:cs="宋体"/>
          <w:lang w:eastAsia="zh-CN"/>
        </w:rPr>
        <w:t>机</w:t>
      </w:r>
      <w:r>
        <w:rPr>
          <w:rFonts w:hint="eastAsia" w:ascii="宋体" w:hAnsi="宋体" w:cs="宋体"/>
          <w:lang w:val="en-US" w:eastAsia="zh-CN"/>
        </w:rPr>
        <w:t>安拆</w:t>
      </w:r>
      <w:r>
        <w:rPr>
          <w:rFonts w:hint="eastAsia" w:ascii="宋体" w:hAnsi="宋体" w:eastAsia="宋体" w:cs="宋体"/>
          <w:lang w:eastAsia="zh-CN"/>
        </w:rPr>
        <w:t>技术交底，指导</w:t>
      </w:r>
      <w:r>
        <w:rPr>
          <w:rFonts w:hint="eastAsia" w:ascii="宋体" w:hAnsi="宋体" w:cs="宋体"/>
          <w:lang w:eastAsia="zh-CN"/>
        </w:rPr>
        <w:t>塔式</w:t>
      </w:r>
      <w:r>
        <w:rPr>
          <w:rFonts w:hint="eastAsia" w:ascii="宋体" w:hAnsi="宋体" w:cs="宋体"/>
          <w:lang w:val="en-US" w:eastAsia="zh-CN"/>
        </w:rPr>
        <w:t>起重</w:t>
      </w:r>
      <w:r>
        <w:rPr>
          <w:rFonts w:hint="eastAsia" w:ascii="宋体" w:hAnsi="宋体" w:eastAsia="宋体" w:cs="宋体"/>
          <w:lang w:eastAsia="zh-CN"/>
        </w:rPr>
        <w:t>机</w:t>
      </w:r>
      <w:r>
        <w:rPr>
          <w:rFonts w:hint="eastAsia" w:ascii="宋体" w:hAnsi="宋体" w:cs="宋体"/>
          <w:lang w:val="en-US" w:eastAsia="zh-CN"/>
        </w:rPr>
        <w:t>安拆作业</w:t>
      </w:r>
      <w:r>
        <w:rPr>
          <w:rFonts w:hint="eastAsia" w:ascii="宋体" w:hAnsi="宋体" w:eastAsia="宋体" w:cs="宋体"/>
          <w:lang w:eastAsia="zh-CN"/>
        </w:rPr>
        <w:t>。</w:t>
      </w:r>
    </w:p>
    <w:p w14:paraId="0418DCD1">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eastAsia="宋体" w:cs="宋体"/>
          <w:lang w:eastAsia="zh-CN"/>
        </w:rPr>
        <w:t>(3)人员资格审查：所有</w:t>
      </w:r>
      <w:r>
        <w:rPr>
          <w:rFonts w:hint="eastAsia" w:ascii="宋体" w:hAnsi="宋体" w:cs="宋体"/>
          <w:lang w:val="en-US" w:eastAsia="zh-CN"/>
        </w:rPr>
        <w:t>安拆作业</w:t>
      </w:r>
      <w:r>
        <w:rPr>
          <w:rFonts w:hint="eastAsia" w:ascii="宋体" w:hAnsi="宋体" w:eastAsia="宋体" w:cs="宋体"/>
          <w:lang w:eastAsia="zh-CN"/>
        </w:rPr>
        <w:t>人员需身体健康，患高血压、癫痫病、恐高症者不能从事该工作；主要施工人员应熟悉掌握本工种技术，特种作业人员必须持证上岗。</w:t>
      </w:r>
    </w:p>
    <w:p w14:paraId="20F6CF96">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eastAsia="宋体" w:cs="宋体"/>
          <w:lang w:eastAsia="zh-CN"/>
        </w:rPr>
        <w:t>(4)进场</w:t>
      </w:r>
      <w:r>
        <w:rPr>
          <w:rFonts w:hint="eastAsia" w:ascii="宋体" w:hAnsi="宋体" w:cs="宋体"/>
          <w:lang w:val="en-US" w:eastAsia="zh-CN"/>
        </w:rPr>
        <w:t>安拆汽车吊</w:t>
      </w:r>
      <w:r>
        <w:rPr>
          <w:rFonts w:hint="eastAsia" w:ascii="宋体" w:hAnsi="宋体" w:eastAsia="宋体" w:cs="宋体"/>
          <w:lang w:eastAsia="zh-CN"/>
        </w:rPr>
        <w:t>资质审核：所有进场参</w:t>
      </w:r>
      <w:r>
        <w:rPr>
          <w:rFonts w:hint="eastAsia" w:ascii="宋体" w:hAnsi="宋体" w:cs="宋体"/>
          <w:lang w:val="en-US" w:eastAsia="zh-CN"/>
        </w:rPr>
        <w:t>与安拆</w:t>
      </w:r>
      <w:r>
        <w:rPr>
          <w:rFonts w:hint="eastAsia" w:ascii="宋体" w:hAnsi="宋体" w:eastAsia="宋体" w:cs="宋体"/>
          <w:lang w:eastAsia="zh-CN"/>
        </w:rPr>
        <w:t>的吊车，其型号、年检资质、操作人员证件必须</w:t>
      </w:r>
      <w:r>
        <w:rPr>
          <w:rFonts w:hint="eastAsia" w:ascii="宋体" w:hAnsi="宋体" w:eastAsia="宋体" w:cs="宋体"/>
          <w:lang w:val="en-US" w:eastAsia="zh-CN"/>
        </w:rPr>
        <w:t>合格</w:t>
      </w:r>
      <w:r>
        <w:rPr>
          <w:rFonts w:hint="eastAsia" w:ascii="宋体" w:hAnsi="宋体" w:eastAsia="宋体" w:cs="宋体"/>
          <w:lang w:eastAsia="zh-CN"/>
        </w:rPr>
        <w:t>，所使用的吊车起重能力必须满足最大重物起吊</w:t>
      </w:r>
      <w:r>
        <w:rPr>
          <w:rFonts w:hint="eastAsia" w:ascii="宋体" w:hAnsi="宋体" w:cs="宋体"/>
          <w:lang w:val="en-US" w:eastAsia="zh-CN"/>
        </w:rPr>
        <w:t>安拆</w:t>
      </w:r>
      <w:r>
        <w:rPr>
          <w:rFonts w:hint="eastAsia" w:ascii="宋体" w:hAnsi="宋体" w:eastAsia="宋体" w:cs="宋体"/>
          <w:lang w:eastAsia="zh-CN"/>
        </w:rPr>
        <w:t>要求。</w:t>
      </w:r>
    </w:p>
    <w:p w14:paraId="7BDE390E">
      <w:pPr>
        <w:pStyle w:val="6"/>
        <w:pageBreakBefore w:val="0"/>
        <w:numPr>
          <w:ilvl w:val="2"/>
          <w:numId w:val="6"/>
        </w:numPr>
        <w:tabs>
          <w:tab w:val="left" w:pos="936"/>
        </w:tabs>
        <w:kinsoku/>
        <w:wordWrap/>
        <w:overflowPunct/>
        <w:topLinePunct w:val="0"/>
        <w:bidi w:val="0"/>
        <w:spacing w:line="360" w:lineRule="auto"/>
        <w:ind w:left="709" w:leftChars="0" w:hanging="709" w:firstLineChars="0"/>
        <w:outlineLvl w:val="2"/>
        <w:rPr>
          <w:rFonts w:hint="eastAsia"/>
          <w:b/>
          <w:bCs/>
          <w:lang w:val="en-US" w:eastAsia="zh-CN"/>
        </w:rPr>
      </w:pPr>
      <w:bookmarkStart w:id="66" w:name="_Toc595"/>
      <w:r>
        <w:rPr>
          <w:rFonts w:hint="eastAsia"/>
          <w:b/>
          <w:bCs/>
          <w:lang w:val="en-US" w:eastAsia="zh-CN"/>
        </w:rPr>
        <w:t>现场准备</w:t>
      </w:r>
      <w:bookmarkEnd w:id="65"/>
      <w:bookmarkEnd w:id="66"/>
    </w:p>
    <w:p w14:paraId="353E070F">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cs="宋体"/>
          <w:lang w:val="en-US" w:eastAsia="zh-CN"/>
        </w:rPr>
        <w:t>塔吊安拆</w:t>
      </w:r>
      <w:r>
        <w:rPr>
          <w:rFonts w:hint="eastAsia" w:ascii="宋体" w:hAnsi="宋体" w:eastAsia="宋体" w:cs="宋体"/>
          <w:lang w:eastAsia="zh-CN"/>
        </w:rPr>
        <w:t>场地：</w:t>
      </w:r>
    </w:p>
    <w:p w14:paraId="00CCCED2">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color w:val="auto"/>
          <w:lang w:eastAsia="zh-CN"/>
        </w:rPr>
      </w:pPr>
      <w:r>
        <w:rPr>
          <w:rFonts w:hint="eastAsia" w:ascii="宋体" w:hAnsi="宋体" w:eastAsia="宋体" w:cs="宋体"/>
          <w:lang w:eastAsia="zh-CN"/>
        </w:rPr>
        <w:t>①</w:t>
      </w:r>
      <w:r>
        <w:rPr>
          <w:rFonts w:hint="eastAsia" w:ascii="宋体" w:hAnsi="宋体" w:eastAsia="宋体" w:cs="宋体"/>
          <w:highlight w:val="none"/>
          <w:lang w:val="en-US" w:eastAsia="zh-CN"/>
        </w:rPr>
        <w:t>场</w:t>
      </w:r>
      <w:r>
        <w:rPr>
          <w:rFonts w:hint="eastAsia" w:ascii="宋体" w:hAnsi="宋体" w:eastAsia="宋体" w:cs="宋体"/>
          <w:color w:val="auto"/>
          <w:highlight w:val="none"/>
          <w:lang w:val="en-US" w:eastAsia="zh-CN"/>
        </w:rPr>
        <w:t>地</w:t>
      </w:r>
      <w:r>
        <w:rPr>
          <w:rFonts w:hint="eastAsia" w:ascii="宋体" w:hAnsi="宋体" w:cs="宋体"/>
          <w:color w:val="auto"/>
          <w:highlight w:val="none"/>
          <w:lang w:val="en-US" w:eastAsia="zh-CN"/>
        </w:rPr>
        <w:t>宽阔</w:t>
      </w:r>
      <w:r>
        <w:rPr>
          <w:rFonts w:hint="eastAsia" w:ascii="宋体" w:hAnsi="宋体" w:eastAsia="宋体" w:cs="宋体"/>
          <w:color w:val="auto"/>
          <w:highlight w:val="none"/>
          <w:lang w:val="en-US" w:eastAsia="zh-CN"/>
        </w:rPr>
        <w:t>满足</w:t>
      </w:r>
      <w:r>
        <w:rPr>
          <w:rFonts w:hint="eastAsia" w:ascii="宋体" w:hAnsi="宋体" w:cs="宋体"/>
          <w:lang w:val="en-US" w:eastAsia="zh-CN"/>
        </w:rPr>
        <w:t>安拆</w:t>
      </w:r>
      <w:r>
        <w:rPr>
          <w:rFonts w:hint="eastAsia" w:ascii="宋体" w:hAnsi="宋体" w:eastAsia="宋体" w:cs="宋体"/>
          <w:color w:val="auto"/>
          <w:highlight w:val="none"/>
          <w:lang w:val="en-US" w:eastAsia="zh-CN"/>
        </w:rPr>
        <w:t>场地需求</w:t>
      </w:r>
      <w:r>
        <w:rPr>
          <w:rFonts w:hint="eastAsia" w:ascii="宋体" w:hAnsi="宋体" w:eastAsia="宋体" w:cs="宋体"/>
          <w:color w:val="auto"/>
          <w:lang w:val="en-US" w:eastAsia="zh-CN"/>
        </w:rPr>
        <w:t>，施工前将该区域</w:t>
      </w:r>
      <w:r>
        <w:rPr>
          <w:rFonts w:hint="eastAsia" w:ascii="宋体" w:hAnsi="宋体" w:eastAsia="宋体" w:cs="宋体"/>
          <w:color w:val="auto"/>
          <w:lang w:eastAsia="zh-CN"/>
        </w:rPr>
        <w:t>拉警戒</w:t>
      </w:r>
      <w:r>
        <w:rPr>
          <w:rFonts w:hint="eastAsia" w:ascii="宋体" w:hAnsi="宋体" w:eastAsia="宋体" w:cs="宋体"/>
          <w:color w:val="auto"/>
          <w:lang w:val="en-US" w:eastAsia="zh-CN"/>
        </w:rPr>
        <w:t>线设置告知牌</w:t>
      </w:r>
      <w:r>
        <w:rPr>
          <w:rFonts w:hint="eastAsia" w:ascii="宋体" w:hAnsi="宋体" w:eastAsia="宋体" w:cs="宋体"/>
          <w:color w:val="auto"/>
          <w:lang w:eastAsia="zh-CN"/>
        </w:rPr>
        <w:t>，</w:t>
      </w:r>
      <w:r>
        <w:rPr>
          <w:rFonts w:hint="eastAsia" w:ascii="宋体" w:hAnsi="宋体" w:eastAsia="宋体" w:cs="宋体"/>
          <w:color w:val="auto"/>
          <w:lang w:val="en-US" w:eastAsia="zh-CN"/>
        </w:rPr>
        <w:t>所需构件放置于平地上，</w:t>
      </w:r>
      <w:r>
        <w:rPr>
          <w:rFonts w:hint="eastAsia" w:ascii="宋体" w:hAnsi="宋体" w:eastAsia="宋体" w:cs="宋体"/>
          <w:color w:val="auto"/>
          <w:lang w:eastAsia="zh-CN"/>
        </w:rPr>
        <w:t>确保</w:t>
      </w:r>
      <w:r>
        <w:rPr>
          <w:rFonts w:hint="eastAsia" w:ascii="宋体" w:hAnsi="宋体" w:cs="宋体"/>
          <w:lang w:val="en-US" w:eastAsia="zh-CN"/>
        </w:rPr>
        <w:t>安拆</w:t>
      </w:r>
      <w:r>
        <w:rPr>
          <w:rFonts w:hint="eastAsia" w:ascii="宋体" w:hAnsi="宋体" w:eastAsia="宋体" w:cs="宋体"/>
          <w:color w:val="auto"/>
          <w:lang w:eastAsia="zh-CN"/>
        </w:rPr>
        <w:t>设备部件能有序摆放；</w:t>
      </w:r>
    </w:p>
    <w:p w14:paraId="60F26103">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color w:val="auto"/>
          <w:highlight w:val="none"/>
          <w:lang w:val="en-US" w:eastAsia="zh-CN"/>
        </w:rPr>
      </w:pPr>
      <w:r>
        <w:rPr>
          <w:rFonts w:hint="eastAsia" w:ascii="宋体" w:hAnsi="宋体" w:eastAsia="宋体" w:cs="宋体"/>
          <w:color w:val="auto"/>
          <w:lang w:eastAsia="zh-CN"/>
        </w:rPr>
        <w:t>②</w:t>
      </w:r>
      <w:r>
        <w:rPr>
          <w:rFonts w:hint="eastAsia" w:ascii="宋体" w:hAnsi="宋体" w:cs="宋体"/>
          <w:color w:val="auto"/>
          <w:lang w:val="en-US" w:eastAsia="zh-CN"/>
        </w:rPr>
        <w:t>塔机基础四周地面平整</w:t>
      </w:r>
      <w:r>
        <w:rPr>
          <w:rFonts w:hint="eastAsia" w:ascii="宋体" w:hAnsi="宋体" w:eastAsia="宋体" w:cs="宋体"/>
          <w:color w:val="auto"/>
          <w:highlight w:val="none"/>
          <w:lang w:val="en-US" w:eastAsia="zh-CN"/>
        </w:rPr>
        <w:t>，承载力</w:t>
      </w:r>
      <w:r>
        <w:rPr>
          <w:rFonts w:hint="eastAsia" w:ascii="宋体" w:hAnsi="宋体" w:cs="宋体"/>
          <w:color w:val="auto"/>
          <w:highlight w:val="none"/>
          <w:lang w:val="en-US" w:eastAsia="zh-CN"/>
        </w:rPr>
        <w:t>不小于31.5</w:t>
      </w:r>
      <w:r>
        <w:rPr>
          <w:rFonts w:hint="eastAsia" w:ascii="宋体" w:hAnsi="宋体" w:eastAsia="宋体" w:cs="宋体"/>
          <w:color w:val="auto"/>
          <w:highlight w:val="none"/>
          <w:lang w:val="en-US" w:eastAsia="zh-CN"/>
        </w:rPr>
        <w:t>MPa。</w:t>
      </w:r>
    </w:p>
    <w:p w14:paraId="07E26045">
      <w:pPr>
        <w:pStyle w:val="6"/>
        <w:pageBreakBefore w:val="0"/>
        <w:numPr>
          <w:ilvl w:val="2"/>
          <w:numId w:val="6"/>
        </w:numPr>
        <w:tabs>
          <w:tab w:val="left" w:pos="936"/>
        </w:tabs>
        <w:kinsoku/>
        <w:wordWrap/>
        <w:overflowPunct/>
        <w:topLinePunct w:val="0"/>
        <w:bidi w:val="0"/>
        <w:spacing w:line="360" w:lineRule="auto"/>
        <w:ind w:left="709" w:leftChars="0" w:hanging="709" w:firstLineChars="0"/>
        <w:outlineLvl w:val="2"/>
        <w:rPr>
          <w:rFonts w:hint="eastAsia"/>
          <w:b/>
          <w:bCs/>
          <w:lang w:val="en-US" w:eastAsia="zh-CN"/>
        </w:rPr>
      </w:pPr>
      <w:bookmarkStart w:id="67" w:name="_Toc8235"/>
      <w:bookmarkEnd w:id="67"/>
      <w:bookmarkStart w:id="68" w:name="_Toc26943"/>
      <w:bookmarkEnd w:id="68"/>
      <w:bookmarkStart w:id="69" w:name="_Toc27109"/>
      <w:bookmarkEnd w:id="69"/>
      <w:bookmarkStart w:id="70" w:name="_Toc27612"/>
      <w:bookmarkEnd w:id="70"/>
      <w:bookmarkStart w:id="71" w:name="_Toc16449"/>
      <w:bookmarkEnd w:id="71"/>
      <w:bookmarkStart w:id="72" w:name="_Toc18767"/>
      <w:bookmarkEnd w:id="72"/>
      <w:bookmarkStart w:id="73" w:name="_Toc11002"/>
      <w:bookmarkEnd w:id="73"/>
      <w:bookmarkStart w:id="74" w:name="_Toc24938"/>
      <w:bookmarkEnd w:id="74"/>
      <w:bookmarkStart w:id="75" w:name="_Toc21555"/>
      <w:bookmarkStart w:id="76" w:name="_Toc24562"/>
      <w:r>
        <w:rPr>
          <w:rFonts w:hint="eastAsia"/>
          <w:b/>
          <w:bCs/>
          <w:lang w:val="en-US" w:eastAsia="zh-CN"/>
        </w:rPr>
        <w:t>人员培训和技术交底</w:t>
      </w:r>
      <w:bookmarkEnd w:id="75"/>
      <w:r>
        <w:rPr>
          <w:rFonts w:hint="eastAsia"/>
          <w:b/>
          <w:bCs/>
          <w:lang w:val="en-US" w:eastAsia="zh-CN"/>
        </w:rPr>
        <w:t>及考核</w:t>
      </w:r>
      <w:bookmarkEnd w:id="76"/>
    </w:p>
    <w:p w14:paraId="05BA2BCE">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eastAsia="宋体" w:cs="宋体"/>
          <w:lang w:eastAsia="zh-CN"/>
        </w:rPr>
        <w:t>(1)施工技术交底:组织全体人员学习，由技术负责人讲解</w:t>
      </w:r>
      <w:r>
        <w:rPr>
          <w:rFonts w:hint="eastAsia" w:ascii="宋体" w:hAnsi="宋体" w:cs="宋体"/>
          <w:lang w:val="en-US" w:eastAsia="zh-CN"/>
        </w:rPr>
        <w:t>塔式起重机</w:t>
      </w:r>
      <w:r>
        <w:rPr>
          <w:rFonts w:hint="eastAsia" w:ascii="宋体" w:hAnsi="宋体" w:eastAsia="宋体" w:cs="宋体"/>
          <w:lang w:eastAsia="zh-CN"/>
        </w:rPr>
        <w:t>结构、性能参数，对施工人员进行技术交底，使全体施工人员熟知整个工序及各项要点和注意事项，熟悉整个</w:t>
      </w:r>
      <w:r>
        <w:rPr>
          <w:rFonts w:hint="eastAsia" w:ascii="宋体" w:hAnsi="宋体" w:cs="宋体"/>
          <w:lang w:val="en-US" w:eastAsia="zh-CN"/>
        </w:rPr>
        <w:t>安拆</w:t>
      </w:r>
      <w:r>
        <w:rPr>
          <w:rFonts w:hint="eastAsia" w:ascii="宋体" w:hAnsi="宋体" w:eastAsia="宋体" w:cs="宋体"/>
          <w:lang w:eastAsia="zh-CN"/>
        </w:rPr>
        <w:t>过程的每一个步骤。</w:t>
      </w:r>
    </w:p>
    <w:p w14:paraId="7AD0058F">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eastAsia="宋体" w:cs="宋体"/>
          <w:lang w:eastAsia="zh-CN"/>
        </w:rPr>
        <w:t>(2)安全教育培训：</w:t>
      </w:r>
    </w:p>
    <w:p w14:paraId="15E46976">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eastAsia="宋体" w:cs="宋体"/>
          <w:lang w:eastAsia="zh-CN"/>
        </w:rPr>
        <w:t>①技术负责人对参与施工的人员进行安全技术交底，</w:t>
      </w:r>
      <w:r>
        <w:rPr>
          <w:rFonts w:hint="eastAsia" w:ascii="宋体" w:hAnsi="宋体" w:cs="宋体"/>
          <w:lang w:val="en-US" w:eastAsia="zh-CN"/>
        </w:rPr>
        <w:t>交底</w:t>
      </w:r>
      <w:r>
        <w:rPr>
          <w:rFonts w:hint="eastAsia" w:ascii="宋体" w:hAnsi="宋体" w:eastAsia="宋体" w:cs="宋体"/>
          <w:lang w:eastAsia="zh-CN"/>
        </w:rPr>
        <w:t>内容主要为现场作业人员岗位责任、</w:t>
      </w:r>
      <w:r>
        <w:rPr>
          <w:rFonts w:hint="eastAsia" w:ascii="宋体" w:hAnsi="宋体" w:cs="宋体"/>
          <w:lang w:val="en-US" w:eastAsia="zh-CN"/>
        </w:rPr>
        <w:t>塔式起重机安拆</w:t>
      </w:r>
      <w:r>
        <w:rPr>
          <w:rFonts w:hint="eastAsia" w:ascii="宋体" w:hAnsi="宋体" w:eastAsia="宋体" w:cs="宋体"/>
          <w:lang w:eastAsia="zh-CN"/>
        </w:rPr>
        <w:t>作业前准备工作、</w:t>
      </w:r>
      <w:r>
        <w:rPr>
          <w:rFonts w:hint="eastAsia" w:ascii="宋体" w:hAnsi="宋体" w:cs="宋体"/>
          <w:lang w:val="en-US" w:eastAsia="zh-CN"/>
        </w:rPr>
        <w:t>安拆</w:t>
      </w:r>
      <w:r>
        <w:rPr>
          <w:rFonts w:hint="eastAsia" w:ascii="宋体" w:hAnsi="宋体" w:eastAsia="宋体" w:cs="宋体"/>
          <w:lang w:eastAsia="zh-CN"/>
        </w:rPr>
        <w:t>施工工艺、各部件安拆时控制要点、吊车选型及站位、吊装钢丝绳型号等；</w:t>
      </w:r>
    </w:p>
    <w:p w14:paraId="6D0FD8C9">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eastAsia="zh-CN"/>
        </w:rPr>
      </w:pPr>
      <w:r>
        <w:rPr>
          <w:rFonts w:hint="eastAsia" w:ascii="宋体" w:hAnsi="宋体" w:eastAsia="宋体" w:cs="宋体"/>
          <w:lang w:eastAsia="zh-CN"/>
        </w:rPr>
        <w:t>②安全负责人对作业人员进行安全</w:t>
      </w:r>
      <w:r>
        <w:rPr>
          <w:rFonts w:hint="eastAsia" w:ascii="宋体" w:hAnsi="宋体" w:cs="宋体"/>
          <w:lang w:val="en-US" w:eastAsia="zh-CN"/>
        </w:rPr>
        <w:t>交底</w:t>
      </w:r>
      <w:r>
        <w:rPr>
          <w:rFonts w:hint="eastAsia" w:ascii="宋体" w:hAnsi="宋体" w:eastAsia="宋体" w:cs="宋体"/>
          <w:lang w:eastAsia="zh-CN"/>
        </w:rPr>
        <w:t>，</w:t>
      </w:r>
      <w:r>
        <w:rPr>
          <w:rFonts w:hint="eastAsia" w:ascii="宋体" w:hAnsi="宋体" w:cs="宋体"/>
          <w:lang w:val="en-US" w:eastAsia="zh-CN"/>
        </w:rPr>
        <w:t>交底</w:t>
      </w:r>
      <w:r>
        <w:rPr>
          <w:rFonts w:hint="eastAsia" w:ascii="宋体" w:hAnsi="宋体" w:eastAsia="宋体" w:cs="宋体"/>
          <w:lang w:eastAsia="zh-CN"/>
        </w:rPr>
        <w:t>内容重点为基本作业安全常识、设备安全操作规程、各部件安拆流程、安拆施工现场危险源及预防措施、安拆过程中安全注意事项、发生事故后的应急救援程序、应急救援组织机构及应急联系。</w:t>
      </w:r>
    </w:p>
    <w:p w14:paraId="772BEAD6">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cs="宋体"/>
          <w:highlight w:val="none"/>
          <w:lang w:val="en-US" w:eastAsia="zh-CN"/>
        </w:rPr>
        <w:t>3</w:t>
      </w:r>
      <w:r>
        <w:rPr>
          <w:rFonts w:hint="eastAsia" w:ascii="宋体" w:hAnsi="宋体" w:eastAsia="宋体" w:cs="宋体"/>
          <w:highlight w:val="none"/>
          <w:lang w:eastAsia="zh-CN"/>
        </w:rPr>
        <w:t>)</w:t>
      </w:r>
      <w:r>
        <w:rPr>
          <w:rFonts w:hint="eastAsia" w:cs="宋体"/>
          <w:highlight w:val="none"/>
          <w:lang w:eastAsia="zh-CN"/>
        </w:rPr>
        <w:t>作业人员考核</w:t>
      </w:r>
      <w:r>
        <w:rPr>
          <w:rFonts w:hint="eastAsia" w:cs="宋体"/>
          <w:highlight w:val="none"/>
          <w:lang w:val="en-US" w:eastAsia="zh-CN"/>
        </w:rPr>
        <w:t>:全体作业人员培训完成后，需参加相关考试，确认全体施工作业人员已熟知安全知识，</w:t>
      </w:r>
      <w:r>
        <w:rPr>
          <w:rFonts w:hint="eastAsia" w:ascii="宋体" w:hAnsi="宋体" w:eastAsia="宋体" w:cs="宋体"/>
          <w:highlight w:val="none"/>
          <w:lang w:eastAsia="zh-CN"/>
        </w:rPr>
        <w:t>设备安全操作规程、各部件安拆流程、安拆施工现场危险源及预防措施、安拆过程中安全注意事项、发生事故后的应急救援程序、应急救援组织机构及应急联系。</w:t>
      </w:r>
      <w:r>
        <w:rPr>
          <w:rFonts w:hint="eastAsia" w:ascii="宋体" w:hAnsi="宋体" w:cs="宋体"/>
          <w:highlight w:val="none"/>
          <w:lang w:eastAsia="zh-CN"/>
        </w:rPr>
        <w:t>考试合格的作业人员方可进入施工现场作业。</w:t>
      </w:r>
    </w:p>
    <w:p w14:paraId="0CE3D16D">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77" w:name="_Toc23777"/>
      <w:bookmarkEnd w:id="77"/>
      <w:bookmarkStart w:id="78" w:name="_Toc2436"/>
      <w:bookmarkEnd w:id="78"/>
      <w:bookmarkStart w:id="79" w:name="_Toc20849"/>
      <w:bookmarkEnd w:id="79"/>
      <w:bookmarkStart w:id="80" w:name="_Toc27582"/>
      <w:bookmarkEnd w:id="80"/>
      <w:bookmarkStart w:id="81" w:name="_Toc6211"/>
      <w:bookmarkEnd w:id="81"/>
      <w:bookmarkStart w:id="82" w:name="_Toc5747"/>
      <w:bookmarkEnd w:id="82"/>
      <w:bookmarkStart w:id="83" w:name="_Toc19229"/>
      <w:bookmarkEnd w:id="83"/>
      <w:bookmarkStart w:id="84" w:name="_Toc5372"/>
      <w:bookmarkStart w:id="85" w:name="_Toc9812"/>
      <w:bookmarkStart w:id="86" w:name="_Toc22679"/>
      <w:r>
        <w:rPr>
          <w:rFonts w:hint="eastAsia" w:ascii="Times New Roman" w:hAnsi="Times New Roman" w:cs="Times New Roman"/>
          <w:color w:val="auto"/>
          <w:sz w:val="24"/>
          <w:szCs w:val="24"/>
          <w:lang w:val="en-US" w:eastAsia="zh-CN"/>
        </w:rPr>
        <w:t>安装工艺流程及步骤</w:t>
      </w:r>
      <w:bookmarkEnd w:id="84"/>
      <w:bookmarkEnd w:id="85"/>
      <w:bookmarkEnd w:id="86"/>
    </w:p>
    <w:p w14:paraId="1754D383">
      <w:pPr>
        <w:pStyle w:val="6"/>
        <w:pageBreakBefore w:val="0"/>
        <w:numPr>
          <w:ilvl w:val="2"/>
          <w:numId w:val="6"/>
        </w:numPr>
        <w:tabs>
          <w:tab w:val="left" w:pos="936"/>
        </w:tabs>
        <w:kinsoku/>
        <w:wordWrap/>
        <w:overflowPunct/>
        <w:topLinePunct w:val="0"/>
        <w:bidi w:val="0"/>
        <w:spacing w:line="360" w:lineRule="auto"/>
        <w:ind w:left="709" w:leftChars="0" w:hanging="709" w:firstLineChars="0"/>
        <w:outlineLvl w:val="2"/>
        <w:rPr>
          <w:rFonts w:hint="eastAsia" w:ascii="宋体" w:hAnsi="宋体" w:eastAsia="宋体" w:cs="Times New Roman"/>
          <w:b/>
          <w:bCs/>
          <w:lang w:val="en-US" w:eastAsia="zh-CN"/>
        </w:rPr>
      </w:pPr>
      <w:bookmarkStart w:id="87" w:name="_Toc2307"/>
      <w:bookmarkEnd w:id="87"/>
      <w:bookmarkStart w:id="88" w:name="_Toc12060"/>
      <w:bookmarkEnd w:id="88"/>
      <w:bookmarkStart w:id="89" w:name="_Toc23645"/>
      <w:bookmarkEnd w:id="89"/>
      <w:bookmarkStart w:id="90" w:name="_Toc18409"/>
      <w:bookmarkEnd w:id="90"/>
      <w:bookmarkStart w:id="91" w:name="_Toc911"/>
      <w:bookmarkEnd w:id="91"/>
      <w:bookmarkStart w:id="92" w:name="_Toc12321"/>
      <w:bookmarkStart w:id="93" w:name="_Toc18789"/>
      <w:r>
        <w:rPr>
          <w:rFonts w:hint="eastAsia" w:ascii="宋体" w:hAnsi="宋体" w:eastAsia="宋体" w:cs="Times New Roman"/>
          <w:b/>
          <w:bCs/>
          <w:lang w:val="en-US" w:eastAsia="zh-CN"/>
        </w:rPr>
        <w:t>安装工艺流程</w:t>
      </w:r>
      <w:bookmarkEnd w:id="92"/>
      <w:bookmarkEnd w:id="93"/>
    </w:p>
    <w:p w14:paraId="65491035">
      <w:pPr>
        <w:keepNext w:val="0"/>
        <w:keepLines w:val="0"/>
        <w:pageBreakBefore w:val="0"/>
        <w:kinsoku/>
        <w:wordWrap/>
        <w:overflowPunct/>
        <w:topLinePunct w:val="0"/>
        <w:autoSpaceDE/>
        <w:autoSpaceDN/>
        <w:bidi w:val="0"/>
        <w:snapToGrid/>
        <w:spacing w:line="360" w:lineRule="auto"/>
        <w:ind w:firstLine="0" w:firstLineChars="0"/>
        <w:jc w:val="center"/>
      </w:pPr>
      <w:r>
        <w:drawing>
          <wp:inline distT="0" distB="0" distL="114300" distR="114300">
            <wp:extent cx="4488180" cy="212407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2"/>
                    <a:srcRect l="9555" r="5278" b="-1889"/>
                    <a:stretch>
                      <a:fillRect/>
                    </a:stretch>
                  </pic:blipFill>
                  <pic:spPr>
                    <a:xfrm>
                      <a:off x="0" y="0"/>
                      <a:ext cx="4488180" cy="2124075"/>
                    </a:xfrm>
                    <a:prstGeom prst="rect">
                      <a:avLst/>
                    </a:prstGeom>
                    <a:noFill/>
                    <a:ln>
                      <a:noFill/>
                    </a:ln>
                  </pic:spPr>
                </pic:pic>
              </a:graphicData>
            </a:graphic>
          </wp:inline>
        </w:drawing>
      </w:r>
    </w:p>
    <w:p w14:paraId="6938CE27">
      <w:pPr>
        <w:pStyle w:val="12"/>
        <w:pageBreakBefore w:val="0"/>
        <w:kinsoku/>
        <w:wordWrap/>
        <w:overflowPunct/>
        <w:topLinePunct w:val="0"/>
        <w:bidi w:val="0"/>
        <w:spacing w:line="360" w:lineRule="auto"/>
        <w:rPr>
          <w:rFonts w:hint="eastAsia" w:ascii="宋体" w:hAnsi="宋体" w:eastAsia="宋体" w:cs="Times New Roman"/>
          <w:kern w:val="2"/>
          <w:sz w:val="24"/>
          <w:szCs w:val="24"/>
          <w:lang w:val="en-US" w:eastAsia="zh-CN" w:bidi="ar-SA"/>
        </w:rPr>
      </w:pPr>
      <w:r>
        <w:t xml:space="preserve">图 </w:t>
      </w:r>
      <w:r>
        <w:fldChar w:fldCharType="begin"/>
      </w:r>
      <w:r>
        <w:instrText xml:space="preserve"> STYLEREF 3 \s </w:instrText>
      </w:r>
      <w:r>
        <w:fldChar w:fldCharType="separate"/>
      </w:r>
      <w:r>
        <w:t>8.2.1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宋体" w:hAnsi="宋体" w:eastAsia="宋体" w:cs="Times New Roman"/>
          <w:kern w:val="2"/>
          <w:sz w:val="24"/>
          <w:szCs w:val="24"/>
          <w:lang w:val="en-US" w:eastAsia="zh-CN" w:bidi="ar-SA"/>
        </w:rPr>
        <w:t xml:space="preserve"> 安装工艺流程</w:t>
      </w:r>
    </w:p>
    <w:p w14:paraId="3CA200E0">
      <w:pPr>
        <w:keepNext w:val="0"/>
        <w:keepLines w:val="0"/>
        <w:pageBreakBefore w:val="0"/>
        <w:kinsoku/>
        <w:wordWrap/>
        <w:overflowPunct/>
        <w:topLinePunct w:val="0"/>
        <w:autoSpaceDE/>
        <w:autoSpaceDN/>
        <w:bidi w:val="0"/>
        <w:snapToGrid/>
        <w:spacing w:beforeAutospacing="0" w:afterAutospacing="0" w:line="360" w:lineRule="auto"/>
        <w:ind w:firstLine="400"/>
        <w:rPr>
          <w:rFonts w:ascii="宋体" w:hAnsi="宋体"/>
          <w:color w:val="000000"/>
          <w:sz w:val="20"/>
          <w:szCs w:val="20"/>
        </w:rPr>
      </w:pPr>
    </w:p>
    <w:p w14:paraId="366F5C23">
      <w:pPr>
        <w:pStyle w:val="6"/>
        <w:pageBreakBefore w:val="0"/>
        <w:numPr>
          <w:ilvl w:val="2"/>
          <w:numId w:val="6"/>
        </w:numPr>
        <w:tabs>
          <w:tab w:val="left" w:pos="936"/>
        </w:tabs>
        <w:kinsoku/>
        <w:wordWrap/>
        <w:overflowPunct/>
        <w:topLinePunct w:val="0"/>
        <w:bidi w:val="0"/>
        <w:spacing w:line="360" w:lineRule="auto"/>
        <w:ind w:left="709" w:leftChars="0" w:hanging="709" w:firstLineChars="0"/>
        <w:outlineLvl w:val="2"/>
        <w:rPr>
          <w:rFonts w:hint="eastAsia" w:ascii="宋体" w:hAnsi="宋体" w:eastAsia="宋体" w:cs="Times New Roman"/>
          <w:b/>
          <w:bCs/>
          <w:lang w:val="en-US" w:eastAsia="zh-CN"/>
        </w:rPr>
      </w:pPr>
      <w:bookmarkStart w:id="94" w:name="_Toc11917"/>
      <w:bookmarkEnd w:id="94"/>
      <w:bookmarkStart w:id="95" w:name="_Toc26097"/>
      <w:bookmarkEnd w:id="95"/>
      <w:bookmarkStart w:id="96" w:name="_Toc24783"/>
      <w:bookmarkEnd w:id="96"/>
      <w:bookmarkStart w:id="97" w:name="_Toc32534"/>
      <w:bookmarkEnd w:id="97"/>
      <w:bookmarkStart w:id="98" w:name="_Toc24015"/>
      <w:bookmarkEnd w:id="98"/>
      <w:bookmarkStart w:id="99" w:name="_Toc31183"/>
      <w:bookmarkStart w:id="100" w:name="_Toc19406"/>
      <w:r>
        <w:rPr>
          <w:rFonts w:hint="eastAsia" w:ascii="宋体" w:hAnsi="宋体" w:eastAsia="宋体" w:cs="Times New Roman"/>
          <w:b/>
          <w:bCs/>
          <w:lang w:val="en-US" w:eastAsia="zh-CN"/>
        </w:rPr>
        <w:t>安装步骤</w:t>
      </w:r>
      <w:bookmarkEnd w:id="99"/>
      <w:bookmarkEnd w:id="100"/>
    </w:p>
    <w:p w14:paraId="5C8BDDFE">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安装前准备</w:t>
      </w:r>
    </w:p>
    <w:p w14:paraId="59B25C40">
      <w:pPr>
        <w:pStyle w:val="32"/>
        <w:pageBreakBefore w:val="0"/>
        <w:kinsoku/>
        <w:wordWrap/>
        <w:overflowPunct/>
        <w:topLinePunct w:val="0"/>
        <w:bidi w:val="0"/>
        <w:spacing w:beforeAutospacing="0" w:afterAutospacing="0" w:line="360" w:lineRule="auto"/>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）技术准备</w:t>
      </w:r>
    </w:p>
    <w:p w14:paraId="5CABC43E">
      <w:pPr>
        <w:pStyle w:val="80"/>
        <w:pageBreakBefore w:val="0"/>
        <w:numPr>
          <w:ilvl w:val="0"/>
          <w:numId w:val="34"/>
        </w:numPr>
        <w:kinsoku/>
        <w:wordWrap/>
        <w:overflowPunct/>
        <w:topLinePunct w:val="0"/>
        <w:bidi w:val="0"/>
        <w:spacing w:beforeAutospacing="0" w:afterAutospacing="0" w:line="360" w:lineRule="auto"/>
        <w:ind w:left="-60" w:leftChars="0" w:firstLine="48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塔</w:t>
      </w:r>
      <w:r>
        <w:rPr>
          <w:rFonts w:hint="eastAsia" w:ascii="宋体" w:hAnsi="宋体" w:eastAsia="宋体" w:cs="宋体"/>
          <w:color w:val="auto"/>
          <w:kern w:val="2"/>
          <w:sz w:val="24"/>
          <w:szCs w:val="24"/>
          <w:lang w:val="en-US" w:eastAsia="zh-CN" w:bidi="ar-SA"/>
        </w:rPr>
        <w:t>式起重机安装所需说明书、图纸等技术资料齐全；</w:t>
      </w:r>
    </w:p>
    <w:p w14:paraId="5646A83F">
      <w:pPr>
        <w:pStyle w:val="80"/>
        <w:pageBreakBefore w:val="0"/>
        <w:numPr>
          <w:ilvl w:val="0"/>
          <w:numId w:val="34"/>
        </w:numPr>
        <w:kinsoku/>
        <w:wordWrap/>
        <w:overflowPunct/>
        <w:topLinePunct w:val="0"/>
        <w:bidi w:val="0"/>
        <w:spacing w:beforeAutospacing="0" w:afterAutospacing="0" w:line="360" w:lineRule="auto"/>
        <w:ind w:left="-60" w:leftChars="0" w:firstLine="480" w:firstLineChars="0"/>
        <w:rPr>
          <w:rFonts w:hint="eastAsia" w:ascii="宋体" w:hAnsi="宋体" w:eastAsia="宋体" w:cs="宋体"/>
          <w:sz w:val="24"/>
          <w:szCs w:val="24"/>
        </w:rPr>
      </w:pPr>
      <w:r>
        <w:rPr>
          <w:rFonts w:hint="eastAsia" w:ascii="宋体" w:hAnsi="宋体" w:eastAsia="宋体" w:cs="宋体"/>
          <w:color w:val="auto"/>
          <w:sz w:val="24"/>
          <w:szCs w:val="24"/>
        </w:rPr>
        <w:t>经</w:t>
      </w:r>
      <w:r>
        <w:rPr>
          <w:rFonts w:hint="eastAsia" w:ascii="宋体" w:hAnsi="宋体" w:eastAsia="宋体" w:cs="宋体"/>
          <w:color w:val="auto"/>
          <w:kern w:val="2"/>
          <w:sz w:val="24"/>
          <w:szCs w:val="24"/>
          <w:lang w:val="en-US" w:eastAsia="zh-CN" w:bidi="ar-SA"/>
        </w:rPr>
        <w:t>评审、审核、报批后的安装方案，且施工安全、技术交底等资料齐全</w:t>
      </w:r>
      <w:r>
        <w:rPr>
          <w:rFonts w:hint="eastAsia" w:ascii="宋体" w:hAnsi="宋体" w:eastAsia="宋体" w:cs="宋体"/>
          <w:color w:val="auto"/>
          <w:sz w:val="24"/>
          <w:szCs w:val="24"/>
        </w:rPr>
        <w:t>；</w:t>
      </w:r>
    </w:p>
    <w:p w14:paraId="0C5DF105">
      <w:pPr>
        <w:pStyle w:val="80"/>
        <w:pageBreakBefore w:val="0"/>
        <w:numPr>
          <w:ilvl w:val="0"/>
          <w:numId w:val="34"/>
        </w:numPr>
        <w:kinsoku/>
        <w:wordWrap/>
        <w:overflowPunct/>
        <w:topLinePunct w:val="0"/>
        <w:bidi w:val="0"/>
        <w:spacing w:beforeAutospacing="0" w:afterAutospacing="0" w:line="360" w:lineRule="auto"/>
        <w:ind w:left="-60" w:leftChars="0" w:firstLine="480" w:firstLineChars="0"/>
        <w:rPr>
          <w:rFonts w:hint="eastAsia" w:ascii="宋体" w:hAnsi="宋体" w:eastAsia="宋体" w:cs="宋体"/>
          <w:color w:val="auto"/>
          <w:sz w:val="24"/>
          <w:szCs w:val="24"/>
        </w:rPr>
      </w:pPr>
      <w:r>
        <w:rPr>
          <w:rFonts w:hint="eastAsia" w:ascii="宋体" w:hAnsi="宋体" w:eastAsia="宋体" w:cs="宋体"/>
          <w:color w:val="auto"/>
          <w:sz w:val="24"/>
          <w:szCs w:val="24"/>
        </w:rPr>
        <w:t>安装单位、人员、设备、机具等等相关资质审核合格，并完成向</w:t>
      </w:r>
      <w:r>
        <w:rPr>
          <w:rFonts w:hint="eastAsia" w:cs="宋体"/>
          <w:color w:val="auto"/>
          <w:sz w:val="24"/>
          <w:szCs w:val="24"/>
          <w:lang w:val="en-US" w:eastAsia="zh-CN"/>
        </w:rPr>
        <w:t>项目经理部、</w:t>
      </w:r>
      <w:r>
        <w:rPr>
          <w:rFonts w:hint="eastAsia" w:ascii="宋体" w:hAnsi="宋体" w:eastAsia="宋体" w:cs="宋体"/>
          <w:color w:val="auto"/>
          <w:sz w:val="24"/>
          <w:szCs w:val="24"/>
        </w:rPr>
        <w:t>监理及国家特种设备监督机构的报备工作；</w:t>
      </w:r>
    </w:p>
    <w:p w14:paraId="3678427D">
      <w:pPr>
        <w:pStyle w:val="80"/>
        <w:pageBreakBefore w:val="0"/>
        <w:numPr>
          <w:ilvl w:val="0"/>
          <w:numId w:val="34"/>
        </w:numPr>
        <w:kinsoku/>
        <w:wordWrap/>
        <w:overflowPunct/>
        <w:topLinePunct w:val="0"/>
        <w:bidi w:val="0"/>
        <w:spacing w:beforeAutospacing="0" w:afterAutospacing="0" w:line="360" w:lineRule="auto"/>
        <w:ind w:left="-60" w:leftChars="0" w:firstLine="480" w:firstLineChars="0"/>
        <w:rPr>
          <w:rFonts w:hint="eastAsia" w:ascii="宋体" w:hAnsi="宋体" w:eastAsia="宋体" w:cs="宋体"/>
          <w:sz w:val="24"/>
          <w:szCs w:val="24"/>
        </w:rPr>
      </w:pPr>
      <w:r>
        <w:rPr>
          <w:rFonts w:hint="eastAsia" w:ascii="宋体" w:hAnsi="宋体" w:eastAsia="宋体" w:cs="宋体"/>
          <w:color w:val="auto"/>
          <w:sz w:val="24"/>
          <w:szCs w:val="24"/>
        </w:rPr>
        <w:t>施工安全技术交底：</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施工前，现场技术负责人对所参加作业人员进行安全、技术交底；管理人员明确施工工艺；作业人员明确施工程序、施工方法，了解施工工艺要求及安全注意事项，作业人员提前深入现场，熟悉施工环境，明确施工过程危险点及控制点；②做好安全技术交底工作，确保每位施工人员接受安全教育，熟悉安装要点和安全防范知识。</w:t>
      </w:r>
    </w:p>
    <w:p w14:paraId="02DC8C65">
      <w:pPr>
        <w:pStyle w:val="32"/>
        <w:pageBreakBefore w:val="0"/>
        <w:kinsoku/>
        <w:wordWrap/>
        <w:overflowPunct/>
        <w:topLinePunct w:val="0"/>
        <w:bidi w:val="0"/>
        <w:spacing w:beforeAutospacing="0" w:afterAutospacing="0"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2)施工前准备</w:t>
      </w:r>
    </w:p>
    <w:p w14:paraId="494423B6">
      <w:pPr>
        <w:pStyle w:val="80"/>
        <w:pageBreakBefore w:val="0"/>
        <w:numPr>
          <w:ilvl w:val="0"/>
          <w:numId w:val="35"/>
        </w:numPr>
        <w:kinsoku/>
        <w:wordWrap/>
        <w:overflowPunct/>
        <w:topLinePunct w:val="0"/>
        <w:bidi w:val="0"/>
        <w:spacing w:beforeAutospacing="0" w:afterAutospacing="0" w:line="360" w:lineRule="auto"/>
        <w:ind w:left="-60" w:leftChars="0" w:firstLine="480" w:firstLineChars="0"/>
        <w:rPr>
          <w:rFonts w:hint="eastAsia" w:ascii="宋体" w:hAnsi="宋体" w:eastAsia="宋体" w:cs="宋体"/>
          <w:color w:val="auto"/>
          <w:sz w:val="24"/>
          <w:szCs w:val="24"/>
        </w:rPr>
      </w:pPr>
      <w:r>
        <w:rPr>
          <w:rFonts w:hint="eastAsia"/>
          <w:color w:val="auto"/>
          <w:sz w:val="24"/>
          <w:szCs w:val="24"/>
        </w:rPr>
        <w:t>设备运输至现场部件齐全、完好，重点检查包括：</w:t>
      </w:r>
    </w:p>
    <w:p w14:paraId="528D4BCA">
      <w:pPr>
        <w:pStyle w:val="80"/>
        <w:pageBreakBefore w:val="0"/>
        <w:numPr>
          <w:ilvl w:val="0"/>
          <w:numId w:val="36"/>
        </w:numPr>
        <w:kinsoku/>
        <w:wordWrap/>
        <w:overflowPunct/>
        <w:topLinePunct w:val="0"/>
        <w:bidi w:val="0"/>
        <w:spacing w:beforeAutospacing="0" w:afterAutospacing="0" w:line="360" w:lineRule="auto"/>
        <w:ind w:leftChars="200" w:firstLine="240" w:firstLineChars="100"/>
        <w:rPr>
          <w:rFonts w:hint="eastAsia"/>
          <w:color w:val="auto"/>
          <w:sz w:val="24"/>
          <w:szCs w:val="24"/>
        </w:rPr>
      </w:pPr>
      <w:r>
        <w:rPr>
          <w:color w:val="auto"/>
          <w:sz w:val="24"/>
          <w:szCs w:val="24"/>
        </w:rPr>
        <w:t>外形尺寸、数量是否与设计图纸一致</w:t>
      </w:r>
      <w:r>
        <w:rPr>
          <w:rFonts w:hint="eastAsia"/>
          <w:color w:val="auto"/>
          <w:sz w:val="24"/>
          <w:szCs w:val="24"/>
        </w:rPr>
        <w:t>，合格证书是否齐全有效；</w:t>
      </w:r>
    </w:p>
    <w:p w14:paraId="28840E95">
      <w:pPr>
        <w:pStyle w:val="80"/>
        <w:pageBreakBefore w:val="0"/>
        <w:numPr>
          <w:ilvl w:val="0"/>
          <w:numId w:val="36"/>
        </w:numPr>
        <w:kinsoku/>
        <w:wordWrap/>
        <w:overflowPunct/>
        <w:topLinePunct w:val="0"/>
        <w:bidi w:val="0"/>
        <w:spacing w:beforeAutospacing="0" w:afterAutospacing="0" w:line="360" w:lineRule="auto"/>
        <w:ind w:leftChars="200" w:firstLine="240" w:firstLineChars="100"/>
        <w:rPr>
          <w:rFonts w:hint="eastAsia" w:ascii="宋体" w:hAnsi="宋体" w:eastAsia="宋体" w:cs="宋体"/>
          <w:color w:val="auto"/>
          <w:sz w:val="24"/>
          <w:szCs w:val="24"/>
        </w:rPr>
      </w:pPr>
      <w:r>
        <w:rPr>
          <w:color w:val="auto"/>
          <w:sz w:val="24"/>
          <w:szCs w:val="24"/>
        </w:rPr>
        <w:t>部件焊缝是否有夹渣、裂纹等缺陷；</w:t>
      </w:r>
    </w:p>
    <w:p w14:paraId="0BC70B5B">
      <w:pPr>
        <w:pStyle w:val="80"/>
        <w:pageBreakBefore w:val="0"/>
        <w:numPr>
          <w:ilvl w:val="0"/>
          <w:numId w:val="36"/>
        </w:numPr>
        <w:kinsoku/>
        <w:wordWrap/>
        <w:overflowPunct/>
        <w:topLinePunct w:val="0"/>
        <w:bidi w:val="0"/>
        <w:spacing w:beforeAutospacing="0" w:afterAutospacing="0" w:line="360" w:lineRule="auto"/>
        <w:ind w:leftChars="200" w:firstLine="240" w:firstLineChars="100"/>
        <w:rPr>
          <w:rFonts w:hint="eastAsia" w:ascii="宋体" w:hAnsi="宋体" w:eastAsia="宋体" w:cs="宋体"/>
          <w:color w:val="auto"/>
          <w:sz w:val="24"/>
          <w:szCs w:val="24"/>
        </w:rPr>
      </w:pPr>
      <w:r>
        <w:rPr>
          <w:color w:val="auto"/>
          <w:sz w:val="24"/>
          <w:szCs w:val="24"/>
        </w:rPr>
        <w:t>部件是否有变形及损坏等</w:t>
      </w:r>
      <w:r>
        <w:rPr>
          <w:rFonts w:hint="eastAsia"/>
          <w:color w:val="auto"/>
          <w:sz w:val="24"/>
          <w:szCs w:val="24"/>
        </w:rPr>
        <w:t>。存在缺陷需处理检验合格；</w:t>
      </w:r>
    </w:p>
    <w:p w14:paraId="1C6C1B6E">
      <w:pPr>
        <w:pStyle w:val="80"/>
        <w:pageBreakBefore w:val="0"/>
        <w:numPr>
          <w:ilvl w:val="0"/>
          <w:numId w:val="35"/>
        </w:numPr>
        <w:kinsoku/>
        <w:wordWrap/>
        <w:overflowPunct/>
        <w:topLinePunct w:val="0"/>
        <w:bidi w:val="0"/>
        <w:spacing w:beforeAutospacing="0" w:afterAutospacing="0" w:line="360" w:lineRule="auto"/>
        <w:ind w:left="-60" w:leftChars="0" w:firstLine="480" w:firstLineChars="0"/>
        <w:rPr>
          <w:color w:val="auto"/>
          <w:sz w:val="24"/>
          <w:szCs w:val="24"/>
          <w:highlight w:val="none"/>
        </w:rPr>
      </w:pPr>
      <w:r>
        <w:rPr>
          <w:rFonts w:hint="eastAsia" w:ascii="宋体" w:hAnsi="宋体" w:eastAsia="宋体" w:cs="宋体"/>
          <w:color w:val="auto"/>
          <w:sz w:val="24"/>
          <w:szCs w:val="24"/>
          <w:highlight w:val="none"/>
        </w:rPr>
        <w:t>项目技术部</w:t>
      </w:r>
      <w:r>
        <w:rPr>
          <w:rFonts w:hint="eastAsia" w:ascii="宋体" w:hAnsi="宋体" w:eastAsia="宋体" w:cs="宋体"/>
          <w:color w:val="auto"/>
          <w:sz w:val="24"/>
          <w:szCs w:val="24"/>
          <w:highlight w:val="none"/>
          <w:lang w:eastAsia="zh-CN"/>
        </w:rPr>
        <w:t>出具塔机</w:t>
      </w:r>
      <w:r>
        <w:rPr>
          <w:rFonts w:hint="eastAsia" w:ascii="宋体" w:hAnsi="宋体" w:eastAsia="宋体" w:cs="宋体"/>
          <w:color w:val="auto"/>
          <w:sz w:val="24"/>
          <w:szCs w:val="24"/>
          <w:highlight w:val="none"/>
        </w:rPr>
        <w:t>基础合格证明</w:t>
      </w:r>
      <w:r>
        <w:rPr>
          <w:rFonts w:hint="eastAsia" w:cs="宋体"/>
          <w:color w:val="auto"/>
          <w:sz w:val="24"/>
          <w:szCs w:val="24"/>
          <w:highlight w:val="none"/>
          <w:lang w:eastAsia="zh-CN"/>
        </w:rPr>
        <w:t>。</w:t>
      </w:r>
    </w:p>
    <w:p w14:paraId="19519EBE">
      <w:pPr>
        <w:pStyle w:val="80"/>
        <w:pageBreakBefore w:val="0"/>
        <w:numPr>
          <w:ilvl w:val="0"/>
          <w:numId w:val="35"/>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ascii="宋体" w:hAnsi="宋体" w:eastAsia="宋体" w:cs="宋体"/>
          <w:color w:val="auto"/>
          <w:sz w:val="24"/>
          <w:szCs w:val="24"/>
        </w:rPr>
        <w:t>安装场地选择：场地选择要求平整开阔，地基牢实，四周无影响施工的障碍物，平台场地能供</w:t>
      </w:r>
      <w:r>
        <w:rPr>
          <w:rFonts w:hint="eastAsia" w:ascii="宋体" w:hAnsi="宋体" w:eastAsia="宋体" w:cs="宋体"/>
          <w:color w:val="auto"/>
          <w:sz w:val="24"/>
          <w:szCs w:val="24"/>
          <w:lang w:val="en-US" w:eastAsia="zh-CN"/>
        </w:rPr>
        <w:t>塔</w:t>
      </w:r>
      <w:r>
        <w:rPr>
          <w:rFonts w:hint="eastAsia" w:ascii="宋体" w:hAnsi="宋体" w:eastAsia="宋体" w:cs="宋体"/>
          <w:color w:val="auto"/>
          <w:sz w:val="24"/>
          <w:szCs w:val="24"/>
        </w:rPr>
        <w:t>机安装设备顺利进出。</w:t>
      </w:r>
    </w:p>
    <w:p w14:paraId="1E0183C0">
      <w:pPr>
        <w:pStyle w:val="80"/>
        <w:pageBreakBefore w:val="0"/>
        <w:numPr>
          <w:ilvl w:val="0"/>
          <w:numId w:val="35"/>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color w:val="auto"/>
          <w:sz w:val="24"/>
          <w:szCs w:val="24"/>
        </w:rPr>
        <w:t>设备</w:t>
      </w:r>
      <w:r>
        <w:rPr>
          <w:color w:val="auto"/>
          <w:sz w:val="24"/>
          <w:szCs w:val="24"/>
        </w:rPr>
        <w:t>安装所需</w:t>
      </w:r>
      <w:r>
        <w:rPr>
          <w:rFonts w:hint="eastAsia"/>
          <w:color w:val="auto"/>
          <w:sz w:val="24"/>
          <w:szCs w:val="24"/>
        </w:rPr>
        <w:t>汽车吊及</w:t>
      </w:r>
      <w:r>
        <w:rPr>
          <w:color w:val="auto"/>
          <w:sz w:val="24"/>
          <w:szCs w:val="24"/>
        </w:rPr>
        <w:t>作业机具、仪器仪表等需准备充分</w:t>
      </w:r>
      <w:r>
        <w:rPr>
          <w:rFonts w:hint="eastAsia"/>
          <w:color w:val="auto"/>
          <w:sz w:val="24"/>
          <w:szCs w:val="24"/>
        </w:rPr>
        <w:t>，报验完毕；</w:t>
      </w:r>
    </w:p>
    <w:p w14:paraId="533D40C8">
      <w:pPr>
        <w:pStyle w:val="80"/>
        <w:pageBreakBefore w:val="0"/>
        <w:numPr>
          <w:ilvl w:val="0"/>
          <w:numId w:val="35"/>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color w:val="auto"/>
          <w:sz w:val="24"/>
          <w:szCs w:val="24"/>
        </w:rPr>
        <w:t>完成了吊装作业演练，统一明确指挥口令、用语，并</w:t>
      </w:r>
      <w:r>
        <w:rPr>
          <w:rFonts w:hint="eastAsia" w:ascii="宋体" w:hAnsi="宋体" w:eastAsia="宋体" w:cs="宋体"/>
          <w:color w:val="auto"/>
          <w:sz w:val="24"/>
          <w:szCs w:val="24"/>
        </w:rPr>
        <w:t>按《</w:t>
      </w:r>
      <w:r>
        <w:rPr>
          <w:rFonts w:hint="eastAsia" w:ascii="宋体" w:hAnsi="宋体" w:eastAsia="宋体" w:cs="宋体"/>
          <w:color w:val="auto"/>
          <w:sz w:val="24"/>
          <w:szCs w:val="24"/>
          <w:lang w:val="en-US" w:eastAsia="zh-CN"/>
        </w:rPr>
        <w:t>大型/特种设备</w:t>
      </w:r>
      <w:r>
        <w:rPr>
          <w:rFonts w:hint="eastAsia" w:ascii="宋体" w:hAnsi="宋体" w:eastAsia="宋体" w:cs="宋体"/>
          <w:color w:val="auto"/>
          <w:sz w:val="24"/>
          <w:szCs w:val="24"/>
        </w:rPr>
        <w:t>安装</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拆除施工作业</w:t>
      </w:r>
      <w:r>
        <w:rPr>
          <w:rFonts w:hint="eastAsia" w:ascii="宋体" w:hAnsi="宋体" w:eastAsia="宋体" w:cs="宋体"/>
          <w:color w:val="auto"/>
          <w:sz w:val="24"/>
          <w:szCs w:val="24"/>
          <w:lang w:val="en-US" w:eastAsia="zh-CN"/>
        </w:rPr>
        <w:t>批复</w:t>
      </w:r>
      <w:r>
        <w:rPr>
          <w:rFonts w:hint="eastAsia" w:ascii="宋体" w:hAnsi="宋体" w:eastAsia="宋体" w:cs="宋体"/>
          <w:color w:val="auto"/>
          <w:sz w:val="24"/>
          <w:szCs w:val="24"/>
          <w:lang w:eastAsia="zh-CN"/>
        </w:rPr>
        <w:t>表</w:t>
      </w:r>
      <w:r>
        <w:rPr>
          <w:rFonts w:hint="eastAsia" w:ascii="宋体" w:hAnsi="宋体" w:eastAsia="宋体" w:cs="宋体"/>
          <w:color w:val="auto"/>
          <w:sz w:val="24"/>
          <w:szCs w:val="24"/>
        </w:rPr>
        <w:t>》要求</w:t>
      </w:r>
      <w:r>
        <w:rPr>
          <w:rFonts w:hint="eastAsia"/>
          <w:color w:val="auto"/>
          <w:sz w:val="24"/>
          <w:szCs w:val="24"/>
        </w:rPr>
        <w:t>办理作业许可证，完善相关资料。</w:t>
      </w:r>
    </w:p>
    <w:p w14:paraId="1BB1BF03">
      <w:pPr>
        <w:pStyle w:val="80"/>
        <w:pageBreakBefore w:val="0"/>
        <w:numPr>
          <w:ilvl w:val="0"/>
          <w:numId w:val="35"/>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ascii="宋体" w:hAnsi="宋体" w:eastAsia="宋体" w:cs="宋体"/>
          <w:color w:val="auto"/>
          <w:sz w:val="24"/>
          <w:szCs w:val="24"/>
        </w:rPr>
        <w:t>对安装现场进行清理，将现场的建筑材料、泥土、废料废物等杂物清扫干净。同时拉起安全警戒线，闲杂人员在安装</w:t>
      </w:r>
      <w:r>
        <w:rPr>
          <w:rFonts w:hint="eastAsia" w:ascii="宋体" w:hAnsi="宋体" w:eastAsia="宋体" w:cs="宋体"/>
          <w:color w:val="auto"/>
          <w:kern w:val="0"/>
          <w:sz w:val="24"/>
          <w:szCs w:val="24"/>
        </w:rPr>
        <w:t>范围一律不准通行，同时设置安全专职人员负责值班警戒。</w:t>
      </w:r>
    </w:p>
    <w:p w14:paraId="50F32989">
      <w:pPr>
        <w:pStyle w:val="80"/>
        <w:pageBreakBefore w:val="0"/>
        <w:numPr>
          <w:ilvl w:val="0"/>
          <w:numId w:val="35"/>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ascii="宋体" w:hAnsi="宋体" w:eastAsia="宋体" w:cs="宋体"/>
          <w:color w:val="auto"/>
          <w:sz w:val="24"/>
          <w:szCs w:val="24"/>
        </w:rPr>
        <w:t>备好施工机具、工具和安全防护用品。做到吊装前后检查、每班前检查，严格执行相关标准，对存在安全隐患的工索具应禁止使用，达到报废条件的，应立即报废并销毁，禁止再次使用。</w:t>
      </w:r>
    </w:p>
    <w:p w14:paraId="202B322A">
      <w:pPr>
        <w:pStyle w:val="80"/>
        <w:pageBreakBefore w:val="0"/>
        <w:numPr>
          <w:ilvl w:val="0"/>
          <w:numId w:val="0"/>
        </w:numPr>
        <w:kinsoku/>
        <w:wordWrap/>
        <w:overflowPunct/>
        <w:topLinePunct w:val="0"/>
        <w:bidi w:val="0"/>
        <w:spacing w:beforeAutospacing="0" w:afterAutospacing="0" w:line="360" w:lineRule="auto"/>
        <w:ind w:firstLine="480" w:firstLineChars="200"/>
        <w:outlineLvl w:val="9"/>
        <w:rPr>
          <w:color w:val="auto"/>
          <w:sz w:val="24"/>
          <w:szCs w:val="24"/>
        </w:rPr>
      </w:pPr>
      <w:r>
        <w:rPr>
          <w:rFonts w:hint="eastAsia"/>
          <w:color w:val="auto"/>
          <w:sz w:val="24"/>
          <w:szCs w:val="24"/>
          <w:lang w:val="en-US" w:eastAsia="zh-CN"/>
        </w:rPr>
        <w:t>3)</w:t>
      </w:r>
      <w:r>
        <w:rPr>
          <w:rFonts w:hint="eastAsia"/>
          <w:color w:val="auto"/>
          <w:sz w:val="24"/>
          <w:szCs w:val="24"/>
        </w:rPr>
        <w:t>作业环境要求</w:t>
      </w:r>
    </w:p>
    <w:p w14:paraId="501BEFE2">
      <w:pPr>
        <w:pStyle w:val="80"/>
        <w:pageBreakBefore w:val="0"/>
        <w:numPr>
          <w:ilvl w:val="0"/>
          <w:numId w:val="37"/>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color w:val="auto"/>
          <w:sz w:val="24"/>
          <w:szCs w:val="24"/>
        </w:rPr>
        <w:t>吊装施工区域设立警戒线并设专人监护，与施工无关人员禁止进入；</w:t>
      </w:r>
    </w:p>
    <w:p w14:paraId="3E31E682">
      <w:pPr>
        <w:pStyle w:val="80"/>
        <w:pageBreakBefore w:val="0"/>
        <w:numPr>
          <w:ilvl w:val="0"/>
          <w:numId w:val="37"/>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color w:val="auto"/>
          <w:sz w:val="24"/>
          <w:szCs w:val="24"/>
        </w:rPr>
        <w:t>汽车式起重机工作区域平整、坚实、无障碍物；</w:t>
      </w:r>
    </w:p>
    <w:p w14:paraId="68475016">
      <w:pPr>
        <w:pStyle w:val="80"/>
        <w:pageBreakBefore w:val="0"/>
        <w:numPr>
          <w:ilvl w:val="0"/>
          <w:numId w:val="37"/>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color w:val="auto"/>
          <w:sz w:val="24"/>
          <w:szCs w:val="24"/>
        </w:rPr>
        <w:t>提供电源，保障施工时塔式起重机能正常调试运转；</w:t>
      </w:r>
    </w:p>
    <w:p w14:paraId="6BAFAC50">
      <w:pPr>
        <w:pStyle w:val="80"/>
        <w:pageBreakBefore w:val="0"/>
        <w:numPr>
          <w:ilvl w:val="0"/>
          <w:numId w:val="37"/>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color w:val="auto"/>
          <w:sz w:val="24"/>
          <w:szCs w:val="24"/>
        </w:rPr>
        <w:t>塔式起重机安装所需</w:t>
      </w:r>
      <w:r>
        <w:rPr>
          <w:rFonts w:hint="eastAsia"/>
          <w:color w:val="auto"/>
          <w:sz w:val="24"/>
          <w:szCs w:val="24"/>
          <w:lang w:eastAsia="zh-CN"/>
        </w:rPr>
        <w:t>基础</w:t>
      </w:r>
      <w:r>
        <w:rPr>
          <w:rFonts w:hint="eastAsia"/>
          <w:color w:val="auto"/>
          <w:sz w:val="24"/>
          <w:szCs w:val="24"/>
        </w:rPr>
        <w:t>施工完毕，验收合格</w:t>
      </w:r>
      <w:r>
        <w:rPr>
          <w:rFonts w:hint="eastAsia"/>
          <w:color w:val="auto"/>
          <w:sz w:val="24"/>
          <w:szCs w:val="24"/>
          <w:lang w:eastAsia="zh-CN"/>
        </w:rPr>
        <w:t>强度符合要求</w:t>
      </w:r>
      <w:r>
        <w:rPr>
          <w:rFonts w:hint="eastAsia"/>
          <w:color w:val="auto"/>
          <w:sz w:val="24"/>
          <w:szCs w:val="24"/>
        </w:rPr>
        <w:t>并且</w:t>
      </w:r>
      <w:r>
        <w:rPr>
          <w:rFonts w:hint="eastAsia"/>
          <w:color w:val="auto"/>
          <w:sz w:val="24"/>
          <w:szCs w:val="24"/>
          <w:lang w:eastAsia="zh-CN"/>
        </w:rPr>
        <w:t>基础</w:t>
      </w:r>
      <w:r>
        <w:rPr>
          <w:rFonts w:hint="eastAsia"/>
          <w:color w:val="auto"/>
          <w:sz w:val="24"/>
          <w:szCs w:val="24"/>
        </w:rPr>
        <w:t>满足</w:t>
      </w:r>
      <w:r>
        <w:rPr>
          <w:rFonts w:hint="eastAsia"/>
          <w:color w:val="auto"/>
          <w:sz w:val="24"/>
          <w:szCs w:val="24"/>
          <w:lang w:eastAsia="zh-CN"/>
        </w:rPr>
        <w:t>塔吊安</w:t>
      </w:r>
      <w:r>
        <w:rPr>
          <w:rFonts w:hint="eastAsia"/>
          <w:color w:val="auto"/>
          <w:sz w:val="24"/>
          <w:szCs w:val="24"/>
        </w:rPr>
        <w:t>装要求；</w:t>
      </w:r>
    </w:p>
    <w:p w14:paraId="641E8B79">
      <w:pPr>
        <w:pStyle w:val="80"/>
        <w:pageBreakBefore w:val="0"/>
        <w:numPr>
          <w:ilvl w:val="0"/>
          <w:numId w:val="37"/>
        </w:numPr>
        <w:kinsoku/>
        <w:wordWrap/>
        <w:overflowPunct/>
        <w:topLinePunct w:val="0"/>
        <w:bidi w:val="0"/>
        <w:spacing w:beforeAutospacing="0" w:afterAutospacing="0" w:line="360" w:lineRule="auto"/>
        <w:ind w:left="-60" w:leftChars="0" w:firstLine="480" w:firstLineChars="0"/>
        <w:rPr>
          <w:color w:val="auto"/>
          <w:sz w:val="24"/>
          <w:szCs w:val="24"/>
        </w:rPr>
      </w:pPr>
      <w:r>
        <w:rPr>
          <w:rFonts w:hint="eastAsia"/>
          <w:color w:val="auto"/>
          <w:sz w:val="24"/>
          <w:szCs w:val="24"/>
        </w:rPr>
        <w:t>保证塔式起重机安装作业空间充足、道路畅通，材料堆放区须进行临时清空和场地平整；</w:t>
      </w:r>
    </w:p>
    <w:p w14:paraId="175F2990">
      <w:pPr>
        <w:pStyle w:val="80"/>
        <w:pageBreakBefore w:val="0"/>
        <w:numPr>
          <w:ilvl w:val="0"/>
          <w:numId w:val="0"/>
        </w:numPr>
        <w:kinsoku/>
        <w:wordWrap/>
        <w:overflowPunct/>
        <w:topLinePunct w:val="0"/>
        <w:bidi w:val="0"/>
        <w:spacing w:beforeAutospacing="0" w:afterAutospacing="0" w:line="360" w:lineRule="auto"/>
        <w:ind w:firstLine="480" w:firstLineChars="200"/>
        <w:outlineLvl w:val="9"/>
        <w:rPr>
          <w:rFonts w:hint="eastAsia"/>
          <w:color w:val="auto"/>
        </w:rPr>
      </w:pPr>
      <w:r>
        <w:rPr>
          <w:rFonts w:hint="eastAsia"/>
          <w:color w:val="auto"/>
          <w:lang w:val="en-US" w:eastAsia="zh-CN"/>
        </w:rPr>
        <w:t>4</w:t>
      </w:r>
      <w:r>
        <w:rPr>
          <w:rFonts w:hint="eastAsia"/>
          <w:color w:val="auto"/>
          <w:lang w:eastAsia="zh-CN"/>
        </w:rPr>
        <w:t>）</w:t>
      </w:r>
      <w:r>
        <w:rPr>
          <w:rFonts w:hint="eastAsia"/>
          <w:color w:val="auto"/>
        </w:rPr>
        <w:t>电源设置</w:t>
      </w:r>
    </w:p>
    <w:p w14:paraId="391A06A7">
      <w:pPr>
        <w:pStyle w:val="80"/>
        <w:pageBreakBefore w:val="0"/>
        <w:numPr>
          <w:ilvl w:val="0"/>
          <w:numId w:val="38"/>
        </w:numPr>
        <w:kinsoku/>
        <w:wordWrap/>
        <w:overflowPunct/>
        <w:topLinePunct w:val="0"/>
        <w:bidi w:val="0"/>
        <w:spacing w:beforeAutospacing="0" w:afterAutospacing="0" w:line="360" w:lineRule="auto"/>
        <w:ind w:left="-60" w:leftChars="0" w:firstLine="480" w:firstLineChars="0"/>
        <w:rPr>
          <w:rFonts w:hint="default"/>
          <w:color w:val="auto"/>
          <w:sz w:val="24"/>
          <w:szCs w:val="24"/>
          <w:lang w:val="en-US" w:eastAsia="zh-CN"/>
        </w:rPr>
      </w:pPr>
      <w:r>
        <w:rPr>
          <w:rFonts w:hint="eastAsia"/>
          <w:color w:val="auto"/>
          <w:sz w:val="24"/>
          <w:szCs w:val="24"/>
          <w:lang w:eastAsia="zh-CN"/>
        </w:rPr>
        <w:t>本机采用</w:t>
      </w:r>
      <w:r>
        <w:rPr>
          <w:rFonts w:hint="eastAsia"/>
          <w:color w:val="auto"/>
          <w:sz w:val="24"/>
          <w:szCs w:val="24"/>
          <w:lang w:val="en-US" w:eastAsia="zh-CN"/>
        </w:rPr>
        <w:t>380</w:t>
      </w:r>
      <w:r>
        <w:rPr>
          <w:rFonts w:hint="default"/>
          <w:color w:val="auto"/>
          <w:sz w:val="24"/>
          <w:szCs w:val="24"/>
          <w:lang w:val="en-US" w:eastAsia="zh-CN"/>
        </w:rPr>
        <w:t>V,</w:t>
      </w:r>
      <w:r>
        <w:rPr>
          <w:rFonts w:hint="eastAsia"/>
          <w:color w:val="auto"/>
          <w:sz w:val="24"/>
          <w:szCs w:val="24"/>
          <w:lang w:val="en-US" w:eastAsia="zh-CN"/>
        </w:rPr>
        <w:t>三相五线制供电，电压变化范围不超过额定值的（+5%—－10%）。塔机的电源用</w:t>
      </w:r>
      <w:r>
        <w:rPr>
          <w:rFonts w:hint="eastAsia"/>
          <w:color w:val="auto"/>
          <w:sz w:val="24"/>
          <w:szCs w:val="24"/>
        </w:rPr>
        <w:t>YCW3x25+2x10mm²</w:t>
      </w:r>
      <w:r>
        <w:rPr>
          <w:rFonts w:hint="eastAsia"/>
          <w:color w:val="auto"/>
          <w:sz w:val="24"/>
          <w:szCs w:val="24"/>
          <w:lang w:val="en-US" w:eastAsia="zh-CN"/>
        </w:rPr>
        <w:t>五芯型橡套电缆从塔身中间经驾驶室至电控箱。全机共有3个电气箱，即；电气控制箱、电阻箱、接线端子箱，均放在塔机平衡臂上。司机室内设有一个总电源空气开关。全机总功率为</w:t>
      </w:r>
      <w:r>
        <w:rPr>
          <w:rFonts w:hint="default"/>
          <w:color w:val="auto"/>
          <w:sz w:val="24"/>
          <w:szCs w:val="24"/>
          <w:lang w:val="en-US" w:eastAsia="zh-CN"/>
        </w:rPr>
        <w:t>54kW(</w:t>
      </w:r>
      <w:r>
        <w:rPr>
          <w:rFonts w:hint="eastAsia"/>
          <w:color w:val="auto"/>
          <w:sz w:val="24"/>
          <w:szCs w:val="24"/>
          <w:lang w:val="en-US" w:eastAsia="zh-CN"/>
        </w:rPr>
        <w:t>不包含顶升机构）。</w:t>
      </w:r>
      <w:r>
        <w:rPr>
          <w:rFonts w:hint="eastAsia"/>
          <w:color w:val="auto"/>
          <w:sz w:val="24"/>
          <w:szCs w:val="24"/>
          <w:highlight w:val="none"/>
          <w:lang w:val="en-US" w:eastAsia="zh-CN"/>
        </w:rPr>
        <w:t>三</w:t>
      </w:r>
      <w:r>
        <w:rPr>
          <w:rFonts w:hint="eastAsia"/>
          <w:color w:val="auto"/>
          <w:sz w:val="24"/>
          <w:szCs w:val="24"/>
          <w:lang w:val="en-US" w:eastAsia="zh-CN"/>
        </w:rPr>
        <w:t>级配电箱距离塔身不超过3米的范围内。</w:t>
      </w:r>
    </w:p>
    <w:p w14:paraId="77E1D815">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安装施工进度计划</w:t>
      </w:r>
    </w:p>
    <w:tbl>
      <w:tblPr>
        <w:tblStyle w:val="33"/>
        <w:tblW w:w="4999" w:type="pct"/>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5387"/>
        <w:gridCol w:w="625"/>
        <w:gridCol w:w="625"/>
        <w:gridCol w:w="626"/>
        <w:gridCol w:w="626"/>
        <w:gridCol w:w="631"/>
      </w:tblGrid>
      <w:tr w14:paraId="02F9B3E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3161" w:type="pct"/>
            <w:vMerge w:val="restart"/>
            <w:noWrap w:val="0"/>
            <w:vAlign w:val="center"/>
          </w:tcPr>
          <w:p w14:paraId="409CC010">
            <w:pPr>
              <w:pStyle w:val="73"/>
              <w:pageBreakBefore w:val="0"/>
              <w:kinsoku/>
              <w:wordWrap/>
              <w:overflowPunct/>
              <w:topLinePunct w:val="0"/>
              <w:bidi w:val="0"/>
              <w:spacing w:before="48" w:after="48" w:line="360" w:lineRule="auto"/>
              <w:jc w:val="center"/>
              <w:rPr>
                <w:rStyle w:val="72"/>
                <w:rFonts w:hint="default" w:eastAsia="宋体"/>
                <w:color w:val="auto"/>
                <w:lang w:val="en-US" w:eastAsia="zh-CN"/>
              </w:rPr>
            </w:pPr>
            <w:r>
              <w:rPr>
                <w:rStyle w:val="72"/>
                <w:rFonts w:hint="eastAsia" w:eastAsia="宋体"/>
                <w:color w:val="auto"/>
                <w:lang w:val="en-US" w:eastAsia="zh-CN"/>
              </w:rPr>
              <w:t>项目</w:t>
            </w:r>
          </w:p>
        </w:tc>
        <w:tc>
          <w:tcPr>
            <w:tcW w:w="1838" w:type="pct"/>
            <w:gridSpan w:val="5"/>
            <w:noWrap w:val="0"/>
            <w:vAlign w:val="center"/>
          </w:tcPr>
          <w:p w14:paraId="449CF2E0">
            <w:pPr>
              <w:pStyle w:val="73"/>
              <w:pageBreakBefore w:val="0"/>
              <w:kinsoku/>
              <w:wordWrap/>
              <w:overflowPunct/>
              <w:topLinePunct w:val="0"/>
              <w:bidi w:val="0"/>
              <w:spacing w:before="48" w:after="48" w:line="360" w:lineRule="auto"/>
              <w:rPr>
                <w:rFonts w:hint="default"/>
                <w:color w:val="auto"/>
                <w:sz w:val="20"/>
                <w:szCs w:val="22"/>
                <w:highlight w:val="none"/>
                <w:lang w:val="en-US" w:eastAsia="zh-CN"/>
              </w:rPr>
            </w:pPr>
            <w:r>
              <w:rPr>
                <w:rFonts w:hint="eastAsia"/>
                <w:color w:val="auto"/>
                <w:sz w:val="20"/>
                <w:szCs w:val="22"/>
                <w:highlight w:val="none"/>
                <w:lang w:val="en-US" w:eastAsia="zh-CN"/>
              </w:rPr>
              <w:t>施工时间（天）</w:t>
            </w:r>
          </w:p>
        </w:tc>
      </w:tr>
      <w:tr w14:paraId="10F519F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3161" w:type="pct"/>
            <w:vMerge w:val="continue"/>
            <w:noWrap w:val="0"/>
            <w:vAlign w:val="center"/>
          </w:tcPr>
          <w:p w14:paraId="050C5CBA">
            <w:pPr>
              <w:pStyle w:val="73"/>
              <w:pageBreakBefore w:val="0"/>
              <w:kinsoku/>
              <w:wordWrap/>
              <w:overflowPunct/>
              <w:topLinePunct w:val="0"/>
              <w:bidi w:val="0"/>
              <w:spacing w:before="48" w:after="48" w:line="360" w:lineRule="auto"/>
              <w:jc w:val="both"/>
              <w:rPr>
                <w:rStyle w:val="72"/>
                <w:rFonts w:hint="default" w:eastAsia="宋体"/>
                <w:color w:val="auto"/>
                <w:lang w:val="en-US" w:eastAsia="zh-CN"/>
              </w:rPr>
            </w:pPr>
          </w:p>
        </w:tc>
        <w:tc>
          <w:tcPr>
            <w:tcW w:w="367" w:type="pct"/>
            <w:noWrap w:val="0"/>
            <w:vAlign w:val="center"/>
          </w:tcPr>
          <w:p w14:paraId="13D67533">
            <w:pPr>
              <w:pStyle w:val="73"/>
              <w:pageBreakBefore w:val="0"/>
              <w:kinsoku/>
              <w:wordWrap/>
              <w:overflowPunct/>
              <w:topLinePunct w:val="0"/>
              <w:bidi w:val="0"/>
              <w:spacing w:before="48" w:after="48" w:line="360" w:lineRule="auto"/>
              <w:jc w:val="center"/>
              <w:rPr>
                <w:rFonts w:hint="default"/>
                <w:color w:val="auto"/>
                <w:sz w:val="20"/>
                <w:szCs w:val="22"/>
                <w:highlight w:val="none"/>
                <w:lang w:val="en-US" w:eastAsia="zh-CN"/>
              </w:rPr>
            </w:pPr>
            <w:r>
              <w:rPr>
                <w:rFonts w:hint="eastAsia"/>
                <w:color w:val="auto"/>
                <w:sz w:val="20"/>
                <w:szCs w:val="22"/>
                <w:highlight w:val="none"/>
                <w:lang w:val="en-US" w:eastAsia="zh-CN"/>
              </w:rPr>
              <w:t>1</w:t>
            </w:r>
          </w:p>
        </w:tc>
        <w:tc>
          <w:tcPr>
            <w:tcW w:w="367" w:type="pct"/>
            <w:noWrap w:val="0"/>
            <w:vAlign w:val="center"/>
          </w:tcPr>
          <w:p w14:paraId="06BC0E0A">
            <w:pPr>
              <w:pStyle w:val="73"/>
              <w:pageBreakBefore w:val="0"/>
              <w:kinsoku/>
              <w:wordWrap/>
              <w:overflowPunct/>
              <w:topLinePunct w:val="0"/>
              <w:bidi w:val="0"/>
              <w:spacing w:before="48" w:after="48" w:line="360" w:lineRule="auto"/>
              <w:jc w:val="center"/>
              <w:rPr>
                <w:rFonts w:hint="default"/>
                <w:color w:val="auto"/>
                <w:sz w:val="20"/>
                <w:szCs w:val="22"/>
                <w:highlight w:val="none"/>
                <w:lang w:val="en-US" w:eastAsia="zh-CN"/>
              </w:rPr>
            </w:pPr>
            <w:r>
              <w:rPr>
                <w:rFonts w:hint="eastAsia"/>
                <w:color w:val="auto"/>
                <w:sz w:val="20"/>
                <w:szCs w:val="22"/>
                <w:highlight w:val="none"/>
                <w:lang w:val="en-US" w:eastAsia="zh-CN"/>
              </w:rPr>
              <w:t>2</w:t>
            </w:r>
          </w:p>
        </w:tc>
        <w:tc>
          <w:tcPr>
            <w:tcW w:w="367" w:type="pct"/>
            <w:noWrap w:val="0"/>
            <w:vAlign w:val="center"/>
          </w:tcPr>
          <w:p w14:paraId="1364E333">
            <w:pPr>
              <w:pStyle w:val="73"/>
              <w:pageBreakBefore w:val="0"/>
              <w:kinsoku/>
              <w:wordWrap/>
              <w:overflowPunct/>
              <w:topLinePunct w:val="0"/>
              <w:bidi w:val="0"/>
              <w:spacing w:before="48" w:after="48" w:line="360" w:lineRule="auto"/>
              <w:jc w:val="center"/>
              <w:rPr>
                <w:rFonts w:hint="default"/>
                <w:color w:val="auto"/>
                <w:sz w:val="20"/>
                <w:szCs w:val="22"/>
                <w:highlight w:val="none"/>
                <w:lang w:val="en-US" w:eastAsia="zh-CN"/>
              </w:rPr>
            </w:pPr>
            <w:r>
              <w:rPr>
                <w:rFonts w:hint="eastAsia"/>
                <w:color w:val="auto"/>
                <w:sz w:val="20"/>
                <w:szCs w:val="22"/>
                <w:highlight w:val="none"/>
                <w:lang w:val="en-US" w:eastAsia="zh-CN"/>
              </w:rPr>
              <w:t>3</w:t>
            </w:r>
          </w:p>
        </w:tc>
        <w:tc>
          <w:tcPr>
            <w:tcW w:w="367" w:type="pct"/>
            <w:noWrap w:val="0"/>
            <w:vAlign w:val="center"/>
          </w:tcPr>
          <w:p w14:paraId="40DBED81">
            <w:pPr>
              <w:pStyle w:val="73"/>
              <w:pageBreakBefore w:val="0"/>
              <w:kinsoku/>
              <w:wordWrap/>
              <w:overflowPunct/>
              <w:topLinePunct w:val="0"/>
              <w:bidi w:val="0"/>
              <w:spacing w:before="48" w:after="48" w:line="360" w:lineRule="auto"/>
              <w:jc w:val="center"/>
              <w:rPr>
                <w:rFonts w:hint="default"/>
                <w:color w:val="auto"/>
                <w:sz w:val="20"/>
                <w:szCs w:val="22"/>
                <w:highlight w:val="none"/>
                <w:lang w:val="en-US" w:eastAsia="zh-CN"/>
              </w:rPr>
            </w:pPr>
            <w:r>
              <w:rPr>
                <w:rFonts w:hint="eastAsia"/>
                <w:color w:val="auto"/>
                <w:sz w:val="20"/>
                <w:szCs w:val="22"/>
                <w:highlight w:val="none"/>
                <w:lang w:val="en-US" w:eastAsia="zh-CN"/>
              </w:rPr>
              <w:t>4</w:t>
            </w:r>
          </w:p>
        </w:tc>
        <w:tc>
          <w:tcPr>
            <w:tcW w:w="369" w:type="pct"/>
            <w:noWrap w:val="0"/>
            <w:vAlign w:val="top"/>
          </w:tcPr>
          <w:p w14:paraId="724C8E8E">
            <w:pPr>
              <w:pStyle w:val="73"/>
              <w:pageBreakBefore w:val="0"/>
              <w:kinsoku/>
              <w:wordWrap/>
              <w:overflowPunct/>
              <w:topLinePunct w:val="0"/>
              <w:bidi w:val="0"/>
              <w:spacing w:before="48" w:after="48" w:line="360" w:lineRule="auto"/>
              <w:jc w:val="center"/>
              <w:rPr>
                <w:rFonts w:hint="default"/>
                <w:color w:val="auto"/>
                <w:sz w:val="20"/>
                <w:szCs w:val="22"/>
                <w:highlight w:val="none"/>
                <w:lang w:val="en-US" w:eastAsia="zh-CN"/>
              </w:rPr>
            </w:pPr>
            <w:r>
              <w:rPr>
                <w:rFonts w:hint="eastAsia"/>
                <w:color w:val="auto"/>
                <w:sz w:val="20"/>
                <w:szCs w:val="22"/>
                <w:highlight w:val="none"/>
                <w:lang w:val="en-US" w:eastAsia="zh-CN"/>
              </w:rPr>
              <w:t>5</w:t>
            </w:r>
          </w:p>
        </w:tc>
      </w:tr>
      <w:tr w14:paraId="16F6103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3161" w:type="pct"/>
            <w:noWrap w:val="0"/>
            <w:vAlign w:val="center"/>
          </w:tcPr>
          <w:p w14:paraId="300BDAC9">
            <w:pPr>
              <w:pStyle w:val="73"/>
              <w:pageBreakBefore w:val="0"/>
              <w:kinsoku/>
              <w:wordWrap/>
              <w:overflowPunct/>
              <w:topLinePunct w:val="0"/>
              <w:bidi w:val="0"/>
              <w:spacing w:before="48" w:after="48" w:line="360" w:lineRule="auto"/>
              <w:rPr>
                <w:rFonts w:hint="eastAsia"/>
                <w:color w:val="auto"/>
                <w:sz w:val="20"/>
                <w:szCs w:val="22"/>
                <w:highlight w:val="none"/>
              </w:rPr>
            </w:pPr>
            <w:r>
              <w:rPr>
                <w:rStyle w:val="72"/>
                <w:rFonts w:hint="eastAsia"/>
                <w:color w:val="auto"/>
              </w:rPr>
              <w:t>塔吊基础验收</w:t>
            </w:r>
          </w:p>
        </w:tc>
        <w:tc>
          <w:tcPr>
            <w:tcW w:w="367" w:type="pct"/>
            <w:noWrap w:val="0"/>
            <w:vAlign w:val="center"/>
          </w:tcPr>
          <w:p w14:paraId="6921B6AA">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367" w:type="pct"/>
            <w:noWrap w:val="0"/>
            <w:vAlign w:val="center"/>
          </w:tcPr>
          <w:p w14:paraId="2E6A661D">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noWrap w:val="0"/>
            <w:vAlign w:val="center"/>
          </w:tcPr>
          <w:p w14:paraId="1D93F1E2">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noWrap w:val="0"/>
            <w:vAlign w:val="center"/>
          </w:tcPr>
          <w:p w14:paraId="38F4DC0D">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9" w:type="pct"/>
            <w:noWrap w:val="0"/>
            <w:vAlign w:val="top"/>
          </w:tcPr>
          <w:p w14:paraId="61726089">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r>
      <w:tr w14:paraId="3B813B7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3161" w:type="pct"/>
            <w:noWrap w:val="0"/>
            <w:vAlign w:val="center"/>
          </w:tcPr>
          <w:p w14:paraId="296F3C39">
            <w:pPr>
              <w:pStyle w:val="73"/>
              <w:pageBreakBefore w:val="0"/>
              <w:kinsoku/>
              <w:wordWrap/>
              <w:overflowPunct/>
              <w:topLinePunct w:val="0"/>
              <w:bidi w:val="0"/>
              <w:spacing w:before="48" w:after="48" w:line="360" w:lineRule="auto"/>
              <w:rPr>
                <w:rFonts w:hint="default"/>
                <w:color w:val="auto"/>
                <w:sz w:val="20"/>
                <w:szCs w:val="22"/>
                <w:highlight w:val="none"/>
                <w:lang w:val="en-US" w:eastAsia="zh-CN"/>
              </w:rPr>
            </w:pPr>
            <w:r>
              <w:rPr>
                <w:rFonts w:hint="default"/>
                <w:color w:val="auto"/>
                <w:sz w:val="20"/>
                <w:szCs w:val="22"/>
                <w:highlight w:val="none"/>
                <w:lang w:val="en-US" w:eastAsia="zh-CN"/>
              </w:rPr>
              <w:t>基础节、标准节安装</w:t>
            </w:r>
          </w:p>
        </w:tc>
        <w:tc>
          <w:tcPr>
            <w:tcW w:w="367" w:type="pct"/>
            <w:noWrap w:val="0"/>
            <w:vAlign w:val="center"/>
          </w:tcPr>
          <w:p w14:paraId="1A474A4F">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center"/>
          </w:tcPr>
          <w:p w14:paraId="325579B6">
            <w:pPr>
              <w:pStyle w:val="73"/>
              <w:pageBreakBefore w:val="0"/>
              <w:kinsoku/>
              <w:wordWrap/>
              <w:overflowPunct/>
              <w:topLinePunct w:val="0"/>
              <w:bidi w:val="0"/>
              <w:spacing w:before="48" w:after="48" w:line="360" w:lineRule="auto"/>
              <w:jc w:val="center"/>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367" w:type="pct"/>
            <w:shd w:val="clear" w:color="auto" w:fill="auto"/>
            <w:noWrap w:val="0"/>
            <w:vAlign w:val="center"/>
          </w:tcPr>
          <w:p w14:paraId="6567089C">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center"/>
          </w:tcPr>
          <w:p w14:paraId="72E6761B">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9" w:type="pct"/>
            <w:shd w:val="clear" w:color="auto" w:fill="auto"/>
            <w:noWrap w:val="0"/>
            <w:vAlign w:val="center"/>
          </w:tcPr>
          <w:p w14:paraId="57C173EC">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r>
      <w:tr w14:paraId="5CBF394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3161" w:type="pct"/>
            <w:shd w:val="clear" w:color="auto" w:fill="auto"/>
            <w:noWrap w:val="0"/>
            <w:vAlign w:val="center"/>
          </w:tcPr>
          <w:p w14:paraId="301BE811">
            <w:pPr>
              <w:pStyle w:val="86"/>
              <w:keepNext w:val="0"/>
              <w:keepLines w:val="0"/>
              <w:pageBreakBefore w:val="0"/>
              <w:kinsoku/>
              <w:overflowPunct/>
              <w:topLinePunct w:val="0"/>
              <w:bidi w:val="0"/>
              <w:adjustRightInd w:val="0"/>
              <w:snapToGrid w:val="0"/>
              <w:textAlignment w:val="auto"/>
              <w:rPr>
                <w:rFonts w:hint="eastAsia" w:ascii="Times New Roman" w:hAnsi="Times New Roman" w:eastAsia="宋体" w:cstheme="minorBidi"/>
                <w:color w:val="auto"/>
                <w:kern w:val="2"/>
                <w:sz w:val="21"/>
                <w:szCs w:val="21"/>
                <w:lang w:val="en-US" w:eastAsia="zh-CN" w:bidi="ar-SA"/>
              </w:rPr>
            </w:pPr>
            <w:r>
              <w:rPr>
                <w:rStyle w:val="72"/>
                <w:rFonts w:hint="eastAsia"/>
                <w:color w:val="auto"/>
                <w:lang w:val="en-US" w:eastAsia="zh-CN"/>
              </w:rPr>
              <w:t>套架、回转总成、司机室安装</w:t>
            </w:r>
          </w:p>
        </w:tc>
        <w:tc>
          <w:tcPr>
            <w:tcW w:w="367" w:type="pct"/>
            <w:shd w:val="clear" w:color="auto" w:fill="auto"/>
            <w:noWrap w:val="0"/>
            <w:vAlign w:val="top"/>
          </w:tcPr>
          <w:p w14:paraId="5EF2601A">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0D788317">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367" w:type="pct"/>
            <w:shd w:val="clear" w:color="auto" w:fill="auto"/>
            <w:noWrap w:val="0"/>
            <w:vAlign w:val="top"/>
          </w:tcPr>
          <w:p w14:paraId="244C66D9">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035616C4">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9" w:type="pct"/>
            <w:shd w:val="clear" w:color="auto" w:fill="auto"/>
            <w:noWrap w:val="0"/>
            <w:vAlign w:val="top"/>
          </w:tcPr>
          <w:p w14:paraId="6CF19165">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r>
      <w:tr w14:paraId="7BCEE0D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3161" w:type="pct"/>
            <w:noWrap w:val="0"/>
            <w:vAlign w:val="center"/>
          </w:tcPr>
          <w:p w14:paraId="2BAD4255">
            <w:pPr>
              <w:pStyle w:val="73"/>
              <w:pageBreakBefore w:val="0"/>
              <w:kinsoku/>
              <w:wordWrap/>
              <w:overflowPunct/>
              <w:topLinePunct w:val="0"/>
              <w:bidi w:val="0"/>
              <w:spacing w:before="48" w:after="48" w:line="360" w:lineRule="auto"/>
              <w:rPr>
                <w:rFonts w:hint="eastAsia"/>
                <w:color w:val="auto"/>
                <w:sz w:val="20"/>
                <w:szCs w:val="22"/>
                <w:highlight w:val="none"/>
              </w:rPr>
            </w:pPr>
            <w:r>
              <w:rPr>
                <w:rStyle w:val="72"/>
                <w:rFonts w:hint="eastAsia"/>
                <w:color w:val="auto"/>
                <w:lang w:val="en-US" w:eastAsia="zh-CN"/>
              </w:rPr>
              <w:t>平衡臂、主卷扬、起重臂、配重</w:t>
            </w:r>
            <w:r>
              <w:rPr>
                <w:rStyle w:val="72"/>
                <w:rFonts w:hint="eastAsia"/>
                <w:color w:val="auto"/>
              </w:rPr>
              <w:t>安装</w:t>
            </w:r>
          </w:p>
        </w:tc>
        <w:tc>
          <w:tcPr>
            <w:tcW w:w="367" w:type="pct"/>
            <w:shd w:val="clear" w:color="auto" w:fill="auto"/>
            <w:noWrap w:val="0"/>
            <w:vAlign w:val="top"/>
          </w:tcPr>
          <w:p w14:paraId="4133D2E5">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782B81F2">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31D1DE6A">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367" w:type="pct"/>
            <w:shd w:val="clear" w:color="auto" w:fill="auto"/>
            <w:noWrap w:val="0"/>
            <w:vAlign w:val="top"/>
          </w:tcPr>
          <w:p w14:paraId="18F0D8A5">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9" w:type="pct"/>
            <w:shd w:val="clear" w:color="auto" w:fill="auto"/>
            <w:noWrap w:val="0"/>
            <w:vAlign w:val="top"/>
          </w:tcPr>
          <w:p w14:paraId="14E2791E">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r>
      <w:tr w14:paraId="6426A27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3161" w:type="pct"/>
            <w:noWrap w:val="0"/>
            <w:vAlign w:val="center"/>
          </w:tcPr>
          <w:p w14:paraId="2918C624">
            <w:pPr>
              <w:pStyle w:val="73"/>
              <w:pageBreakBefore w:val="0"/>
              <w:kinsoku/>
              <w:wordWrap/>
              <w:overflowPunct/>
              <w:topLinePunct w:val="0"/>
              <w:bidi w:val="0"/>
              <w:spacing w:before="48" w:after="48" w:line="360" w:lineRule="auto"/>
              <w:rPr>
                <w:rFonts w:hint="default"/>
                <w:color w:val="auto"/>
                <w:sz w:val="20"/>
                <w:szCs w:val="22"/>
                <w:highlight w:val="none"/>
                <w:lang w:val="en-US" w:eastAsia="zh-CN"/>
              </w:rPr>
            </w:pPr>
            <w:r>
              <w:rPr>
                <w:rStyle w:val="72"/>
                <w:rFonts w:hint="eastAsia"/>
                <w:color w:val="auto"/>
                <w:lang w:val="en-US" w:eastAsia="zh-CN"/>
              </w:rPr>
              <w:t>电气调试、钢丝绳穿绕</w:t>
            </w:r>
          </w:p>
        </w:tc>
        <w:tc>
          <w:tcPr>
            <w:tcW w:w="367" w:type="pct"/>
            <w:shd w:val="clear" w:color="auto" w:fill="auto"/>
            <w:noWrap w:val="0"/>
            <w:vAlign w:val="top"/>
          </w:tcPr>
          <w:p w14:paraId="0F4428B1">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08C41CEF">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29AB6A7E">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342BBC42">
            <w:pPr>
              <w:pStyle w:val="73"/>
              <w:pageBreakBefore w:val="0"/>
              <w:kinsoku/>
              <w:wordWrap/>
              <w:overflowPunct/>
              <w:topLinePunct w:val="0"/>
              <w:bidi w:val="0"/>
              <w:spacing w:before="48" w:after="48" w:line="360" w:lineRule="auto"/>
              <w:ind w:firstLine="0" w:firstLineChars="0"/>
              <w:rPr>
                <w:rFonts w:hint="eastAsia" w:ascii="Times New Roman" w:hAnsi="Times New Roman" w:eastAsiaTheme="minorEastAsia" w:cstheme="minorBidi"/>
                <w:bCs/>
                <w:color w:val="auto"/>
                <w:kern w:val="2"/>
                <w:sz w:val="20"/>
                <w:szCs w:val="22"/>
                <w:highlight w:val="none"/>
                <w:lang w:val="en-US" w:eastAsia="zh-CN" w:bidi="ar-SA"/>
              </w:rPr>
            </w:pPr>
            <w:r>
              <w:rPr>
                <w:rFonts w:hint="eastAsia"/>
                <w:color w:val="auto"/>
                <w:sz w:val="20"/>
                <w:szCs w:val="22"/>
                <w:highlight w:val="none"/>
                <w:lang w:val="en-US" w:eastAsia="zh-CN"/>
              </w:rPr>
              <w:t>☑</w:t>
            </w:r>
          </w:p>
        </w:tc>
        <w:tc>
          <w:tcPr>
            <w:tcW w:w="369" w:type="pct"/>
            <w:shd w:val="clear" w:color="auto" w:fill="auto"/>
            <w:noWrap w:val="0"/>
            <w:vAlign w:val="top"/>
          </w:tcPr>
          <w:p w14:paraId="0B1BF14E">
            <w:pPr>
              <w:pStyle w:val="73"/>
              <w:pageBreakBefore w:val="0"/>
              <w:kinsoku/>
              <w:wordWrap/>
              <w:overflowPunct/>
              <w:topLinePunct w:val="0"/>
              <w:bidi w:val="0"/>
              <w:spacing w:before="48" w:after="48" w:line="360" w:lineRule="auto"/>
              <w:ind w:firstLine="0" w:firstLineChars="0"/>
              <w:rPr>
                <w:rFonts w:hint="eastAsia" w:ascii="Times New Roman" w:hAnsi="Times New Roman" w:eastAsiaTheme="minorEastAsia" w:cstheme="minorBidi"/>
                <w:bCs/>
                <w:color w:val="auto"/>
                <w:kern w:val="2"/>
                <w:sz w:val="20"/>
                <w:szCs w:val="22"/>
                <w:highlight w:val="none"/>
                <w:lang w:val="en-US" w:eastAsia="zh-CN" w:bidi="ar-SA"/>
              </w:rPr>
            </w:pPr>
          </w:p>
        </w:tc>
      </w:tr>
      <w:tr w14:paraId="71CEF20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3161" w:type="pct"/>
            <w:noWrap w:val="0"/>
            <w:vAlign w:val="center"/>
          </w:tcPr>
          <w:p w14:paraId="6172CFC8">
            <w:pPr>
              <w:pStyle w:val="73"/>
              <w:pageBreakBefore w:val="0"/>
              <w:kinsoku/>
              <w:wordWrap/>
              <w:overflowPunct/>
              <w:topLinePunct w:val="0"/>
              <w:bidi w:val="0"/>
              <w:spacing w:before="48" w:after="48" w:line="360" w:lineRule="auto"/>
              <w:rPr>
                <w:rFonts w:hint="eastAsia"/>
                <w:color w:val="auto"/>
                <w:sz w:val="20"/>
                <w:szCs w:val="22"/>
                <w:highlight w:val="none"/>
              </w:rPr>
            </w:pPr>
            <w:r>
              <w:rPr>
                <w:rStyle w:val="72"/>
                <w:rFonts w:hint="eastAsia"/>
                <w:color w:val="auto"/>
                <w:lang w:val="en-US" w:eastAsia="zh-CN"/>
              </w:rPr>
              <w:t>顶升加节</w:t>
            </w:r>
          </w:p>
        </w:tc>
        <w:tc>
          <w:tcPr>
            <w:tcW w:w="367" w:type="pct"/>
            <w:shd w:val="clear" w:color="auto" w:fill="auto"/>
            <w:noWrap w:val="0"/>
            <w:vAlign w:val="top"/>
          </w:tcPr>
          <w:p w14:paraId="08287776">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7A96B326">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0CC042C7">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270A4E47">
            <w:pPr>
              <w:pStyle w:val="73"/>
              <w:pageBreakBefore w:val="0"/>
              <w:kinsoku/>
              <w:wordWrap/>
              <w:overflowPunct/>
              <w:topLinePunct w:val="0"/>
              <w:bidi w:val="0"/>
              <w:spacing w:before="48" w:after="48" w:line="360" w:lineRule="auto"/>
              <w:ind w:firstLine="0" w:firstLineChars="0"/>
              <w:rPr>
                <w:rFonts w:hint="eastAsia" w:ascii="Times New Roman" w:hAnsi="Times New Roman" w:eastAsiaTheme="minorEastAsia" w:cstheme="minorBidi"/>
                <w:bCs/>
                <w:color w:val="auto"/>
                <w:kern w:val="2"/>
                <w:sz w:val="20"/>
                <w:szCs w:val="22"/>
                <w:highlight w:val="none"/>
                <w:lang w:val="en-US" w:eastAsia="zh-CN" w:bidi="ar-SA"/>
              </w:rPr>
            </w:pPr>
            <w:r>
              <w:rPr>
                <w:rFonts w:hint="eastAsia"/>
                <w:color w:val="auto"/>
                <w:sz w:val="20"/>
                <w:szCs w:val="22"/>
                <w:highlight w:val="none"/>
                <w:lang w:val="en-US" w:eastAsia="zh-CN"/>
              </w:rPr>
              <w:t>☑</w:t>
            </w:r>
          </w:p>
        </w:tc>
        <w:tc>
          <w:tcPr>
            <w:tcW w:w="369" w:type="pct"/>
            <w:shd w:val="clear" w:color="auto" w:fill="auto"/>
            <w:noWrap w:val="0"/>
            <w:vAlign w:val="top"/>
          </w:tcPr>
          <w:p w14:paraId="3D387391">
            <w:pPr>
              <w:pStyle w:val="73"/>
              <w:pageBreakBefore w:val="0"/>
              <w:kinsoku/>
              <w:wordWrap/>
              <w:overflowPunct/>
              <w:topLinePunct w:val="0"/>
              <w:bidi w:val="0"/>
              <w:spacing w:before="48" w:after="48" w:line="360" w:lineRule="auto"/>
              <w:ind w:firstLine="0" w:firstLineChars="0"/>
              <w:rPr>
                <w:rFonts w:hint="eastAsia" w:ascii="Times New Roman" w:hAnsi="Times New Roman" w:eastAsiaTheme="minorEastAsia" w:cstheme="minorBidi"/>
                <w:bCs/>
                <w:color w:val="auto"/>
                <w:kern w:val="2"/>
                <w:sz w:val="20"/>
                <w:szCs w:val="22"/>
                <w:highlight w:val="none"/>
                <w:lang w:val="en-US" w:eastAsia="zh-CN" w:bidi="ar-SA"/>
              </w:rPr>
            </w:pPr>
          </w:p>
        </w:tc>
      </w:tr>
      <w:tr w14:paraId="61414DA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3161" w:type="pct"/>
            <w:noWrap w:val="0"/>
            <w:vAlign w:val="center"/>
          </w:tcPr>
          <w:p w14:paraId="3D6DD86C">
            <w:pPr>
              <w:pStyle w:val="73"/>
              <w:pageBreakBefore w:val="0"/>
              <w:kinsoku/>
              <w:wordWrap/>
              <w:overflowPunct/>
              <w:topLinePunct w:val="0"/>
              <w:bidi w:val="0"/>
              <w:spacing w:before="48" w:after="48" w:line="360" w:lineRule="auto"/>
              <w:rPr>
                <w:rFonts w:hint="default"/>
                <w:color w:val="auto"/>
                <w:sz w:val="20"/>
                <w:szCs w:val="22"/>
                <w:highlight w:val="none"/>
                <w:lang w:val="en-US" w:eastAsia="zh-CN"/>
              </w:rPr>
            </w:pPr>
            <w:r>
              <w:rPr>
                <w:rStyle w:val="72"/>
                <w:rFonts w:hint="eastAsia"/>
                <w:color w:val="auto"/>
                <w:lang w:val="en-US" w:eastAsia="zh-CN"/>
              </w:rPr>
              <w:t>试吊验收</w:t>
            </w:r>
          </w:p>
        </w:tc>
        <w:tc>
          <w:tcPr>
            <w:tcW w:w="367" w:type="pct"/>
            <w:shd w:val="clear" w:color="auto" w:fill="auto"/>
            <w:noWrap w:val="0"/>
            <w:vAlign w:val="top"/>
          </w:tcPr>
          <w:p w14:paraId="2A41DE91">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07553D77">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27EEFA5F">
            <w:pPr>
              <w:pStyle w:val="73"/>
              <w:pageBreakBefore w:val="0"/>
              <w:kinsoku/>
              <w:wordWrap/>
              <w:overflowPunct/>
              <w:topLinePunct w:val="0"/>
              <w:bidi w:val="0"/>
              <w:spacing w:before="48" w:after="48" w:line="360" w:lineRule="auto"/>
              <w:rPr>
                <w:rFonts w:hint="eastAsia"/>
                <w:color w:val="auto"/>
                <w:sz w:val="20"/>
                <w:szCs w:val="22"/>
                <w:highlight w:val="none"/>
                <w:lang w:val="en-US" w:eastAsia="zh-CN"/>
              </w:rPr>
            </w:pPr>
          </w:p>
        </w:tc>
        <w:tc>
          <w:tcPr>
            <w:tcW w:w="367" w:type="pct"/>
            <w:shd w:val="clear" w:color="auto" w:fill="auto"/>
            <w:noWrap w:val="0"/>
            <w:vAlign w:val="top"/>
          </w:tcPr>
          <w:p w14:paraId="510219E5">
            <w:pPr>
              <w:pStyle w:val="73"/>
              <w:pageBreakBefore w:val="0"/>
              <w:kinsoku/>
              <w:wordWrap/>
              <w:overflowPunct/>
              <w:topLinePunct w:val="0"/>
              <w:bidi w:val="0"/>
              <w:spacing w:before="48" w:after="48" w:line="360" w:lineRule="auto"/>
              <w:ind w:firstLine="0" w:firstLineChars="0"/>
              <w:rPr>
                <w:rFonts w:hint="eastAsia" w:ascii="Times New Roman" w:hAnsi="Times New Roman" w:eastAsiaTheme="minorEastAsia" w:cstheme="minorBidi"/>
                <w:bCs/>
                <w:color w:val="auto"/>
                <w:kern w:val="2"/>
                <w:sz w:val="20"/>
                <w:szCs w:val="22"/>
                <w:highlight w:val="none"/>
                <w:lang w:val="en-US" w:eastAsia="zh-CN" w:bidi="ar-SA"/>
              </w:rPr>
            </w:pPr>
          </w:p>
        </w:tc>
        <w:tc>
          <w:tcPr>
            <w:tcW w:w="369" w:type="pct"/>
            <w:shd w:val="clear" w:color="auto" w:fill="auto"/>
            <w:noWrap w:val="0"/>
            <w:vAlign w:val="top"/>
          </w:tcPr>
          <w:p w14:paraId="4E611100">
            <w:pPr>
              <w:pStyle w:val="73"/>
              <w:pageBreakBefore w:val="0"/>
              <w:kinsoku/>
              <w:wordWrap/>
              <w:overflowPunct/>
              <w:topLinePunct w:val="0"/>
              <w:bidi w:val="0"/>
              <w:spacing w:before="48" w:after="48" w:line="360" w:lineRule="auto"/>
              <w:ind w:firstLine="0" w:firstLineChars="0"/>
              <w:rPr>
                <w:rFonts w:hint="eastAsia" w:ascii="Times New Roman" w:hAnsi="Times New Roman" w:eastAsiaTheme="minorEastAsia" w:cstheme="minorBidi"/>
                <w:bCs/>
                <w:color w:val="auto"/>
                <w:kern w:val="2"/>
                <w:sz w:val="20"/>
                <w:szCs w:val="22"/>
                <w:highlight w:val="none"/>
                <w:lang w:val="en-US" w:eastAsia="zh-CN" w:bidi="ar-SA"/>
              </w:rPr>
            </w:pPr>
            <w:r>
              <w:rPr>
                <w:rFonts w:hint="eastAsia"/>
                <w:color w:val="auto"/>
                <w:sz w:val="20"/>
                <w:szCs w:val="22"/>
                <w:highlight w:val="none"/>
                <w:lang w:val="en-US" w:eastAsia="zh-CN"/>
              </w:rPr>
              <w:t>☑</w:t>
            </w:r>
          </w:p>
        </w:tc>
      </w:tr>
    </w:tbl>
    <w:p w14:paraId="4A0D5634">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安塔计算</w:t>
      </w:r>
    </w:p>
    <w:tbl>
      <w:tblPr>
        <w:tblStyle w:val="33"/>
        <w:tblpPr w:leftFromText="180" w:rightFromText="180" w:vertAnchor="text" w:horzAnchor="page" w:tblpX="706" w:tblpY="125"/>
        <w:tblOverlap w:val="never"/>
        <w:tblW w:w="10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46"/>
        <w:gridCol w:w="1097"/>
        <w:gridCol w:w="1533"/>
        <w:gridCol w:w="1217"/>
        <w:gridCol w:w="1133"/>
        <w:gridCol w:w="1067"/>
        <w:gridCol w:w="1033"/>
        <w:gridCol w:w="1117"/>
        <w:gridCol w:w="1316"/>
      </w:tblGrid>
      <w:tr w14:paraId="38FD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76" w:type="dxa"/>
            <w:gridSpan w:val="3"/>
            <w:tcBorders>
              <w:tl2br w:val="nil"/>
              <w:tr2bl w:val="nil"/>
            </w:tcBorders>
            <w:shd w:val="clear" w:color="auto" w:fill="auto"/>
            <w:noWrap/>
            <w:vAlign w:val="center"/>
          </w:tcPr>
          <w:p w14:paraId="48696E4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塔吊构件</w:t>
            </w:r>
          </w:p>
        </w:tc>
        <w:tc>
          <w:tcPr>
            <w:tcW w:w="6883" w:type="dxa"/>
            <w:gridSpan w:val="6"/>
            <w:tcBorders>
              <w:tl2br w:val="nil"/>
              <w:tr2bl w:val="nil"/>
            </w:tcBorders>
            <w:shd w:val="clear" w:color="auto" w:fill="auto"/>
            <w:noWrap/>
            <w:vAlign w:val="center"/>
          </w:tcPr>
          <w:p w14:paraId="21A488E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吊重机械</w:t>
            </w:r>
          </w:p>
        </w:tc>
      </w:tr>
      <w:tr w14:paraId="34F8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8" w:hRule="atLeast"/>
        </w:trPr>
        <w:tc>
          <w:tcPr>
            <w:tcW w:w="1346" w:type="dxa"/>
            <w:tcBorders>
              <w:tl2br w:val="nil"/>
              <w:tr2bl w:val="nil"/>
            </w:tcBorders>
            <w:shd w:val="clear" w:color="auto" w:fill="auto"/>
            <w:noWrap/>
            <w:vAlign w:val="center"/>
          </w:tcPr>
          <w:p w14:paraId="747BEED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名称</w:t>
            </w:r>
          </w:p>
        </w:tc>
        <w:tc>
          <w:tcPr>
            <w:tcW w:w="1097" w:type="dxa"/>
            <w:tcBorders>
              <w:tl2br w:val="nil"/>
              <w:tr2bl w:val="nil"/>
            </w:tcBorders>
            <w:shd w:val="clear" w:color="auto" w:fill="auto"/>
            <w:noWrap/>
            <w:vAlign w:val="center"/>
          </w:tcPr>
          <w:p w14:paraId="5D45EDF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Q1构件重</w:t>
            </w:r>
            <w:r>
              <w:rPr>
                <w:rStyle w:val="77"/>
                <w:rFonts w:eastAsia="新宋体"/>
                <w:lang w:val="en-US" w:eastAsia="zh-CN" w:bidi="ar"/>
              </w:rPr>
              <w:t>(t)</w:t>
            </w:r>
          </w:p>
        </w:tc>
        <w:tc>
          <w:tcPr>
            <w:tcW w:w="1533" w:type="dxa"/>
            <w:tcBorders>
              <w:tl2br w:val="nil"/>
              <w:tr2bl w:val="nil"/>
            </w:tcBorders>
            <w:shd w:val="clear" w:color="auto" w:fill="auto"/>
            <w:noWrap/>
            <w:vAlign w:val="center"/>
          </w:tcPr>
          <w:p w14:paraId="0BF5D809">
            <w:pPr>
              <w:keepNext w:val="0"/>
              <w:keepLines w:val="0"/>
              <w:pageBreakBefore w:val="0"/>
              <w:widowControl/>
              <w:suppressLineNumbers w:val="0"/>
              <w:kinsoku/>
              <w:wordWrap/>
              <w:overflowPunct/>
              <w:topLinePunct w:val="0"/>
              <w:autoSpaceDE/>
              <w:autoSpaceDN/>
              <w:bidi w:val="0"/>
              <w:snapToGrid/>
              <w:spacing w:line="360" w:lineRule="auto"/>
              <w:jc w:val="left"/>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h说明书起吊高度</w:t>
            </w:r>
            <w:r>
              <w:rPr>
                <w:rStyle w:val="77"/>
                <w:rFonts w:eastAsia="新宋体"/>
                <w:lang w:val="en-US" w:eastAsia="zh-CN" w:bidi="ar"/>
              </w:rPr>
              <w:t>(m)</w:t>
            </w:r>
          </w:p>
        </w:tc>
        <w:tc>
          <w:tcPr>
            <w:tcW w:w="1217" w:type="dxa"/>
            <w:tcBorders>
              <w:tl2br w:val="nil"/>
              <w:tr2bl w:val="nil"/>
            </w:tcBorders>
            <w:shd w:val="clear" w:color="auto" w:fill="auto"/>
            <w:noWrap/>
            <w:vAlign w:val="center"/>
          </w:tcPr>
          <w:p w14:paraId="6387CA3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载具</w:t>
            </w:r>
            <w:r>
              <w:rPr>
                <w:rStyle w:val="77"/>
                <w:rFonts w:eastAsia="新宋体"/>
                <w:lang w:val="en-US" w:eastAsia="zh-CN" w:bidi="ar"/>
              </w:rPr>
              <w:t>(m)</w:t>
            </w:r>
          </w:p>
        </w:tc>
        <w:tc>
          <w:tcPr>
            <w:tcW w:w="1133" w:type="dxa"/>
            <w:tcBorders>
              <w:tl2br w:val="nil"/>
              <w:tr2bl w:val="nil"/>
            </w:tcBorders>
            <w:shd w:val="clear" w:color="auto" w:fill="auto"/>
            <w:noWrap/>
            <w:vAlign w:val="center"/>
          </w:tcPr>
          <w:p w14:paraId="3C0EFD6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作业半径</w:t>
            </w:r>
            <w:r>
              <w:rPr>
                <w:rStyle w:val="77"/>
                <w:rFonts w:eastAsia="新宋体"/>
                <w:lang w:val="en-US" w:eastAsia="zh-CN" w:bidi="ar"/>
              </w:rPr>
              <w:t>(m)</w:t>
            </w:r>
          </w:p>
        </w:tc>
        <w:tc>
          <w:tcPr>
            <w:tcW w:w="1067" w:type="dxa"/>
            <w:tcBorders>
              <w:tl2br w:val="nil"/>
              <w:tr2bl w:val="nil"/>
            </w:tcBorders>
            <w:shd w:val="clear" w:color="auto" w:fill="auto"/>
            <w:noWrap/>
            <w:vAlign w:val="center"/>
          </w:tcPr>
          <w:p w14:paraId="26F75E0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主臂长度</w:t>
            </w:r>
            <w:r>
              <w:rPr>
                <w:rStyle w:val="77"/>
                <w:rFonts w:eastAsia="新宋体"/>
                <w:lang w:val="en-US" w:eastAsia="zh-CN" w:bidi="ar"/>
              </w:rPr>
              <w:t>(m)</w:t>
            </w:r>
          </w:p>
        </w:tc>
        <w:tc>
          <w:tcPr>
            <w:tcW w:w="1033" w:type="dxa"/>
            <w:tcBorders>
              <w:tl2br w:val="nil"/>
              <w:tr2bl w:val="nil"/>
            </w:tcBorders>
            <w:shd w:val="clear" w:color="auto" w:fill="auto"/>
            <w:noWrap/>
            <w:vAlign w:val="center"/>
          </w:tcPr>
          <w:p w14:paraId="085FC85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Q起重量</w:t>
            </w:r>
            <w:r>
              <w:rPr>
                <w:rStyle w:val="77"/>
                <w:rFonts w:eastAsia="新宋体"/>
                <w:lang w:val="en-US" w:eastAsia="zh-CN" w:bidi="ar"/>
              </w:rPr>
              <w:t>(t)</w:t>
            </w:r>
          </w:p>
        </w:tc>
        <w:tc>
          <w:tcPr>
            <w:tcW w:w="1117" w:type="dxa"/>
            <w:tcBorders>
              <w:tl2br w:val="nil"/>
              <w:tr2bl w:val="nil"/>
            </w:tcBorders>
            <w:shd w:val="clear" w:color="auto" w:fill="auto"/>
            <w:noWrap/>
            <w:vAlign w:val="center"/>
          </w:tcPr>
          <w:p w14:paraId="41591F8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η负荷率</w:t>
            </w:r>
          </w:p>
        </w:tc>
        <w:tc>
          <w:tcPr>
            <w:tcW w:w="1316" w:type="dxa"/>
            <w:tcBorders>
              <w:tl2br w:val="nil"/>
              <w:tr2bl w:val="nil"/>
            </w:tcBorders>
            <w:shd w:val="clear" w:color="auto" w:fill="auto"/>
            <w:noWrap/>
            <w:vAlign w:val="center"/>
          </w:tcPr>
          <w:p w14:paraId="1A77C6A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H起升高度(m)</w:t>
            </w:r>
          </w:p>
        </w:tc>
      </w:tr>
      <w:tr w14:paraId="7B02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346" w:type="dxa"/>
            <w:tcBorders>
              <w:tl2br w:val="nil"/>
              <w:tr2bl w:val="nil"/>
            </w:tcBorders>
            <w:shd w:val="clear" w:color="auto" w:fill="auto"/>
            <w:noWrap/>
            <w:vAlign w:val="center"/>
          </w:tcPr>
          <w:p w14:paraId="7CEDA57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rPr>
            </w:pPr>
            <w:r>
              <w:rPr>
                <w:rFonts w:hint="eastAsia" w:ascii="新宋体" w:hAnsi="新宋体" w:eastAsia="新宋体" w:cs="新宋体"/>
                <w:i w:val="0"/>
                <w:iCs w:val="0"/>
                <w:color w:val="000000"/>
                <w:kern w:val="0"/>
                <w:sz w:val="18"/>
                <w:szCs w:val="18"/>
                <w:u w:val="none"/>
                <w:lang w:val="en-US" w:eastAsia="zh-CN" w:bidi="ar"/>
              </w:rPr>
              <w:t>基础节</w:t>
            </w:r>
          </w:p>
        </w:tc>
        <w:tc>
          <w:tcPr>
            <w:tcW w:w="1097" w:type="dxa"/>
            <w:tcBorders>
              <w:tl2br w:val="nil"/>
              <w:tr2bl w:val="nil"/>
            </w:tcBorders>
            <w:shd w:val="clear" w:color="auto" w:fill="auto"/>
            <w:noWrap/>
            <w:vAlign w:val="center"/>
          </w:tcPr>
          <w:p w14:paraId="3E977C0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1.349</w:t>
            </w:r>
          </w:p>
        </w:tc>
        <w:tc>
          <w:tcPr>
            <w:tcW w:w="1533" w:type="dxa"/>
            <w:tcBorders>
              <w:tl2br w:val="nil"/>
              <w:tr2bl w:val="nil"/>
            </w:tcBorders>
            <w:shd w:val="clear" w:color="auto" w:fill="auto"/>
            <w:noWrap/>
            <w:vAlign w:val="center"/>
          </w:tcPr>
          <w:p w14:paraId="1C27131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15</w:t>
            </w:r>
          </w:p>
        </w:tc>
        <w:tc>
          <w:tcPr>
            <w:tcW w:w="1217" w:type="dxa"/>
            <w:tcBorders>
              <w:tl2br w:val="nil"/>
              <w:tr2bl w:val="nil"/>
            </w:tcBorders>
            <w:shd w:val="clear" w:color="auto" w:fill="auto"/>
            <w:noWrap/>
            <w:vAlign w:val="center"/>
          </w:tcPr>
          <w:p w14:paraId="3067826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27827DE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618EEB7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noWrap/>
            <w:vAlign w:val="center"/>
          </w:tcPr>
          <w:p w14:paraId="785BB33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40FE174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11.94%</w:t>
            </w:r>
          </w:p>
        </w:tc>
        <w:tc>
          <w:tcPr>
            <w:tcW w:w="1316" w:type="dxa"/>
            <w:tcBorders>
              <w:tl2br w:val="nil"/>
              <w:tr2bl w:val="nil"/>
            </w:tcBorders>
            <w:shd w:val="clear" w:color="auto" w:fill="auto"/>
            <w:noWrap/>
            <w:vAlign w:val="center"/>
          </w:tcPr>
          <w:p w14:paraId="48139C0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12.45</w:t>
            </w:r>
          </w:p>
        </w:tc>
      </w:tr>
      <w:tr w14:paraId="5492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8" w:hRule="atLeast"/>
        </w:trPr>
        <w:tc>
          <w:tcPr>
            <w:tcW w:w="1346" w:type="dxa"/>
            <w:tcBorders>
              <w:tl2br w:val="nil"/>
              <w:tr2bl w:val="nil"/>
            </w:tcBorders>
            <w:shd w:val="clear" w:color="auto" w:fill="auto"/>
            <w:noWrap/>
            <w:vAlign w:val="center"/>
          </w:tcPr>
          <w:p w14:paraId="508AC72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eastAsia="zh-CN"/>
              </w:rPr>
            </w:pPr>
            <w:r>
              <w:rPr>
                <w:rFonts w:hint="eastAsia" w:ascii="新宋体" w:hAnsi="新宋体" w:eastAsia="新宋体" w:cs="新宋体"/>
                <w:i w:val="0"/>
                <w:iCs w:val="0"/>
                <w:color w:val="000000"/>
                <w:sz w:val="18"/>
                <w:szCs w:val="18"/>
                <w:u w:val="none"/>
                <w:lang w:val="en-US" w:eastAsia="zh-CN"/>
              </w:rPr>
              <w:t>标准节</w:t>
            </w:r>
          </w:p>
        </w:tc>
        <w:tc>
          <w:tcPr>
            <w:tcW w:w="1097" w:type="dxa"/>
            <w:tcBorders>
              <w:tl2br w:val="nil"/>
              <w:tr2bl w:val="nil"/>
            </w:tcBorders>
            <w:shd w:val="clear" w:color="auto" w:fill="auto"/>
            <w:noWrap/>
            <w:vAlign w:val="center"/>
          </w:tcPr>
          <w:p w14:paraId="1546862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0.848</w:t>
            </w:r>
          </w:p>
        </w:tc>
        <w:tc>
          <w:tcPr>
            <w:tcW w:w="1533" w:type="dxa"/>
            <w:tcBorders>
              <w:tl2br w:val="nil"/>
              <w:tr2bl w:val="nil"/>
            </w:tcBorders>
            <w:shd w:val="clear" w:color="auto" w:fill="auto"/>
            <w:noWrap/>
            <w:vAlign w:val="center"/>
          </w:tcPr>
          <w:p w14:paraId="1F86FC0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15</w:t>
            </w:r>
          </w:p>
        </w:tc>
        <w:tc>
          <w:tcPr>
            <w:tcW w:w="1217" w:type="dxa"/>
            <w:tcBorders>
              <w:tl2br w:val="nil"/>
              <w:tr2bl w:val="nil"/>
            </w:tcBorders>
            <w:shd w:val="clear" w:color="auto" w:fill="auto"/>
            <w:vAlign w:val="center"/>
          </w:tcPr>
          <w:p w14:paraId="4D4DC7B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3ACA479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1142241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vAlign w:val="center"/>
          </w:tcPr>
          <w:p w14:paraId="25F6BC4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552108C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7.61%</w:t>
            </w:r>
          </w:p>
        </w:tc>
        <w:tc>
          <w:tcPr>
            <w:tcW w:w="1316" w:type="dxa"/>
            <w:tcBorders>
              <w:tl2br w:val="nil"/>
              <w:tr2bl w:val="nil"/>
            </w:tcBorders>
            <w:shd w:val="clear" w:color="auto" w:fill="auto"/>
            <w:vAlign w:val="center"/>
          </w:tcPr>
          <w:p w14:paraId="2A5E5EB7">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12.45</w:t>
            </w:r>
          </w:p>
        </w:tc>
      </w:tr>
      <w:tr w14:paraId="08F3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36DEA87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eastAsia="zh-CN"/>
              </w:rPr>
            </w:pPr>
            <w:r>
              <w:rPr>
                <w:rFonts w:hint="eastAsia" w:ascii="新宋体" w:hAnsi="新宋体" w:eastAsia="新宋体" w:cs="新宋体"/>
                <w:i w:val="0"/>
                <w:iCs w:val="0"/>
                <w:color w:val="000000"/>
                <w:sz w:val="18"/>
                <w:szCs w:val="18"/>
                <w:u w:val="none"/>
                <w:lang w:val="en-US" w:eastAsia="zh-CN"/>
              </w:rPr>
              <w:t>特殊节</w:t>
            </w:r>
          </w:p>
        </w:tc>
        <w:tc>
          <w:tcPr>
            <w:tcW w:w="1097" w:type="dxa"/>
            <w:tcBorders>
              <w:tl2br w:val="nil"/>
              <w:tr2bl w:val="nil"/>
            </w:tcBorders>
            <w:shd w:val="clear" w:color="auto" w:fill="auto"/>
            <w:noWrap/>
            <w:vAlign w:val="center"/>
          </w:tcPr>
          <w:p w14:paraId="2B12F58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1.277</w:t>
            </w:r>
          </w:p>
        </w:tc>
        <w:tc>
          <w:tcPr>
            <w:tcW w:w="1533" w:type="dxa"/>
            <w:tcBorders>
              <w:tl2br w:val="nil"/>
              <w:tr2bl w:val="nil"/>
            </w:tcBorders>
            <w:shd w:val="clear" w:color="auto" w:fill="auto"/>
            <w:noWrap/>
            <w:vAlign w:val="center"/>
          </w:tcPr>
          <w:p w14:paraId="48FD92D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15</w:t>
            </w:r>
          </w:p>
        </w:tc>
        <w:tc>
          <w:tcPr>
            <w:tcW w:w="1217" w:type="dxa"/>
            <w:tcBorders>
              <w:tl2br w:val="nil"/>
              <w:tr2bl w:val="nil"/>
            </w:tcBorders>
            <w:shd w:val="clear" w:color="auto" w:fill="auto"/>
            <w:vAlign w:val="center"/>
          </w:tcPr>
          <w:p w14:paraId="44AD608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6352BE4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5744C4B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vAlign w:val="center"/>
          </w:tcPr>
          <w:p w14:paraId="0AB70F9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5C647BE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11.31%</w:t>
            </w:r>
          </w:p>
        </w:tc>
        <w:tc>
          <w:tcPr>
            <w:tcW w:w="1316" w:type="dxa"/>
            <w:tcBorders>
              <w:tl2br w:val="nil"/>
              <w:tr2bl w:val="nil"/>
            </w:tcBorders>
            <w:shd w:val="clear" w:color="auto" w:fill="auto"/>
            <w:vAlign w:val="center"/>
          </w:tcPr>
          <w:p w14:paraId="4B6441C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15.05</w:t>
            </w:r>
          </w:p>
        </w:tc>
      </w:tr>
      <w:tr w14:paraId="569C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50B97DF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eastAsia="zh-CN"/>
              </w:rPr>
            </w:pPr>
            <w:r>
              <w:rPr>
                <w:rFonts w:hint="eastAsia" w:ascii="新宋体" w:hAnsi="新宋体" w:eastAsia="新宋体" w:cs="新宋体"/>
                <w:i w:val="0"/>
                <w:iCs w:val="0"/>
                <w:color w:val="000000"/>
                <w:sz w:val="18"/>
                <w:szCs w:val="18"/>
                <w:u w:val="none"/>
                <w:lang w:val="en-US" w:eastAsia="zh-CN"/>
              </w:rPr>
              <w:t>爬升架</w:t>
            </w:r>
          </w:p>
        </w:tc>
        <w:tc>
          <w:tcPr>
            <w:tcW w:w="1097" w:type="dxa"/>
            <w:tcBorders>
              <w:tl2br w:val="nil"/>
              <w:tr2bl w:val="nil"/>
            </w:tcBorders>
            <w:shd w:val="clear" w:color="auto" w:fill="auto"/>
            <w:noWrap/>
            <w:vAlign w:val="center"/>
          </w:tcPr>
          <w:p w14:paraId="0854DB6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3.564</w:t>
            </w:r>
          </w:p>
        </w:tc>
        <w:tc>
          <w:tcPr>
            <w:tcW w:w="1533" w:type="dxa"/>
            <w:tcBorders>
              <w:tl2br w:val="nil"/>
              <w:tr2bl w:val="nil"/>
            </w:tcBorders>
            <w:shd w:val="clear" w:color="auto" w:fill="auto"/>
            <w:noWrap/>
            <w:vAlign w:val="center"/>
          </w:tcPr>
          <w:p w14:paraId="262E165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15</w:t>
            </w:r>
          </w:p>
        </w:tc>
        <w:tc>
          <w:tcPr>
            <w:tcW w:w="1217" w:type="dxa"/>
            <w:tcBorders>
              <w:tl2br w:val="nil"/>
              <w:tr2bl w:val="nil"/>
            </w:tcBorders>
            <w:shd w:val="clear" w:color="auto" w:fill="auto"/>
            <w:vAlign w:val="center"/>
          </w:tcPr>
          <w:p w14:paraId="48E9392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64F88E1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55D1144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vAlign w:val="center"/>
          </w:tcPr>
          <w:p w14:paraId="6A8A50E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6BF7840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16.22%</w:t>
            </w:r>
          </w:p>
        </w:tc>
        <w:tc>
          <w:tcPr>
            <w:tcW w:w="1316" w:type="dxa"/>
            <w:tcBorders>
              <w:tl2br w:val="nil"/>
              <w:tr2bl w:val="nil"/>
            </w:tcBorders>
            <w:shd w:val="clear" w:color="auto" w:fill="auto"/>
            <w:vAlign w:val="center"/>
          </w:tcPr>
          <w:p w14:paraId="3FC7CFD7">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18.61</w:t>
            </w:r>
          </w:p>
        </w:tc>
      </w:tr>
      <w:tr w14:paraId="050C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4D287C8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eastAsia="zh-CN"/>
              </w:rPr>
            </w:pPr>
            <w:r>
              <w:rPr>
                <w:rFonts w:hint="eastAsia" w:ascii="新宋体" w:hAnsi="新宋体" w:eastAsia="新宋体" w:cs="新宋体"/>
                <w:i w:val="0"/>
                <w:iCs w:val="0"/>
                <w:color w:val="000000"/>
                <w:sz w:val="18"/>
                <w:szCs w:val="18"/>
                <w:u w:val="none"/>
                <w:lang w:val="en-US" w:eastAsia="zh-CN"/>
              </w:rPr>
              <w:t>回转总成</w:t>
            </w:r>
          </w:p>
        </w:tc>
        <w:tc>
          <w:tcPr>
            <w:tcW w:w="1097" w:type="dxa"/>
            <w:tcBorders>
              <w:tl2br w:val="nil"/>
              <w:tr2bl w:val="nil"/>
            </w:tcBorders>
            <w:shd w:val="clear" w:color="auto" w:fill="auto"/>
            <w:noWrap/>
            <w:vAlign w:val="center"/>
          </w:tcPr>
          <w:p w14:paraId="55A920C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3.265</w:t>
            </w:r>
          </w:p>
        </w:tc>
        <w:tc>
          <w:tcPr>
            <w:tcW w:w="1533" w:type="dxa"/>
            <w:tcBorders>
              <w:tl2br w:val="nil"/>
              <w:tr2bl w:val="nil"/>
            </w:tcBorders>
            <w:shd w:val="clear" w:color="auto" w:fill="auto"/>
            <w:noWrap/>
            <w:vAlign w:val="center"/>
          </w:tcPr>
          <w:p w14:paraId="42E1455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20</w:t>
            </w:r>
          </w:p>
        </w:tc>
        <w:tc>
          <w:tcPr>
            <w:tcW w:w="1217" w:type="dxa"/>
            <w:tcBorders>
              <w:tl2br w:val="nil"/>
              <w:tr2bl w:val="nil"/>
            </w:tcBorders>
            <w:shd w:val="clear" w:color="auto" w:fill="auto"/>
            <w:noWrap/>
            <w:vAlign w:val="center"/>
          </w:tcPr>
          <w:p w14:paraId="3FA7260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49475D5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7F50F37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noWrap/>
            <w:vAlign w:val="center"/>
          </w:tcPr>
          <w:p w14:paraId="7369665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36B2FFE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28.90%</w:t>
            </w:r>
          </w:p>
        </w:tc>
        <w:tc>
          <w:tcPr>
            <w:tcW w:w="1316" w:type="dxa"/>
            <w:tcBorders>
              <w:tl2br w:val="nil"/>
              <w:tr2bl w:val="nil"/>
            </w:tcBorders>
            <w:shd w:val="clear" w:color="auto" w:fill="auto"/>
            <w:noWrap/>
            <w:vAlign w:val="center"/>
          </w:tcPr>
          <w:p w14:paraId="2490712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15.05</w:t>
            </w:r>
          </w:p>
        </w:tc>
      </w:tr>
      <w:tr w14:paraId="2F43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60E4CD47">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eastAsia="zh-CN"/>
              </w:rPr>
            </w:pPr>
            <w:r>
              <w:rPr>
                <w:rFonts w:hint="eastAsia" w:ascii="新宋体" w:hAnsi="新宋体" w:eastAsia="新宋体" w:cs="新宋体"/>
                <w:i w:val="0"/>
                <w:iCs w:val="0"/>
                <w:color w:val="000000"/>
                <w:sz w:val="18"/>
                <w:szCs w:val="18"/>
                <w:u w:val="none"/>
                <w:lang w:val="en-US" w:eastAsia="zh-CN"/>
              </w:rPr>
              <w:t>塔顶</w:t>
            </w:r>
          </w:p>
        </w:tc>
        <w:tc>
          <w:tcPr>
            <w:tcW w:w="1097" w:type="dxa"/>
            <w:tcBorders>
              <w:tl2br w:val="nil"/>
              <w:tr2bl w:val="nil"/>
            </w:tcBorders>
            <w:shd w:val="clear" w:color="auto" w:fill="auto"/>
            <w:noWrap/>
            <w:vAlign w:val="center"/>
          </w:tcPr>
          <w:p w14:paraId="1AF8EEB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1.203</w:t>
            </w:r>
          </w:p>
        </w:tc>
        <w:tc>
          <w:tcPr>
            <w:tcW w:w="1533" w:type="dxa"/>
            <w:tcBorders>
              <w:tl2br w:val="nil"/>
              <w:tr2bl w:val="nil"/>
            </w:tcBorders>
            <w:shd w:val="clear" w:color="auto" w:fill="auto"/>
            <w:noWrap/>
            <w:vAlign w:val="center"/>
          </w:tcPr>
          <w:p w14:paraId="3400968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23</w:t>
            </w:r>
          </w:p>
        </w:tc>
        <w:tc>
          <w:tcPr>
            <w:tcW w:w="1217" w:type="dxa"/>
            <w:tcBorders>
              <w:tl2br w:val="nil"/>
              <w:tr2bl w:val="nil"/>
            </w:tcBorders>
            <w:shd w:val="clear" w:color="auto" w:fill="auto"/>
            <w:vAlign w:val="center"/>
          </w:tcPr>
          <w:p w14:paraId="2451038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278BC18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3DD1D88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vAlign w:val="center"/>
          </w:tcPr>
          <w:p w14:paraId="08D7A01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4036147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10.65%</w:t>
            </w:r>
          </w:p>
        </w:tc>
        <w:tc>
          <w:tcPr>
            <w:tcW w:w="1316" w:type="dxa"/>
            <w:tcBorders>
              <w:tl2br w:val="nil"/>
              <w:tr2bl w:val="nil"/>
            </w:tcBorders>
            <w:shd w:val="clear" w:color="auto" w:fill="auto"/>
            <w:vAlign w:val="center"/>
          </w:tcPr>
          <w:p w14:paraId="5EB1FA0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16.6</w:t>
            </w:r>
          </w:p>
        </w:tc>
      </w:tr>
      <w:tr w14:paraId="2FF2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346" w:type="dxa"/>
            <w:tcBorders>
              <w:tl2br w:val="nil"/>
              <w:tr2bl w:val="nil"/>
            </w:tcBorders>
            <w:shd w:val="clear" w:color="auto" w:fill="auto"/>
            <w:noWrap/>
            <w:vAlign w:val="center"/>
          </w:tcPr>
          <w:p w14:paraId="329659B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eastAsia="zh-CN"/>
              </w:rPr>
            </w:pPr>
            <w:r>
              <w:rPr>
                <w:rFonts w:hint="eastAsia" w:ascii="新宋体" w:hAnsi="新宋体" w:eastAsia="新宋体" w:cs="新宋体"/>
                <w:i w:val="0"/>
                <w:iCs w:val="0"/>
                <w:color w:val="000000"/>
                <w:sz w:val="18"/>
                <w:szCs w:val="18"/>
                <w:u w:val="none"/>
                <w:lang w:val="en-US" w:eastAsia="zh-CN"/>
              </w:rPr>
              <w:t>平衡臂</w:t>
            </w:r>
          </w:p>
        </w:tc>
        <w:tc>
          <w:tcPr>
            <w:tcW w:w="1097" w:type="dxa"/>
            <w:tcBorders>
              <w:tl2br w:val="nil"/>
              <w:tr2bl w:val="nil"/>
            </w:tcBorders>
            <w:shd w:val="clear" w:color="auto" w:fill="auto"/>
            <w:noWrap/>
            <w:vAlign w:val="center"/>
          </w:tcPr>
          <w:p w14:paraId="4D3B26C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4.05</w:t>
            </w:r>
          </w:p>
        </w:tc>
        <w:tc>
          <w:tcPr>
            <w:tcW w:w="1533" w:type="dxa"/>
            <w:tcBorders>
              <w:tl2br w:val="nil"/>
              <w:tr2bl w:val="nil"/>
            </w:tcBorders>
            <w:shd w:val="clear" w:color="auto" w:fill="auto"/>
            <w:noWrap/>
            <w:vAlign w:val="center"/>
          </w:tcPr>
          <w:p w14:paraId="4375BBD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23</w:t>
            </w:r>
          </w:p>
        </w:tc>
        <w:tc>
          <w:tcPr>
            <w:tcW w:w="1217" w:type="dxa"/>
            <w:tcBorders>
              <w:tl2br w:val="nil"/>
              <w:tr2bl w:val="nil"/>
            </w:tcBorders>
            <w:shd w:val="clear" w:color="auto" w:fill="auto"/>
            <w:vAlign w:val="center"/>
          </w:tcPr>
          <w:p w14:paraId="6431CAA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42EB849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5187EE8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vAlign w:val="center"/>
          </w:tcPr>
          <w:p w14:paraId="5310AA9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617F2D3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35.85%</w:t>
            </w:r>
          </w:p>
        </w:tc>
        <w:tc>
          <w:tcPr>
            <w:tcW w:w="1316" w:type="dxa"/>
            <w:tcBorders>
              <w:tl2br w:val="nil"/>
              <w:tr2bl w:val="nil"/>
            </w:tcBorders>
            <w:shd w:val="clear" w:color="auto" w:fill="auto"/>
            <w:vAlign w:val="center"/>
          </w:tcPr>
          <w:p w14:paraId="229E1F7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17.2</w:t>
            </w:r>
          </w:p>
        </w:tc>
      </w:tr>
      <w:tr w14:paraId="6BCF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46A95A7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rPr>
            </w:pPr>
            <w:r>
              <w:rPr>
                <w:rFonts w:hint="eastAsia" w:ascii="新宋体" w:hAnsi="新宋体" w:eastAsia="新宋体" w:cs="新宋体"/>
                <w:i w:val="0"/>
                <w:iCs w:val="0"/>
                <w:color w:val="000000"/>
                <w:sz w:val="18"/>
                <w:szCs w:val="18"/>
                <w:u w:val="none"/>
                <w:lang w:val="en-US" w:eastAsia="zh-CN"/>
              </w:rPr>
              <w:t>平衡重A</w:t>
            </w:r>
          </w:p>
        </w:tc>
        <w:tc>
          <w:tcPr>
            <w:tcW w:w="1097" w:type="dxa"/>
            <w:tcBorders>
              <w:tl2br w:val="nil"/>
              <w:tr2bl w:val="nil"/>
            </w:tcBorders>
            <w:shd w:val="clear" w:color="auto" w:fill="auto"/>
            <w:noWrap/>
            <w:vAlign w:val="center"/>
          </w:tcPr>
          <w:p w14:paraId="1BCC91A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2.3</w:t>
            </w:r>
          </w:p>
        </w:tc>
        <w:tc>
          <w:tcPr>
            <w:tcW w:w="1533" w:type="dxa"/>
            <w:tcBorders>
              <w:tl2br w:val="nil"/>
              <w:tr2bl w:val="nil"/>
            </w:tcBorders>
            <w:shd w:val="clear" w:color="auto" w:fill="auto"/>
            <w:noWrap/>
            <w:vAlign w:val="center"/>
          </w:tcPr>
          <w:p w14:paraId="55C75F5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27</w:t>
            </w:r>
          </w:p>
        </w:tc>
        <w:tc>
          <w:tcPr>
            <w:tcW w:w="1217" w:type="dxa"/>
            <w:tcBorders>
              <w:tl2br w:val="nil"/>
              <w:tr2bl w:val="nil"/>
            </w:tcBorders>
            <w:shd w:val="clear" w:color="auto" w:fill="auto"/>
            <w:vAlign w:val="center"/>
          </w:tcPr>
          <w:p w14:paraId="032E7A5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5051D06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578629E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vAlign w:val="center"/>
          </w:tcPr>
          <w:p w14:paraId="4B89D42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0E9B6EB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20.36%</w:t>
            </w:r>
          </w:p>
        </w:tc>
        <w:tc>
          <w:tcPr>
            <w:tcW w:w="1316" w:type="dxa"/>
            <w:tcBorders>
              <w:tl2br w:val="nil"/>
              <w:tr2bl w:val="nil"/>
            </w:tcBorders>
            <w:shd w:val="clear" w:color="auto" w:fill="auto"/>
            <w:vAlign w:val="center"/>
          </w:tcPr>
          <w:p w14:paraId="39F9C04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20.88</w:t>
            </w:r>
          </w:p>
        </w:tc>
      </w:tr>
      <w:tr w14:paraId="6E10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026FBFB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eastAsia="zh-CN"/>
              </w:rPr>
            </w:pPr>
            <w:r>
              <w:rPr>
                <w:rFonts w:hint="eastAsia" w:ascii="新宋体" w:hAnsi="新宋体" w:eastAsia="新宋体" w:cs="新宋体"/>
                <w:i w:val="0"/>
                <w:iCs w:val="0"/>
                <w:color w:val="000000"/>
                <w:sz w:val="18"/>
                <w:szCs w:val="18"/>
                <w:u w:val="none"/>
                <w:lang w:val="en-US" w:eastAsia="zh-CN"/>
              </w:rPr>
              <w:t>平衡重B</w:t>
            </w:r>
          </w:p>
        </w:tc>
        <w:tc>
          <w:tcPr>
            <w:tcW w:w="1097" w:type="dxa"/>
            <w:tcBorders>
              <w:tl2br w:val="nil"/>
              <w:tr2bl w:val="nil"/>
            </w:tcBorders>
            <w:shd w:val="clear" w:color="auto" w:fill="auto"/>
            <w:noWrap/>
            <w:vAlign w:val="center"/>
          </w:tcPr>
          <w:p w14:paraId="0219493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1.2</w:t>
            </w:r>
          </w:p>
        </w:tc>
        <w:tc>
          <w:tcPr>
            <w:tcW w:w="1533" w:type="dxa"/>
            <w:tcBorders>
              <w:tl2br w:val="nil"/>
              <w:tr2bl w:val="nil"/>
            </w:tcBorders>
            <w:shd w:val="clear" w:color="auto" w:fill="auto"/>
            <w:noWrap/>
            <w:vAlign w:val="center"/>
          </w:tcPr>
          <w:p w14:paraId="716D68F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eastAsia="宋体" w:cs="Times New Roman"/>
                <w:i w:val="0"/>
                <w:iCs w:val="0"/>
                <w:color w:val="000000"/>
                <w:sz w:val="18"/>
                <w:szCs w:val="18"/>
                <w:u w:val="none"/>
                <w:lang w:val="en-US" w:eastAsia="zh-CN"/>
              </w:rPr>
              <w:t>27</w:t>
            </w:r>
          </w:p>
        </w:tc>
        <w:tc>
          <w:tcPr>
            <w:tcW w:w="1217" w:type="dxa"/>
            <w:tcBorders>
              <w:tl2br w:val="nil"/>
              <w:tr2bl w:val="nil"/>
            </w:tcBorders>
            <w:shd w:val="clear" w:color="auto" w:fill="auto"/>
            <w:vAlign w:val="center"/>
          </w:tcPr>
          <w:p w14:paraId="76563CD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1DA7508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0B88E98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vAlign w:val="center"/>
          </w:tcPr>
          <w:p w14:paraId="6F55B87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200EEDE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eastAsia="宋体" w:cs="Times New Roman"/>
                <w:i w:val="0"/>
                <w:iCs w:val="0"/>
                <w:color w:val="000000"/>
                <w:kern w:val="2"/>
                <w:sz w:val="18"/>
                <w:szCs w:val="18"/>
                <w:u w:val="none"/>
                <w:lang w:val="en-US" w:eastAsia="zh-CN" w:bidi="ar-SA"/>
              </w:rPr>
              <w:t>10.62</w:t>
            </w:r>
            <w:r>
              <w:rPr>
                <w:rFonts w:hint="eastAsia" w:eastAsia="宋体" w:cs="Times New Roman"/>
                <w:i w:val="0"/>
                <w:iCs w:val="0"/>
                <w:color w:val="000000"/>
                <w:sz w:val="18"/>
                <w:szCs w:val="18"/>
                <w:u w:val="none"/>
                <w:lang w:val="en-US" w:eastAsia="zh-CN"/>
              </w:rPr>
              <w:t>%</w:t>
            </w:r>
          </w:p>
        </w:tc>
        <w:tc>
          <w:tcPr>
            <w:tcW w:w="1316" w:type="dxa"/>
            <w:tcBorders>
              <w:tl2br w:val="nil"/>
              <w:tr2bl w:val="nil"/>
            </w:tcBorders>
            <w:shd w:val="clear" w:color="auto" w:fill="auto"/>
            <w:vAlign w:val="center"/>
          </w:tcPr>
          <w:p w14:paraId="39CC86D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eastAsia="宋体" w:cs="Times New Roman"/>
                <w:i w:val="0"/>
                <w:iCs w:val="0"/>
                <w:color w:val="000000"/>
                <w:sz w:val="18"/>
                <w:szCs w:val="18"/>
                <w:u w:val="none"/>
                <w:lang w:val="en-US" w:eastAsia="zh-CN"/>
              </w:rPr>
              <w:t>20.88</w:t>
            </w:r>
          </w:p>
        </w:tc>
      </w:tr>
      <w:tr w14:paraId="4FEC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70EED90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新宋体" w:hAnsi="新宋体" w:eastAsia="新宋体" w:cs="新宋体"/>
                <w:i w:val="0"/>
                <w:iCs w:val="0"/>
                <w:color w:val="000000"/>
                <w:sz w:val="18"/>
                <w:szCs w:val="18"/>
                <w:u w:val="none"/>
                <w:lang w:val="en-US"/>
              </w:rPr>
            </w:pPr>
            <w:r>
              <w:rPr>
                <w:rFonts w:hint="eastAsia" w:ascii="新宋体" w:hAnsi="新宋体" w:eastAsia="新宋体" w:cs="新宋体"/>
                <w:i w:val="0"/>
                <w:iCs w:val="0"/>
                <w:color w:val="000000"/>
                <w:kern w:val="0"/>
                <w:sz w:val="18"/>
                <w:szCs w:val="18"/>
                <w:u w:val="none"/>
                <w:lang w:val="en-US" w:eastAsia="zh-CN" w:bidi="ar"/>
              </w:rPr>
              <w:t>起重臂总成</w:t>
            </w:r>
          </w:p>
        </w:tc>
        <w:tc>
          <w:tcPr>
            <w:tcW w:w="1097" w:type="dxa"/>
            <w:tcBorders>
              <w:tl2br w:val="nil"/>
              <w:tr2bl w:val="nil"/>
            </w:tcBorders>
            <w:shd w:val="clear" w:color="auto" w:fill="auto"/>
            <w:noWrap/>
            <w:vAlign w:val="center"/>
          </w:tcPr>
          <w:p w14:paraId="750A5AA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6.23</w:t>
            </w:r>
          </w:p>
        </w:tc>
        <w:tc>
          <w:tcPr>
            <w:tcW w:w="1533" w:type="dxa"/>
            <w:tcBorders>
              <w:tl2br w:val="nil"/>
              <w:tr2bl w:val="nil"/>
            </w:tcBorders>
            <w:shd w:val="clear" w:color="auto" w:fill="auto"/>
            <w:noWrap/>
            <w:vAlign w:val="center"/>
          </w:tcPr>
          <w:p w14:paraId="12D0A32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27</w:t>
            </w:r>
          </w:p>
        </w:tc>
        <w:tc>
          <w:tcPr>
            <w:tcW w:w="1217" w:type="dxa"/>
            <w:tcBorders>
              <w:tl2br w:val="nil"/>
              <w:tr2bl w:val="nil"/>
            </w:tcBorders>
            <w:shd w:val="clear" w:color="auto" w:fill="auto"/>
            <w:vAlign w:val="center"/>
          </w:tcPr>
          <w:p w14:paraId="5F1B967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lang w:val="en-US" w:eastAsia="zh-CN"/>
              </w:rPr>
              <w:t>STC350C5-1</w:t>
            </w:r>
          </w:p>
        </w:tc>
        <w:tc>
          <w:tcPr>
            <w:tcW w:w="1133" w:type="dxa"/>
            <w:tcBorders>
              <w:tl2br w:val="nil"/>
              <w:tr2bl w:val="nil"/>
            </w:tcBorders>
            <w:shd w:val="clear" w:color="auto" w:fill="auto"/>
            <w:noWrap/>
            <w:vAlign w:val="center"/>
          </w:tcPr>
          <w:p w14:paraId="1DC4B87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12</w:t>
            </w:r>
          </w:p>
        </w:tc>
        <w:tc>
          <w:tcPr>
            <w:tcW w:w="1067" w:type="dxa"/>
            <w:tcBorders>
              <w:tl2br w:val="nil"/>
              <w:tr2bl w:val="nil"/>
            </w:tcBorders>
            <w:shd w:val="clear" w:color="auto" w:fill="auto"/>
            <w:noWrap/>
            <w:vAlign w:val="center"/>
          </w:tcPr>
          <w:p w14:paraId="590EF45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25.6</w:t>
            </w:r>
          </w:p>
        </w:tc>
        <w:tc>
          <w:tcPr>
            <w:tcW w:w="1033" w:type="dxa"/>
            <w:tcBorders>
              <w:tl2br w:val="nil"/>
              <w:tr2bl w:val="nil"/>
            </w:tcBorders>
            <w:shd w:val="clear" w:color="auto" w:fill="auto"/>
            <w:vAlign w:val="center"/>
          </w:tcPr>
          <w:p w14:paraId="0541DD5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sz w:val="18"/>
                <w:szCs w:val="18"/>
                <w:u w:val="none"/>
                <w:lang w:val="en-US" w:eastAsia="zh-CN"/>
              </w:rPr>
              <w:t>11.3</w:t>
            </w:r>
          </w:p>
        </w:tc>
        <w:tc>
          <w:tcPr>
            <w:tcW w:w="1117" w:type="dxa"/>
            <w:tcBorders>
              <w:tl2br w:val="nil"/>
              <w:tr2bl w:val="nil"/>
            </w:tcBorders>
            <w:shd w:val="clear" w:color="auto" w:fill="auto"/>
            <w:noWrap/>
            <w:vAlign w:val="center"/>
          </w:tcPr>
          <w:p w14:paraId="4283806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55.14%</w:t>
            </w:r>
          </w:p>
        </w:tc>
        <w:tc>
          <w:tcPr>
            <w:tcW w:w="1316" w:type="dxa"/>
            <w:tcBorders>
              <w:tl2br w:val="nil"/>
              <w:tr2bl w:val="nil"/>
            </w:tcBorders>
            <w:shd w:val="clear" w:color="auto" w:fill="auto"/>
            <w:vAlign w:val="center"/>
          </w:tcPr>
          <w:p w14:paraId="3A77BBE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18.9</w:t>
            </w:r>
          </w:p>
        </w:tc>
      </w:tr>
    </w:tbl>
    <w:p w14:paraId="01B35A60">
      <w:pPr>
        <w:keepNext w:val="0"/>
        <w:keepLines w:val="0"/>
        <w:pageBreakBefore w:val="0"/>
        <w:widowControl/>
        <w:suppressLineNumbers w:val="0"/>
        <w:kinsoku/>
        <w:wordWrap/>
        <w:overflowPunct/>
        <w:topLinePunct w:val="0"/>
        <w:autoSpaceDE/>
        <w:autoSpaceDN/>
        <w:bidi w:val="0"/>
        <w:snapToGrid/>
        <w:spacing w:line="360" w:lineRule="auto"/>
        <w:ind w:left="0" w:leftChars="0" w:firstLine="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textWrapping"/>
      </w:r>
      <w:r>
        <w:rPr>
          <w:rFonts w:hint="eastAsia" w:ascii="宋体" w:hAnsi="宋体" w:eastAsia="宋体" w:cs="宋体"/>
          <w:color w:val="000000"/>
          <w:kern w:val="0"/>
          <w:sz w:val="24"/>
          <w:szCs w:val="24"/>
          <w:lang w:val="en-US" w:eastAsia="zh-CN" w:bidi="ar"/>
        </w:rPr>
        <w:t>动载系数</w:t>
      </w:r>
      <m:oMath>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sty m:val="p"/>
              </m:rPr>
              <w:rPr>
                <w:rFonts w:hint="default" w:ascii="Cambria Math" w:hAnsi="Cambria Math" w:eastAsia="宋体" w:cs="宋体"/>
                <w:sz w:val="24"/>
                <w:szCs w:val="24"/>
                <w:lang w:val="en-US" w:eastAsia="zh-CN"/>
              </w:rPr>
              <m:t>1</m:t>
            </m:r>
            <m:ctrlPr>
              <w:rPr>
                <w:rFonts w:hint="eastAsia" w:ascii="Cambria Math" w:hAnsi="Cambria Math" w:eastAsia="宋体" w:cs="宋体"/>
                <w:sz w:val="24"/>
                <w:szCs w:val="24"/>
              </w:rPr>
            </m:ctrlPr>
          </m:sub>
        </m:sSub>
      </m:oMath>
      <w:r>
        <w:rPr>
          <w:rFonts w:hint="eastAsia" w:hAnsi="Cambria Math" w:eastAsia="宋体" w:cs="宋体"/>
          <w:i w:val="0"/>
          <w:sz w:val="24"/>
          <w:szCs w:val="24"/>
          <w:lang w:val="en-US" w:eastAsia="zh-CN"/>
        </w:rPr>
        <w:t>=</w:t>
      </w:r>
      <w:r>
        <w:rPr>
          <w:rFonts w:hint="eastAsia" w:ascii="宋体" w:hAnsi="宋体" w:eastAsia="宋体" w:cs="宋体"/>
          <w:color w:val="000000"/>
          <w:kern w:val="0"/>
          <w:sz w:val="24"/>
          <w:szCs w:val="24"/>
          <w:lang w:val="en-US" w:eastAsia="zh-CN" w:bidi="ar"/>
        </w:rPr>
        <w:t>1.2，卸扣重量0.7kg，16mm，钢丝绳重量0.944kg/m，22mm钢丝绳重量1.78kg/m，吊件加吊索具重量为G，安全系数80%。</w:t>
      </w:r>
    </w:p>
    <w:p w14:paraId="3EAAE725">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hAnsi="Cambria Math" w:eastAsia="宋体" w:cs="宋体"/>
          <w:i/>
          <w:sz w:val="24"/>
          <w:szCs w:val="24"/>
        </w:rPr>
      </w:pPr>
      <m:oMathPara>
        <m:oMath>
          <m:r>
            <m:rPr>
              <m:nor/>
              <m:sty m:val="p"/>
            </m:rPr>
            <w:rPr>
              <w:rFonts w:hint="default" w:ascii="Cambria Math" w:hAnsi="Cambria Math" w:eastAsia="宋体" w:cs="宋体"/>
              <w:b w:val="0"/>
              <w:i w:val="0"/>
              <w:sz w:val="24"/>
              <w:szCs w:val="24"/>
              <w:lang w:val="en-US" w:eastAsia="zh-CN"/>
            </w:rPr>
            <m:t>T</m:t>
          </m:r>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default" w:ascii="Cambria Math" w:hAnsi="Cambria Math" w:eastAsia="宋体" w:cs="宋体"/>
                  <w:b w:val="0"/>
                  <w:i w:val="0"/>
                  <w:sz w:val="24"/>
                  <w:szCs w:val="24"/>
                  <w:lang w:val="en-US" w:eastAsia="zh-CN"/>
                </w:rPr>
                <m:t>G</m:t>
              </m:r>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sty m:val="p"/>
                    </m:rPr>
                    <w:rPr>
                      <w:rFonts w:hint="default" w:ascii="Cambria Math" w:hAnsi="Cambria Math" w:eastAsia="宋体" w:cs="宋体"/>
                      <w:sz w:val="24"/>
                      <w:szCs w:val="24"/>
                      <w:lang w:val="en-US" w:eastAsia="zh-CN"/>
                    </w:rPr>
                    <m:t>1</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r>
                <m:rPr>
                  <m:sty m:val="p"/>
                </m:rPr>
                <w:rPr>
                  <w:rFonts w:hint="default" w:ascii="Cambria Math" w:hAnsi="Cambria Math" w:eastAsia="宋体" w:cs="宋体"/>
                  <w:sz w:val="24"/>
                  <w:szCs w:val="24"/>
                  <w:lang w:val="en-US" w:eastAsia="zh-CN"/>
                </w:rPr>
                <m:t>4</m:t>
              </m:r>
              <m:r>
                <m:rPr>
                  <m:sty m:val="p"/>
                </m:rPr>
                <w:rPr>
                  <w:rFonts w:ascii="Cambria Math" w:hAnsi="Cambria Math" w:cs="宋体"/>
                  <w:sz w:val="24"/>
                  <w:szCs w:val="24"/>
                  <w:lang w:val="en-US"/>
                </w:rPr>
                <m:t>×</m:t>
              </m:r>
              <m:func>
                <m:funcPr>
                  <m:ctrlPr>
                    <w:rPr>
                      <w:rFonts w:ascii="Cambria Math" w:hAnsi="Cambria Math" w:cs="宋体"/>
                      <w:sz w:val="24"/>
                      <w:szCs w:val="24"/>
                      <w:lang w:val="en-US"/>
                    </w:rPr>
                  </m:ctrlPr>
                </m:funcPr>
                <m:fName>
                  <m:r>
                    <m:rPr>
                      <m:sty m:val="p"/>
                    </m:rPr>
                    <w:rPr>
                      <w:rFonts w:ascii="Cambria Math" w:hAnsi="Cambria Math" w:cs="宋体"/>
                      <w:sz w:val="24"/>
                      <w:szCs w:val="24"/>
                      <w:lang w:val="en-US"/>
                    </w:rPr>
                    <m:t>cos</m:t>
                  </m:r>
                  <m:ctrlPr>
                    <w:rPr>
                      <w:rFonts w:ascii="Cambria Math" w:hAnsi="Cambria Math" w:cs="宋体"/>
                      <w:sz w:val="24"/>
                      <w:szCs w:val="24"/>
                      <w:lang w:val="en-US"/>
                    </w:rPr>
                  </m:ctrlPr>
                </m:fName>
                <m:e>
                  <m:r>
                    <m:rPr>
                      <m:sty m:val="p"/>
                    </m:rPr>
                    <w:rPr>
                      <w:rFonts w:hint="default" w:ascii="Cambria Math" w:hAnsi="Cambria Math" w:cs="宋体"/>
                      <w:sz w:val="24"/>
                      <w:szCs w:val="24"/>
                      <w:lang w:val="en-US" w:eastAsia="zh-CN"/>
                    </w:rPr>
                    <m:t>22.5</m:t>
                  </m:r>
                  <m:ctrlPr>
                    <w:rPr>
                      <w:rFonts w:ascii="Cambria Math" w:hAnsi="Cambria Math" w:cs="宋体"/>
                      <w:sz w:val="24"/>
                      <w:szCs w:val="24"/>
                      <w:lang w:val="en-US"/>
                    </w:rPr>
                  </m:ctrlPr>
                </m:e>
              </m:func>
              <m:r>
                <m:rPr>
                  <m:sty m:val="p"/>
                </m:rPr>
                <w:rPr>
                  <w:rFonts w:hint="eastAsia" w:ascii="Cambria Math" w:hAnsi="Cambria Math" w:cs="宋体"/>
                  <w:sz w:val="24"/>
                  <w:szCs w:val="24"/>
                  <w:lang w:val="en-US" w:eastAsia="zh-CN"/>
                </w:rPr>
                <m:t>°</m:t>
              </m:r>
              <m:ctrlPr>
                <w:rPr>
                  <w:rFonts w:hint="eastAsia" w:ascii="Cambria Math" w:hAnsi="Cambria Math" w:eastAsia="宋体" w:cs="宋体"/>
                  <w:sz w:val="24"/>
                  <w:szCs w:val="24"/>
                </w:rPr>
              </m:ctrlPr>
            </m:den>
          </m:f>
        </m:oMath>
      </m:oMathPara>
    </w:p>
    <w:p w14:paraId="1E063BE9">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T——拉力</w:t>
      </w:r>
    </w:p>
    <w:p w14:paraId="511196CB">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G——构件、卸扣及钢丝绳总重量</w:t>
      </w:r>
    </w:p>
    <w:p w14:paraId="6B0FE944">
      <w:pPr>
        <w:keepNext w:val="0"/>
        <w:keepLines w:val="0"/>
        <w:widowControl/>
        <w:suppressLineNumbers w:val="0"/>
        <w:jc w:val="left"/>
        <w:rPr>
          <w:rFonts w:hint="eastAsia" w:hAnsi="Cambria Math" w:eastAsia="宋体" w:cs="宋体"/>
          <w:i/>
          <w:sz w:val="24"/>
          <w:szCs w:val="24"/>
          <w:lang w:val="en-US" w:eastAsia="zh-CN"/>
        </w:rPr>
      </w:pPr>
      <m:oMath>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sty m:val="p"/>
              </m:rPr>
              <w:rPr>
                <w:rFonts w:hint="default" w:ascii="Cambria Math" w:hAnsi="Cambria Math" w:eastAsia="宋体" w:cs="宋体"/>
                <w:sz w:val="24"/>
                <w:szCs w:val="24"/>
                <w:lang w:val="en-US" w:eastAsia="zh-CN"/>
              </w:rPr>
              <m:t>1</m:t>
            </m:r>
            <m:ctrlPr>
              <w:rPr>
                <w:rFonts w:hint="eastAsia" w:ascii="Cambria Math" w:hAnsi="Cambria Math" w:eastAsia="宋体" w:cs="宋体"/>
                <w:sz w:val="24"/>
                <w:szCs w:val="24"/>
              </w:rPr>
            </m:ctrlPr>
          </m:sub>
        </m:sSub>
      </m:oMath>
      <w:r>
        <w:rPr>
          <w:rFonts w:hint="eastAsia" w:hAnsi="Cambria Math" w:eastAsia="宋体" w:cs="宋体"/>
          <w:i w:val="0"/>
          <w:sz w:val="24"/>
          <w:szCs w:val="24"/>
          <w:lang w:eastAsia="zh-CN"/>
        </w:rPr>
        <w:t>——</w:t>
      </w:r>
      <w:r>
        <w:rPr>
          <w:rFonts w:hint="eastAsia" w:hAnsi="Cambria Math" w:eastAsia="宋体" w:cs="宋体"/>
          <w:i w:val="0"/>
          <w:sz w:val="24"/>
          <w:szCs w:val="24"/>
          <w:lang w:val="en-US" w:eastAsia="zh-CN"/>
        </w:rPr>
        <w:t>动载系数</w:t>
      </w:r>
    </w:p>
    <w:tbl>
      <w:tblPr>
        <w:tblStyle w:val="33"/>
        <w:tblpPr w:leftFromText="180" w:rightFromText="180" w:vertAnchor="text" w:horzAnchor="page" w:tblpXSpec="center" w:tblpY="229"/>
        <w:tblOverlap w:val="never"/>
        <w:tblW w:w="10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03"/>
        <w:gridCol w:w="972"/>
        <w:gridCol w:w="588"/>
        <w:gridCol w:w="625"/>
        <w:gridCol w:w="722"/>
        <w:gridCol w:w="628"/>
        <w:gridCol w:w="762"/>
        <w:gridCol w:w="3379"/>
        <w:gridCol w:w="1896"/>
      </w:tblGrid>
      <w:tr w14:paraId="0B33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0875" w:type="dxa"/>
            <w:gridSpan w:val="9"/>
            <w:tcBorders>
              <w:tl2br w:val="nil"/>
              <w:tr2bl w:val="nil"/>
            </w:tcBorders>
            <w:shd w:val="clear" w:color="auto" w:fill="auto"/>
            <w:noWrap/>
            <w:vAlign w:val="center"/>
          </w:tcPr>
          <w:p w14:paraId="039A501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索具卸扣</w:t>
            </w:r>
          </w:p>
        </w:tc>
      </w:tr>
      <w:tr w14:paraId="0986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6BCEDE8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名称</w:t>
            </w:r>
          </w:p>
        </w:tc>
        <w:tc>
          <w:tcPr>
            <w:tcW w:w="972" w:type="dxa"/>
            <w:tcBorders>
              <w:tl2br w:val="nil"/>
              <w:tr2bl w:val="nil"/>
            </w:tcBorders>
            <w:shd w:val="clear" w:color="auto" w:fill="auto"/>
            <w:noWrap/>
            <w:vAlign w:val="center"/>
          </w:tcPr>
          <w:p w14:paraId="62E099E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吊装方式</w:t>
            </w:r>
          </w:p>
        </w:tc>
        <w:tc>
          <w:tcPr>
            <w:tcW w:w="588" w:type="dxa"/>
            <w:tcBorders>
              <w:tl2br w:val="nil"/>
              <w:tr2bl w:val="nil"/>
            </w:tcBorders>
            <w:shd w:val="clear" w:color="auto" w:fill="auto"/>
            <w:noWrap/>
            <w:vAlign w:val="center"/>
          </w:tcPr>
          <w:p w14:paraId="0BC4C97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长度</w:t>
            </w:r>
            <w:r>
              <w:rPr>
                <w:rStyle w:val="76"/>
                <w:rFonts w:eastAsia="新宋体"/>
                <w:lang w:val="en-US" w:eastAsia="zh-CN" w:bidi="ar"/>
              </w:rPr>
              <w:t>(m)</w:t>
            </w:r>
          </w:p>
        </w:tc>
        <w:tc>
          <w:tcPr>
            <w:tcW w:w="625" w:type="dxa"/>
            <w:tcBorders>
              <w:tl2br w:val="nil"/>
              <w:tr2bl w:val="nil"/>
            </w:tcBorders>
            <w:shd w:val="clear" w:color="auto" w:fill="auto"/>
            <w:noWrap/>
            <w:vAlign w:val="center"/>
          </w:tcPr>
          <w:p w14:paraId="1AB61BC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直径</w:t>
            </w:r>
            <w:r>
              <w:rPr>
                <w:rStyle w:val="76"/>
                <w:rFonts w:eastAsia="新宋体"/>
                <w:lang w:val="en-US" w:eastAsia="zh-CN" w:bidi="ar"/>
              </w:rPr>
              <w:t>(mm)</w:t>
            </w:r>
          </w:p>
        </w:tc>
        <w:tc>
          <w:tcPr>
            <w:tcW w:w="722" w:type="dxa"/>
            <w:tcBorders>
              <w:tl2br w:val="nil"/>
              <w:tr2bl w:val="nil"/>
            </w:tcBorders>
            <w:shd w:val="clear" w:color="auto" w:fill="auto"/>
            <w:noWrap/>
            <w:vAlign w:val="center"/>
          </w:tcPr>
          <w:p w14:paraId="77AC4BC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夹角</w:t>
            </w:r>
            <w:r>
              <w:rPr>
                <w:rStyle w:val="76"/>
                <w:rFonts w:eastAsia="新宋体"/>
                <w:lang w:val="en-US" w:eastAsia="zh-CN" w:bidi="ar"/>
              </w:rPr>
              <w:t>(°)</w:t>
            </w:r>
          </w:p>
        </w:tc>
        <w:tc>
          <w:tcPr>
            <w:tcW w:w="628" w:type="dxa"/>
            <w:tcBorders>
              <w:tl2br w:val="nil"/>
              <w:tr2bl w:val="nil"/>
            </w:tcBorders>
            <w:shd w:val="clear" w:color="auto" w:fill="auto"/>
            <w:noWrap/>
            <w:vAlign w:val="center"/>
          </w:tcPr>
          <w:p w14:paraId="4FCECE9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应许力</w:t>
            </w:r>
            <w:r>
              <w:rPr>
                <w:rStyle w:val="76"/>
                <w:rFonts w:eastAsia="新宋体"/>
                <w:lang w:val="en-US" w:eastAsia="zh-CN" w:bidi="ar"/>
              </w:rPr>
              <w:t>(kN)</w:t>
            </w:r>
          </w:p>
        </w:tc>
        <w:tc>
          <w:tcPr>
            <w:tcW w:w="762" w:type="dxa"/>
            <w:tcBorders>
              <w:tl2br w:val="nil"/>
              <w:tr2bl w:val="nil"/>
            </w:tcBorders>
            <w:shd w:val="clear" w:color="auto" w:fill="auto"/>
            <w:noWrap/>
            <w:vAlign w:val="center"/>
          </w:tcPr>
          <w:p w14:paraId="598EEB8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拉力</w:t>
            </w:r>
            <w:r>
              <w:rPr>
                <w:rStyle w:val="76"/>
                <w:rFonts w:eastAsia="新宋体"/>
                <w:lang w:val="en-US" w:eastAsia="zh-CN" w:bidi="ar"/>
              </w:rPr>
              <w:t>T(kN)</w:t>
            </w:r>
          </w:p>
        </w:tc>
        <w:tc>
          <w:tcPr>
            <w:tcW w:w="3379" w:type="dxa"/>
            <w:tcBorders>
              <w:tl2br w:val="nil"/>
              <w:tr2bl w:val="nil"/>
            </w:tcBorders>
            <w:shd w:val="clear" w:color="auto" w:fill="auto"/>
            <w:noWrap/>
            <w:vAlign w:val="center"/>
          </w:tcPr>
          <w:p w14:paraId="6F596A2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索具类型</w:t>
            </w:r>
          </w:p>
        </w:tc>
        <w:tc>
          <w:tcPr>
            <w:tcW w:w="1896" w:type="dxa"/>
            <w:tcBorders>
              <w:tl2br w:val="nil"/>
              <w:tr2bl w:val="nil"/>
            </w:tcBorders>
            <w:shd w:val="clear" w:color="auto" w:fill="auto"/>
            <w:noWrap/>
            <w:vAlign w:val="center"/>
          </w:tcPr>
          <w:p w14:paraId="063C5DE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卸扣类型</w:t>
            </w:r>
          </w:p>
        </w:tc>
      </w:tr>
      <w:tr w14:paraId="1B27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3268109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基础节</w:t>
            </w:r>
          </w:p>
        </w:tc>
        <w:tc>
          <w:tcPr>
            <w:tcW w:w="972" w:type="dxa"/>
            <w:tcBorders>
              <w:tl2br w:val="nil"/>
              <w:tr2bl w:val="nil"/>
            </w:tcBorders>
            <w:shd w:val="clear" w:color="auto" w:fill="auto"/>
            <w:noWrap/>
            <w:vAlign w:val="center"/>
          </w:tcPr>
          <w:p w14:paraId="20E8D2C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绳</w:t>
            </w: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48191B6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w:t>
            </w:r>
          </w:p>
        </w:tc>
        <w:tc>
          <w:tcPr>
            <w:tcW w:w="625" w:type="dxa"/>
            <w:tcBorders>
              <w:tl2br w:val="nil"/>
              <w:tr2bl w:val="nil"/>
            </w:tcBorders>
            <w:shd w:val="clear" w:color="auto" w:fill="auto"/>
            <w:noWrap/>
            <w:vAlign w:val="center"/>
          </w:tcPr>
          <w:p w14:paraId="421A3EA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highlight w:val="none"/>
                <w:u w:val="none"/>
                <w:lang w:val="en-US" w:eastAsia="zh-CN" w:bidi="ar"/>
              </w:rPr>
              <w:t>16</w:t>
            </w:r>
          </w:p>
        </w:tc>
        <w:tc>
          <w:tcPr>
            <w:tcW w:w="722" w:type="dxa"/>
            <w:tcBorders>
              <w:tl2br w:val="nil"/>
              <w:tr2bl w:val="nil"/>
            </w:tcBorders>
            <w:shd w:val="clear" w:color="auto" w:fill="auto"/>
            <w:noWrap/>
            <w:vAlign w:val="center"/>
          </w:tcPr>
          <w:p w14:paraId="1EF8B41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628" w:type="dxa"/>
            <w:tcBorders>
              <w:tl2br w:val="nil"/>
              <w:tr2bl w:val="nil"/>
            </w:tcBorders>
            <w:shd w:val="clear" w:color="auto" w:fill="auto"/>
            <w:noWrap/>
            <w:vAlign w:val="center"/>
          </w:tcPr>
          <w:p w14:paraId="03497CF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highlight w:val="none"/>
                <w:u w:val="none"/>
                <w:lang w:val="en-US" w:eastAsia="zh-CN" w:bidi="ar"/>
              </w:rPr>
              <w:t>26.34</w:t>
            </w:r>
          </w:p>
        </w:tc>
        <w:tc>
          <w:tcPr>
            <w:tcW w:w="762" w:type="dxa"/>
            <w:tcBorders>
              <w:tl2br w:val="nil"/>
              <w:tr2bl w:val="nil"/>
            </w:tcBorders>
            <w:shd w:val="clear" w:color="auto" w:fill="auto"/>
            <w:noWrap/>
            <w:vAlign w:val="center"/>
          </w:tcPr>
          <w:p w14:paraId="5A1CADC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0.45</w:t>
            </w:r>
          </w:p>
        </w:tc>
        <w:tc>
          <w:tcPr>
            <w:tcW w:w="3379" w:type="dxa"/>
            <w:tcBorders>
              <w:tl2br w:val="nil"/>
              <w:tr2bl w:val="nil"/>
            </w:tcBorders>
            <w:shd w:val="clear" w:color="auto" w:fill="auto"/>
            <w:noWrap/>
            <w:vAlign w:val="center"/>
          </w:tcPr>
          <w:p w14:paraId="6EEE70F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16mm6×19S+FC1870Mpa</w:t>
            </w:r>
            <w:r>
              <w:rPr>
                <w:rFonts w:hint="default" w:ascii="Times New Roman" w:hAnsi="Times New Roman" w:eastAsia="宋体" w:cs="Times New Roman"/>
                <w:i w:val="0"/>
                <w:iCs w:val="0"/>
                <w:color w:val="000000"/>
                <w:kern w:val="0"/>
                <w:sz w:val="18"/>
                <w:szCs w:val="18"/>
                <w:u w:val="none"/>
                <w:lang w:val="en-US" w:eastAsia="zh-CN" w:bidi="ar"/>
              </w:rPr>
              <w:t>纤维芯钢丝绳</w:t>
            </w:r>
          </w:p>
        </w:tc>
        <w:tc>
          <w:tcPr>
            <w:tcW w:w="1896" w:type="dxa"/>
            <w:tcBorders>
              <w:tl2br w:val="nil"/>
              <w:tr2bl w:val="nil"/>
            </w:tcBorders>
            <w:shd w:val="clear" w:color="auto" w:fill="auto"/>
            <w:noWrap/>
            <w:vAlign w:val="center"/>
          </w:tcPr>
          <w:p w14:paraId="4F2E0BE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GB/T 25854-6-DW5</w:t>
            </w:r>
          </w:p>
        </w:tc>
      </w:tr>
      <w:tr w14:paraId="1242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69DCE3A7">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sz w:val="18"/>
                <w:szCs w:val="18"/>
                <w:u w:val="none"/>
                <w:lang w:val="en-US" w:eastAsia="zh-CN"/>
              </w:rPr>
              <w:t>标准节</w:t>
            </w:r>
          </w:p>
        </w:tc>
        <w:tc>
          <w:tcPr>
            <w:tcW w:w="972" w:type="dxa"/>
            <w:tcBorders>
              <w:tl2br w:val="nil"/>
              <w:tr2bl w:val="nil"/>
            </w:tcBorders>
            <w:shd w:val="clear" w:color="auto" w:fill="auto"/>
            <w:noWrap/>
            <w:vAlign w:val="center"/>
          </w:tcPr>
          <w:p w14:paraId="495C02F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绳</w:t>
            </w: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22181E7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 </w:t>
            </w:r>
          </w:p>
        </w:tc>
        <w:tc>
          <w:tcPr>
            <w:tcW w:w="625" w:type="dxa"/>
            <w:tcBorders>
              <w:tl2br w:val="nil"/>
              <w:tr2bl w:val="nil"/>
            </w:tcBorders>
            <w:shd w:val="clear" w:color="auto" w:fill="auto"/>
            <w:noWrap/>
            <w:vAlign w:val="center"/>
          </w:tcPr>
          <w:p w14:paraId="7AAE827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highlight w:val="none"/>
                <w:u w:val="none"/>
                <w:lang w:val="en-US" w:eastAsia="zh-CN" w:bidi="ar"/>
              </w:rPr>
              <w:t>16</w:t>
            </w:r>
          </w:p>
        </w:tc>
        <w:tc>
          <w:tcPr>
            <w:tcW w:w="722" w:type="dxa"/>
            <w:tcBorders>
              <w:tl2br w:val="nil"/>
              <w:tr2bl w:val="nil"/>
            </w:tcBorders>
            <w:shd w:val="clear" w:color="auto" w:fill="auto"/>
            <w:noWrap/>
            <w:vAlign w:val="center"/>
          </w:tcPr>
          <w:p w14:paraId="22C3EE9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628" w:type="dxa"/>
            <w:tcBorders>
              <w:tl2br w:val="nil"/>
              <w:tr2bl w:val="nil"/>
            </w:tcBorders>
            <w:shd w:val="clear" w:color="auto" w:fill="auto"/>
            <w:noWrap/>
            <w:vAlign w:val="center"/>
          </w:tcPr>
          <w:p w14:paraId="761C21F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highlight w:val="none"/>
                <w:u w:val="none"/>
                <w:lang w:val="en-US" w:eastAsia="zh-CN" w:bidi="ar"/>
              </w:rPr>
              <w:t>26.34</w:t>
            </w:r>
          </w:p>
        </w:tc>
        <w:tc>
          <w:tcPr>
            <w:tcW w:w="762" w:type="dxa"/>
            <w:tcBorders>
              <w:tl2br w:val="nil"/>
              <w:tr2bl w:val="nil"/>
            </w:tcBorders>
            <w:shd w:val="clear" w:color="auto" w:fill="auto"/>
            <w:noWrap/>
            <w:vAlign w:val="center"/>
          </w:tcPr>
          <w:p w14:paraId="63DB175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0.28</w:t>
            </w:r>
          </w:p>
        </w:tc>
        <w:tc>
          <w:tcPr>
            <w:tcW w:w="3379" w:type="dxa"/>
            <w:tcBorders>
              <w:tl2br w:val="nil"/>
              <w:tr2bl w:val="nil"/>
            </w:tcBorders>
            <w:shd w:val="clear" w:color="auto" w:fill="auto"/>
            <w:noWrap/>
            <w:vAlign w:val="center"/>
          </w:tcPr>
          <w:p w14:paraId="179E50C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16mm6×19S+FC1870Mpa</w:t>
            </w:r>
            <w:r>
              <w:rPr>
                <w:rFonts w:hint="default" w:ascii="Times New Roman" w:hAnsi="Times New Roman" w:eastAsia="宋体" w:cs="Times New Roman"/>
                <w:i w:val="0"/>
                <w:iCs w:val="0"/>
                <w:color w:val="000000"/>
                <w:kern w:val="0"/>
                <w:sz w:val="18"/>
                <w:szCs w:val="18"/>
                <w:u w:val="none"/>
                <w:lang w:val="en-US" w:eastAsia="zh-CN" w:bidi="ar"/>
              </w:rPr>
              <w:t>纤维芯钢丝绳</w:t>
            </w:r>
          </w:p>
        </w:tc>
        <w:tc>
          <w:tcPr>
            <w:tcW w:w="1896" w:type="dxa"/>
            <w:tcBorders>
              <w:tl2br w:val="nil"/>
              <w:tr2bl w:val="nil"/>
            </w:tcBorders>
            <w:shd w:val="clear" w:color="auto" w:fill="auto"/>
            <w:noWrap/>
            <w:vAlign w:val="center"/>
          </w:tcPr>
          <w:p w14:paraId="7C9E215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GB/T 25854-6-DW5</w:t>
            </w:r>
          </w:p>
        </w:tc>
      </w:tr>
      <w:tr w14:paraId="796F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5F41D27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sz w:val="18"/>
                <w:szCs w:val="18"/>
                <w:u w:val="none"/>
                <w:lang w:val="en-US" w:eastAsia="zh-CN"/>
              </w:rPr>
              <w:t>特殊节</w:t>
            </w:r>
          </w:p>
        </w:tc>
        <w:tc>
          <w:tcPr>
            <w:tcW w:w="972" w:type="dxa"/>
            <w:tcBorders>
              <w:tl2br w:val="nil"/>
              <w:tr2bl w:val="nil"/>
            </w:tcBorders>
            <w:shd w:val="clear" w:color="auto" w:fill="auto"/>
            <w:noWrap/>
            <w:vAlign w:val="center"/>
          </w:tcPr>
          <w:p w14:paraId="34F41CE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绳</w:t>
            </w: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0183ED67">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 </w:t>
            </w:r>
          </w:p>
        </w:tc>
        <w:tc>
          <w:tcPr>
            <w:tcW w:w="625" w:type="dxa"/>
            <w:tcBorders>
              <w:tl2br w:val="nil"/>
              <w:tr2bl w:val="nil"/>
            </w:tcBorders>
            <w:shd w:val="clear" w:color="auto" w:fill="auto"/>
            <w:noWrap/>
            <w:vAlign w:val="center"/>
          </w:tcPr>
          <w:p w14:paraId="3C523A9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highlight w:val="none"/>
                <w:u w:val="none"/>
                <w:lang w:val="en-US" w:eastAsia="zh-CN" w:bidi="ar"/>
              </w:rPr>
              <w:t>16</w:t>
            </w:r>
          </w:p>
        </w:tc>
        <w:tc>
          <w:tcPr>
            <w:tcW w:w="722" w:type="dxa"/>
            <w:tcBorders>
              <w:tl2br w:val="nil"/>
              <w:tr2bl w:val="nil"/>
            </w:tcBorders>
            <w:shd w:val="clear" w:color="auto" w:fill="auto"/>
            <w:noWrap/>
            <w:vAlign w:val="center"/>
          </w:tcPr>
          <w:p w14:paraId="15A2123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628" w:type="dxa"/>
            <w:tcBorders>
              <w:tl2br w:val="nil"/>
              <w:tr2bl w:val="nil"/>
            </w:tcBorders>
            <w:shd w:val="clear" w:color="auto" w:fill="auto"/>
            <w:noWrap/>
            <w:vAlign w:val="center"/>
          </w:tcPr>
          <w:p w14:paraId="1296F0E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highlight w:val="none"/>
                <w:u w:val="none"/>
                <w:lang w:val="en-US" w:eastAsia="zh-CN" w:bidi="ar"/>
              </w:rPr>
              <w:t>26.34</w:t>
            </w:r>
          </w:p>
        </w:tc>
        <w:tc>
          <w:tcPr>
            <w:tcW w:w="762" w:type="dxa"/>
            <w:tcBorders>
              <w:tl2br w:val="nil"/>
              <w:tr2bl w:val="nil"/>
            </w:tcBorders>
            <w:shd w:val="clear" w:color="auto" w:fill="auto"/>
            <w:noWrap/>
            <w:vAlign w:val="center"/>
          </w:tcPr>
          <w:p w14:paraId="5F0D8E6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0.42</w:t>
            </w:r>
          </w:p>
        </w:tc>
        <w:tc>
          <w:tcPr>
            <w:tcW w:w="3379" w:type="dxa"/>
            <w:tcBorders>
              <w:tl2br w:val="nil"/>
              <w:tr2bl w:val="nil"/>
            </w:tcBorders>
            <w:shd w:val="clear" w:color="auto" w:fill="auto"/>
            <w:noWrap/>
            <w:vAlign w:val="center"/>
          </w:tcPr>
          <w:p w14:paraId="7297DFE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16mm6×19S+FC1870Mpa</w:t>
            </w:r>
            <w:r>
              <w:rPr>
                <w:rFonts w:hint="default" w:ascii="Times New Roman" w:hAnsi="Times New Roman" w:eastAsia="宋体" w:cs="Times New Roman"/>
                <w:i w:val="0"/>
                <w:iCs w:val="0"/>
                <w:color w:val="000000"/>
                <w:kern w:val="0"/>
                <w:sz w:val="18"/>
                <w:szCs w:val="18"/>
                <w:u w:val="none"/>
                <w:lang w:val="en-US" w:eastAsia="zh-CN" w:bidi="ar"/>
              </w:rPr>
              <w:t>纤维芯钢丝绳</w:t>
            </w:r>
          </w:p>
        </w:tc>
        <w:tc>
          <w:tcPr>
            <w:tcW w:w="1896" w:type="dxa"/>
            <w:tcBorders>
              <w:tl2br w:val="nil"/>
              <w:tr2bl w:val="nil"/>
            </w:tcBorders>
            <w:shd w:val="clear" w:color="auto" w:fill="auto"/>
            <w:noWrap/>
            <w:vAlign w:val="center"/>
          </w:tcPr>
          <w:p w14:paraId="1D3A8B7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GB/T 25854-6-DW5</w:t>
            </w:r>
          </w:p>
        </w:tc>
      </w:tr>
      <w:tr w14:paraId="5D4D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303" w:type="dxa"/>
            <w:tcBorders>
              <w:tl2br w:val="nil"/>
              <w:tr2bl w:val="nil"/>
            </w:tcBorders>
            <w:shd w:val="clear" w:color="auto" w:fill="auto"/>
            <w:noWrap/>
            <w:vAlign w:val="center"/>
          </w:tcPr>
          <w:p w14:paraId="0933A72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sz w:val="18"/>
                <w:szCs w:val="18"/>
                <w:u w:val="none"/>
                <w:lang w:val="en-US" w:eastAsia="zh-CN"/>
              </w:rPr>
              <w:t>爬升架</w:t>
            </w:r>
          </w:p>
        </w:tc>
        <w:tc>
          <w:tcPr>
            <w:tcW w:w="972" w:type="dxa"/>
            <w:tcBorders>
              <w:tl2br w:val="nil"/>
              <w:tr2bl w:val="nil"/>
            </w:tcBorders>
            <w:shd w:val="clear" w:color="auto" w:fill="auto"/>
            <w:noWrap/>
            <w:vAlign w:val="center"/>
          </w:tcPr>
          <w:p w14:paraId="27B97EB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绳</w:t>
            </w: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6DD83D5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 </w:t>
            </w:r>
          </w:p>
        </w:tc>
        <w:tc>
          <w:tcPr>
            <w:tcW w:w="625" w:type="dxa"/>
            <w:tcBorders>
              <w:tl2br w:val="nil"/>
              <w:tr2bl w:val="nil"/>
            </w:tcBorders>
            <w:shd w:val="clear" w:color="auto" w:fill="auto"/>
            <w:noWrap/>
            <w:vAlign w:val="center"/>
          </w:tcPr>
          <w:p w14:paraId="32FCBB6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highlight w:val="none"/>
                <w:u w:val="none"/>
                <w:lang w:val="en-US" w:eastAsia="zh-CN" w:bidi="ar"/>
              </w:rPr>
              <w:t>16</w:t>
            </w:r>
          </w:p>
        </w:tc>
        <w:tc>
          <w:tcPr>
            <w:tcW w:w="722" w:type="dxa"/>
            <w:tcBorders>
              <w:tl2br w:val="nil"/>
              <w:tr2bl w:val="nil"/>
            </w:tcBorders>
            <w:shd w:val="clear" w:color="auto" w:fill="auto"/>
            <w:noWrap/>
            <w:vAlign w:val="center"/>
          </w:tcPr>
          <w:p w14:paraId="62DBA45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628" w:type="dxa"/>
            <w:tcBorders>
              <w:tl2br w:val="nil"/>
              <w:tr2bl w:val="nil"/>
            </w:tcBorders>
            <w:shd w:val="clear" w:color="auto" w:fill="auto"/>
            <w:noWrap/>
            <w:vAlign w:val="center"/>
          </w:tcPr>
          <w:p w14:paraId="295AE70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highlight w:val="none"/>
                <w:u w:val="none"/>
                <w:lang w:val="en-US" w:eastAsia="zh-CN" w:bidi="ar"/>
              </w:rPr>
              <w:t>26.34</w:t>
            </w:r>
          </w:p>
        </w:tc>
        <w:tc>
          <w:tcPr>
            <w:tcW w:w="762" w:type="dxa"/>
            <w:tcBorders>
              <w:tl2br w:val="nil"/>
              <w:tr2bl w:val="nil"/>
            </w:tcBorders>
            <w:shd w:val="clear" w:color="auto" w:fill="auto"/>
            <w:noWrap/>
            <w:vAlign w:val="center"/>
          </w:tcPr>
          <w:p w14:paraId="0683DCB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1.17</w:t>
            </w:r>
          </w:p>
        </w:tc>
        <w:tc>
          <w:tcPr>
            <w:tcW w:w="3379" w:type="dxa"/>
            <w:tcBorders>
              <w:tl2br w:val="nil"/>
              <w:tr2bl w:val="nil"/>
            </w:tcBorders>
            <w:shd w:val="clear" w:color="auto" w:fill="auto"/>
            <w:noWrap/>
            <w:vAlign w:val="center"/>
          </w:tcPr>
          <w:p w14:paraId="2EA9AAF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16mm6×19S+FC1870Mpa</w:t>
            </w:r>
            <w:r>
              <w:rPr>
                <w:rFonts w:hint="default" w:ascii="Times New Roman" w:hAnsi="Times New Roman" w:eastAsia="宋体" w:cs="Times New Roman"/>
                <w:i w:val="0"/>
                <w:iCs w:val="0"/>
                <w:color w:val="000000"/>
                <w:kern w:val="0"/>
                <w:sz w:val="18"/>
                <w:szCs w:val="18"/>
                <w:u w:val="none"/>
                <w:lang w:val="en-US" w:eastAsia="zh-CN" w:bidi="ar"/>
              </w:rPr>
              <w:t>纤维芯钢丝绳</w:t>
            </w:r>
          </w:p>
        </w:tc>
        <w:tc>
          <w:tcPr>
            <w:tcW w:w="1896" w:type="dxa"/>
            <w:tcBorders>
              <w:tl2br w:val="nil"/>
              <w:tr2bl w:val="nil"/>
            </w:tcBorders>
            <w:shd w:val="clear" w:color="auto" w:fill="auto"/>
            <w:noWrap/>
            <w:vAlign w:val="center"/>
          </w:tcPr>
          <w:p w14:paraId="3F190B3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GB/T 25854-6-DW5</w:t>
            </w:r>
          </w:p>
        </w:tc>
      </w:tr>
      <w:tr w14:paraId="0AEB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0454C0BE">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sz w:val="18"/>
                <w:szCs w:val="18"/>
                <w:u w:val="none"/>
                <w:lang w:val="en-US" w:eastAsia="zh-CN"/>
              </w:rPr>
              <w:t>回转总成</w:t>
            </w:r>
          </w:p>
        </w:tc>
        <w:tc>
          <w:tcPr>
            <w:tcW w:w="972" w:type="dxa"/>
            <w:tcBorders>
              <w:tl2br w:val="nil"/>
              <w:tr2bl w:val="nil"/>
            </w:tcBorders>
            <w:shd w:val="clear" w:color="auto" w:fill="auto"/>
            <w:noWrap/>
            <w:vAlign w:val="center"/>
          </w:tcPr>
          <w:p w14:paraId="698AA987">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绳</w:t>
            </w: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73DA7CE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eastAsia="宋体" w:cs="Times New Roman"/>
                <w:i w:val="0"/>
                <w:iCs w:val="0"/>
                <w:color w:val="000000"/>
                <w:kern w:val="0"/>
                <w:sz w:val="18"/>
                <w:szCs w:val="18"/>
                <w:highlight w:val="none"/>
                <w:u w:val="none"/>
                <w:lang w:val="en-US" w:eastAsia="zh-CN" w:bidi="ar"/>
              </w:rPr>
              <w:t>8</w:t>
            </w:r>
          </w:p>
        </w:tc>
        <w:tc>
          <w:tcPr>
            <w:tcW w:w="625" w:type="dxa"/>
            <w:tcBorders>
              <w:tl2br w:val="nil"/>
              <w:tr2bl w:val="nil"/>
            </w:tcBorders>
            <w:shd w:val="clear" w:color="auto" w:fill="auto"/>
            <w:noWrap/>
            <w:vAlign w:val="center"/>
          </w:tcPr>
          <w:p w14:paraId="5ED748E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eastAsia="宋体" w:cs="Times New Roman"/>
                <w:i w:val="0"/>
                <w:iCs w:val="0"/>
                <w:color w:val="000000"/>
                <w:kern w:val="0"/>
                <w:sz w:val="18"/>
                <w:szCs w:val="18"/>
                <w:highlight w:val="none"/>
                <w:u w:val="none"/>
                <w:lang w:val="en-US" w:eastAsia="zh-CN" w:bidi="ar"/>
              </w:rPr>
              <w:t>16</w:t>
            </w:r>
          </w:p>
        </w:tc>
        <w:tc>
          <w:tcPr>
            <w:tcW w:w="722" w:type="dxa"/>
            <w:tcBorders>
              <w:tl2br w:val="nil"/>
              <w:tr2bl w:val="nil"/>
            </w:tcBorders>
            <w:shd w:val="clear" w:color="auto" w:fill="auto"/>
            <w:noWrap/>
            <w:vAlign w:val="center"/>
          </w:tcPr>
          <w:p w14:paraId="0EC8B1D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45.0</w:t>
            </w:r>
          </w:p>
        </w:tc>
        <w:tc>
          <w:tcPr>
            <w:tcW w:w="628" w:type="dxa"/>
            <w:tcBorders>
              <w:tl2br w:val="nil"/>
              <w:tr2bl w:val="nil"/>
            </w:tcBorders>
            <w:shd w:val="clear" w:color="auto" w:fill="auto"/>
            <w:noWrap/>
            <w:vAlign w:val="center"/>
          </w:tcPr>
          <w:p w14:paraId="338F3B1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eastAsia="宋体" w:cs="Times New Roman"/>
                <w:i w:val="0"/>
                <w:iCs w:val="0"/>
                <w:color w:val="000000"/>
                <w:kern w:val="0"/>
                <w:sz w:val="18"/>
                <w:szCs w:val="18"/>
                <w:highlight w:val="none"/>
                <w:u w:val="none"/>
                <w:lang w:val="en-US" w:eastAsia="zh-CN" w:bidi="ar"/>
              </w:rPr>
              <w:t>26.34</w:t>
            </w:r>
          </w:p>
        </w:tc>
        <w:tc>
          <w:tcPr>
            <w:tcW w:w="762" w:type="dxa"/>
            <w:tcBorders>
              <w:tl2br w:val="nil"/>
              <w:tr2bl w:val="nil"/>
            </w:tcBorders>
            <w:shd w:val="clear" w:color="auto" w:fill="auto"/>
            <w:noWrap/>
            <w:vAlign w:val="center"/>
          </w:tcPr>
          <w:p w14:paraId="4179A1D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1.07</w:t>
            </w:r>
          </w:p>
        </w:tc>
        <w:tc>
          <w:tcPr>
            <w:tcW w:w="3379" w:type="dxa"/>
            <w:tcBorders>
              <w:tl2br w:val="nil"/>
              <w:tr2bl w:val="nil"/>
            </w:tcBorders>
            <w:shd w:val="clear" w:color="auto" w:fill="auto"/>
            <w:noWrap/>
            <w:vAlign w:val="center"/>
          </w:tcPr>
          <w:p w14:paraId="3FCC4C6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16mm6×19S+FC1870Mpa</w:t>
            </w:r>
            <w:r>
              <w:rPr>
                <w:rFonts w:hint="default" w:ascii="Times New Roman" w:hAnsi="Times New Roman" w:eastAsia="宋体" w:cs="Times New Roman"/>
                <w:i w:val="0"/>
                <w:iCs w:val="0"/>
                <w:color w:val="000000"/>
                <w:kern w:val="0"/>
                <w:sz w:val="18"/>
                <w:szCs w:val="18"/>
                <w:u w:val="none"/>
                <w:lang w:val="en-US" w:eastAsia="zh-CN" w:bidi="ar"/>
              </w:rPr>
              <w:t>纤维芯钢丝绳</w:t>
            </w:r>
          </w:p>
        </w:tc>
        <w:tc>
          <w:tcPr>
            <w:tcW w:w="1896" w:type="dxa"/>
            <w:tcBorders>
              <w:tl2br w:val="nil"/>
              <w:tr2bl w:val="nil"/>
            </w:tcBorders>
            <w:shd w:val="clear" w:color="auto" w:fill="auto"/>
            <w:noWrap/>
            <w:vAlign w:val="center"/>
          </w:tcPr>
          <w:p w14:paraId="33CAE28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GB/T 25854-6-DW5</w:t>
            </w:r>
          </w:p>
        </w:tc>
      </w:tr>
      <w:tr w14:paraId="3244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1C8D670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highlight w:val="none"/>
                <w:u w:val="none"/>
                <w:lang w:val="en-US" w:eastAsia="zh-CN"/>
              </w:rPr>
            </w:pPr>
            <w:r>
              <w:rPr>
                <w:rFonts w:hint="eastAsia" w:ascii="新宋体" w:hAnsi="新宋体" w:eastAsia="新宋体" w:cs="新宋体"/>
                <w:i w:val="0"/>
                <w:iCs w:val="0"/>
                <w:color w:val="000000"/>
                <w:sz w:val="18"/>
                <w:szCs w:val="18"/>
                <w:highlight w:val="none"/>
                <w:u w:val="none"/>
                <w:lang w:val="en-US" w:eastAsia="zh-CN"/>
              </w:rPr>
              <w:t>塔顶</w:t>
            </w:r>
          </w:p>
        </w:tc>
        <w:tc>
          <w:tcPr>
            <w:tcW w:w="972" w:type="dxa"/>
            <w:tcBorders>
              <w:tl2br w:val="nil"/>
              <w:tr2bl w:val="nil"/>
            </w:tcBorders>
            <w:shd w:val="clear" w:color="auto" w:fill="auto"/>
            <w:noWrap/>
            <w:vAlign w:val="center"/>
          </w:tcPr>
          <w:p w14:paraId="41F2AAA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绳</w:t>
            </w: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55B464B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Times New Roman" w:hAnsi="Times New Roman" w:eastAsia="宋体" w:cs="Times New Roman"/>
                <w:i w:val="0"/>
                <w:iCs w:val="0"/>
                <w:color w:val="000000"/>
                <w:sz w:val="18"/>
                <w:szCs w:val="18"/>
                <w:highlight w:val="none"/>
                <w:u w:val="none"/>
                <w:lang w:val="en-US" w:eastAsia="zh-CN"/>
              </w:rPr>
            </w:pPr>
            <w:r>
              <w:rPr>
                <w:rFonts w:hint="eastAsia" w:eastAsia="宋体" w:cs="Times New Roman"/>
                <w:i w:val="0"/>
                <w:iCs w:val="0"/>
                <w:color w:val="000000"/>
                <w:sz w:val="18"/>
                <w:szCs w:val="18"/>
                <w:highlight w:val="none"/>
                <w:u w:val="none"/>
                <w:lang w:val="en-US" w:eastAsia="zh-CN"/>
              </w:rPr>
              <w:t>6</w:t>
            </w:r>
          </w:p>
        </w:tc>
        <w:tc>
          <w:tcPr>
            <w:tcW w:w="625" w:type="dxa"/>
            <w:tcBorders>
              <w:tl2br w:val="nil"/>
              <w:tr2bl w:val="nil"/>
            </w:tcBorders>
            <w:shd w:val="clear" w:color="auto" w:fill="auto"/>
            <w:noWrap/>
            <w:vAlign w:val="center"/>
          </w:tcPr>
          <w:p w14:paraId="4CABF30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eastAsia" w:eastAsia="宋体" w:cs="Times New Roman"/>
                <w:i w:val="0"/>
                <w:iCs w:val="0"/>
                <w:color w:val="000000"/>
                <w:kern w:val="0"/>
                <w:sz w:val="18"/>
                <w:szCs w:val="18"/>
                <w:highlight w:val="none"/>
                <w:u w:val="none"/>
                <w:lang w:val="en-US" w:eastAsia="zh-CN" w:bidi="ar"/>
              </w:rPr>
              <w:t>16</w:t>
            </w:r>
          </w:p>
        </w:tc>
        <w:tc>
          <w:tcPr>
            <w:tcW w:w="722" w:type="dxa"/>
            <w:tcBorders>
              <w:tl2br w:val="nil"/>
              <w:tr2bl w:val="nil"/>
            </w:tcBorders>
            <w:shd w:val="clear" w:color="auto" w:fill="auto"/>
            <w:noWrap/>
            <w:vAlign w:val="center"/>
          </w:tcPr>
          <w:p w14:paraId="569489D0">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45.0</w:t>
            </w:r>
          </w:p>
        </w:tc>
        <w:tc>
          <w:tcPr>
            <w:tcW w:w="628" w:type="dxa"/>
            <w:tcBorders>
              <w:tl2br w:val="nil"/>
              <w:tr2bl w:val="nil"/>
            </w:tcBorders>
            <w:shd w:val="clear" w:color="auto" w:fill="auto"/>
            <w:noWrap/>
            <w:vAlign w:val="center"/>
          </w:tcPr>
          <w:p w14:paraId="3582E22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lang w:val="en-US" w:eastAsia="zh-CN"/>
              </w:rPr>
            </w:pPr>
            <w:r>
              <w:rPr>
                <w:rFonts w:hint="eastAsia" w:eastAsia="宋体" w:cs="Times New Roman"/>
                <w:i w:val="0"/>
                <w:iCs w:val="0"/>
                <w:color w:val="000000"/>
                <w:kern w:val="0"/>
                <w:sz w:val="18"/>
                <w:szCs w:val="18"/>
                <w:highlight w:val="none"/>
                <w:u w:val="none"/>
                <w:lang w:val="en-US" w:eastAsia="zh-CN" w:bidi="ar"/>
              </w:rPr>
              <w:t>26.34</w:t>
            </w:r>
          </w:p>
        </w:tc>
        <w:tc>
          <w:tcPr>
            <w:tcW w:w="762" w:type="dxa"/>
            <w:tcBorders>
              <w:tl2br w:val="nil"/>
              <w:tr2bl w:val="nil"/>
            </w:tcBorders>
            <w:shd w:val="clear" w:color="auto" w:fill="auto"/>
            <w:noWrap/>
            <w:vAlign w:val="center"/>
          </w:tcPr>
          <w:p w14:paraId="40A39D3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0.40</w:t>
            </w:r>
          </w:p>
        </w:tc>
        <w:tc>
          <w:tcPr>
            <w:tcW w:w="3379" w:type="dxa"/>
            <w:tcBorders>
              <w:tl2br w:val="nil"/>
              <w:tr2bl w:val="nil"/>
            </w:tcBorders>
            <w:shd w:val="clear" w:color="auto" w:fill="auto"/>
            <w:noWrap/>
            <w:vAlign w:val="center"/>
          </w:tcPr>
          <w:p w14:paraId="5B7A652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rPr>
            </w:pPr>
            <w:r>
              <w:rPr>
                <w:rFonts w:hint="eastAsia" w:eastAsia="宋体" w:cs="Times New Roman"/>
                <w:i w:val="0"/>
                <w:iCs w:val="0"/>
                <w:color w:val="000000"/>
                <w:kern w:val="0"/>
                <w:sz w:val="18"/>
                <w:szCs w:val="18"/>
                <w:u w:val="none"/>
                <w:lang w:val="en-US" w:eastAsia="zh-CN" w:bidi="ar"/>
              </w:rPr>
              <w:t>16mm6×19S+FC1870Mpa</w:t>
            </w:r>
            <w:r>
              <w:rPr>
                <w:rFonts w:hint="default" w:ascii="Times New Roman" w:hAnsi="Times New Roman" w:eastAsia="宋体" w:cs="Times New Roman"/>
                <w:i w:val="0"/>
                <w:iCs w:val="0"/>
                <w:color w:val="000000"/>
                <w:kern w:val="0"/>
                <w:sz w:val="18"/>
                <w:szCs w:val="18"/>
                <w:u w:val="none"/>
                <w:lang w:val="en-US" w:eastAsia="zh-CN" w:bidi="ar"/>
              </w:rPr>
              <w:t>纤维芯钢丝绳</w:t>
            </w:r>
          </w:p>
        </w:tc>
        <w:tc>
          <w:tcPr>
            <w:tcW w:w="1896" w:type="dxa"/>
            <w:tcBorders>
              <w:tl2br w:val="nil"/>
              <w:tr2bl w:val="nil"/>
            </w:tcBorders>
            <w:shd w:val="clear" w:color="auto" w:fill="auto"/>
            <w:noWrap/>
            <w:vAlign w:val="center"/>
          </w:tcPr>
          <w:p w14:paraId="7A140C2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GB/T 25854-6-DW</w:t>
            </w:r>
            <w:r>
              <w:rPr>
                <w:rFonts w:hint="eastAsia" w:ascii="Times New Roman" w:hAnsi="Times New Roman" w:eastAsia="宋体" w:cs="Times New Roman"/>
                <w:i w:val="0"/>
                <w:iCs w:val="0"/>
                <w:color w:val="000000"/>
                <w:kern w:val="0"/>
                <w:sz w:val="18"/>
                <w:szCs w:val="18"/>
                <w:highlight w:val="none"/>
                <w:u w:val="none"/>
                <w:lang w:val="en-US" w:eastAsia="zh-CN" w:bidi="ar"/>
              </w:rPr>
              <w:t>5</w:t>
            </w:r>
          </w:p>
        </w:tc>
      </w:tr>
      <w:tr w14:paraId="0B28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6110B03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sz w:val="18"/>
                <w:szCs w:val="18"/>
                <w:u w:val="none"/>
                <w:lang w:val="en-US" w:eastAsia="zh-CN"/>
              </w:rPr>
              <w:t>平衡臂</w:t>
            </w:r>
          </w:p>
        </w:tc>
        <w:tc>
          <w:tcPr>
            <w:tcW w:w="972" w:type="dxa"/>
            <w:tcBorders>
              <w:tl2br w:val="nil"/>
              <w:tr2bl w:val="nil"/>
            </w:tcBorders>
            <w:shd w:val="clear" w:color="auto" w:fill="auto"/>
            <w:noWrap/>
            <w:vAlign w:val="center"/>
          </w:tcPr>
          <w:p w14:paraId="604533F4">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绳</w:t>
            </w: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7FFAC33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8</w:t>
            </w:r>
          </w:p>
        </w:tc>
        <w:tc>
          <w:tcPr>
            <w:tcW w:w="625" w:type="dxa"/>
            <w:tcBorders>
              <w:tl2br w:val="nil"/>
              <w:tr2bl w:val="nil"/>
            </w:tcBorders>
            <w:shd w:val="clear" w:color="auto" w:fill="auto"/>
            <w:noWrap/>
            <w:vAlign w:val="center"/>
          </w:tcPr>
          <w:p w14:paraId="07D21CB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16</w:t>
            </w:r>
          </w:p>
        </w:tc>
        <w:tc>
          <w:tcPr>
            <w:tcW w:w="722" w:type="dxa"/>
            <w:tcBorders>
              <w:tl2br w:val="nil"/>
              <w:tr2bl w:val="nil"/>
            </w:tcBorders>
            <w:shd w:val="clear" w:color="auto" w:fill="auto"/>
            <w:noWrap/>
            <w:vAlign w:val="center"/>
          </w:tcPr>
          <w:p w14:paraId="2ED0C17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45.0</w:t>
            </w:r>
          </w:p>
        </w:tc>
        <w:tc>
          <w:tcPr>
            <w:tcW w:w="628" w:type="dxa"/>
            <w:tcBorders>
              <w:tl2br w:val="nil"/>
              <w:tr2bl w:val="nil"/>
            </w:tcBorders>
            <w:shd w:val="clear" w:color="auto" w:fill="auto"/>
            <w:noWrap/>
            <w:vAlign w:val="center"/>
          </w:tcPr>
          <w:p w14:paraId="59315A2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26.34</w:t>
            </w:r>
          </w:p>
        </w:tc>
        <w:tc>
          <w:tcPr>
            <w:tcW w:w="762" w:type="dxa"/>
            <w:tcBorders>
              <w:tl2br w:val="nil"/>
              <w:tr2bl w:val="nil"/>
            </w:tcBorders>
            <w:shd w:val="clear" w:color="auto" w:fill="auto"/>
            <w:noWrap/>
            <w:vAlign w:val="center"/>
          </w:tcPr>
          <w:p w14:paraId="71D55B3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1.33</w:t>
            </w:r>
          </w:p>
        </w:tc>
        <w:tc>
          <w:tcPr>
            <w:tcW w:w="3379" w:type="dxa"/>
            <w:tcBorders>
              <w:tl2br w:val="nil"/>
              <w:tr2bl w:val="nil"/>
            </w:tcBorders>
            <w:shd w:val="clear" w:color="auto" w:fill="auto"/>
            <w:noWrap/>
            <w:vAlign w:val="center"/>
          </w:tcPr>
          <w:p w14:paraId="3C07597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16mm6×19S+FC1870Mpa</w:t>
            </w:r>
            <w:r>
              <w:rPr>
                <w:rFonts w:hint="default" w:ascii="Times New Roman" w:hAnsi="Times New Roman" w:eastAsia="宋体" w:cs="Times New Roman"/>
                <w:i w:val="0"/>
                <w:iCs w:val="0"/>
                <w:color w:val="000000"/>
                <w:kern w:val="0"/>
                <w:sz w:val="18"/>
                <w:szCs w:val="18"/>
                <w:u w:val="none"/>
                <w:lang w:val="en-US" w:eastAsia="zh-CN" w:bidi="ar"/>
              </w:rPr>
              <w:t>纤维芯钢丝绳</w:t>
            </w:r>
          </w:p>
        </w:tc>
        <w:tc>
          <w:tcPr>
            <w:tcW w:w="1896" w:type="dxa"/>
            <w:tcBorders>
              <w:tl2br w:val="nil"/>
              <w:tr2bl w:val="nil"/>
            </w:tcBorders>
            <w:shd w:val="clear" w:color="auto" w:fill="auto"/>
            <w:noWrap/>
            <w:vAlign w:val="center"/>
          </w:tcPr>
          <w:p w14:paraId="7C3EBF6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GB/T 25854-6-DW5</w:t>
            </w:r>
          </w:p>
        </w:tc>
      </w:tr>
      <w:tr w14:paraId="2E0D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5782199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highlight w:val="none"/>
                <w:u w:val="none"/>
              </w:rPr>
            </w:pPr>
            <w:r>
              <w:rPr>
                <w:rFonts w:hint="eastAsia" w:ascii="新宋体" w:hAnsi="新宋体" w:eastAsia="新宋体" w:cs="新宋体"/>
                <w:i w:val="0"/>
                <w:iCs w:val="0"/>
                <w:color w:val="000000"/>
                <w:sz w:val="18"/>
                <w:szCs w:val="18"/>
                <w:highlight w:val="none"/>
                <w:u w:val="none"/>
                <w:lang w:val="en-US" w:eastAsia="zh-CN"/>
              </w:rPr>
              <w:t>平衡重A</w:t>
            </w:r>
          </w:p>
        </w:tc>
        <w:tc>
          <w:tcPr>
            <w:tcW w:w="972" w:type="dxa"/>
            <w:tcBorders>
              <w:tl2br w:val="nil"/>
              <w:tr2bl w:val="nil"/>
            </w:tcBorders>
            <w:shd w:val="clear" w:color="auto" w:fill="auto"/>
            <w:noWrap/>
            <w:vAlign w:val="center"/>
          </w:tcPr>
          <w:p w14:paraId="4C9F53E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绳</w:t>
            </w:r>
            <w:r>
              <w:rPr>
                <w:rFonts w:hint="default" w:ascii="Times New Roman" w:hAnsi="Times New Roman" w:eastAsia="宋体" w:cs="Times New Roman"/>
                <w:i w:val="0"/>
                <w:iCs w:val="0"/>
                <w:color w:val="auto"/>
                <w:kern w:val="0"/>
                <w:sz w:val="18"/>
                <w:szCs w:val="18"/>
                <w:highlight w:val="none"/>
                <w:u w:val="none"/>
                <w:lang w:val="en-US" w:eastAsia="zh-CN" w:bidi="ar"/>
              </w:rPr>
              <w:t>|2</w:t>
            </w:r>
            <w:r>
              <w:rPr>
                <w:rFonts w:hint="eastAsia" w:ascii="Times New Roman" w:hAnsi="Times New Roman" w:eastAsia="宋体" w:cs="Times New Roman"/>
                <w:i w:val="0"/>
                <w:iCs w:val="0"/>
                <w:color w:val="auto"/>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0EB5B6F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2</w:t>
            </w:r>
          </w:p>
        </w:tc>
        <w:tc>
          <w:tcPr>
            <w:tcW w:w="625" w:type="dxa"/>
            <w:tcBorders>
              <w:tl2br w:val="nil"/>
              <w:tr2bl w:val="nil"/>
            </w:tcBorders>
            <w:shd w:val="clear" w:color="auto" w:fill="auto"/>
            <w:noWrap/>
            <w:vAlign w:val="center"/>
          </w:tcPr>
          <w:p w14:paraId="689E974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22</w:t>
            </w:r>
          </w:p>
        </w:tc>
        <w:tc>
          <w:tcPr>
            <w:tcW w:w="722" w:type="dxa"/>
            <w:tcBorders>
              <w:tl2br w:val="nil"/>
              <w:tr2bl w:val="nil"/>
            </w:tcBorders>
            <w:shd w:val="clear" w:color="auto" w:fill="auto"/>
            <w:noWrap/>
            <w:vAlign w:val="center"/>
          </w:tcPr>
          <w:p w14:paraId="2D51952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45.0</w:t>
            </w:r>
          </w:p>
        </w:tc>
        <w:tc>
          <w:tcPr>
            <w:tcW w:w="628" w:type="dxa"/>
            <w:tcBorders>
              <w:tl2br w:val="nil"/>
              <w:tr2bl w:val="nil"/>
            </w:tcBorders>
            <w:shd w:val="clear" w:color="auto" w:fill="auto"/>
            <w:noWrap/>
            <w:vAlign w:val="center"/>
          </w:tcPr>
          <w:p w14:paraId="52A577E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sz w:val="18"/>
                <w:szCs w:val="18"/>
                <w:highlight w:val="none"/>
                <w:u w:val="none"/>
                <w:lang w:val="en-US" w:eastAsia="zh-CN"/>
              </w:rPr>
              <w:t>49.84</w:t>
            </w:r>
          </w:p>
        </w:tc>
        <w:tc>
          <w:tcPr>
            <w:tcW w:w="762" w:type="dxa"/>
            <w:tcBorders>
              <w:tl2br w:val="nil"/>
              <w:tr2bl w:val="nil"/>
            </w:tcBorders>
            <w:shd w:val="clear" w:color="auto" w:fill="auto"/>
            <w:noWrap/>
            <w:vAlign w:val="center"/>
          </w:tcPr>
          <w:p w14:paraId="76EB3F2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0.75</w:t>
            </w:r>
          </w:p>
        </w:tc>
        <w:tc>
          <w:tcPr>
            <w:tcW w:w="3379" w:type="dxa"/>
            <w:tcBorders>
              <w:tl2br w:val="nil"/>
              <w:tr2bl w:val="nil"/>
            </w:tcBorders>
            <w:shd w:val="clear" w:color="auto" w:fill="auto"/>
            <w:noWrap/>
            <w:vAlign w:val="center"/>
          </w:tcPr>
          <w:p w14:paraId="08FC4FA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eastAsia" w:eastAsia="宋体" w:cs="Times New Roman"/>
                <w:i w:val="0"/>
                <w:iCs w:val="0"/>
                <w:color w:val="000000"/>
                <w:kern w:val="0"/>
                <w:sz w:val="18"/>
                <w:szCs w:val="18"/>
                <w:highlight w:val="none"/>
                <w:u w:val="none"/>
                <w:lang w:val="en-US" w:eastAsia="zh-CN" w:bidi="ar"/>
              </w:rPr>
              <w:t>22mm6×19S+FC1870Mp</w:t>
            </w:r>
            <w:r>
              <w:rPr>
                <w:rFonts w:hint="default" w:ascii="Times New Roman" w:hAnsi="Times New Roman" w:eastAsia="宋体" w:cs="Times New Roman"/>
                <w:i w:val="0"/>
                <w:iCs w:val="0"/>
                <w:color w:val="000000"/>
                <w:kern w:val="0"/>
                <w:sz w:val="18"/>
                <w:szCs w:val="18"/>
                <w:highlight w:val="none"/>
                <w:u w:val="none"/>
                <w:lang w:val="en-US" w:eastAsia="zh-CN" w:bidi="ar"/>
              </w:rPr>
              <w:t>纤维芯钢丝绳</w:t>
            </w:r>
          </w:p>
        </w:tc>
        <w:tc>
          <w:tcPr>
            <w:tcW w:w="1896" w:type="dxa"/>
            <w:tcBorders>
              <w:tl2br w:val="nil"/>
              <w:tr2bl w:val="nil"/>
            </w:tcBorders>
            <w:shd w:val="clear" w:color="auto" w:fill="auto"/>
            <w:noWrap/>
            <w:vAlign w:val="center"/>
          </w:tcPr>
          <w:p w14:paraId="056A08C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GB/T 25854-6-DW5</w:t>
            </w:r>
          </w:p>
        </w:tc>
      </w:tr>
      <w:tr w14:paraId="5C7A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7AA4541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highlight w:val="none"/>
                <w:u w:val="none"/>
              </w:rPr>
            </w:pPr>
            <w:r>
              <w:rPr>
                <w:rFonts w:hint="eastAsia" w:ascii="新宋体" w:hAnsi="新宋体" w:eastAsia="新宋体" w:cs="新宋体"/>
                <w:i w:val="0"/>
                <w:iCs w:val="0"/>
                <w:color w:val="000000"/>
                <w:kern w:val="0"/>
                <w:sz w:val="18"/>
                <w:szCs w:val="18"/>
                <w:highlight w:val="none"/>
                <w:u w:val="none"/>
                <w:lang w:val="en-US" w:eastAsia="zh-CN" w:bidi="ar"/>
              </w:rPr>
              <w:t>起重臂总成</w:t>
            </w:r>
          </w:p>
        </w:tc>
        <w:tc>
          <w:tcPr>
            <w:tcW w:w="972" w:type="dxa"/>
            <w:tcBorders>
              <w:tl2br w:val="nil"/>
              <w:tr2bl w:val="nil"/>
            </w:tcBorders>
            <w:shd w:val="clear" w:color="auto" w:fill="auto"/>
            <w:noWrap/>
            <w:vAlign w:val="center"/>
          </w:tcPr>
          <w:p w14:paraId="2FE2DED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绳</w:t>
            </w:r>
            <w:r>
              <w:rPr>
                <w:rFonts w:hint="default" w:ascii="Times New Roman" w:hAnsi="Times New Roman" w:eastAsia="宋体" w:cs="Times New Roman"/>
                <w:i w:val="0"/>
                <w:iCs w:val="0"/>
                <w:color w:val="auto"/>
                <w:kern w:val="0"/>
                <w:sz w:val="18"/>
                <w:szCs w:val="18"/>
                <w:highlight w:val="none"/>
                <w:u w:val="none"/>
                <w:lang w:val="en-US" w:eastAsia="zh-CN" w:bidi="ar"/>
              </w:rPr>
              <w:t>|2</w:t>
            </w:r>
            <w:r>
              <w:rPr>
                <w:rFonts w:hint="eastAsia" w:ascii="Times New Roman" w:hAnsi="Times New Roman" w:eastAsia="宋体" w:cs="Times New Roman"/>
                <w:i w:val="0"/>
                <w:iCs w:val="0"/>
                <w:color w:val="auto"/>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5AF5035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8</w:t>
            </w:r>
          </w:p>
        </w:tc>
        <w:tc>
          <w:tcPr>
            <w:tcW w:w="625" w:type="dxa"/>
            <w:tcBorders>
              <w:tl2br w:val="nil"/>
              <w:tr2bl w:val="nil"/>
            </w:tcBorders>
            <w:shd w:val="clear" w:color="auto" w:fill="auto"/>
            <w:noWrap/>
            <w:vAlign w:val="center"/>
          </w:tcPr>
          <w:p w14:paraId="6D5DC79B">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22</w:t>
            </w:r>
          </w:p>
        </w:tc>
        <w:tc>
          <w:tcPr>
            <w:tcW w:w="722" w:type="dxa"/>
            <w:tcBorders>
              <w:tl2br w:val="nil"/>
              <w:tr2bl w:val="nil"/>
            </w:tcBorders>
            <w:shd w:val="clear" w:color="auto" w:fill="auto"/>
            <w:noWrap/>
            <w:vAlign w:val="center"/>
          </w:tcPr>
          <w:p w14:paraId="3451702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45.0</w:t>
            </w:r>
          </w:p>
        </w:tc>
        <w:tc>
          <w:tcPr>
            <w:tcW w:w="628" w:type="dxa"/>
            <w:tcBorders>
              <w:tl2br w:val="nil"/>
              <w:tr2bl w:val="nil"/>
            </w:tcBorders>
            <w:shd w:val="clear" w:color="auto" w:fill="auto"/>
            <w:noWrap/>
            <w:vAlign w:val="center"/>
          </w:tcPr>
          <w:p w14:paraId="40C2D8A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sz w:val="18"/>
                <w:szCs w:val="18"/>
                <w:highlight w:val="none"/>
                <w:u w:val="none"/>
                <w:lang w:val="en-US" w:eastAsia="zh-CN"/>
              </w:rPr>
              <w:t>49.84</w:t>
            </w:r>
          </w:p>
        </w:tc>
        <w:tc>
          <w:tcPr>
            <w:tcW w:w="762" w:type="dxa"/>
            <w:tcBorders>
              <w:tl2br w:val="nil"/>
              <w:tr2bl w:val="nil"/>
            </w:tcBorders>
            <w:shd w:val="clear" w:color="auto" w:fill="auto"/>
            <w:noWrap/>
            <w:vAlign w:val="center"/>
          </w:tcPr>
          <w:p w14:paraId="575DE62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2.04</w:t>
            </w:r>
          </w:p>
        </w:tc>
        <w:tc>
          <w:tcPr>
            <w:tcW w:w="3379" w:type="dxa"/>
            <w:tcBorders>
              <w:tl2br w:val="nil"/>
              <w:tr2bl w:val="nil"/>
            </w:tcBorders>
            <w:shd w:val="clear" w:color="auto" w:fill="auto"/>
            <w:noWrap/>
            <w:vAlign w:val="center"/>
          </w:tcPr>
          <w:p w14:paraId="14FDB7B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22mm6×19S+FC1870Mp</w:t>
            </w:r>
            <w:r>
              <w:rPr>
                <w:rFonts w:hint="default" w:ascii="Times New Roman" w:hAnsi="Times New Roman" w:eastAsia="宋体" w:cs="Times New Roman"/>
                <w:i w:val="0"/>
                <w:iCs w:val="0"/>
                <w:color w:val="000000"/>
                <w:kern w:val="0"/>
                <w:sz w:val="18"/>
                <w:szCs w:val="18"/>
                <w:highlight w:val="none"/>
                <w:u w:val="none"/>
                <w:lang w:val="en-US" w:eastAsia="zh-CN" w:bidi="ar"/>
              </w:rPr>
              <w:t>纤维芯钢丝绳</w:t>
            </w:r>
          </w:p>
        </w:tc>
        <w:tc>
          <w:tcPr>
            <w:tcW w:w="1896" w:type="dxa"/>
            <w:tcBorders>
              <w:tl2br w:val="nil"/>
              <w:tr2bl w:val="nil"/>
            </w:tcBorders>
            <w:shd w:val="clear" w:color="auto" w:fill="auto"/>
            <w:noWrap/>
            <w:vAlign w:val="center"/>
          </w:tcPr>
          <w:p w14:paraId="4DDFF96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GB/T 25854-6-DW5</w:t>
            </w:r>
          </w:p>
        </w:tc>
      </w:tr>
      <w:tr w14:paraId="305A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303" w:type="dxa"/>
            <w:tcBorders>
              <w:tl2br w:val="nil"/>
              <w:tr2bl w:val="nil"/>
            </w:tcBorders>
            <w:shd w:val="clear" w:color="auto" w:fill="auto"/>
            <w:noWrap/>
            <w:vAlign w:val="center"/>
          </w:tcPr>
          <w:p w14:paraId="68ECB24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新宋体" w:hAnsi="新宋体" w:eastAsia="新宋体" w:cs="新宋体"/>
                <w:i w:val="0"/>
                <w:iCs w:val="0"/>
                <w:color w:val="000000"/>
                <w:sz w:val="18"/>
                <w:szCs w:val="18"/>
                <w:highlight w:val="none"/>
                <w:u w:val="none"/>
              </w:rPr>
            </w:pPr>
            <w:r>
              <w:rPr>
                <w:rFonts w:hint="eastAsia" w:ascii="新宋体" w:hAnsi="新宋体" w:eastAsia="新宋体" w:cs="新宋体"/>
                <w:i w:val="0"/>
                <w:iCs w:val="0"/>
                <w:color w:val="000000"/>
                <w:sz w:val="18"/>
                <w:szCs w:val="18"/>
                <w:highlight w:val="none"/>
                <w:u w:val="none"/>
                <w:lang w:val="en-US" w:eastAsia="zh-CN"/>
              </w:rPr>
              <w:t>平衡重B</w:t>
            </w:r>
          </w:p>
        </w:tc>
        <w:tc>
          <w:tcPr>
            <w:tcW w:w="972" w:type="dxa"/>
            <w:tcBorders>
              <w:tl2br w:val="nil"/>
              <w:tr2bl w:val="nil"/>
            </w:tcBorders>
            <w:shd w:val="clear" w:color="auto" w:fill="auto"/>
            <w:noWrap/>
            <w:vAlign w:val="center"/>
          </w:tcPr>
          <w:p w14:paraId="0748A83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4</w:t>
            </w:r>
            <w:r>
              <w:rPr>
                <w:rFonts w:hint="eastAsia" w:ascii="Times New Roman" w:hAnsi="Times New Roman" w:eastAsia="宋体" w:cs="Times New Roman"/>
                <w:i w:val="0"/>
                <w:iCs w:val="0"/>
                <w:color w:val="000000"/>
                <w:kern w:val="0"/>
                <w:sz w:val="18"/>
                <w:szCs w:val="18"/>
                <w:highlight w:val="none"/>
                <w:u w:val="none"/>
                <w:lang w:val="en-US" w:eastAsia="zh-CN" w:bidi="ar"/>
              </w:rPr>
              <w:t>绳</w:t>
            </w:r>
            <w:r>
              <w:rPr>
                <w:rFonts w:hint="default" w:ascii="Times New Roman" w:hAnsi="Times New Roman" w:eastAsia="宋体" w:cs="Times New Roman"/>
                <w:i w:val="0"/>
                <w:iCs w:val="0"/>
                <w:color w:val="000000"/>
                <w:kern w:val="0"/>
                <w:sz w:val="18"/>
                <w:szCs w:val="18"/>
                <w:highlight w:val="none"/>
                <w:u w:val="none"/>
                <w:lang w:val="en-US" w:eastAsia="zh-CN" w:bidi="ar"/>
              </w:rPr>
              <w:t>|2</w:t>
            </w:r>
            <w:r>
              <w:rPr>
                <w:rFonts w:hint="eastAsia" w:ascii="Times New Roman" w:hAnsi="Times New Roman" w:eastAsia="宋体" w:cs="Times New Roman"/>
                <w:i w:val="0"/>
                <w:iCs w:val="0"/>
                <w:color w:val="000000"/>
                <w:kern w:val="0"/>
                <w:sz w:val="18"/>
                <w:szCs w:val="18"/>
                <w:highlight w:val="none"/>
                <w:u w:val="none"/>
                <w:lang w:val="en-US" w:eastAsia="zh-CN" w:bidi="ar"/>
              </w:rPr>
              <w:t>点</w:t>
            </w:r>
          </w:p>
        </w:tc>
        <w:tc>
          <w:tcPr>
            <w:tcW w:w="588" w:type="dxa"/>
            <w:tcBorders>
              <w:tl2br w:val="nil"/>
              <w:tr2bl w:val="nil"/>
            </w:tcBorders>
            <w:shd w:val="clear" w:color="auto" w:fill="auto"/>
            <w:noWrap/>
            <w:vAlign w:val="center"/>
          </w:tcPr>
          <w:p w14:paraId="262ABA7D">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Times New Roman" w:hAnsi="Times New Roman" w:eastAsia="宋体" w:cs="Times New Roman"/>
                <w:i w:val="0"/>
                <w:iCs w:val="0"/>
                <w:color w:val="000000"/>
                <w:sz w:val="18"/>
                <w:szCs w:val="18"/>
                <w:highlight w:val="none"/>
                <w:u w:val="none"/>
                <w:lang w:val="en-US" w:eastAsia="zh-CN"/>
              </w:rPr>
            </w:pPr>
            <w:r>
              <w:rPr>
                <w:rFonts w:hint="eastAsia" w:eastAsia="宋体" w:cs="Times New Roman"/>
                <w:i w:val="0"/>
                <w:iCs w:val="0"/>
                <w:color w:val="000000"/>
                <w:sz w:val="18"/>
                <w:szCs w:val="18"/>
                <w:highlight w:val="none"/>
                <w:u w:val="none"/>
                <w:lang w:val="en-US" w:eastAsia="zh-CN"/>
              </w:rPr>
              <w:t>2</w:t>
            </w:r>
          </w:p>
        </w:tc>
        <w:tc>
          <w:tcPr>
            <w:tcW w:w="625" w:type="dxa"/>
            <w:tcBorders>
              <w:tl2br w:val="nil"/>
              <w:tr2bl w:val="nil"/>
            </w:tcBorders>
            <w:shd w:val="clear" w:color="auto" w:fill="auto"/>
            <w:noWrap/>
            <w:vAlign w:val="center"/>
          </w:tcPr>
          <w:p w14:paraId="33CF99AF">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22</w:t>
            </w:r>
          </w:p>
        </w:tc>
        <w:tc>
          <w:tcPr>
            <w:tcW w:w="722" w:type="dxa"/>
            <w:tcBorders>
              <w:tl2br w:val="nil"/>
              <w:tr2bl w:val="nil"/>
            </w:tcBorders>
            <w:shd w:val="clear" w:color="auto" w:fill="auto"/>
            <w:noWrap/>
            <w:vAlign w:val="center"/>
          </w:tcPr>
          <w:p w14:paraId="699BEA1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45.0</w:t>
            </w:r>
          </w:p>
        </w:tc>
        <w:tc>
          <w:tcPr>
            <w:tcW w:w="628" w:type="dxa"/>
            <w:tcBorders>
              <w:tl2br w:val="nil"/>
              <w:tr2bl w:val="nil"/>
            </w:tcBorders>
            <w:shd w:val="clear" w:color="auto" w:fill="auto"/>
            <w:noWrap/>
            <w:vAlign w:val="center"/>
          </w:tcPr>
          <w:p w14:paraId="139E840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sz w:val="18"/>
                <w:szCs w:val="18"/>
                <w:highlight w:val="none"/>
                <w:u w:val="none"/>
                <w:lang w:val="en-US" w:eastAsia="zh-CN"/>
              </w:rPr>
              <w:t>49.84</w:t>
            </w:r>
          </w:p>
        </w:tc>
        <w:tc>
          <w:tcPr>
            <w:tcW w:w="762" w:type="dxa"/>
            <w:tcBorders>
              <w:tl2br w:val="nil"/>
              <w:tr2bl w:val="nil"/>
            </w:tcBorders>
            <w:shd w:val="clear" w:color="auto" w:fill="auto"/>
            <w:noWrap/>
            <w:vAlign w:val="center"/>
          </w:tcPr>
          <w:p w14:paraId="4E479E28">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yellow"/>
                <w:u w:val="none"/>
                <w:lang w:val="en-US" w:eastAsia="zh-CN"/>
              </w:rPr>
            </w:pPr>
            <w:r>
              <w:rPr>
                <w:rFonts w:hint="eastAsia" w:eastAsia="宋体" w:cs="Times New Roman"/>
                <w:i w:val="0"/>
                <w:iCs w:val="0"/>
                <w:color w:val="000000"/>
                <w:sz w:val="18"/>
                <w:szCs w:val="18"/>
                <w:highlight w:val="yellow"/>
                <w:u w:val="none"/>
                <w:lang w:val="en-US" w:eastAsia="zh-CN"/>
              </w:rPr>
              <w:t>0.40</w:t>
            </w:r>
          </w:p>
        </w:tc>
        <w:tc>
          <w:tcPr>
            <w:tcW w:w="3379" w:type="dxa"/>
            <w:tcBorders>
              <w:tl2br w:val="nil"/>
              <w:tr2bl w:val="nil"/>
            </w:tcBorders>
            <w:shd w:val="clear" w:color="auto" w:fill="auto"/>
            <w:noWrap/>
            <w:vAlign w:val="center"/>
          </w:tcPr>
          <w:p w14:paraId="22800FEC">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22mm6×19S+FC1870Mp</w:t>
            </w:r>
            <w:r>
              <w:rPr>
                <w:rFonts w:hint="default" w:ascii="Times New Roman" w:hAnsi="Times New Roman" w:eastAsia="宋体" w:cs="Times New Roman"/>
                <w:i w:val="0"/>
                <w:iCs w:val="0"/>
                <w:color w:val="000000"/>
                <w:kern w:val="0"/>
                <w:sz w:val="18"/>
                <w:szCs w:val="18"/>
                <w:highlight w:val="none"/>
                <w:u w:val="none"/>
                <w:lang w:val="en-US" w:eastAsia="zh-CN" w:bidi="ar"/>
              </w:rPr>
              <w:t>纤维芯钢丝绳</w:t>
            </w:r>
          </w:p>
        </w:tc>
        <w:tc>
          <w:tcPr>
            <w:tcW w:w="1896" w:type="dxa"/>
            <w:tcBorders>
              <w:tl2br w:val="nil"/>
              <w:tr2bl w:val="nil"/>
            </w:tcBorders>
            <w:shd w:val="clear" w:color="auto" w:fill="auto"/>
            <w:noWrap/>
            <w:vAlign w:val="center"/>
          </w:tcPr>
          <w:p w14:paraId="11D43665">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default" w:ascii="Times New Roman" w:hAnsi="Times New Roman" w:eastAsia="宋体" w:cs="Times New Roman"/>
                <w:i w:val="0"/>
                <w:iCs w:val="0"/>
                <w:color w:val="000000"/>
                <w:sz w:val="18"/>
                <w:szCs w:val="18"/>
                <w:highlight w:val="none"/>
                <w:u w:val="none"/>
              </w:rPr>
            </w:pPr>
            <w:r>
              <w:rPr>
                <w:rFonts w:hint="eastAsia" w:eastAsia="宋体" w:cs="Times New Roman"/>
                <w:i w:val="0"/>
                <w:iCs w:val="0"/>
                <w:color w:val="000000"/>
                <w:kern w:val="0"/>
                <w:sz w:val="18"/>
                <w:szCs w:val="18"/>
                <w:highlight w:val="none"/>
                <w:u w:val="none"/>
                <w:lang w:val="en-US" w:eastAsia="zh-CN" w:bidi="ar"/>
              </w:rPr>
              <w:t>GB/T 25854-6-DW5</w:t>
            </w:r>
          </w:p>
        </w:tc>
      </w:tr>
    </w:tbl>
    <w:p w14:paraId="7BD4B07C">
      <w:pPr>
        <w:keepNext w:val="0"/>
        <w:keepLines w:val="0"/>
        <w:pageBreakBefore w:val="0"/>
        <w:widowControl/>
        <w:suppressLineNumbers w:val="0"/>
        <w:kinsoku/>
        <w:wordWrap/>
        <w:overflowPunct/>
        <w:topLinePunct w:val="0"/>
        <w:autoSpaceDE/>
        <w:autoSpaceDN/>
        <w:bidi w:val="0"/>
        <w:snapToGrid/>
        <w:spacing w:line="360" w:lineRule="auto"/>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highlight w:val="none"/>
          <w:lang w:val="en-US" w:eastAsia="zh-CN" w:bidi="ar"/>
        </w:rPr>
        <w:t>钢丝绳计算在附录</w:t>
      </w:r>
    </w:p>
    <w:p w14:paraId="06036DEB">
      <w:pPr>
        <w:pStyle w:val="7"/>
        <w:pageBreakBefore w:val="0"/>
        <w:numPr>
          <w:ilvl w:val="3"/>
          <w:numId w:val="6"/>
        </w:numPr>
        <w:kinsoku/>
        <w:wordWrap/>
        <w:overflowPunct/>
        <w:topLinePunct w:val="0"/>
        <w:bidi w:val="0"/>
        <w:spacing w:line="360" w:lineRule="auto"/>
        <w:ind w:left="850" w:leftChars="0" w:hanging="850" w:firstLineChars="0"/>
        <w:rPr>
          <w:rFonts w:hint="eastAsia" w:ascii="Times New Roman" w:hAnsi="Times New Roman" w:eastAsiaTheme="majorEastAsia" w:cstheme="majorBidi"/>
          <w:b/>
          <w:bCs/>
          <w:sz w:val="24"/>
          <w:szCs w:val="28"/>
          <w:lang w:val="en-US" w:eastAsia="zh-CN" w:bidi="ar-SA"/>
        </w:rPr>
      </w:pPr>
      <w:r>
        <w:rPr>
          <w:rFonts w:hint="eastAsia" w:cstheme="majorBidi"/>
          <w:b/>
          <w:bCs/>
          <w:sz w:val="24"/>
          <w:szCs w:val="28"/>
          <w:lang w:val="en-US" w:eastAsia="zh-CN" w:bidi="ar-SA"/>
        </w:rPr>
        <w:t>塔吊基础</w:t>
      </w:r>
    </w:p>
    <w:p w14:paraId="11795DD7">
      <w:pPr>
        <w:numPr>
          <w:ilvl w:val="0"/>
          <w:numId w:val="39"/>
        </w:numPr>
        <w:bidi w:val="0"/>
        <w:ind w:left="0" w:leftChars="0" w:firstLine="420" w:firstLineChars="0"/>
        <w:rPr>
          <w:rFonts w:hint="eastAsia"/>
          <w:lang w:val="en-US" w:eastAsia="zh-CN"/>
        </w:rPr>
      </w:pPr>
      <w:r>
        <w:rPr>
          <w:rFonts w:hint="eastAsia"/>
          <w:lang w:val="en-US" w:eastAsia="zh-CN"/>
        </w:rPr>
        <w:t>预埋螺栓式基础的施工</w:t>
      </w:r>
    </w:p>
    <w:p w14:paraId="26002A1F">
      <w:pPr>
        <w:pStyle w:val="32"/>
        <w:numPr>
          <w:ilvl w:val="0"/>
          <w:numId w:val="0"/>
        </w:numPr>
        <w:spacing w:beforeAutospacing="0" w:afterAutospacing="0" w:line="240" w:lineRule="auto"/>
        <w:ind w:firstLine="480" w:firstLineChars="200"/>
        <w:rPr>
          <w:rFonts w:hint="eastAsia"/>
          <w:b w:val="0"/>
          <w:bCs/>
          <w:highlight w:val="none"/>
          <w:lang w:eastAsia="zh-CN"/>
        </w:rPr>
      </w:pPr>
      <w:r>
        <w:rPr>
          <w:rFonts w:hint="eastAsia" w:ascii="宋体" w:hAnsi="宋体" w:eastAsia="宋体" w:cs="宋体"/>
          <w:b w:val="0"/>
          <w:bCs/>
          <w:sz w:val="24"/>
          <w:szCs w:val="24"/>
          <w:highlight w:val="none"/>
          <w:lang w:val="en-US" w:eastAsia="zh-CN"/>
        </w:rPr>
        <w:t>1）</w:t>
      </w:r>
      <w:r>
        <w:rPr>
          <w:rFonts w:hint="eastAsia" w:ascii="宋体" w:hAnsi="宋体" w:eastAsia="宋体" w:cs="宋体"/>
          <w:b w:val="0"/>
          <w:bCs/>
          <w:sz w:val="24"/>
          <w:szCs w:val="24"/>
          <w:highlight w:val="none"/>
        </w:rPr>
        <w:t>根据塔机基础图的有关要求</w:t>
      </w:r>
      <w:r>
        <w:rPr>
          <w:rFonts w:hint="eastAsia" w:ascii="宋体" w:hAnsi="宋体" w:cs="宋体"/>
          <w:b w:val="0"/>
          <w:bCs/>
          <w:sz w:val="24"/>
          <w:szCs w:val="24"/>
          <w:highlight w:val="none"/>
          <w:lang w:val="en-US" w:eastAsia="zh-CN"/>
        </w:rPr>
        <w:t>捆扎钢筋</w:t>
      </w: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塔机基础预埋螺栓直接预埋在桥墩内部，基础计算详见附件4</w:t>
      </w:r>
      <w:r>
        <w:rPr>
          <w:rFonts w:hint="eastAsia"/>
          <w:b w:val="0"/>
          <w:bCs/>
          <w:highlight w:val="none"/>
          <w:lang w:eastAsia="zh-CN"/>
        </w:rPr>
        <w:t>。</w:t>
      </w:r>
    </w:p>
    <w:p w14:paraId="353DDA56">
      <w:pPr>
        <w:pStyle w:val="80"/>
        <w:keepNext w:val="0"/>
        <w:keepLines w:val="0"/>
        <w:pageBreakBefore w:val="0"/>
        <w:numPr>
          <w:ilvl w:val="0"/>
          <w:numId w:val="0"/>
        </w:numPr>
        <w:kinsoku/>
        <w:overflowPunct/>
        <w:topLinePunct w:val="0"/>
        <w:bidi w:val="0"/>
        <w:spacing w:beforeAutospacing="0" w:afterAutospacing="0" w:line="240" w:lineRule="auto"/>
        <w:ind w:firstLine="480" w:firstLineChars="200"/>
        <w:textAlignment w:val="auto"/>
        <w:rPr>
          <w:rFonts w:hint="eastAsia" w:eastAsia="宋体"/>
          <w:highlight w:val="none"/>
          <w:lang w:eastAsia="zh-CN"/>
        </w:rPr>
      </w:pPr>
      <w:r>
        <w:rPr>
          <w:rFonts w:hint="eastAsia" w:ascii="宋体" w:hAnsi="宋体" w:eastAsia="宋体" w:cs="宋体"/>
          <w:b w:val="0"/>
          <w:bCs/>
          <w:color w:val="auto"/>
          <w:kern w:val="2"/>
          <w:sz w:val="24"/>
          <w:szCs w:val="24"/>
          <w:highlight w:val="none"/>
          <w:lang w:val="en-US" w:eastAsia="zh-CN" w:bidi="ar-SA"/>
        </w:rPr>
        <w:t>2）塔机基础：根据基础要求准备好预埋螺栓，在浇筑砼基础时，将预埋螺栓放入基础内固定好，根据说明书要求施工。在浇筑砼前必须对预埋螺栓检查垂直度。其垂直度小于2/1000。</w:t>
      </w:r>
    </w:p>
    <w:p w14:paraId="7A3AE0DF">
      <w:pPr>
        <w:pStyle w:val="80"/>
        <w:keepNext w:val="0"/>
        <w:keepLines w:val="0"/>
        <w:pageBreakBefore w:val="0"/>
        <w:numPr>
          <w:ilvl w:val="0"/>
          <w:numId w:val="0"/>
        </w:numPr>
        <w:kinsoku/>
        <w:overflowPunct/>
        <w:topLinePunct w:val="0"/>
        <w:bidi w:val="0"/>
        <w:spacing w:beforeAutospacing="0" w:afterAutospacing="0" w:line="240" w:lineRule="auto"/>
        <w:ind w:firstLine="480" w:firstLineChars="200"/>
        <w:textAlignment w:val="auto"/>
        <w:rPr>
          <w:rFonts w:hint="eastAsia" w:eastAsia="宋体"/>
          <w:highlight w:val="none"/>
          <w:lang w:eastAsia="zh-CN"/>
        </w:rPr>
      </w:pPr>
    </w:p>
    <w:p w14:paraId="6B9EA81D">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eastAsia" w:ascii="宋体" w:hAnsi="宋体" w:eastAsia="宋体" w:cs="Times New Roman"/>
          <w:color w:val="000000"/>
          <w:sz w:val="24"/>
          <w:szCs w:val="24"/>
          <w:lang w:val="en-US" w:eastAsia="zh-CN"/>
        </w:rPr>
      </w:pPr>
      <w:r>
        <w:drawing>
          <wp:inline distT="0" distB="0" distL="114300" distR="114300">
            <wp:extent cx="5935345" cy="2728595"/>
            <wp:effectExtent l="0" t="0" r="8255" b="14605"/>
            <wp:docPr id="1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3"/>
                    <pic:cNvPicPr>
                      <a:picLocks noChangeAspect="1"/>
                    </pic:cNvPicPr>
                  </pic:nvPicPr>
                  <pic:blipFill>
                    <a:blip r:embed="rId33"/>
                    <a:stretch>
                      <a:fillRect/>
                    </a:stretch>
                  </pic:blipFill>
                  <pic:spPr>
                    <a:xfrm>
                      <a:off x="0" y="0"/>
                      <a:ext cx="5935345" cy="2728595"/>
                    </a:xfrm>
                    <a:prstGeom prst="rect">
                      <a:avLst/>
                    </a:prstGeom>
                    <a:noFill/>
                    <a:ln>
                      <a:noFill/>
                    </a:ln>
                  </pic:spPr>
                </pic:pic>
              </a:graphicData>
            </a:graphic>
          </wp:inline>
        </w:drawing>
      </w:r>
      <w:r>
        <w:drawing>
          <wp:inline distT="0" distB="0" distL="114300" distR="114300">
            <wp:extent cx="5934075" cy="3045460"/>
            <wp:effectExtent l="0" t="0" r="9525" b="2540"/>
            <wp:docPr id="1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
                    <pic:cNvPicPr>
                      <a:picLocks noChangeAspect="1"/>
                    </pic:cNvPicPr>
                  </pic:nvPicPr>
                  <pic:blipFill>
                    <a:blip r:embed="rId34"/>
                    <a:stretch>
                      <a:fillRect/>
                    </a:stretch>
                  </pic:blipFill>
                  <pic:spPr>
                    <a:xfrm>
                      <a:off x="0" y="0"/>
                      <a:ext cx="5934075" cy="3045460"/>
                    </a:xfrm>
                    <a:prstGeom prst="rect">
                      <a:avLst/>
                    </a:prstGeom>
                    <a:noFill/>
                    <a:ln>
                      <a:noFill/>
                    </a:ln>
                  </pic:spPr>
                </pic:pic>
              </a:graphicData>
            </a:graphic>
          </wp:inline>
        </w:drawing>
      </w:r>
      <w:r>
        <w:drawing>
          <wp:inline distT="0" distB="0" distL="114300" distR="114300">
            <wp:extent cx="5905500" cy="7372350"/>
            <wp:effectExtent l="0" t="0" r="0" b="0"/>
            <wp:docPr id="1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5"/>
                    <pic:cNvPicPr>
                      <a:picLocks noChangeAspect="1"/>
                    </pic:cNvPicPr>
                  </pic:nvPicPr>
                  <pic:blipFill>
                    <a:blip r:embed="rId35"/>
                    <a:stretch>
                      <a:fillRect/>
                    </a:stretch>
                  </pic:blipFill>
                  <pic:spPr>
                    <a:xfrm>
                      <a:off x="0" y="0"/>
                      <a:ext cx="5905500" cy="7372350"/>
                    </a:xfrm>
                    <a:prstGeom prst="rect">
                      <a:avLst/>
                    </a:prstGeom>
                    <a:noFill/>
                    <a:ln>
                      <a:noFill/>
                    </a:ln>
                  </pic:spPr>
                </pic:pic>
              </a:graphicData>
            </a:graphic>
          </wp:inline>
        </w:drawing>
      </w:r>
      <w:r>
        <w:rPr>
          <w:rFonts w:hint="eastAsia" w:ascii="宋体" w:hAnsi="宋体"/>
          <w:color w:val="000000"/>
          <w:sz w:val="24"/>
          <w:szCs w:val="24"/>
          <w:highlight w:val="none"/>
        </w:rPr>
        <w:t>图</w:t>
      </w:r>
      <w:r>
        <w:rPr>
          <w:rFonts w:hint="eastAsia" w:ascii="宋体" w:hAnsi="宋体"/>
          <w:color w:val="000000"/>
          <w:sz w:val="24"/>
          <w:szCs w:val="24"/>
          <w:highlight w:val="none"/>
          <w:lang w:val="en-US" w:eastAsia="zh-CN"/>
        </w:rPr>
        <w:t>8.2.2.4</w:t>
      </w:r>
      <w:r>
        <w:rPr>
          <w:rFonts w:hint="eastAsia" w:ascii="宋体" w:hAnsi="宋体"/>
          <w:color w:val="000000"/>
          <w:sz w:val="24"/>
          <w:szCs w:val="24"/>
          <w:highlight w:val="none"/>
        </w:rPr>
        <w:t>-</w:t>
      </w:r>
      <w:r>
        <w:rPr>
          <w:rFonts w:hint="eastAsia" w:ascii="宋体" w:hAnsi="宋体"/>
          <w:color w:val="000000"/>
          <w:sz w:val="24"/>
          <w:szCs w:val="24"/>
          <w:highlight w:val="none"/>
          <w:lang w:val="en-US" w:eastAsia="zh-CN"/>
        </w:rPr>
        <w:t>1：</w:t>
      </w:r>
      <w:r>
        <w:rPr>
          <w:rFonts w:hint="eastAsia" w:ascii="宋体" w:hAnsi="宋体"/>
          <w:color w:val="000000"/>
          <w:sz w:val="24"/>
          <w:szCs w:val="24"/>
          <w:highlight w:val="none"/>
        </w:rPr>
        <w:t xml:space="preserve"> </w:t>
      </w:r>
      <w:r>
        <w:rPr>
          <w:rFonts w:hint="eastAsia" w:ascii="宋体" w:hAnsi="宋体" w:eastAsia="宋体" w:cs="Times New Roman"/>
          <w:color w:val="000000"/>
          <w:sz w:val="24"/>
          <w:szCs w:val="24"/>
          <w:highlight w:val="none"/>
          <w:lang w:val="en-US" w:eastAsia="zh-CN"/>
        </w:rPr>
        <w:t>基础示意图</w:t>
      </w:r>
    </w:p>
    <w:p w14:paraId="2BD335C0">
      <w:pPr>
        <w:numPr>
          <w:ilvl w:val="0"/>
          <w:numId w:val="39"/>
        </w:numPr>
        <w:bidi w:val="0"/>
        <w:ind w:left="0" w:leftChars="0" w:firstLine="420" w:firstLineChars="0"/>
        <w:rPr>
          <w:rFonts w:hint="eastAsia"/>
          <w:lang w:val="en-US" w:eastAsia="zh-CN"/>
        </w:rPr>
      </w:pPr>
      <w:r>
        <w:rPr>
          <w:rFonts w:hint="eastAsia"/>
          <w:lang w:val="en-US" w:eastAsia="zh-CN"/>
        </w:rPr>
        <w:t>接地装置</w:t>
      </w:r>
    </w:p>
    <w:p w14:paraId="11AE8379">
      <w:pPr>
        <w:pStyle w:val="11"/>
        <w:jc w:val="left"/>
        <w:rPr>
          <w:rFonts w:hint="eastAsia"/>
          <w:sz w:val="24"/>
          <w:szCs w:val="24"/>
        </w:rPr>
      </w:pPr>
      <w:r>
        <w:rPr>
          <w:rFonts w:hint="eastAsia"/>
          <w:sz w:val="24"/>
          <w:szCs w:val="24"/>
        </w:rPr>
        <w:t>（1）根据国标GB5144-</w:t>
      </w:r>
      <w:r>
        <w:rPr>
          <w:sz w:val="24"/>
          <w:szCs w:val="24"/>
        </w:rPr>
        <w:t>2006</w:t>
      </w:r>
      <w:r>
        <w:rPr>
          <w:rFonts w:hint="eastAsia"/>
          <w:sz w:val="24"/>
          <w:szCs w:val="24"/>
        </w:rPr>
        <w:t>《塔式起重机安全规程》中的规定，起重机金属结构、所有电气设备的金属外壳、金属线管等均须可靠地接地。</w:t>
      </w:r>
    </w:p>
    <w:p w14:paraId="040173DB">
      <w:pPr>
        <w:pStyle w:val="11"/>
        <w:jc w:val="left"/>
        <w:rPr>
          <w:rFonts w:hint="eastAsia"/>
          <w:sz w:val="24"/>
          <w:szCs w:val="24"/>
        </w:rPr>
      </w:pPr>
      <w:r>
        <w:rPr>
          <w:rFonts w:hint="eastAsia"/>
          <w:sz w:val="24"/>
          <w:szCs w:val="24"/>
        </w:rPr>
        <w:t>（2）现场必须按图施工，且接地电阻不大于4</w:t>
      </w:r>
      <w:r>
        <w:rPr>
          <w:rFonts w:hint="eastAsia"/>
          <w:sz w:val="24"/>
          <w:szCs w:val="24"/>
          <w:lang w:val="en-US" w:eastAsia="zh-CN"/>
        </w:rPr>
        <w:t>Ω</w:t>
      </w:r>
      <w:r>
        <w:rPr>
          <w:rFonts w:hint="eastAsia"/>
          <w:sz w:val="24"/>
          <w:szCs w:val="24"/>
        </w:rPr>
        <w:t>。</w:t>
      </w:r>
    </w:p>
    <w:p w14:paraId="53F6214C">
      <w:pPr>
        <w:pStyle w:val="11"/>
        <w:jc w:val="left"/>
        <w:rPr>
          <w:rFonts w:hint="eastAsia"/>
          <w:sz w:val="24"/>
          <w:szCs w:val="24"/>
        </w:rPr>
      </w:pPr>
      <w:r>
        <w:rPr>
          <w:rFonts w:hint="eastAsia"/>
          <w:sz w:val="24"/>
          <w:szCs w:val="24"/>
        </w:rPr>
        <w:t>（3）连接接地装置注意事项：</w:t>
      </w:r>
    </w:p>
    <w:p w14:paraId="68E69EA7">
      <w:pPr>
        <w:pStyle w:val="11"/>
        <w:ind w:firstLine="720" w:firstLineChars="300"/>
        <w:jc w:val="left"/>
        <w:rPr>
          <w:rFonts w:hint="eastAsia"/>
          <w:sz w:val="24"/>
          <w:szCs w:val="24"/>
        </w:rPr>
      </w:pPr>
      <w:r>
        <w:rPr>
          <w:rFonts w:hint="eastAsia"/>
          <w:sz w:val="24"/>
          <w:szCs w:val="24"/>
        </w:rPr>
        <w:t>①连接处应清除涂料。</w:t>
      </w:r>
    </w:p>
    <w:p w14:paraId="0CEF0214">
      <w:pPr>
        <w:pStyle w:val="11"/>
        <w:ind w:firstLine="720" w:firstLineChars="300"/>
        <w:jc w:val="left"/>
        <w:rPr>
          <w:rFonts w:hint="eastAsia"/>
          <w:sz w:val="24"/>
          <w:szCs w:val="24"/>
        </w:rPr>
      </w:pPr>
      <w:r>
        <w:rPr>
          <w:rFonts w:hint="eastAsia"/>
          <w:sz w:val="24"/>
          <w:szCs w:val="24"/>
        </w:rPr>
        <w:t>②防雷接地保护装置的电缆可与任何一根主弦杆的螺栓连接,并清除螺栓螺母及套管上的涂料。</w:t>
      </w:r>
    </w:p>
    <w:p w14:paraId="70681685">
      <w:pPr>
        <w:pStyle w:val="11"/>
        <w:ind w:firstLine="720" w:firstLineChars="300"/>
        <w:jc w:val="left"/>
        <w:rPr>
          <w:rFonts w:hint="eastAsia"/>
          <w:sz w:val="24"/>
          <w:szCs w:val="24"/>
        </w:rPr>
      </w:pPr>
      <w:r>
        <w:rPr>
          <w:rFonts w:hint="eastAsia"/>
          <w:sz w:val="24"/>
          <w:szCs w:val="24"/>
        </w:rPr>
        <w:t>③与地基铆固连接的底盘决不能用作防雷装置的接地极，必须在塔机基础外另设一个防雷接地装置。</w:t>
      </w:r>
    </w:p>
    <w:p w14:paraId="7EFF3F0C">
      <w:pPr>
        <w:pStyle w:val="11"/>
        <w:ind w:firstLine="720" w:firstLineChars="300"/>
        <w:jc w:val="left"/>
        <w:rPr>
          <w:rFonts w:hint="eastAsia"/>
          <w:sz w:val="24"/>
          <w:szCs w:val="24"/>
        </w:rPr>
      </w:pPr>
      <w:r>
        <w:rPr>
          <w:rFonts w:hint="eastAsia"/>
          <w:sz w:val="24"/>
          <w:szCs w:val="24"/>
        </w:rPr>
        <w:t>④即使可以用其它安全保护装置，如高灵敏度的差动继电器（自动断路器），按规定也必须安装这种接地保护装置。</w:t>
      </w:r>
    </w:p>
    <w:p w14:paraId="290F97C4">
      <w:pPr>
        <w:pStyle w:val="11"/>
        <w:ind w:firstLine="720" w:firstLineChars="300"/>
        <w:jc w:val="left"/>
        <w:rPr>
          <w:rFonts w:hint="eastAsia" w:ascii="宋体"/>
          <w:sz w:val="24"/>
          <w:szCs w:val="24"/>
          <w:lang w:val="en-US" w:eastAsia="zh-CN"/>
        </w:rPr>
      </w:pPr>
      <w:r>
        <w:rPr>
          <w:rFonts w:hint="eastAsia" w:ascii="宋体"/>
          <w:sz w:val="24"/>
          <w:szCs w:val="24"/>
        </w:rPr>
        <w:t>⑤接地装置应由专人安装，因为接地电阻率视时间和当地条件的不同有很大变化,而且测定电阻时要高精密的仪器。</w:t>
      </w:r>
    </w:p>
    <w:p w14:paraId="07B9CFC8">
      <w:pPr>
        <w:pStyle w:val="7"/>
        <w:pageBreakBefore w:val="0"/>
        <w:numPr>
          <w:ilvl w:val="3"/>
          <w:numId w:val="6"/>
        </w:numPr>
        <w:kinsoku/>
        <w:wordWrap/>
        <w:overflowPunct/>
        <w:topLinePunct w:val="0"/>
        <w:bidi w:val="0"/>
        <w:spacing w:line="360" w:lineRule="auto"/>
        <w:ind w:left="850" w:leftChars="0" w:hanging="850" w:firstLineChars="0"/>
        <w:rPr>
          <w:rFonts w:hint="default"/>
          <w:lang w:val="en-US" w:eastAsia="zh-CN"/>
        </w:rPr>
      </w:pPr>
      <w:r>
        <w:rPr>
          <w:rFonts w:hint="eastAsia"/>
          <w:lang w:val="en-US" w:eastAsia="zh-CN"/>
        </w:rPr>
        <w:t>安装基础节与第一节标准节（以1#塔吊安装为例）</w:t>
      </w:r>
    </w:p>
    <w:p w14:paraId="7A722464">
      <w:pPr>
        <w:keepNext w:val="0"/>
        <w:keepLines w:val="0"/>
        <w:pageBreakBefore w:val="0"/>
        <w:kinsoku/>
        <w:wordWrap/>
        <w:overflowPunct/>
        <w:topLinePunct w:val="0"/>
        <w:autoSpaceDE/>
        <w:autoSpaceDN/>
        <w:bidi w:val="0"/>
        <w:snapToGrid/>
        <w:spacing w:line="360" w:lineRule="auto"/>
        <w:ind w:firstLine="480"/>
        <w:rPr>
          <w:rFonts w:hint="default" w:eastAsiaTheme="minorEastAsia"/>
          <w:highlight w:val="none"/>
          <w:lang w:val="en-US" w:eastAsia="zh-CN"/>
        </w:rPr>
      </w:pPr>
      <w:r>
        <w:rPr>
          <w:rFonts w:hint="eastAsia"/>
        </w:rPr>
        <w:t>基础节1节，吊重为</w:t>
      </w:r>
      <w:r>
        <w:rPr>
          <w:rFonts w:hint="eastAsia"/>
          <w:lang w:val="en-US" w:eastAsia="zh-CN"/>
        </w:rPr>
        <w:t>1.349t</w:t>
      </w:r>
      <w:r>
        <w:rPr>
          <w:rFonts w:hint="eastAsia"/>
        </w:rPr>
        <w:t>，</w:t>
      </w:r>
      <w:r>
        <w:rPr>
          <w:rFonts w:hint="eastAsia"/>
          <w:lang w:eastAsia="zh-CN"/>
        </w:rPr>
        <w:t>吊距约为12m</w:t>
      </w:r>
      <w:r>
        <w:t>，吊高为</w:t>
      </w:r>
      <w:r>
        <w:rPr>
          <w:rFonts w:hint="eastAsia"/>
        </w:rPr>
        <w:t>9</w:t>
      </w:r>
      <w:r>
        <w:t>m。</w:t>
      </w:r>
      <w:r>
        <w:rPr>
          <w:rFonts w:hint="eastAsia"/>
          <w:lang w:eastAsia="zh-CN"/>
        </w:rPr>
        <w:t>35t汽车吊</w:t>
      </w:r>
      <w:r>
        <w:rPr>
          <w:rFonts w:hint="eastAsia"/>
        </w:rPr>
        <w:t>起重能力为</w:t>
      </w:r>
      <w:r>
        <w:rPr>
          <w:rFonts w:hint="eastAsia"/>
          <w:lang w:val="en-US" w:eastAsia="zh-CN"/>
        </w:rPr>
        <w:t>11</w:t>
      </w:r>
      <w:r>
        <w:rPr>
          <w:rFonts w:hint="eastAsia"/>
        </w:rPr>
        <w:t>.3t</w:t>
      </w:r>
      <w:r>
        <w:t>&gt;</w:t>
      </w:r>
      <w:r>
        <w:rPr>
          <w:rFonts w:hint="eastAsia"/>
          <w:lang w:val="en-US" w:eastAsia="zh-CN"/>
        </w:rPr>
        <w:t>1.349</w:t>
      </w:r>
      <w:r>
        <w:rPr>
          <w:rFonts w:hint="eastAsia"/>
        </w:rPr>
        <w:t>t</w:t>
      </w:r>
      <w:r>
        <w:t>，</w:t>
      </w:r>
      <w:r>
        <w:rPr>
          <w:rFonts w:hint="eastAsia"/>
          <w:highlight w:val="none"/>
          <w:lang w:eastAsia="zh-CN"/>
        </w:rPr>
        <w:t>35t汽车吊</w:t>
      </w:r>
      <w:r>
        <w:rPr>
          <w:highlight w:val="none"/>
        </w:rPr>
        <w:t>起重性能满足要求。</w:t>
      </w:r>
      <w:r>
        <w:rPr>
          <w:rFonts w:hint="eastAsia"/>
          <w:highlight w:val="none"/>
          <w:lang w:val="en-US" w:eastAsia="zh-CN"/>
        </w:rPr>
        <w:t xml:space="preserve">  </w:t>
      </w:r>
    </w:p>
    <w:p w14:paraId="4DDC87FF">
      <w:pPr>
        <w:keepNext w:val="0"/>
        <w:keepLines w:val="0"/>
        <w:pageBreakBefore w:val="0"/>
        <w:kinsoku/>
        <w:wordWrap/>
        <w:overflowPunct/>
        <w:topLinePunct w:val="0"/>
        <w:autoSpaceDE/>
        <w:autoSpaceDN/>
        <w:bidi w:val="0"/>
        <w:snapToGrid/>
        <w:spacing w:line="360" w:lineRule="auto"/>
        <w:ind w:firstLine="480"/>
      </w:pPr>
      <w:r>
        <w:rPr>
          <w:rFonts w:hint="eastAsia"/>
          <w:highlight w:val="none"/>
        </w:rPr>
        <w:t>基础节吊装采用四点吊，基础节</w:t>
      </w:r>
      <w:r>
        <w:rPr>
          <w:rFonts w:hint="eastAsia"/>
          <w:highlight w:val="none"/>
          <w:lang w:val="en-US" w:eastAsia="zh-CN"/>
        </w:rPr>
        <w:t>主弦杆与斜腹杆交点</w:t>
      </w:r>
      <w:r>
        <w:rPr>
          <w:rFonts w:hint="eastAsia"/>
          <w:highlight w:val="none"/>
        </w:rPr>
        <w:t>作为吊装</w:t>
      </w:r>
      <w:r>
        <w:rPr>
          <w:rFonts w:hint="eastAsia"/>
          <w:highlight w:val="none"/>
          <w:lang w:val="en-US" w:eastAsia="zh-CN"/>
        </w:rPr>
        <w:t>点</w:t>
      </w:r>
      <w:r>
        <w:rPr>
          <w:rFonts w:hint="eastAsia"/>
          <w:highlight w:val="none"/>
        </w:rPr>
        <w:t>，</w:t>
      </w:r>
      <w:r>
        <w:rPr>
          <w:rFonts w:hint="eastAsia"/>
        </w:rPr>
        <w:t>采用4根</w:t>
      </w:r>
      <w:r>
        <w:rPr>
          <w:rFonts w:hint="eastAsia"/>
          <w:lang w:eastAsia="zh-CN"/>
        </w:rPr>
        <w:t>16mm6×19S+FC1870Mpa</w:t>
      </w:r>
      <w:r>
        <w:rPr>
          <w:rFonts w:hint="eastAsia"/>
        </w:rPr>
        <w:t>的钢丝绳配套GB/T 25854-6-DW5卸扣进行吊装。</w:t>
      </w:r>
    </w:p>
    <w:p w14:paraId="78999A52">
      <w:pPr>
        <w:keepNext w:val="0"/>
        <w:keepLines w:val="0"/>
        <w:pageBreakBefore w:val="0"/>
        <w:kinsoku/>
        <w:wordWrap/>
        <w:overflowPunct/>
        <w:topLinePunct w:val="0"/>
        <w:autoSpaceDE/>
        <w:autoSpaceDN/>
        <w:bidi w:val="0"/>
        <w:snapToGrid/>
        <w:spacing w:line="360" w:lineRule="auto"/>
        <w:ind w:firstLine="480"/>
        <w:rPr>
          <w:rFonts w:hint="eastAsia"/>
        </w:rPr>
      </w:pPr>
      <w:r>
        <w:rPr>
          <w:rFonts w:hint="eastAsia"/>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w:t>
      </w:r>
      <w:r>
        <w:rPr>
          <w:rFonts w:hint="eastAsia"/>
          <w:lang w:val="en-US" w:eastAsia="zh-CN"/>
        </w:rPr>
        <w:t>连接套</w:t>
      </w:r>
      <w:r>
        <w:rPr>
          <w:rFonts w:hint="eastAsia"/>
        </w:rPr>
        <w:t>孔与预埋固定支腿轴孔对齐，作业人员插入与预埋固定支腿连接</w:t>
      </w:r>
      <w:r>
        <w:rPr>
          <w:rFonts w:hint="eastAsia"/>
          <w:lang w:eastAsia="zh-CN"/>
        </w:rPr>
        <w:t>的</w:t>
      </w:r>
      <w:r>
        <w:rPr>
          <w:rFonts w:hint="eastAsia"/>
          <w:lang w:val="en-US" w:eastAsia="zh-CN"/>
        </w:rPr>
        <w:t>M30高强螺栓</w:t>
      </w:r>
      <w:r>
        <w:rPr>
          <w:rFonts w:hint="eastAsia"/>
        </w:rPr>
        <w:t>，完成基础节与固定支腿的连</w:t>
      </w:r>
      <w:r>
        <w:rPr>
          <w:rFonts w:hint="eastAsia"/>
          <w:lang w:val="en-US" w:eastAsia="zh-CN"/>
        </w:rPr>
        <w:t>接</w:t>
      </w:r>
      <w:r>
        <w:rPr>
          <w:rFonts w:hint="eastAsia"/>
        </w:rPr>
        <w:t>。以同样的方案安装一节标准节</w:t>
      </w:r>
      <w:r>
        <w:rPr>
          <w:rFonts w:hint="eastAsia"/>
          <w:lang w:eastAsia="zh-CN"/>
        </w:rPr>
        <w:t>。</w:t>
      </w:r>
      <w:r>
        <w:rPr>
          <w:rFonts w:hint="eastAsia"/>
        </w:rPr>
        <w:t>基础节吊装示意如下图所示：</w:t>
      </w:r>
    </w:p>
    <w:tbl>
      <w:tblPr>
        <w:tblStyle w:val="33"/>
        <w:tblpPr w:leftFromText="180" w:rightFromText="180" w:vertAnchor="text" w:horzAnchor="page" w:tblpX="2309" w:tblpY="8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2CDD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0E897A2A">
            <w:pPr>
              <w:keepNext w:val="0"/>
              <w:keepLines w:val="0"/>
              <w:pageBreakBefore w:val="0"/>
              <w:kinsoku/>
              <w:wordWrap/>
              <w:overflowPunct/>
              <w:topLinePunct w:val="0"/>
              <w:autoSpaceDE/>
              <w:autoSpaceDN/>
              <w:bidi w:val="0"/>
              <w:snapToGrid/>
              <w:spacing w:line="360" w:lineRule="auto"/>
              <w:jc w:val="center"/>
            </w:pPr>
            <w:r>
              <w:drawing>
                <wp:inline distT="0" distB="0" distL="114300" distR="114300">
                  <wp:extent cx="5010785" cy="2385695"/>
                  <wp:effectExtent l="0" t="0" r="18415"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6"/>
                          <a:stretch>
                            <a:fillRect/>
                          </a:stretch>
                        </pic:blipFill>
                        <pic:spPr>
                          <a:xfrm>
                            <a:off x="0" y="0"/>
                            <a:ext cx="5010785" cy="2385695"/>
                          </a:xfrm>
                          <a:prstGeom prst="rect">
                            <a:avLst/>
                          </a:prstGeom>
                          <a:noFill/>
                          <a:ln>
                            <a:noFill/>
                          </a:ln>
                        </pic:spPr>
                      </pic:pic>
                    </a:graphicData>
                  </a:graphic>
                </wp:inline>
              </w:drawing>
            </w:r>
          </w:p>
        </w:tc>
      </w:tr>
      <w:tr w14:paraId="5C47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8352" w:type="dxa"/>
          </w:tcPr>
          <w:p w14:paraId="1DF38FFF">
            <w:pPr>
              <w:keepNext w:val="0"/>
              <w:keepLines w:val="0"/>
              <w:pageBreakBefore w:val="0"/>
              <w:kinsoku/>
              <w:wordWrap/>
              <w:overflowPunct/>
              <w:topLinePunct w:val="0"/>
              <w:autoSpaceDE/>
              <w:autoSpaceDN/>
              <w:bidi w:val="0"/>
              <w:snapToGrid/>
              <w:spacing w:line="360" w:lineRule="auto"/>
              <w:ind w:firstLine="480"/>
              <w:jc w:val="center"/>
            </w:pPr>
            <w:r>
              <w:rPr>
                <w:rFonts w:hint="eastAsia" w:ascii="宋体" w:hAnsi="宋体" w:cs="宋体"/>
                <w:sz w:val="21"/>
                <w:szCs w:val="22"/>
                <w:lang w:val="en-US" w:eastAsia="zh-CN"/>
              </w:rPr>
              <w:t>安装基础节与标准节</w:t>
            </w:r>
            <w:r>
              <w:rPr>
                <w:rFonts w:hint="eastAsia" w:ascii="宋体" w:hAnsi="宋体" w:cs="宋体"/>
                <w:sz w:val="21"/>
                <w:szCs w:val="22"/>
              </w:rPr>
              <w:t>平面示意图</w:t>
            </w:r>
          </w:p>
        </w:tc>
      </w:tr>
      <w:tr w14:paraId="42A1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26147700">
            <w:pPr>
              <w:keepNext w:val="0"/>
              <w:keepLines w:val="0"/>
              <w:pageBreakBefore w:val="0"/>
              <w:kinsoku/>
              <w:wordWrap/>
              <w:overflowPunct/>
              <w:topLinePunct w:val="0"/>
              <w:autoSpaceDE/>
              <w:autoSpaceDN/>
              <w:bidi w:val="0"/>
              <w:snapToGrid/>
              <w:spacing w:line="360" w:lineRule="auto"/>
              <w:jc w:val="both"/>
            </w:pPr>
            <w:r>
              <w:drawing>
                <wp:inline distT="0" distB="0" distL="114300" distR="114300">
                  <wp:extent cx="4493260" cy="3420110"/>
                  <wp:effectExtent l="0" t="0" r="2540" b="8890"/>
                  <wp:docPr id="1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8"/>
                          <pic:cNvPicPr>
                            <a:picLocks noChangeAspect="1"/>
                          </pic:cNvPicPr>
                        </pic:nvPicPr>
                        <pic:blipFill>
                          <a:blip r:embed="rId37"/>
                          <a:stretch>
                            <a:fillRect/>
                          </a:stretch>
                        </pic:blipFill>
                        <pic:spPr>
                          <a:xfrm>
                            <a:off x="0" y="0"/>
                            <a:ext cx="4493260" cy="3420110"/>
                          </a:xfrm>
                          <a:prstGeom prst="rect">
                            <a:avLst/>
                          </a:prstGeom>
                          <a:noFill/>
                          <a:ln>
                            <a:noFill/>
                          </a:ln>
                        </pic:spPr>
                      </pic:pic>
                    </a:graphicData>
                  </a:graphic>
                </wp:inline>
              </w:drawing>
            </w:r>
            <w:r>
              <w:drawing>
                <wp:inline distT="0" distB="0" distL="114300" distR="114300">
                  <wp:extent cx="2459355" cy="3182620"/>
                  <wp:effectExtent l="0" t="0" r="17145" b="17780"/>
                  <wp:docPr id="1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0"/>
                          <pic:cNvPicPr>
                            <a:picLocks noChangeAspect="1"/>
                          </pic:cNvPicPr>
                        </pic:nvPicPr>
                        <pic:blipFill>
                          <a:blip r:embed="rId38"/>
                          <a:stretch>
                            <a:fillRect/>
                          </a:stretch>
                        </pic:blipFill>
                        <pic:spPr>
                          <a:xfrm>
                            <a:off x="0" y="0"/>
                            <a:ext cx="2459355" cy="3182620"/>
                          </a:xfrm>
                          <a:prstGeom prst="rect">
                            <a:avLst/>
                          </a:prstGeom>
                          <a:noFill/>
                          <a:ln>
                            <a:noFill/>
                          </a:ln>
                        </pic:spPr>
                      </pic:pic>
                    </a:graphicData>
                  </a:graphic>
                </wp:inline>
              </w:drawing>
            </w:r>
            <w:r>
              <w:drawing>
                <wp:inline distT="0" distB="0" distL="114300" distR="114300">
                  <wp:extent cx="2341880" cy="3240405"/>
                  <wp:effectExtent l="0" t="0" r="1270" b="17145"/>
                  <wp:docPr id="1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9"/>
                          <pic:cNvPicPr>
                            <a:picLocks noChangeAspect="1"/>
                          </pic:cNvPicPr>
                        </pic:nvPicPr>
                        <pic:blipFill>
                          <a:blip r:embed="rId39"/>
                          <a:stretch>
                            <a:fillRect/>
                          </a:stretch>
                        </pic:blipFill>
                        <pic:spPr>
                          <a:xfrm>
                            <a:off x="0" y="0"/>
                            <a:ext cx="2341880" cy="3240405"/>
                          </a:xfrm>
                          <a:prstGeom prst="rect">
                            <a:avLst/>
                          </a:prstGeom>
                          <a:noFill/>
                          <a:ln>
                            <a:noFill/>
                          </a:ln>
                        </pic:spPr>
                      </pic:pic>
                    </a:graphicData>
                  </a:graphic>
                </wp:inline>
              </w:drawing>
            </w:r>
          </w:p>
        </w:tc>
      </w:tr>
      <w:tr w14:paraId="4674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10F2F1E8">
            <w:pPr>
              <w:keepNext w:val="0"/>
              <w:keepLines w:val="0"/>
              <w:pageBreakBefore w:val="0"/>
              <w:kinsoku/>
              <w:wordWrap/>
              <w:overflowPunct/>
              <w:topLinePunct w:val="0"/>
              <w:autoSpaceDE/>
              <w:autoSpaceDN/>
              <w:bidi w:val="0"/>
              <w:snapToGrid/>
              <w:spacing w:line="360" w:lineRule="auto"/>
              <w:ind w:firstLine="480"/>
              <w:jc w:val="center"/>
            </w:pPr>
            <w:r>
              <w:rPr>
                <w:rFonts w:hint="eastAsia" w:ascii="宋体" w:hAnsi="宋体" w:cs="宋体"/>
                <w:sz w:val="21"/>
                <w:szCs w:val="22"/>
                <w:lang w:val="en-US" w:eastAsia="zh-CN"/>
              </w:rPr>
              <w:t>安装基础节立</w:t>
            </w:r>
            <w:r>
              <w:rPr>
                <w:rFonts w:hint="eastAsia" w:ascii="宋体" w:hAnsi="宋体" w:cs="宋体"/>
                <w:sz w:val="21"/>
                <w:szCs w:val="22"/>
              </w:rPr>
              <w:t>面示意图</w:t>
            </w:r>
          </w:p>
        </w:tc>
      </w:tr>
    </w:tbl>
    <w:p w14:paraId="43E3657D">
      <w:pPr>
        <w:pStyle w:val="74"/>
        <w:keepNext w:val="0"/>
        <w:keepLines w:val="0"/>
        <w:pageBreakBefore w:val="0"/>
        <w:numPr>
          <w:ilvl w:val="0"/>
          <w:numId w:val="0"/>
        </w:numPr>
        <w:kinsoku/>
        <w:wordWrap/>
        <w:overflowPunct/>
        <w:topLinePunct w:val="0"/>
        <w:bidi w:val="0"/>
        <w:spacing w:beforeAutospacing="0" w:afterAutospacing="0" w:line="360" w:lineRule="auto"/>
        <w:jc w:val="both"/>
        <w:textAlignment w:val="auto"/>
      </w:pPr>
    </w:p>
    <w:p w14:paraId="352026DA">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安装顶升梁</w:t>
      </w:r>
    </w:p>
    <w:tbl>
      <w:tblPr>
        <w:tblStyle w:val="33"/>
        <w:tblpPr w:leftFromText="180" w:rightFromText="180" w:vertAnchor="text" w:horzAnchor="page" w:tblpX="2290" w:tblpY="11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9CC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4C3F5200">
            <w:pPr>
              <w:keepNext w:val="0"/>
              <w:keepLines w:val="0"/>
              <w:pageBreakBefore w:val="0"/>
              <w:kinsoku/>
              <w:wordWrap/>
              <w:overflowPunct/>
              <w:topLinePunct w:val="0"/>
              <w:autoSpaceDE/>
              <w:autoSpaceDN/>
              <w:bidi w:val="0"/>
              <w:snapToGrid/>
              <w:spacing w:line="360" w:lineRule="auto"/>
              <w:jc w:val="center"/>
            </w:pPr>
            <w:r>
              <w:drawing>
                <wp:inline distT="0" distB="0" distL="114300" distR="114300">
                  <wp:extent cx="5273675" cy="3215640"/>
                  <wp:effectExtent l="0" t="0" r="3175"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0"/>
                          <a:stretch>
                            <a:fillRect/>
                          </a:stretch>
                        </pic:blipFill>
                        <pic:spPr>
                          <a:xfrm>
                            <a:off x="0" y="0"/>
                            <a:ext cx="5273675" cy="3215640"/>
                          </a:xfrm>
                          <a:prstGeom prst="rect">
                            <a:avLst/>
                          </a:prstGeom>
                          <a:noFill/>
                          <a:ln>
                            <a:noFill/>
                          </a:ln>
                        </pic:spPr>
                      </pic:pic>
                    </a:graphicData>
                  </a:graphic>
                </wp:inline>
              </w:drawing>
            </w:r>
          </w:p>
        </w:tc>
      </w:tr>
      <w:tr w14:paraId="5D14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8352" w:type="dxa"/>
          </w:tcPr>
          <w:p w14:paraId="456AF8CD">
            <w:pPr>
              <w:pStyle w:val="12"/>
              <w:pageBreakBefore w:val="0"/>
              <w:kinsoku/>
              <w:wordWrap/>
              <w:overflowPunct/>
              <w:topLinePunct w:val="0"/>
              <w:bidi w:val="0"/>
              <w:spacing w:line="360" w:lineRule="auto"/>
            </w:pPr>
            <w:r>
              <w:rPr>
                <w:rFonts w:hint="eastAsia" w:ascii="宋体" w:hAnsi="宋体" w:eastAsia="宋体" w:cs="宋体"/>
                <w:b w:val="0"/>
                <w:bCs/>
                <w:lang w:eastAsia="zh-CN"/>
              </w:rPr>
              <w:t>顶升梁安装示意图</w:t>
            </w:r>
          </w:p>
        </w:tc>
      </w:tr>
    </w:tbl>
    <w:p w14:paraId="40968D68">
      <w:pPr>
        <w:keepNext w:val="0"/>
        <w:keepLines w:val="0"/>
        <w:pageBreakBefore w:val="0"/>
        <w:kinsoku/>
        <w:wordWrap/>
        <w:overflowPunct/>
        <w:topLinePunct w:val="0"/>
        <w:autoSpaceDE/>
        <w:autoSpaceDN/>
        <w:bidi w:val="0"/>
        <w:snapToGrid/>
        <w:spacing w:line="360" w:lineRule="auto"/>
        <w:ind w:firstLine="480" w:firstLineChars="200"/>
        <w:rPr>
          <w:rFonts w:ascii="宋体" w:hAnsi="宋体" w:eastAsia="宋体" w:cs="宋体"/>
          <w:kern w:val="0"/>
          <w:sz w:val="24"/>
          <w:szCs w:val="24"/>
          <w:lang w:val="en-US" w:eastAsia="zh-CN" w:bidi="ar"/>
        </w:rPr>
      </w:pPr>
      <w:r>
        <w:rPr>
          <w:rFonts w:hint="eastAsia" w:ascii="宋体" w:hAnsi="宋体" w:eastAsia="宋体" w:cs="宋体"/>
          <w:b w:val="0"/>
          <w:bCs/>
          <w:sz w:val="24"/>
          <w:szCs w:val="24"/>
          <w:lang w:val="en-US" w:eastAsia="zh-CN"/>
        </w:rPr>
        <w:t>将顶升梁吊起至过渡节焊有顶升踏步一侧，用销轴将顶升梁与左、右踏步连接</w:t>
      </w:r>
      <w:r>
        <w:rPr>
          <w:rFonts w:hint="eastAsia" w:ascii="宋体" w:hAnsi="宋体" w:cs="宋体"/>
          <w:b w:val="0"/>
          <w:bCs/>
          <w:sz w:val="24"/>
          <w:szCs w:val="24"/>
          <w:lang w:val="en-US" w:eastAsia="zh-CN"/>
        </w:rPr>
        <w:t>。</w:t>
      </w:r>
    </w:p>
    <w:p w14:paraId="790B8879">
      <w:pPr>
        <w:pStyle w:val="7"/>
        <w:pageBreakBefore w:val="0"/>
        <w:numPr>
          <w:ilvl w:val="3"/>
          <w:numId w:val="6"/>
        </w:numPr>
        <w:kinsoku/>
        <w:wordWrap/>
        <w:overflowPunct/>
        <w:topLinePunct w:val="0"/>
        <w:bidi w:val="0"/>
        <w:spacing w:line="360" w:lineRule="auto"/>
        <w:ind w:left="850" w:leftChars="0" w:hanging="850" w:firstLineChars="0"/>
        <w:rPr>
          <w:rFonts w:hint="default"/>
          <w:lang w:val="en-US" w:eastAsia="zh-CN"/>
        </w:rPr>
      </w:pPr>
      <w:r>
        <w:rPr>
          <w:rFonts w:hint="eastAsia"/>
          <w:lang w:val="en-US" w:eastAsia="zh-CN"/>
        </w:rPr>
        <w:t>安装顶升套架</w:t>
      </w:r>
    </w:p>
    <w:p w14:paraId="5E5E60DD">
      <w:pPr>
        <w:keepNext w:val="0"/>
        <w:keepLines w:val="0"/>
        <w:pageBreakBefore w:val="0"/>
        <w:kinsoku/>
        <w:wordWrap/>
        <w:overflowPunct/>
        <w:topLinePunct w:val="0"/>
        <w:autoSpaceDE/>
        <w:autoSpaceDN/>
        <w:bidi w:val="0"/>
        <w:snapToGrid/>
        <w:spacing w:line="360" w:lineRule="auto"/>
        <w:ind w:firstLine="480"/>
      </w:pPr>
      <w:r>
        <w:rPr>
          <w:rFonts w:hint="eastAsia"/>
        </w:rPr>
        <w:t>套架吊重为</w:t>
      </w:r>
      <w:r>
        <w:rPr>
          <w:rFonts w:hint="eastAsia"/>
          <w:lang w:val="en-US" w:eastAsia="zh-CN"/>
        </w:rPr>
        <w:t>3.564t</w:t>
      </w:r>
      <w:r>
        <w:rPr>
          <w:rFonts w:hint="eastAsia"/>
        </w:rPr>
        <w:t>，</w:t>
      </w:r>
      <w:r>
        <w:rPr>
          <w:rFonts w:hint="eastAsia"/>
          <w:lang w:eastAsia="zh-CN"/>
        </w:rPr>
        <w:t>吊距约为12m</w:t>
      </w:r>
      <w:r>
        <w:t>，吊高为</w:t>
      </w:r>
      <w:r>
        <w:rPr>
          <w:rFonts w:hint="eastAsia"/>
        </w:rPr>
        <w:t>18.5</w:t>
      </w:r>
      <w:r>
        <w:t>m。</w:t>
      </w:r>
      <w:r>
        <w:rPr>
          <w:rFonts w:hint="eastAsia"/>
          <w:lang w:eastAsia="zh-CN"/>
        </w:rPr>
        <w:t>35t汽车吊</w:t>
      </w:r>
      <w:r>
        <w:rPr>
          <w:rFonts w:hint="eastAsia"/>
        </w:rPr>
        <w:t>起重能力为</w:t>
      </w:r>
      <w:r>
        <w:rPr>
          <w:rFonts w:hint="eastAsia"/>
          <w:lang w:val="en-US" w:eastAsia="zh-CN"/>
        </w:rPr>
        <w:t>11</w:t>
      </w:r>
      <w:r>
        <w:rPr>
          <w:rFonts w:hint="eastAsia"/>
        </w:rPr>
        <w:t>.3t</w:t>
      </w:r>
      <w:r>
        <w:t>&gt;</w:t>
      </w:r>
      <w:r>
        <w:rPr>
          <w:rFonts w:hint="eastAsia"/>
          <w:lang w:val="en-US" w:eastAsia="zh-CN"/>
        </w:rPr>
        <w:t>3.564</w:t>
      </w:r>
      <w:r>
        <w:t>t，</w:t>
      </w:r>
      <w:r>
        <w:rPr>
          <w:rFonts w:hint="eastAsia"/>
          <w:lang w:eastAsia="zh-CN"/>
        </w:rPr>
        <w:t>35t汽车吊</w:t>
      </w:r>
      <w:r>
        <w:t>起重性能满足要求。</w:t>
      </w:r>
    </w:p>
    <w:tbl>
      <w:tblPr>
        <w:tblStyle w:val="33"/>
        <w:tblpPr w:leftFromText="180" w:rightFromText="180" w:vertAnchor="text" w:horzAnchor="page" w:tblpX="1978" w:tblpY="36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7E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522" w:type="dxa"/>
          </w:tcPr>
          <w:p w14:paraId="43845A8A">
            <w:pPr>
              <w:keepNext w:val="0"/>
              <w:keepLines w:val="0"/>
              <w:pageBreakBefore w:val="0"/>
              <w:kinsoku/>
              <w:wordWrap/>
              <w:overflowPunct/>
              <w:topLinePunct w:val="0"/>
              <w:autoSpaceDE/>
              <w:autoSpaceDN/>
              <w:bidi w:val="0"/>
              <w:snapToGrid/>
              <w:spacing w:line="360" w:lineRule="auto"/>
              <w:jc w:val="center"/>
            </w:pPr>
            <w:r>
              <w:drawing>
                <wp:inline distT="0" distB="0" distL="114300" distR="114300">
                  <wp:extent cx="2054225" cy="2781935"/>
                  <wp:effectExtent l="0" t="0" r="3175" b="18415"/>
                  <wp:docPr id="1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2"/>
                          <pic:cNvPicPr>
                            <a:picLocks noChangeAspect="1"/>
                          </pic:cNvPicPr>
                        </pic:nvPicPr>
                        <pic:blipFill>
                          <a:blip r:embed="rId41"/>
                          <a:stretch>
                            <a:fillRect/>
                          </a:stretch>
                        </pic:blipFill>
                        <pic:spPr>
                          <a:xfrm>
                            <a:off x="0" y="0"/>
                            <a:ext cx="2054225" cy="2781935"/>
                          </a:xfrm>
                          <a:prstGeom prst="rect">
                            <a:avLst/>
                          </a:prstGeom>
                          <a:noFill/>
                          <a:ln>
                            <a:noFill/>
                          </a:ln>
                        </pic:spPr>
                      </pic:pic>
                    </a:graphicData>
                  </a:graphic>
                </wp:inline>
              </w:drawing>
            </w:r>
            <w:r>
              <w:drawing>
                <wp:inline distT="0" distB="0" distL="114300" distR="114300">
                  <wp:extent cx="2201545" cy="2933700"/>
                  <wp:effectExtent l="0" t="0" r="8255" b="0"/>
                  <wp:docPr id="1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3"/>
                          <pic:cNvPicPr>
                            <a:picLocks noChangeAspect="1"/>
                          </pic:cNvPicPr>
                        </pic:nvPicPr>
                        <pic:blipFill>
                          <a:blip r:embed="rId42"/>
                          <a:srcRect t="626" r="9282"/>
                          <a:stretch>
                            <a:fillRect/>
                          </a:stretch>
                        </pic:blipFill>
                        <pic:spPr>
                          <a:xfrm>
                            <a:off x="0" y="0"/>
                            <a:ext cx="2201545" cy="2933700"/>
                          </a:xfrm>
                          <a:prstGeom prst="rect">
                            <a:avLst/>
                          </a:prstGeom>
                          <a:noFill/>
                          <a:ln>
                            <a:noFill/>
                          </a:ln>
                        </pic:spPr>
                      </pic:pic>
                    </a:graphicData>
                  </a:graphic>
                </wp:inline>
              </w:drawing>
            </w:r>
            <w:r>
              <w:drawing>
                <wp:inline distT="0" distB="0" distL="114300" distR="114300">
                  <wp:extent cx="4424680" cy="2106930"/>
                  <wp:effectExtent l="0" t="0" r="13970" b="762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6"/>
                          <a:stretch>
                            <a:fillRect/>
                          </a:stretch>
                        </pic:blipFill>
                        <pic:spPr>
                          <a:xfrm>
                            <a:off x="0" y="0"/>
                            <a:ext cx="4424680" cy="2106930"/>
                          </a:xfrm>
                          <a:prstGeom prst="rect">
                            <a:avLst/>
                          </a:prstGeom>
                          <a:noFill/>
                          <a:ln>
                            <a:noFill/>
                          </a:ln>
                        </pic:spPr>
                      </pic:pic>
                    </a:graphicData>
                  </a:graphic>
                </wp:inline>
              </w:drawing>
            </w:r>
          </w:p>
        </w:tc>
      </w:tr>
      <w:tr w14:paraId="4B67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522" w:type="dxa"/>
          </w:tcPr>
          <w:p w14:paraId="6046BC81">
            <w:pPr>
              <w:pStyle w:val="12"/>
              <w:pageBreakBefore w:val="0"/>
              <w:kinsoku/>
              <w:wordWrap/>
              <w:overflowPunct/>
              <w:topLinePunct w:val="0"/>
              <w:bidi w:val="0"/>
              <w:spacing w:line="360" w:lineRule="auto"/>
            </w:pPr>
            <w:r>
              <w:rPr>
                <w:rFonts w:hint="eastAsia" w:ascii="宋体" w:hAnsi="宋体" w:eastAsia="宋体" w:cs="宋体"/>
                <w:b w:val="0"/>
                <w:bCs/>
                <w:lang w:eastAsia="zh-CN"/>
              </w:rPr>
              <w:t>顶升套架安装示意图</w:t>
            </w:r>
          </w:p>
        </w:tc>
      </w:tr>
    </w:tbl>
    <w:p w14:paraId="719FE4D9">
      <w:pPr>
        <w:keepNext w:val="0"/>
        <w:keepLines w:val="0"/>
        <w:pageBreakBefore w:val="0"/>
        <w:kinsoku/>
        <w:wordWrap/>
        <w:overflowPunct/>
        <w:topLinePunct w:val="0"/>
        <w:autoSpaceDE/>
        <w:autoSpaceDN/>
        <w:bidi w:val="0"/>
        <w:snapToGrid/>
        <w:spacing w:line="360" w:lineRule="auto"/>
        <w:ind w:firstLine="480"/>
        <w:rPr>
          <w:rFonts w:hint="eastAsia"/>
        </w:rPr>
      </w:pPr>
      <w:r>
        <w:rPr>
          <w:rFonts w:hint="eastAsia"/>
        </w:rPr>
        <w:t>套架吊装采用四点吊，以套架</w:t>
      </w:r>
      <w:r>
        <w:rPr>
          <w:rFonts w:hint="eastAsia"/>
          <w:highlight w:val="none"/>
          <w:lang w:val="en-US" w:eastAsia="zh-CN"/>
        </w:rPr>
        <w:t>主弦杆与斜腹杆交点</w:t>
      </w:r>
      <w:r>
        <w:rPr>
          <w:rFonts w:hint="eastAsia"/>
          <w:highlight w:val="none"/>
        </w:rPr>
        <w:t>作为吊装</w:t>
      </w:r>
      <w:r>
        <w:rPr>
          <w:rFonts w:hint="eastAsia"/>
          <w:highlight w:val="none"/>
          <w:lang w:val="en-US" w:eastAsia="zh-CN"/>
        </w:rPr>
        <w:t>点</w:t>
      </w:r>
      <w:r>
        <w:rPr>
          <w:rFonts w:hint="eastAsia"/>
        </w:rPr>
        <w:t>，采用4根</w:t>
      </w:r>
      <w:r>
        <w:rPr>
          <w:rFonts w:hint="eastAsia"/>
          <w:lang w:eastAsia="zh-CN"/>
        </w:rPr>
        <w:t>16mm6×19S+FC1870Mpa</w:t>
      </w:r>
      <w:r>
        <w:rPr>
          <w:rFonts w:hint="eastAsia"/>
        </w:rPr>
        <w:t>的钢丝绳配套GB/T 25854-6-DW5卸扣进行吊装。</w:t>
      </w:r>
    </w:p>
    <w:p w14:paraId="6D736F1B">
      <w:pPr>
        <w:keepNext w:val="0"/>
        <w:keepLines w:val="0"/>
        <w:pageBreakBefore w:val="0"/>
        <w:kinsoku/>
        <w:wordWrap/>
        <w:overflowPunct/>
        <w:topLinePunct w:val="0"/>
        <w:autoSpaceDE/>
        <w:autoSpaceDN/>
        <w:bidi w:val="0"/>
        <w:snapToGrid/>
        <w:spacing w:line="360" w:lineRule="auto"/>
        <w:ind w:firstLine="480"/>
        <w:rPr>
          <w:rFonts w:hint="eastAsia"/>
          <w:lang w:val="en-US" w:eastAsia="zh-CN"/>
        </w:rPr>
      </w:pPr>
      <w:r>
        <w:rPr>
          <w:rFonts w:hint="eastAsia"/>
        </w:rPr>
        <w:t>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基础节横杆上，将爬爪放在基础节踏步上，并通过安全销固定。套架吊装示意如下图所示：</w:t>
      </w:r>
    </w:p>
    <w:p w14:paraId="74C2BE2B">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安装特殊节和回转总成</w:t>
      </w:r>
    </w:p>
    <w:p w14:paraId="29CDB151">
      <w:pPr>
        <w:keepNext w:val="0"/>
        <w:keepLines w:val="0"/>
        <w:pageBreakBefore w:val="0"/>
        <w:kinsoku/>
        <w:wordWrap/>
        <w:overflowPunct/>
        <w:topLinePunct w:val="0"/>
        <w:autoSpaceDE/>
        <w:autoSpaceDN/>
        <w:bidi w:val="0"/>
        <w:snapToGrid/>
        <w:spacing w:line="360" w:lineRule="auto"/>
        <w:ind w:firstLine="480"/>
      </w:pPr>
      <w:r>
        <w:rPr>
          <w:rFonts w:hint="eastAsia"/>
          <w:lang w:val="en-US" w:eastAsia="zh-CN"/>
        </w:rPr>
        <w:t>特殊节</w:t>
      </w:r>
      <w:r>
        <w:rPr>
          <w:rFonts w:hint="eastAsia"/>
        </w:rPr>
        <w:t>吊重为1</w:t>
      </w:r>
      <w:r>
        <w:rPr>
          <w:rFonts w:hint="eastAsia"/>
          <w:lang w:val="en-US" w:eastAsia="zh-CN"/>
        </w:rPr>
        <w:t>.277t</w:t>
      </w:r>
      <w:r>
        <w:rPr>
          <w:rFonts w:hint="eastAsia"/>
        </w:rPr>
        <w:t>，</w:t>
      </w:r>
      <w:r>
        <w:rPr>
          <w:rFonts w:hint="eastAsia"/>
          <w:lang w:eastAsia="zh-CN"/>
        </w:rPr>
        <w:t>吊距约为12m</w:t>
      </w:r>
      <w:r>
        <w:t>，吊高为</w:t>
      </w:r>
      <w:r>
        <w:rPr>
          <w:rFonts w:hint="eastAsia"/>
        </w:rPr>
        <w:t>18.5</w:t>
      </w:r>
      <w:r>
        <w:t>m。</w:t>
      </w:r>
      <w:r>
        <w:rPr>
          <w:rFonts w:hint="eastAsia"/>
          <w:lang w:eastAsia="zh-CN"/>
        </w:rPr>
        <w:t>35t汽车吊</w:t>
      </w:r>
      <w:r>
        <w:rPr>
          <w:rFonts w:hint="eastAsia"/>
        </w:rPr>
        <w:t>起重能力为</w:t>
      </w:r>
      <w:r>
        <w:rPr>
          <w:rFonts w:hint="eastAsia"/>
          <w:lang w:val="en-US" w:eastAsia="zh-CN"/>
        </w:rPr>
        <w:t>11</w:t>
      </w:r>
      <w:r>
        <w:rPr>
          <w:rFonts w:hint="eastAsia"/>
        </w:rPr>
        <w:t>.3t</w:t>
      </w:r>
      <w:r>
        <w:t>&gt;</w:t>
      </w:r>
      <w:r>
        <w:rPr>
          <w:rFonts w:hint="eastAsia"/>
          <w:lang w:val="en-US" w:eastAsia="zh-CN"/>
        </w:rPr>
        <w:t>1.277</w:t>
      </w:r>
      <w:r>
        <w:t>t，</w:t>
      </w:r>
      <w:r>
        <w:rPr>
          <w:rFonts w:hint="eastAsia"/>
          <w:lang w:eastAsia="zh-CN"/>
        </w:rPr>
        <w:t>35t汽车吊</w:t>
      </w:r>
      <w:r>
        <w:t>起重性能满足要求。</w:t>
      </w:r>
    </w:p>
    <w:p w14:paraId="1FC7365A">
      <w:pPr>
        <w:keepNext w:val="0"/>
        <w:keepLines w:val="0"/>
        <w:pageBreakBefore w:val="0"/>
        <w:kinsoku/>
        <w:wordWrap/>
        <w:overflowPunct/>
        <w:topLinePunct w:val="0"/>
        <w:autoSpaceDE/>
        <w:autoSpaceDN/>
        <w:bidi w:val="0"/>
        <w:snapToGrid/>
        <w:spacing w:line="360" w:lineRule="auto"/>
        <w:ind w:firstLine="480"/>
        <w:rPr>
          <w:rFonts w:hint="eastAsia"/>
          <w:lang w:val="en-US" w:eastAsia="zh-CN"/>
        </w:rPr>
      </w:pPr>
      <w:r>
        <w:rPr>
          <w:rFonts w:hint="eastAsia"/>
          <w:lang w:val="en-US" w:eastAsia="zh-CN"/>
        </w:rPr>
        <w:t>回转总成</w:t>
      </w:r>
      <w:r>
        <w:rPr>
          <w:rFonts w:hint="eastAsia"/>
        </w:rPr>
        <w:t>吊重为</w:t>
      </w:r>
      <w:r>
        <w:rPr>
          <w:rFonts w:hint="eastAsia"/>
          <w:lang w:val="en-US" w:eastAsia="zh-CN"/>
        </w:rPr>
        <w:t>3.265t</w:t>
      </w:r>
      <w:r>
        <w:rPr>
          <w:rFonts w:hint="eastAsia"/>
        </w:rPr>
        <w:t>，</w:t>
      </w:r>
      <w:r>
        <w:rPr>
          <w:rFonts w:hint="eastAsia"/>
          <w:lang w:eastAsia="zh-CN"/>
        </w:rPr>
        <w:t>吊距约为12m</w:t>
      </w:r>
      <w:r>
        <w:t>，吊高为</w:t>
      </w:r>
      <w:r>
        <w:rPr>
          <w:rFonts w:hint="eastAsia"/>
        </w:rPr>
        <w:t>18.5</w:t>
      </w:r>
      <w:r>
        <w:t>m。</w:t>
      </w:r>
      <w:r>
        <w:rPr>
          <w:rFonts w:hint="eastAsia"/>
          <w:lang w:eastAsia="zh-CN"/>
        </w:rPr>
        <w:t>35t汽车吊</w:t>
      </w:r>
      <w:r>
        <w:rPr>
          <w:rFonts w:hint="eastAsia"/>
        </w:rPr>
        <w:t>起重能力为</w:t>
      </w:r>
      <w:r>
        <w:rPr>
          <w:rFonts w:hint="eastAsia"/>
          <w:lang w:val="en-US" w:eastAsia="zh-CN"/>
        </w:rPr>
        <w:t>11</w:t>
      </w:r>
      <w:r>
        <w:rPr>
          <w:rFonts w:hint="eastAsia"/>
        </w:rPr>
        <w:t>.3t</w:t>
      </w:r>
      <w:r>
        <w:t>&gt;</w:t>
      </w:r>
      <w:r>
        <w:rPr>
          <w:rFonts w:hint="eastAsia"/>
          <w:lang w:val="en-US" w:eastAsia="zh-CN"/>
        </w:rPr>
        <w:t>3.265</w:t>
      </w:r>
      <w:r>
        <w:t>t，</w:t>
      </w:r>
      <w:r>
        <w:rPr>
          <w:rFonts w:hint="eastAsia"/>
          <w:lang w:eastAsia="zh-CN"/>
        </w:rPr>
        <w:t>35t汽车吊</w:t>
      </w:r>
      <w:r>
        <w:t>起重性能满足要求。</w:t>
      </w:r>
    </w:p>
    <w:p w14:paraId="39EEB87D">
      <w:pPr>
        <w:keepNext w:val="0"/>
        <w:keepLines w:val="0"/>
        <w:pageBreakBefore w:val="0"/>
        <w:kinsoku/>
        <w:wordWrap/>
        <w:overflowPunct/>
        <w:topLinePunct w:val="0"/>
        <w:autoSpaceDE/>
        <w:autoSpaceDN/>
        <w:bidi w:val="0"/>
        <w:snapToGrid/>
        <w:spacing w:line="360" w:lineRule="auto"/>
        <w:ind w:firstLine="480"/>
      </w:pPr>
      <w:r>
        <w:rPr>
          <w:rFonts w:hint="eastAsia"/>
        </w:rPr>
        <w:t>采用吊机配合人工在地面上将特殊节结构、特殊节平台、引进衡量等拼装成特殊节总成，特殊节吊装采用四点吊，以特殊节</w:t>
      </w:r>
      <w:r>
        <w:rPr>
          <w:rFonts w:hint="eastAsia"/>
          <w:highlight w:val="none"/>
          <w:lang w:val="en-US" w:eastAsia="zh-CN"/>
        </w:rPr>
        <w:t>主弦杆与斜腹杆交点</w:t>
      </w:r>
      <w:r>
        <w:rPr>
          <w:rFonts w:hint="eastAsia"/>
          <w:highlight w:val="none"/>
        </w:rPr>
        <w:t>作为吊装</w:t>
      </w:r>
      <w:r>
        <w:rPr>
          <w:rFonts w:hint="eastAsia"/>
          <w:highlight w:val="none"/>
          <w:lang w:val="en-US" w:eastAsia="zh-CN"/>
        </w:rPr>
        <w:t>点</w:t>
      </w:r>
      <w:r>
        <w:rPr>
          <w:rFonts w:hint="eastAsia"/>
        </w:rPr>
        <w:t>，采用4根</w:t>
      </w:r>
      <w:r>
        <w:rPr>
          <w:rFonts w:hint="eastAsia"/>
          <w:lang w:eastAsia="zh-CN"/>
        </w:rPr>
        <w:t>16mm6×19S+FC1870Mpa</w:t>
      </w:r>
      <w:r>
        <w:rPr>
          <w:rFonts w:hint="eastAsia"/>
        </w:rPr>
        <w:t>的钢丝绳配套GB/T 25854-6-DW5卸扣进行吊装。</w:t>
      </w:r>
    </w:p>
    <w:p w14:paraId="55C6B448">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color w:val="auto"/>
          <w:lang w:val="en-US" w:eastAsia="zh-CN"/>
        </w:rPr>
      </w:pPr>
      <w:r>
        <w:rPr>
          <w:rFonts w:hint="eastAsia"/>
        </w:rPr>
        <w:t>作业人员在地面上先将钢丝绳一端挂在吊机吊钩，另一端与卸扣连接，卸扣与吊装孔连接，并在特殊节上栓好2根溜绳。启动吊机，将特殊节缓慢提升，用溜绳控制其摆动。起吊特殊节至标准节上方，吊机缓慢落钩，直至特殊节</w:t>
      </w:r>
      <w:r>
        <w:rPr>
          <w:rFonts w:hint="eastAsia"/>
          <w:lang w:val="en-US" w:eastAsia="zh-CN"/>
        </w:rPr>
        <w:t>连接套</w:t>
      </w:r>
      <w:r>
        <w:rPr>
          <w:rFonts w:hint="eastAsia"/>
        </w:rPr>
        <w:t>与标准节</w:t>
      </w:r>
      <w:r>
        <w:rPr>
          <w:rFonts w:hint="eastAsia"/>
          <w:lang w:val="en-US" w:eastAsia="zh-CN"/>
        </w:rPr>
        <w:t>连接套</w:t>
      </w:r>
      <w:r>
        <w:rPr>
          <w:rFonts w:hint="eastAsia"/>
        </w:rPr>
        <w:t>对齐，将安全带系挂在套架顶部的横杆上，站立在标准节顶部的平台上，插入标准节与特殊节的连接</w:t>
      </w:r>
      <w:r>
        <w:rPr>
          <w:rFonts w:hint="eastAsia"/>
          <w:lang w:val="en-US" w:eastAsia="zh-CN"/>
        </w:rPr>
        <w:t>螺栓</w:t>
      </w:r>
      <w:r>
        <w:rPr>
          <w:rFonts w:hint="eastAsia"/>
        </w:rPr>
        <w:t>，完成特殊节与标准节的连接。</w:t>
      </w:r>
      <w:r>
        <w:rPr>
          <w:rFonts w:hint="eastAsia"/>
          <w:lang w:val="en-US" w:eastAsia="zh-CN"/>
        </w:rPr>
        <w:t>以同样的方法安装回转总成</w:t>
      </w:r>
      <w:r>
        <w:rPr>
          <w:rFonts w:hint="eastAsia"/>
        </w:rPr>
        <w:t>特殊节</w:t>
      </w:r>
      <w:r>
        <w:rPr>
          <w:rFonts w:hint="eastAsia" w:cs="宋体"/>
          <w:szCs w:val="24"/>
        </w:rPr>
        <w:t>的安装示意图如下</w:t>
      </w:r>
      <w:r>
        <w:rPr>
          <w:rFonts w:hint="eastAsia" w:ascii="宋体" w:hAnsi="宋体" w:eastAsia="宋体" w:cs="宋体"/>
          <w:color w:val="auto"/>
          <w:lang w:val="en-US" w:eastAsia="zh-CN"/>
        </w:rPr>
        <w:t>。</w:t>
      </w:r>
    </w:p>
    <w:tbl>
      <w:tblPr>
        <w:tblStyle w:val="33"/>
        <w:tblpPr w:leftFromText="180" w:rightFromText="180" w:vertAnchor="text" w:horzAnchor="page" w:tblpX="2309" w:tblpY="8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6"/>
      </w:tblGrid>
      <w:tr w14:paraId="6232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2" w:hRule="atLeast"/>
        </w:trPr>
        <w:tc>
          <w:tcPr>
            <w:tcW w:w="8080" w:type="dxa"/>
          </w:tcPr>
          <w:p w14:paraId="55255FE7">
            <w:pPr>
              <w:pStyle w:val="12"/>
              <w:pageBreakBefore w:val="0"/>
              <w:kinsoku/>
              <w:wordWrap/>
              <w:overflowPunct/>
              <w:topLinePunct w:val="0"/>
              <w:bidi w:val="0"/>
              <w:spacing w:line="360" w:lineRule="auto"/>
              <w:rPr>
                <w:rFonts w:hint="eastAsia" w:ascii="宋体" w:hAnsi="宋体" w:eastAsia="宋体" w:cs="宋体"/>
                <w:b w:val="0"/>
                <w:bCs/>
                <w:lang w:eastAsia="zh-CN"/>
              </w:rPr>
            </w:pPr>
            <w:r>
              <w:drawing>
                <wp:inline distT="0" distB="0" distL="114300" distR="114300">
                  <wp:extent cx="1834515" cy="4103370"/>
                  <wp:effectExtent l="0" t="0" r="13335" b="11430"/>
                  <wp:docPr id="1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4"/>
                          <pic:cNvPicPr>
                            <a:picLocks noChangeAspect="1"/>
                          </pic:cNvPicPr>
                        </pic:nvPicPr>
                        <pic:blipFill>
                          <a:blip r:embed="rId43"/>
                          <a:stretch>
                            <a:fillRect/>
                          </a:stretch>
                        </pic:blipFill>
                        <pic:spPr>
                          <a:xfrm>
                            <a:off x="0" y="0"/>
                            <a:ext cx="1834515" cy="4103370"/>
                          </a:xfrm>
                          <a:prstGeom prst="rect">
                            <a:avLst/>
                          </a:prstGeom>
                          <a:noFill/>
                          <a:ln>
                            <a:noFill/>
                          </a:ln>
                        </pic:spPr>
                      </pic:pic>
                    </a:graphicData>
                  </a:graphic>
                </wp:inline>
              </w:drawing>
            </w:r>
            <w:r>
              <w:drawing>
                <wp:inline distT="0" distB="0" distL="114300" distR="114300">
                  <wp:extent cx="2922270" cy="3884295"/>
                  <wp:effectExtent l="0" t="0" r="11430" b="1905"/>
                  <wp:docPr id="1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6"/>
                          <pic:cNvPicPr>
                            <a:picLocks noChangeAspect="1"/>
                          </pic:cNvPicPr>
                        </pic:nvPicPr>
                        <pic:blipFill>
                          <a:blip r:embed="rId44"/>
                          <a:stretch>
                            <a:fillRect/>
                          </a:stretch>
                        </pic:blipFill>
                        <pic:spPr>
                          <a:xfrm>
                            <a:off x="0" y="0"/>
                            <a:ext cx="2922270" cy="3884295"/>
                          </a:xfrm>
                          <a:prstGeom prst="rect">
                            <a:avLst/>
                          </a:prstGeom>
                          <a:noFill/>
                          <a:ln>
                            <a:noFill/>
                          </a:ln>
                        </pic:spPr>
                      </pic:pic>
                    </a:graphicData>
                  </a:graphic>
                </wp:inline>
              </w:drawing>
            </w:r>
          </w:p>
        </w:tc>
      </w:tr>
      <w:tr w14:paraId="6E35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80" w:type="dxa"/>
          </w:tcPr>
          <w:p w14:paraId="657DCD8B">
            <w:pPr>
              <w:pStyle w:val="12"/>
              <w:pageBreakBefore w:val="0"/>
              <w:kinsoku/>
              <w:wordWrap/>
              <w:overflowPunct/>
              <w:topLinePunct w:val="0"/>
              <w:bidi w:val="0"/>
              <w:spacing w:line="360" w:lineRule="auto"/>
            </w:pPr>
            <w:r>
              <w:rPr>
                <w:rFonts w:hint="eastAsia" w:ascii="宋体" w:hAnsi="宋体" w:eastAsia="宋体" w:cs="宋体"/>
                <w:b w:val="0"/>
                <w:bCs/>
                <w:lang w:val="en-US" w:eastAsia="zh-CN"/>
              </w:rPr>
              <w:t>特殊节</w:t>
            </w:r>
            <w:r>
              <w:rPr>
                <w:rFonts w:hint="eastAsia" w:ascii="宋体" w:hAnsi="宋体" w:eastAsia="宋体" w:cs="宋体"/>
                <w:b w:val="0"/>
                <w:bCs/>
                <w:lang w:eastAsia="zh-CN"/>
              </w:rPr>
              <w:t>安装示意图</w:t>
            </w:r>
          </w:p>
        </w:tc>
      </w:tr>
      <w:tr w14:paraId="55D5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4" w:hRule="atLeast"/>
        </w:trPr>
        <w:tc>
          <w:tcPr>
            <w:tcW w:w="8080" w:type="dxa"/>
          </w:tcPr>
          <w:p w14:paraId="6733F07B">
            <w:pPr>
              <w:pStyle w:val="12"/>
              <w:pageBreakBefore w:val="0"/>
              <w:kinsoku/>
              <w:wordWrap/>
              <w:overflowPunct/>
              <w:topLinePunct w:val="0"/>
              <w:bidi w:val="0"/>
              <w:spacing w:line="360" w:lineRule="auto"/>
              <w:rPr>
                <w:rFonts w:hint="eastAsia" w:ascii="宋体" w:hAnsi="宋体" w:eastAsia="宋体" w:cs="宋体"/>
                <w:b w:val="0"/>
                <w:bCs/>
                <w:lang w:eastAsia="zh-CN"/>
              </w:rPr>
            </w:pPr>
            <w:r>
              <w:drawing>
                <wp:inline distT="0" distB="0" distL="114300" distR="114300">
                  <wp:extent cx="2016125" cy="3376295"/>
                  <wp:effectExtent l="0" t="0" r="3175" b="14605"/>
                  <wp:docPr id="1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5"/>
                          <pic:cNvPicPr>
                            <a:picLocks noChangeAspect="1"/>
                          </pic:cNvPicPr>
                        </pic:nvPicPr>
                        <pic:blipFill>
                          <a:blip r:embed="rId45"/>
                          <a:stretch>
                            <a:fillRect/>
                          </a:stretch>
                        </pic:blipFill>
                        <pic:spPr>
                          <a:xfrm>
                            <a:off x="0" y="0"/>
                            <a:ext cx="2016125" cy="3376295"/>
                          </a:xfrm>
                          <a:prstGeom prst="rect">
                            <a:avLst/>
                          </a:prstGeom>
                          <a:noFill/>
                          <a:ln>
                            <a:noFill/>
                          </a:ln>
                        </pic:spPr>
                      </pic:pic>
                    </a:graphicData>
                  </a:graphic>
                </wp:inline>
              </w:drawing>
            </w:r>
            <w:r>
              <w:drawing>
                <wp:inline distT="0" distB="0" distL="114300" distR="114300">
                  <wp:extent cx="2769235" cy="3576955"/>
                  <wp:effectExtent l="0" t="0" r="12065" b="4445"/>
                  <wp:docPr id="1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7"/>
                          <pic:cNvPicPr>
                            <a:picLocks noChangeAspect="1"/>
                          </pic:cNvPicPr>
                        </pic:nvPicPr>
                        <pic:blipFill>
                          <a:blip r:embed="rId46"/>
                          <a:stretch>
                            <a:fillRect/>
                          </a:stretch>
                        </pic:blipFill>
                        <pic:spPr>
                          <a:xfrm>
                            <a:off x="0" y="0"/>
                            <a:ext cx="2769235" cy="3576955"/>
                          </a:xfrm>
                          <a:prstGeom prst="rect">
                            <a:avLst/>
                          </a:prstGeom>
                          <a:noFill/>
                          <a:ln>
                            <a:noFill/>
                          </a:ln>
                        </pic:spPr>
                      </pic:pic>
                    </a:graphicData>
                  </a:graphic>
                </wp:inline>
              </w:drawing>
            </w:r>
          </w:p>
        </w:tc>
      </w:tr>
      <w:tr w14:paraId="2611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80" w:type="dxa"/>
          </w:tcPr>
          <w:p w14:paraId="77C9413B">
            <w:pPr>
              <w:pStyle w:val="12"/>
              <w:pageBreakBefore w:val="0"/>
              <w:kinsoku/>
              <w:wordWrap/>
              <w:overflowPunct/>
              <w:topLinePunct w:val="0"/>
              <w:bidi w:val="0"/>
              <w:spacing w:line="360" w:lineRule="auto"/>
              <w:rPr>
                <w:rFonts w:hint="default"/>
                <w:lang w:val="en-US"/>
              </w:rPr>
            </w:pPr>
            <w:r>
              <w:rPr>
                <w:rFonts w:hint="eastAsia"/>
                <w:lang w:val="en-US" w:eastAsia="zh-CN"/>
              </w:rPr>
              <w:t>回转总成安装示意图</w:t>
            </w:r>
          </w:p>
        </w:tc>
      </w:tr>
      <w:tr w14:paraId="2CED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4" w:hRule="atLeast"/>
        </w:trPr>
        <w:tc>
          <w:tcPr>
            <w:tcW w:w="8080" w:type="dxa"/>
          </w:tcPr>
          <w:p w14:paraId="7F14E063">
            <w:pPr>
              <w:pStyle w:val="12"/>
              <w:pageBreakBefore w:val="0"/>
              <w:kinsoku/>
              <w:wordWrap/>
              <w:overflowPunct/>
              <w:topLinePunct w:val="0"/>
              <w:bidi w:val="0"/>
              <w:spacing w:line="360" w:lineRule="auto"/>
              <w:rPr>
                <w:rFonts w:hint="eastAsia"/>
                <w:lang w:val="en-US" w:eastAsia="zh-CN"/>
              </w:rPr>
            </w:pPr>
            <w:r>
              <w:drawing>
                <wp:inline distT="0" distB="0" distL="114300" distR="114300">
                  <wp:extent cx="5010785" cy="2385695"/>
                  <wp:effectExtent l="0" t="0" r="18415" b="1460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6"/>
                          <a:stretch>
                            <a:fillRect/>
                          </a:stretch>
                        </pic:blipFill>
                        <pic:spPr>
                          <a:xfrm>
                            <a:off x="0" y="0"/>
                            <a:ext cx="5010785" cy="2385695"/>
                          </a:xfrm>
                          <a:prstGeom prst="rect">
                            <a:avLst/>
                          </a:prstGeom>
                          <a:noFill/>
                          <a:ln>
                            <a:noFill/>
                          </a:ln>
                        </pic:spPr>
                      </pic:pic>
                    </a:graphicData>
                  </a:graphic>
                </wp:inline>
              </w:drawing>
            </w:r>
          </w:p>
        </w:tc>
      </w:tr>
      <w:tr w14:paraId="5872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080" w:type="dxa"/>
          </w:tcPr>
          <w:p w14:paraId="6161010F">
            <w:pPr>
              <w:pStyle w:val="12"/>
              <w:pageBreakBefore w:val="0"/>
              <w:kinsoku/>
              <w:wordWrap/>
              <w:overflowPunct/>
              <w:topLinePunct w:val="0"/>
              <w:bidi w:val="0"/>
              <w:spacing w:line="360" w:lineRule="auto"/>
            </w:pPr>
            <w:r>
              <w:rPr>
                <w:rFonts w:hint="eastAsia" w:ascii="宋体" w:hAnsi="宋体" w:eastAsia="宋体" w:cs="宋体"/>
                <w:b w:val="0"/>
                <w:bCs/>
                <w:lang w:eastAsia="zh-CN"/>
              </w:rPr>
              <w:t>特殊节和回转总成安装示意图</w:t>
            </w:r>
          </w:p>
        </w:tc>
      </w:tr>
    </w:tbl>
    <w:p w14:paraId="461F69F2">
      <w:pPr>
        <w:pStyle w:val="74"/>
        <w:keepNext w:val="0"/>
        <w:keepLines w:val="0"/>
        <w:pageBreakBefore w:val="0"/>
        <w:widowControl w:val="0"/>
        <w:kinsoku/>
        <w:wordWrap/>
        <w:overflowPunct/>
        <w:topLinePunct w:val="0"/>
        <w:autoSpaceDE w:val="0"/>
        <w:autoSpaceDN w:val="0"/>
        <w:bidi w:val="0"/>
        <w:adjustRightInd w:val="0"/>
        <w:spacing w:beforeAutospacing="0" w:afterAutospacing="0" w:line="360" w:lineRule="auto"/>
        <w:ind w:firstLine="480" w:firstLineChars="200"/>
        <w:textAlignment w:val="auto"/>
        <w:rPr>
          <w:rFonts w:hint="eastAsia" w:ascii="宋体" w:hAnsi="宋体" w:eastAsia="宋体" w:cs="宋体"/>
          <w:b w:val="0"/>
          <w:bCs/>
          <w:sz w:val="24"/>
          <w:szCs w:val="24"/>
          <w:lang w:val="en-US" w:eastAsia="zh-CN"/>
        </w:rPr>
      </w:pPr>
    </w:p>
    <w:p w14:paraId="570A5BCE">
      <w:pPr>
        <w:pStyle w:val="32"/>
        <w:pageBreakBefore w:val="0"/>
        <w:numPr>
          <w:ilvl w:val="0"/>
          <w:numId w:val="0"/>
        </w:numPr>
        <w:kinsoku/>
        <w:wordWrap/>
        <w:overflowPunct/>
        <w:topLinePunct w:val="0"/>
        <w:bidi w:val="0"/>
        <w:spacing w:line="360" w:lineRule="auto"/>
        <w:jc w:val="both"/>
      </w:pPr>
    </w:p>
    <w:p w14:paraId="3E1A1C1F">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安装起塔顶</w:t>
      </w:r>
    </w:p>
    <w:p w14:paraId="45B26FCE">
      <w:pPr>
        <w:keepNext w:val="0"/>
        <w:keepLines w:val="0"/>
        <w:pageBreakBefore w:val="0"/>
        <w:kinsoku/>
        <w:wordWrap/>
        <w:overflowPunct/>
        <w:topLinePunct w:val="0"/>
        <w:autoSpaceDE/>
        <w:autoSpaceDN/>
        <w:bidi w:val="0"/>
        <w:snapToGrid/>
        <w:spacing w:line="360" w:lineRule="auto"/>
        <w:ind w:firstLine="480"/>
      </w:pPr>
      <w:r>
        <w:rPr>
          <w:rFonts w:hint="eastAsia"/>
          <w:lang w:val="en-US" w:eastAsia="zh-CN"/>
        </w:rPr>
        <w:t>塔顶</w:t>
      </w:r>
      <w:r>
        <w:rPr>
          <w:rFonts w:hint="eastAsia"/>
        </w:rPr>
        <w:t>吊重为</w:t>
      </w:r>
      <w:r>
        <w:rPr>
          <w:rFonts w:hint="eastAsia"/>
          <w:lang w:val="en-US" w:eastAsia="zh-CN"/>
        </w:rPr>
        <w:t>1.203</w:t>
      </w:r>
      <w:r>
        <w:rPr>
          <w:rFonts w:hint="eastAsia"/>
        </w:rPr>
        <w:t>t，</w:t>
      </w:r>
      <w:r>
        <w:rPr>
          <w:rFonts w:hint="eastAsia"/>
          <w:lang w:eastAsia="zh-CN"/>
        </w:rPr>
        <w:t>吊距约为12m</w:t>
      </w:r>
      <w:r>
        <w:t>，吊高为</w:t>
      </w:r>
      <w:r>
        <w:rPr>
          <w:rFonts w:hint="eastAsia"/>
        </w:rPr>
        <w:t>21</w:t>
      </w:r>
      <w:r>
        <w:t>m。</w:t>
      </w:r>
      <w:r>
        <w:rPr>
          <w:rFonts w:hint="eastAsia"/>
          <w:lang w:eastAsia="zh-CN"/>
        </w:rPr>
        <w:t>35t汽车吊</w:t>
      </w:r>
      <w:r>
        <w:rPr>
          <w:rFonts w:hint="eastAsia"/>
        </w:rPr>
        <w:t>起重能力为</w:t>
      </w:r>
      <w:r>
        <w:rPr>
          <w:rFonts w:hint="eastAsia"/>
          <w:lang w:val="en-US" w:eastAsia="zh-CN"/>
        </w:rPr>
        <w:t>11</w:t>
      </w:r>
      <w:r>
        <w:rPr>
          <w:rFonts w:hint="eastAsia"/>
        </w:rPr>
        <w:t>.3t</w:t>
      </w:r>
      <w:r>
        <w:t>&gt;</w:t>
      </w:r>
      <w:r>
        <w:rPr>
          <w:rFonts w:hint="eastAsia"/>
          <w:lang w:val="en-US" w:eastAsia="zh-CN"/>
        </w:rPr>
        <w:t>1.203</w:t>
      </w:r>
      <w:r>
        <w:t>t，</w:t>
      </w:r>
      <w:r>
        <w:rPr>
          <w:rFonts w:hint="eastAsia"/>
          <w:lang w:eastAsia="zh-CN"/>
        </w:rPr>
        <w:t>35t汽车吊</w:t>
      </w:r>
      <w:r>
        <w:t>起重性能满足要求</w:t>
      </w:r>
      <w:r>
        <w:rPr>
          <w:rFonts w:hint="eastAsia"/>
        </w:rPr>
        <w:t>。</w:t>
      </w:r>
    </w:p>
    <w:p w14:paraId="60E63DB3">
      <w:pPr>
        <w:keepNext w:val="0"/>
        <w:keepLines w:val="0"/>
        <w:pageBreakBefore w:val="0"/>
        <w:kinsoku/>
        <w:wordWrap/>
        <w:overflowPunct/>
        <w:topLinePunct w:val="0"/>
        <w:autoSpaceDE/>
        <w:autoSpaceDN/>
        <w:bidi w:val="0"/>
        <w:snapToGrid/>
        <w:spacing w:line="360" w:lineRule="auto"/>
        <w:ind w:firstLine="480"/>
        <w:rPr>
          <w:highlight w:val="green"/>
        </w:rPr>
      </w:pPr>
      <w:r>
        <w:rPr>
          <w:rFonts w:hint="eastAsia"/>
        </w:rPr>
        <w:t>采用吊机配合人工在地面上将</w:t>
      </w:r>
      <w:r>
        <w:rPr>
          <w:rFonts w:hint="eastAsia"/>
          <w:lang w:eastAsia="zh-CN"/>
        </w:rPr>
        <w:t>塔顶</w:t>
      </w:r>
      <w:r>
        <w:rPr>
          <w:rFonts w:hint="eastAsia"/>
        </w:rPr>
        <w:t>拼装完成，</w:t>
      </w:r>
      <w:r>
        <w:rPr>
          <w:rFonts w:hint="eastAsia"/>
          <w:lang w:eastAsia="zh-CN"/>
        </w:rPr>
        <w:t>塔顶</w:t>
      </w:r>
      <w:r>
        <w:rPr>
          <w:rFonts w:hint="eastAsia"/>
        </w:rPr>
        <w:t>吊装采用四点吊，以</w:t>
      </w:r>
      <w:r>
        <w:rPr>
          <w:rFonts w:hint="eastAsia"/>
          <w:lang w:eastAsia="zh-CN"/>
        </w:rPr>
        <w:t>塔顶</w:t>
      </w:r>
      <w:r>
        <w:rPr>
          <w:rFonts w:hint="eastAsia"/>
        </w:rPr>
        <w:t>顶部四个销轴孔作为吊装孔，采用4根</w:t>
      </w:r>
      <w:r>
        <w:rPr>
          <w:rFonts w:hint="eastAsia"/>
          <w:lang w:eastAsia="zh-CN"/>
        </w:rPr>
        <w:t>16mm6×19S+FC1870Mpa</w:t>
      </w:r>
      <w:r>
        <w:rPr>
          <w:rFonts w:hint="eastAsia"/>
        </w:rPr>
        <w:t>的钢丝绳配套</w:t>
      </w:r>
      <w:r>
        <w:t>GB/T 25854-6-DW</w:t>
      </w:r>
      <w:r>
        <w:rPr>
          <w:rFonts w:hint="eastAsia"/>
        </w:rPr>
        <w:t>5卸扣进行吊装。</w:t>
      </w:r>
    </w:p>
    <w:p w14:paraId="5A5A563D">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color w:val="auto"/>
          <w:lang w:val="en-US" w:eastAsia="zh-CN"/>
        </w:rPr>
      </w:pPr>
      <w:r>
        <w:rPr>
          <w:rFonts w:hint="eastAsia"/>
        </w:rPr>
        <w:t>作业人员在地面上先将钢丝绳一端挂在吊机吊钩，另一端与卸扣连接，卸扣与吊装孔连接，并在</w:t>
      </w:r>
      <w:r>
        <w:rPr>
          <w:rFonts w:hint="eastAsia"/>
          <w:lang w:eastAsia="zh-CN"/>
        </w:rPr>
        <w:t>塔顶</w:t>
      </w:r>
      <w:r>
        <w:rPr>
          <w:rFonts w:hint="eastAsia"/>
        </w:rPr>
        <w:t>上栓好2根溜绳。启动吊机，将</w:t>
      </w:r>
      <w:r>
        <w:rPr>
          <w:rFonts w:hint="eastAsia"/>
          <w:lang w:eastAsia="zh-CN"/>
        </w:rPr>
        <w:t>塔顶</w:t>
      </w:r>
      <w:r>
        <w:rPr>
          <w:rFonts w:hint="eastAsia"/>
        </w:rPr>
        <w:t>缓慢提升，用溜绳控制其摆动。起吊</w:t>
      </w:r>
      <w:r>
        <w:rPr>
          <w:rFonts w:hint="eastAsia"/>
          <w:lang w:eastAsia="zh-CN"/>
        </w:rPr>
        <w:t>塔顶</w:t>
      </w:r>
      <w:r>
        <w:rPr>
          <w:rFonts w:hint="eastAsia"/>
        </w:rPr>
        <w:t>至回转总成上方，吊机缓慢落钩，直至回转总成上支座销轴孔与</w:t>
      </w:r>
      <w:r>
        <w:rPr>
          <w:rFonts w:hint="eastAsia"/>
          <w:lang w:eastAsia="zh-CN"/>
        </w:rPr>
        <w:t>塔顶</w:t>
      </w:r>
      <w:r>
        <w:rPr>
          <w:rFonts w:hint="eastAsia"/>
        </w:rPr>
        <w:t>销轴孔对齐，将安全带系挂在</w:t>
      </w:r>
      <w:r>
        <w:rPr>
          <w:rFonts w:hint="eastAsia"/>
          <w:lang w:eastAsia="zh-CN"/>
        </w:rPr>
        <w:t>塔顶</w:t>
      </w:r>
      <w:r>
        <w:rPr>
          <w:rFonts w:hint="eastAsia"/>
        </w:rPr>
        <w:t>顶部的横杆上，插入</w:t>
      </w:r>
      <w:r>
        <w:rPr>
          <w:rFonts w:hint="eastAsia"/>
          <w:lang w:eastAsia="zh-CN"/>
        </w:rPr>
        <w:t>塔顶</w:t>
      </w:r>
      <w:r>
        <w:rPr>
          <w:rFonts w:hint="eastAsia"/>
        </w:rPr>
        <w:t>与回转总成上支座的连接销轴，完成回转总成与</w:t>
      </w:r>
      <w:r>
        <w:rPr>
          <w:rFonts w:hint="eastAsia"/>
          <w:lang w:eastAsia="zh-CN"/>
        </w:rPr>
        <w:t>塔顶</w:t>
      </w:r>
      <w:r>
        <w:rPr>
          <w:rFonts w:hint="eastAsia"/>
        </w:rPr>
        <w:t>的连接。</w:t>
      </w:r>
      <w:r>
        <w:rPr>
          <w:rFonts w:hint="eastAsia"/>
          <w:lang w:eastAsia="zh-CN"/>
        </w:rPr>
        <w:t>塔顶</w:t>
      </w:r>
      <w:r>
        <w:rPr>
          <w:rFonts w:hint="eastAsia"/>
        </w:rPr>
        <w:t>的安装示意图如下：</w:t>
      </w:r>
    </w:p>
    <w:tbl>
      <w:tblPr>
        <w:tblStyle w:val="33"/>
        <w:tblpPr w:leftFromText="180" w:rightFromText="180" w:vertAnchor="text" w:horzAnchor="page" w:tblpX="2087" w:tblpY="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0329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31B7913A">
            <w:pPr>
              <w:pStyle w:val="12"/>
              <w:pageBreakBefore w:val="0"/>
              <w:kinsoku/>
              <w:wordWrap/>
              <w:overflowPunct/>
              <w:topLinePunct w:val="0"/>
              <w:bidi w:val="0"/>
              <w:spacing w:line="360" w:lineRule="auto"/>
              <w:rPr>
                <w:rFonts w:hint="eastAsia" w:ascii="宋体" w:hAnsi="宋体" w:eastAsia="宋体" w:cs="宋体"/>
                <w:b w:val="0"/>
                <w:bCs/>
                <w:lang w:eastAsia="zh-CN"/>
              </w:rPr>
            </w:pPr>
            <w:r>
              <w:drawing>
                <wp:inline distT="0" distB="0" distL="114300" distR="114300">
                  <wp:extent cx="3444875" cy="2789555"/>
                  <wp:effectExtent l="0" t="0" r="3175" b="10795"/>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47"/>
                          <a:stretch>
                            <a:fillRect/>
                          </a:stretch>
                        </pic:blipFill>
                        <pic:spPr>
                          <a:xfrm>
                            <a:off x="0" y="0"/>
                            <a:ext cx="3444875" cy="2789555"/>
                          </a:xfrm>
                          <a:prstGeom prst="rect">
                            <a:avLst/>
                          </a:prstGeom>
                          <a:noFill/>
                          <a:ln>
                            <a:noFill/>
                          </a:ln>
                        </pic:spPr>
                      </pic:pic>
                    </a:graphicData>
                  </a:graphic>
                </wp:inline>
              </w:drawing>
            </w:r>
            <w:r>
              <w:drawing>
                <wp:inline distT="0" distB="0" distL="114300" distR="114300">
                  <wp:extent cx="4528185" cy="2157730"/>
                  <wp:effectExtent l="0" t="0" r="5715" b="1397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36"/>
                          <a:stretch>
                            <a:fillRect/>
                          </a:stretch>
                        </pic:blipFill>
                        <pic:spPr>
                          <a:xfrm>
                            <a:off x="0" y="0"/>
                            <a:ext cx="4528185" cy="2157730"/>
                          </a:xfrm>
                          <a:prstGeom prst="rect">
                            <a:avLst/>
                          </a:prstGeom>
                          <a:noFill/>
                          <a:ln>
                            <a:noFill/>
                          </a:ln>
                        </pic:spPr>
                      </pic:pic>
                    </a:graphicData>
                  </a:graphic>
                </wp:inline>
              </w:drawing>
            </w:r>
          </w:p>
        </w:tc>
      </w:tr>
      <w:tr w14:paraId="3BE8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2D377B0E">
            <w:pPr>
              <w:pStyle w:val="12"/>
              <w:pageBreakBefore w:val="0"/>
              <w:kinsoku/>
              <w:wordWrap/>
              <w:overflowPunct/>
              <w:topLinePunct w:val="0"/>
              <w:bidi w:val="0"/>
              <w:spacing w:line="360" w:lineRule="auto"/>
            </w:pPr>
            <w:r>
              <w:rPr>
                <w:rFonts w:hint="eastAsia" w:ascii="宋体" w:hAnsi="宋体" w:eastAsia="宋体" w:cs="宋体"/>
                <w:b w:val="0"/>
                <w:bCs/>
                <w:lang w:val="en-US" w:eastAsia="zh-CN"/>
              </w:rPr>
              <w:t>塔顶</w:t>
            </w:r>
            <w:r>
              <w:rPr>
                <w:rFonts w:hint="eastAsia" w:ascii="宋体" w:hAnsi="宋体" w:eastAsia="宋体" w:cs="宋体"/>
                <w:b w:val="0"/>
                <w:bCs/>
                <w:lang w:eastAsia="zh-CN"/>
              </w:rPr>
              <w:t>安装示意图</w:t>
            </w:r>
          </w:p>
        </w:tc>
      </w:tr>
    </w:tbl>
    <w:p w14:paraId="4B94AC4B">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安装平衡臂总成</w:t>
      </w:r>
    </w:p>
    <w:p w14:paraId="3679105C">
      <w:pPr>
        <w:keepNext w:val="0"/>
        <w:keepLines w:val="0"/>
        <w:pageBreakBefore w:val="0"/>
        <w:kinsoku/>
        <w:wordWrap/>
        <w:overflowPunct/>
        <w:topLinePunct w:val="0"/>
        <w:autoSpaceDE/>
        <w:autoSpaceDN/>
        <w:bidi w:val="0"/>
        <w:snapToGrid/>
        <w:spacing w:line="360" w:lineRule="auto"/>
        <w:ind w:firstLine="480"/>
      </w:pPr>
      <w:r>
        <w:rPr>
          <w:rFonts w:hint="eastAsia"/>
        </w:rPr>
        <w:t>平衡臂臂节吊重为</w:t>
      </w:r>
      <w:r>
        <w:rPr>
          <w:rFonts w:hint="eastAsia"/>
          <w:lang w:eastAsia="zh-CN"/>
        </w:rPr>
        <w:t>4</w:t>
      </w:r>
      <w:r>
        <w:rPr>
          <w:rFonts w:hint="eastAsia"/>
          <w:lang w:val="en-US" w:eastAsia="zh-CN"/>
        </w:rPr>
        <w:t>.</w:t>
      </w:r>
      <w:r>
        <w:rPr>
          <w:rFonts w:hint="eastAsia"/>
          <w:lang w:eastAsia="zh-CN"/>
        </w:rPr>
        <w:t>05t</w:t>
      </w:r>
      <w:r>
        <w:rPr>
          <w:rFonts w:hint="eastAsia"/>
        </w:rPr>
        <w:t>，</w:t>
      </w:r>
      <w:r>
        <w:rPr>
          <w:rFonts w:hint="eastAsia"/>
          <w:lang w:eastAsia="zh-CN"/>
        </w:rPr>
        <w:t>吊距约为12m</w:t>
      </w:r>
      <w:r>
        <w:t>，吊高为</w:t>
      </w:r>
      <w:r>
        <w:rPr>
          <w:rFonts w:hint="eastAsia"/>
        </w:rPr>
        <w:t>21</w:t>
      </w:r>
      <w:r>
        <w:t>m。</w:t>
      </w:r>
      <w:r>
        <w:rPr>
          <w:rFonts w:hint="eastAsia"/>
          <w:lang w:eastAsia="zh-CN"/>
        </w:rPr>
        <w:t>35t汽车吊</w:t>
      </w:r>
      <w:r>
        <w:rPr>
          <w:rFonts w:hint="eastAsia"/>
        </w:rPr>
        <w:t>起重能力为</w:t>
      </w:r>
      <w:r>
        <w:rPr>
          <w:rFonts w:hint="eastAsia"/>
          <w:lang w:val="en-US" w:eastAsia="zh-CN"/>
        </w:rPr>
        <w:t>11</w:t>
      </w:r>
      <w:r>
        <w:rPr>
          <w:rFonts w:hint="eastAsia"/>
        </w:rPr>
        <w:t>.3t</w:t>
      </w:r>
      <w:r>
        <w:t>&gt;</w:t>
      </w:r>
      <w:r>
        <w:rPr>
          <w:rFonts w:hint="eastAsia"/>
          <w:lang w:eastAsia="zh-CN"/>
        </w:rPr>
        <w:t>4</w:t>
      </w:r>
      <w:r>
        <w:rPr>
          <w:rFonts w:hint="eastAsia"/>
          <w:lang w:val="en-US" w:eastAsia="zh-CN"/>
        </w:rPr>
        <w:t>.</w:t>
      </w:r>
      <w:r>
        <w:rPr>
          <w:rFonts w:hint="eastAsia"/>
          <w:lang w:eastAsia="zh-CN"/>
        </w:rPr>
        <w:t>05t</w:t>
      </w:r>
      <w:r>
        <w:t>，</w:t>
      </w:r>
      <w:r>
        <w:rPr>
          <w:rFonts w:hint="eastAsia"/>
          <w:lang w:eastAsia="zh-CN"/>
        </w:rPr>
        <w:t>35t汽车吊</w:t>
      </w:r>
      <w:r>
        <w:t>起重性能满足要求</w:t>
      </w:r>
      <w:r>
        <w:rPr>
          <w:rFonts w:hint="eastAsia"/>
        </w:rPr>
        <w:t>。</w:t>
      </w:r>
    </w:p>
    <w:p w14:paraId="3B05145C">
      <w:pPr>
        <w:keepNext w:val="0"/>
        <w:keepLines w:val="0"/>
        <w:pageBreakBefore w:val="0"/>
        <w:kinsoku/>
        <w:wordWrap/>
        <w:overflowPunct/>
        <w:topLinePunct w:val="0"/>
        <w:autoSpaceDE/>
        <w:autoSpaceDN/>
        <w:bidi w:val="0"/>
        <w:snapToGrid/>
        <w:spacing w:line="360" w:lineRule="auto"/>
        <w:ind w:firstLine="480"/>
        <w:rPr>
          <w:rFonts w:ascii="宋体" w:hAnsi="宋体" w:cs="宋体"/>
        </w:rPr>
      </w:pPr>
      <w:r>
        <w:rPr>
          <w:rFonts w:hint="eastAsia" w:ascii="宋体" w:hAnsi="宋体" w:cs="宋体"/>
        </w:rPr>
        <w:t>采用吊机配合人工在地面上</w:t>
      </w:r>
      <w:r>
        <w:rPr>
          <w:rFonts w:hint="eastAsia"/>
        </w:rPr>
        <w:t>将平衡臂臂节组装好（含走台及栏杆）起重臂臂根节吊装采用四点吊，以平衡臂臂节上弦杆吊耳作为吊装孔，采用4根</w:t>
      </w:r>
      <w:r>
        <w:rPr>
          <w:rFonts w:hint="eastAsia"/>
          <w:lang w:eastAsia="zh-CN"/>
        </w:rPr>
        <w:t>16mm6×19S+FC1870Mpa</w:t>
      </w:r>
      <w:r>
        <w:rPr>
          <w:rFonts w:hint="eastAsia"/>
        </w:rPr>
        <w:t>的钢丝绳配套GB/T 25854-6-DW5卸扣进行吊装。</w:t>
      </w:r>
    </w:p>
    <w:p w14:paraId="63A9FCF5">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color w:val="auto"/>
          <w:lang w:val="en-US" w:eastAsia="zh-CN"/>
        </w:rPr>
      </w:pPr>
      <w:r>
        <w:rPr>
          <w:rFonts w:hint="eastAsia"/>
        </w:rPr>
        <w:t>作业人员在地面上先将钢丝绳一端挂在吊机吊钩，另一端与卸扣连接，卸扣与吊装孔连接，并在平衡臂上栓好2根溜绳。启动吊机，将平衡臂缓慢提升，用溜绳控制其摆动。起吊平衡臂至</w:t>
      </w:r>
      <w:r>
        <w:rPr>
          <w:rFonts w:hint="eastAsia"/>
          <w:lang w:val="en-US" w:eastAsia="zh-CN"/>
        </w:rPr>
        <w:t>塔顶</w:t>
      </w:r>
      <w:r>
        <w:rPr>
          <w:rFonts w:hint="eastAsia"/>
        </w:rPr>
        <w:t>上方，吊机缓慢落钩，直至平衡臂销轴孔与</w:t>
      </w:r>
      <w:r>
        <w:rPr>
          <w:rFonts w:hint="eastAsia"/>
          <w:lang w:val="en-US" w:eastAsia="zh-CN"/>
        </w:rPr>
        <w:t>塔顶</w:t>
      </w:r>
      <w:r>
        <w:rPr>
          <w:rFonts w:hint="eastAsia"/>
        </w:rPr>
        <w:t>销轴孔对齐，作业人员通过爬梯走至</w:t>
      </w:r>
      <w:r>
        <w:rPr>
          <w:rFonts w:hint="eastAsia"/>
          <w:lang w:val="en-US" w:eastAsia="zh-CN"/>
        </w:rPr>
        <w:t>塔顶</w:t>
      </w:r>
      <w:r>
        <w:rPr>
          <w:rFonts w:hint="eastAsia"/>
        </w:rPr>
        <w:t>平台上，将安全带系挂在</w:t>
      </w:r>
      <w:r>
        <w:rPr>
          <w:rFonts w:hint="eastAsia"/>
          <w:lang w:val="en-US" w:eastAsia="zh-CN"/>
        </w:rPr>
        <w:t>塔顶</w:t>
      </w:r>
      <w:r>
        <w:rPr>
          <w:rFonts w:hint="eastAsia"/>
        </w:rPr>
        <w:t>平台栏杆的横杆上，插入平衡臂和</w:t>
      </w:r>
      <w:r>
        <w:rPr>
          <w:rFonts w:hint="eastAsia"/>
          <w:lang w:val="en-US" w:eastAsia="zh-CN"/>
        </w:rPr>
        <w:t>塔顶</w:t>
      </w:r>
      <w:r>
        <w:rPr>
          <w:rFonts w:hint="eastAsia"/>
        </w:rPr>
        <w:t>的连接销轴，完成平衡臂臂节与</w:t>
      </w:r>
      <w:r>
        <w:rPr>
          <w:rFonts w:hint="eastAsia"/>
          <w:lang w:val="en-US" w:eastAsia="zh-CN"/>
        </w:rPr>
        <w:t>塔顶</w:t>
      </w:r>
      <w:r>
        <w:rPr>
          <w:rFonts w:hint="eastAsia"/>
        </w:rPr>
        <w:t>的连接，并在销轴端部插入开口销固定。安装示意图如下</w:t>
      </w:r>
    </w:p>
    <w:tbl>
      <w:tblPr>
        <w:tblStyle w:val="33"/>
        <w:tblpPr w:leftFromText="180" w:rightFromText="180" w:vertAnchor="text" w:horzAnchor="page" w:tblpX="1890" w:tblpY="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F8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352" w:type="dxa"/>
          </w:tcPr>
          <w:p w14:paraId="59561DA1">
            <w:pPr>
              <w:pStyle w:val="12"/>
              <w:pageBreakBefore w:val="0"/>
              <w:kinsoku/>
              <w:wordWrap/>
              <w:overflowPunct/>
              <w:topLinePunct w:val="0"/>
              <w:bidi w:val="0"/>
              <w:spacing w:line="360" w:lineRule="auto"/>
              <w:rPr>
                <w:rFonts w:hint="eastAsia" w:ascii="宋体" w:hAnsi="宋体" w:eastAsia="宋体" w:cs="宋体"/>
                <w:b w:val="0"/>
                <w:bCs/>
                <w:lang w:eastAsia="zh-CN"/>
              </w:rPr>
            </w:pPr>
            <w:r>
              <w:drawing>
                <wp:inline distT="0" distB="0" distL="114300" distR="114300">
                  <wp:extent cx="4197350" cy="1532890"/>
                  <wp:effectExtent l="0" t="0" r="12700" b="1016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8"/>
                          <a:stretch>
                            <a:fillRect/>
                          </a:stretch>
                        </pic:blipFill>
                        <pic:spPr>
                          <a:xfrm>
                            <a:off x="0" y="0"/>
                            <a:ext cx="4197350" cy="1532890"/>
                          </a:xfrm>
                          <a:prstGeom prst="rect">
                            <a:avLst/>
                          </a:prstGeom>
                          <a:noFill/>
                          <a:ln>
                            <a:noFill/>
                          </a:ln>
                        </pic:spPr>
                      </pic:pic>
                    </a:graphicData>
                  </a:graphic>
                </wp:inline>
              </w:drawing>
            </w:r>
            <w:r>
              <w:drawing>
                <wp:inline distT="0" distB="0" distL="114300" distR="114300">
                  <wp:extent cx="2863215" cy="3089910"/>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9"/>
                          <a:srcRect t="8421" r="1075" b="7957"/>
                          <a:stretch>
                            <a:fillRect/>
                          </a:stretch>
                        </pic:blipFill>
                        <pic:spPr>
                          <a:xfrm>
                            <a:off x="0" y="0"/>
                            <a:ext cx="2863215" cy="3089910"/>
                          </a:xfrm>
                          <a:prstGeom prst="rect">
                            <a:avLst/>
                          </a:prstGeom>
                          <a:noFill/>
                          <a:ln>
                            <a:noFill/>
                          </a:ln>
                        </pic:spPr>
                      </pic:pic>
                    </a:graphicData>
                  </a:graphic>
                </wp:inline>
              </w:drawing>
            </w:r>
            <w:r>
              <w:drawing>
                <wp:inline distT="0" distB="0" distL="114300" distR="114300">
                  <wp:extent cx="5273675" cy="2393315"/>
                  <wp:effectExtent l="0" t="0" r="3175"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50"/>
                          <a:stretch>
                            <a:fillRect/>
                          </a:stretch>
                        </pic:blipFill>
                        <pic:spPr>
                          <a:xfrm>
                            <a:off x="0" y="0"/>
                            <a:ext cx="5273675" cy="2393315"/>
                          </a:xfrm>
                          <a:prstGeom prst="rect">
                            <a:avLst/>
                          </a:prstGeom>
                          <a:noFill/>
                          <a:ln>
                            <a:noFill/>
                          </a:ln>
                        </pic:spPr>
                      </pic:pic>
                    </a:graphicData>
                  </a:graphic>
                </wp:inline>
              </w:drawing>
            </w:r>
          </w:p>
        </w:tc>
      </w:tr>
      <w:tr w14:paraId="58FC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3B512261">
            <w:pPr>
              <w:pStyle w:val="12"/>
              <w:pageBreakBefore w:val="0"/>
              <w:kinsoku/>
              <w:wordWrap/>
              <w:overflowPunct/>
              <w:topLinePunct w:val="0"/>
              <w:bidi w:val="0"/>
              <w:spacing w:line="360" w:lineRule="auto"/>
            </w:pPr>
            <w:r>
              <w:rPr>
                <w:rFonts w:hint="eastAsia" w:ascii="宋体" w:hAnsi="宋体" w:eastAsia="宋体" w:cs="宋体"/>
                <w:b w:val="0"/>
                <w:bCs/>
                <w:lang w:eastAsia="zh-CN"/>
              </w:rPr>
              <w:t>平衡臂总成安装示意图</w:t>
            </w:r>
          </w:p>
        </w:tc>
      </w:tr>
    </w:tbl>
    <w:p w14:paraId="12AA5F1A">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安装2块2.3t平衡重</w:t>
      </w:r>
    </w:p>
    <w:p w14:paraId="01009799">
      <w:pPr>
        <w:keepNext w:val="0"/>
        <w:keepLines w:val="0"/>
        <w:pageBreakBefore w:val="0"/>
        <w:kinsoku/>
        <w:wordWrap/>
        <w:overflowPunct/>
        <w:topLinePunct w:val="0"/>
        <w:autoSpaceDE/>
        <w:autoSpaceDN/>
        <w:bidi w:val="0"/>
        <w:snapToGrid/>
        <w:spacing w:line="360" w:lineRule="auto"/>
        <w:ind w:firstLine="480"/>
      </w:pPr>
      <w:r>
        <w:rPr>
          <w:rFonts w:hint="eastAsia"/>
        </w:rPr>
        <w:t>一块平衡重吊重为2</w:t>
      </w:r>
      <w:r>
        <w:rPr>
          <w:rFonts w:hint="eastAsia"/>
          <w:lang w:val="en-US" w:eastAsia="zh-CN"/>
        </w:rPr>
        <w:t>.3</w:t>
      </w:r>
      <w:r>
        <w:rPr>
          <w:rFonts w:hint="eastAsia"/>
        </w:rPr>
        <w:t>t，</w:t>
      </w:r>
      <w:r>
        <w:rPr>
          <w:rFonts w:hint="eastAsia"/>
          <w:lang w:eastAsia="zh-CN"/>
        </w:rPr>
        <w:t>吊距约为12m</w:t>
      </w:r>
      <w:r>
        <w:t>，吊高为</w:t>
      </w:r>
      <w:r>
        <w:rPr>
          <w:rFonts w:hint="eastAsia"/>
        </w:rPr>
        <w:t>21</w:t>
      </w:r>
      <w:r>
        <w:t>m。</w:t>
      </w:r>
      <w:r>
        <w:rPr>
          <w:rFonts w:hint="eastAsia"/>
          <w:lang w:eastAsia="zh-CN"/>
        </w:rPr>
        <w:t>35t汽车吊</w:t>
      </w:r>
      <w:r>
        <w:rPr>
          <w:rFonts w:hint="eastAsia"/>
        </w:rPr>
        <w:t>起重能力为</w:t>
      </w:r>
      <w:r>
        <w:rPr>
          <w:rFonts w:hint="eastAsia"/>
          <w:lang w:eastAsia="zh-CN"/>
        </w:rPr>
        <w:t>11.3t</w:t>
      </w:r>
      <w:r>
        <w:t>&gt;</w:t>
      </w:r>
      <w:r>
        <w:rPr>
          <w:rFonts w:hint="eastAsia"/>
          <w:lang w:eastAsia="zh-CN"/>
        </w:rPr>
        <w:t>2.3t</w:t>
      </w:r>
      <w:r>
        <w:t>，</w:t>
      </w:r>
      <w:r>
        <w:rPr>
          <w:rFonts w:hint="eastAsia"/>
          <w:lang w:eastAsia="zh-CN"/>
        </w:rPr>
        <w:t>35t汽车吊</w:t>
      </w:r>
      <w:r>
        <w:t>起重性能满足要求</w:t>
      </w:r>
      <w:r>
        <w:rPr>
          <w:rFonts w:hint="eastAsia"/>
        </w:rPr>
        <w:t>。</w:t>
      </w:r>
    </w:p>
    <w:p w14:paraId="38D46BF6">
      <w:pPr>
        <w:keepNext w:val="0"/>
        <w:keepLines w:val="0"/>
        <w:pageBreakBefore w:val="0"/>
        <w:kinsoku/>
        <w:wordWrap/>
        <w:overflowPunct/>
        <w:topLinePunct w:val="0"/>
        <w:autoSpaceDE/>
        <w:autoSpaceDN/>
        <w:bidi w:val="0"/>
        <w:snapToGrid/>
        <w:spacing w:line="360" w:lineRule="auto"/>
        <w:ind w:firstLine="480"/>
      </w:pPr>
      <w:r>
        <w:rPr>
          <w:rFonts w:hint="eastAsia"/>
        </w:rPr>
        <w:t>平衡重吊装采用两点吊，采用2根</w:t>
      </w:r>
      <w:r>
        <w:rPr>
          <w:rFonts w:hint="eastAsia" w:ascii="宋体" w:hAnsi="宋体" w:cs="宋体"/>
          <w:lang w:val="en-US" w:eastAsia="zh-CN"/>
        </w:rPr>
        <w:t>22</w:t>
      </w:r>
      <w:r>
        <w:rPr>
          <w:rFonts w:hint="eastAsia" w:ascii="宋体" w:hAnsi="宋体" w:eastAsia="宋体" w:cs="宋体"/>
          <w:lang w:val="en-US" w:eastAsia="zh-CN"/>
        </w:rPr>
        <w:t>mm6×19+FC1870Mp</w:t>
      </w:r>
      <w:r>
        <w:rPr>
          <w:rFonts w:hint="eastAsia"/>
        </w:rPr>
        <w:t>a的钢丝绳配套GB/T 25854-6-DW5卸扣与平衡重吊耳进行连接吊装。</w:t>
      </w:r>
    </w:p>
    <w:p w14:paraId="58F3B876">
      <w:pPr>
        <w:keepNext w:val="0"/>
        <w:keepLines w:val="0"/>
        <w:pageBreakBefore w:val="0"/>
        <w:widowControl/>
        <w:kinsoku/>
        <w:wordWrap/>
        <w:overflowPunct/>
        <w:topLinePunct w:val="0"/>
        <w:autoSpaceDE/>
        <w:autoSpaceDN/>
        <w:bidi w:val="0"/>
        <w:snapToGrid/>
        <w:spacing w:line="360" w:lineRule="auto"/>
        <w:ind w:firstLine="480"/>
        <w:jc w:val="left"/>
      </w:pPr>
      <w:r>
        <w:rPr>
          <w:rFonts w:hint="eastAsia"/>
        </w:rPr>
        <w:t>作业人员在地面上先将钢丝绳一端挂在吊机吊钩，另一端与卸扣连接，卸扣与吊耳通过销轴连接，并在平衡重栓好2根溜绳。启动吊机，</w:t>
      </w:r>
      <w:r>
        <w:rPr>
          <w:rFonts w:hint="eastAsia" w:ascii="宋体" w:hAnsi="宋体" w:cs="宋体"/>
          <w:color w:val="000000"/>
          <w:kern w:val="0"/>
          <w:szCs w:val="24"/>
          <w:lang w:bidi="ar"/>
        </w:rPr>
        <w:t>将一块</w:t>
      </w:r>
      <w:r>
        <w:rPr>
          <w:rFonts w:hint="eastAsia" w:ascii="宋体" w:hAnsi="宋体" w:cs="宋体"/>
          <w:color w:val="000000"/>
          <w:kern w:val="0"/>
          <w:szCs w:val="24"/>
          <w:lang w:eastAsia="zh-CN" w:bidi="ar"/>
        </w:rPr>
        <w:t>2.3t</w:t>
      </w:r>
      <w:r>
        <w:rPr>
          <w:rFonts w:hint="eastAsia" w:ascii="宋体" w:hAnsi="宋体" w:cs="宋体"/>
          <w:color w:val="000000"/>
          <w:kern w:val="0"/>
          <w:szCs w:val="24"/>
          <w:lang w:bidi="ar"/>
        </w:rPr>
        <w:t>配重块</w:t>
      </w:r>
      <w:r>
        <w:rPr>
          <w:rFonts w:hint="eastAsia"/>
        </w:rPr>
        <w:t>缓慢提升，用溜绳控制其摆动。</w:t>
      </w:r>
      <w:r>
        <w:rPr>
          <w:rFonts w:hint="eastAsia" w:ascii="宋体" w:hAnsi="宋体" w:cs="宋体"/>
          <w:color w:val="000000"/>
          <w:kern w:val="0"/>
          <w:szCs w:val="24"/>
          <w:lang w:bidi="ar"/>
        </w:rPr>
        <w:t>从平衡臂端部开口处平稳起吊，装入平衡臂节，位置靠近起升机构旁边，用配重销紧固在平衡臂上，即完成平衡臂安装。</w:t>
      </w:r>
      <w:r>
        <w:rPr>
          <w:rFonts w:hint="eastAsia"/>
        </w:rPr>
        <w:t>平衡重安装后，作业人员解除卸扣与平衡重吊耳的连接。平衡</w:t>
      </w:r>
      <w:r>
        <w:rPr>
          <w:rFonts w:hint="eastAsia"/>
          <w:lang w:val="en-US" w:eastAsia="zh-CN"/>
        </w:rPr>
        <w:tab/>
      </w:r>
      <w:r>
        <w:rPr>
          <w:rFonts w:hint="eastAsia"/>
        </w:rPr>
        <w:t>重吊装示意如下图所示。</w:t>
      </w:r>
    </w:p>
    <w:p w14:paraId="4F85C89C">
      <w:pPr>
        <w:pStyle w:val="32"/>
        <w:pageBreakBefore w:val="0"/>
        <w:numPr>
          <w:ilvl w:val="0"/>
          <w:numId w:val="0"/>
        </w:numPr>
        <w:kinsoku/>
        <w:wordWrap/>
        <w:overflowPunct/>
        <w:topLinePunct w:val="0"/>
        <w:bidi w:val="0"/>
        <w:spacing w:line="360" w:lineRule="auto"/>
        <w:jc w:val="center"/>
      </w:pPr>
    </w:p>
    <w:tbl>
      <w:tblPr>
        <w:tblStyle w:val="33"/>
        <w:tblpPr w:leftFromText="180" w:rightFromText="180" w:vertAnchor="text" w:horzAnchor="page" w:tblpX="2309" w:tblpY="8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A37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638CEAE0">
            <w:pPr>
              <w:pStyle w:val="12"/>
              <w:pageBreakBefore w:val="0"/>
              <w:kinsoku/>
              <w:wordWrap/>
              <w:overflowPunct/>
              <w:topLinePunct w:val="0"/>
              <w:bidi w:val="0"/>
              <w:spacing w:line="360" w:lineRule="auto"/>
              <w:rPr>
                <w:rFonts w:hint="eastAsia" w:ascii="宋体" w:hAnsi="宋体" w:eastAsia="宋体" w:cs="宋体"/>
                <w:b w:val="0"/>
                <w:bCs/>
                <w:lang w:eastAsia="zh-CN"/>
              </w:rPr>
            </w:pPr>
            <w:r>
              <w:drawing>
                <wp:inline distT="0" distB="0" distL="114300" distR="114300">
                  <wp:extent cx="3478530" cy="3624580"/>
                  <wp:effectExtent l="0" t="0" r="7620" b="1397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51"/>
                          <a:stretch>
                            <a:fillRect/>
                          </a:stretch>
                        </pic:blipFill>
                        <pic:spPr>
                          <a:xfrm>
                            <a:off x="0" y="0"/>
                            <a:ext cx="3478530" cy="3624580"/>
                          </a:xfrm>
                          <a:prstGeom prst="rect">
                            <a:avLst/>
                          </a:prstGeom>
                          <a:noFill/>
                          <a:ln>
                            <a:noFill/>
                          </a:ln>
                        </pic:spPr>
                      </pic:pic>
                    </a:graphicData>
                  </a:graphic>
                </wp:inline>
              </w:drawing>
            </w:r>
            <w:r>
              <w:drawing>
                <wp:inline distT="0" distB="0" distL="114300" distR="114300">
                  <wp:extent cx="5273675" cy="2393315"/>
                  <wp:effectExtent l="0" t="0" r="3175" b="698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50"/>
                          <a:stretch>
                            <a:fillRect/>
                          </a:stretch>
                        </pic:blipFill>
                        <pic:spPr>
                          <a:xfrm>
                            <a:off x="0" y="0"/>
                            <a:ext cx="5273675" cy="2393315"/>
                          </a:xfrm>
                          <a:prstGeom prst="rect">
                            <a:avLst/>
                          </a:prstGeom>
                          <a:noFill/>
                          <a:ln>
                            <a:noFill/>
                          </a:ln>
                        </pic:spPr>
                      </pic:pic>
                    </a:graphicData>
                  </a:graphic>
                </wp:inline>
              </w:drawing>
            </w:r>
          </w:p>
        </w:tc>
      </w:tr>
      <w:tr w14:paraId="5F2B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2FB930A8">
            <w:pPr>
              <w:pStyle w:val="12"/>
              <w:pageBreakBefore w:val="0"/>
              <w:kinsoku/>
              <w:wordWrap/>
              <w:overflowPunct/>
              <w:topLinePunct w:val="0"/>
              <w:bidi w:val="0"/>
              <w:spacing w:line="360" w:lineRule="auto"/>
            </w:pPr>
            <w:r>
              <w:rPr>
                <w:rFonts w:hint="eastAsia" w:ascii="宋体" w:hAnsi="宋体"/>
                <w:color w:val="000000"/>
                <w:sz w:val="24"/>
                <w:szCs w:val="24"/>
              </w:rPr>
              <w:t xml:space="preserve"> </w:t>
            </w:r>
            <w:r>
              <w:rPr>
                <w:rFonts w:hint="eastAsia" w:ascii="宋体" w:hAnsi="宋体" w:cs="宋体"/>
                <w:b w:val="0"/>
                <w:bCs/>
                <w:lang w:val="en-US" w:eastAsia="zh-CN"/>
              </w:rPr>
              <w:t>2</w:t>
            </w:r>
            <w:r>
              <w:rPr>
                <w:rFonts w:hint="eastAsia" w:ascii="宋体" w:hAnsi="宋体" w:eastAsia="宋体" w:cs="宋体"/>
                <w:b w:val="0"/>
                <w:bCs/>
                <w:lang w:val="en-US" w:eastAsia="zh-CN"/>
              </w:rPr>
              <w:t>块平衡重</w:t>
            </w:r>
            <w:r>
              <w:rPr>
                <w:rFonts w:hint="eastAsia" w:ascii="宋体" w:hAnsi="宋体" w:eastAsia="宋体" w:cs="宋体"/>
                <w:b w:val="0"/>
                <w:bCs/>
                <w:lang w:eastAsia="zh-CN"/>
              </w:rPr>
              <w:t>安装示意图</w:t>
            </w:r>
          </w:p>
        </w:tc>
      </w:tr>
    </w:tbl>
    <w:p w14:paraId="4E828FF9">
      <w:pPr>
        <w:pStyle w:val="17"/>
      </w:pPr>
    </w:p>
    <w:p w14:paraId="01776655">
      <w:pPr>
        <w:pStyle w:val="13"/>
        <w:rPr>
          <w:rFonts w:hint="eastAsia"/>
          <w:lang w:eastAsia="zh-CN"/>
        </w:rPr>
      </w:pPr>
    </w:p>
    <w:p w14:paraId="32434D2B">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安装起重臂总成</w:t>
      </w:r>
    </w:p>
    <w:p w14:paraId="4C74ABC2">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起重臂总成吊重为6.23t,35t汽车吊主臂长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t，满足安装吊装要求。</w:t>
      </w:r>
    </w:p>
    <w:p w14:paraId="1D98F704">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起重臂臂节吊装采用两点吊，以起重臂顶部2个吊耳板作为吊装孔，采用2根</w:t>
      </w:r>
      <w:r>
        <w:rPr>
          <w:rFonts w:hint="eastAsia" w:ascii="宋体" w:hAnsi="宋体" w:cs="宋体"/>
          <w:lang w:val="en-US" w:eastAsia="zh-CN"/>
        </w:rPr>
        <w:t>22</w:t>
      </w:r>
      <w:r>
        <w:rPr>
          <w:rFonts w:hint="eastAsia" w:ascii="宋体" w:hAnsi="宋体" w:eastAsia="宋体" w:cs="宋体"/>
          <w:lang w:val="en-US" w:eastAsia="zh-CN"/>
        </w:rPr>
        <w:t>mm6×19+FC1870Mpa的钢丝绳配套GB/T 25854-6-DW5卸扣进行起吊。</w:t>
      </w:r>
    </w:p>
    <w:p w14:paraId="7544F8C3">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cs="宋体"/>
          <w:bCs/>
          <w:szCs w:val="24"/>
        </w:rPr>
      </w:pPr>
      <w:r>
        <w:rPr>
          <w:rFonts w:hint="eastAsia" w:ascii="宋体" w:hAnsi="宋体" w:cs="宋体"/>
          <w:bCs/>
          <w:szCs w:val="24"/>
        </w:rPr>
        <w:t>试吊起重臂，使根部稍倾斜，</w:t>
      </w:r>
      <w:r>
        <w:rPr>
          <w:rFonts w:hint="eastAsia" w:ascii="宋体" w:hAnsi="宋体" w:cs="宋体"/>
          <w:bCs/>
          <w:szCs w:val="24"/>
          <w:lang w:val="en-US" w:eastAsia="zh-CN"/>
        </w:rPr>
        <w:t>如</w:t>
      </w:r>
      <w:r>
        <w:rPr>
          <w:rFonts w:hint="eastAsia" w:ascii="宋体" w:hAnsi="宋体" w:cs="宋体"/>
          <w:bCs/>
          <w:szCs w:val="24"/>
        </w:rPr>
        <w:t>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起重臂的安装。</w:t>
      </w:r>
    </w:p>
    <w:p w14:paraId="0FEEFDC7">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塔式起重机起重臂安装时设置警戒区，起吊安排专人负责指挥，专人操作，严禁无关人员进入起重作业范围内。</w:t>
      </w:r>
    </w:p>
    <w:p w14:paraId="4D3E2C7E">
      <w:pPr>
        <w:pStyle w:val="17"/>
        <w:pageBreakBefore w:val="0"/>
        <w:numPr>
          <w:ilvl w:val="0"/>
          <w:numId w:val="0"/>
        </w:numPr>
        <w:kinsoku/>
        <w:wordWrap/>
        <w:overflowPunct/>
        <w:topLinePunct w:val="0"/>
        <w:bidi w:val="0"/>
        <w:spacing w:beforeAutospacing="0" w:afterAutospacing="0" w:line="360" w:lineRule="auto"/>
        <w:ind w:leftChars="200"/>
        <w:rPr>
          <w:rFonts w:hint="eastAsia"/>
          <w:lang w:val="en-US" w:eastAsia="zh-CN"/>
        </w:rPr>
      </w:pPr>
    </w:p>
    <w:p w14:paraId="55243B46">
      <w:pPr>
        <w:keepNext w:val="0"/>
        <w:keepLines w:val="0"/>
        <w:pageBreakBefore w:val="0"/>
        <w:numPr>
          <w:ilvl w:val="0"/>
          <w:numId w:val="0"/>
        </w:numPr>
        <w:kinsoku/>
        <w:wordWrap/>
        <w:overflowPunct/>
        <w:topLinePunct w:val="0"/>
        <w:autoSpaceDE/>
        <w:autoSpaceDN/>
        <w:bidi w:val="0"/>
        <w:snapToGrid/>
        <w:spacing w:line="360" w:lineRule="auto"/>
        <w:jc w:val="center"/>
        <w:rPr>
          <w:rFonts w:hint="eastAsia"/>
          <w:lang w:val="en-US" w:eastAsia="zh-CN"/>
        </w:rPr>
      </w:pPr>
      <w:r>
        <w:drawing>
          <wp:inline distT="0" distB="0" distL="114300" distR="114300">
            <wp:extent cx="5614670" cy="1549400"/>
            <wp:effectExtent l="0" t="0" r="5080" b="12700"/>
            <wp:docPr id="1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5"/>
                    <pic:cNvPicPr>
                      <a:picLocks noChangeAspect="1"/>
                    </pic:cNvPicPr>
                  </pic:nvPicPr>
                  <pic:blipFill>
                    <a:blip r:embed="rId52"/>
                    <a:stretch>
                      <a:fillRect/>
                    </a:stretch>
                  </pic:blipFill>
                  <pic:spPr>
                    <a:xfrm>
                      <a:off x="0" y="0"/>
                      <a:ext cx="5614670" cy="1549400"/>
                    </a:xfrm>
                    <a:prstGeom prst="rect">
                      <a:avLst/>
                    </a:prstGeom>
                    <a:noFill/>
                    <a:ln>
                      <a:noFill/>
                    </a:ln>
                  </pic:spPr>
                </pic:pic>
              </a:graphicData>
            </a:graphic>
          </wp:inline>
        </w:drawing>
      </w:r>
      <w:r>
        <w:drawing>
          <wp:inline distT="0" distB="0" distL="114300" distR="114300">
            <wp:extent cx="4909820" cy="1167765"/>
            <wp:effectExtent l="0" t="0" r="0" b="0"/>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3"/>
                    <pic:cNvPicPr>
                      <a:picLocks noChangeAspect="1"/>
                    </pic:cNvPicPr>
                  </pic:nvPicPr>
                  <pic:blipFill>
                    <a:blip r:embed="rId53"/>
                    <a:srcRect r="6877" b="1920"/>
                    <a:stretch>
                      <a:fillRect/>
                    </a:stretch>
                  </pic:blipFill>
                  <pic:spPr>
                    <a:xfrm>
                      <a:off x="0" y="0"/>
                      <a:ext cx="4909820" cy="1167765"/>
                    </a:xfrm>
                    <a:prstGeom prst="rect">
                      <a:avLst/>
                    </a:prstGeom>
                    <a:noFill/>
                    <a:ln>
                      <a:noFill/>
                    </a:ln>
                  </pic:spPr>
                </pic:pic>
              </a:graphicData>
            </a:graphic>
          </wp:inline>
        </w:drawing>
      </w:r>
    </w:p>
    <w:tbl>
      <w:tblPr>
        <w:tblStyle w:val="33"/>
        <w:tblpPr w:leftFromText="180" w:rightFromText="180" w:vertAnchor="text" w:horzAnchor="page" w:tblpX="2309" w:tblpY="8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77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573F6E5E">
            <w:pPr>
              <w:pStyle w:val="12"/>
              <w:pageBreakBefore w:val="0"/>
              <w:kinsoku/>
              <w:wordWrap/>
              <w:overflowPunct/>
              <w:topLinePunct w:val="0"/>
              <w:bidi w:val="0"/>
              <w:spacing w:line="360" w:lineRule="auto"/>
              <w:rPr>
                <w:rFonts w:hint="eastAsia" w:ascii="宋体" w:hAnsi="宋体" w:eastAsia="宋体" w:cs="宋体"/>
                <w:b w:val="0"/>
                <w:bCs/>
                <w:lang w:val="en-US" w:eastAsia="zh-CN"/>
              </w:rPr>
            </w:pPr>
            <w:r>
              <w:drawing>
                <wp:inline distT="0" distB="0" distL="114300" distR="114300">
                  <wp:extent cx="5262880" cy="2335530"/>
                  <wp:effectExtent l="0" t="0" r="13970" b="762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54"/>
                          <a:stretch>
                            <a:fillRect/>
                          </a:stretch>
                        </pic:blipFill>
                        <pic:spPr>
                          <a:xfrm>
                            <a:off x="0" y="0"/>
                            <a:ext cx="5262880" cy="2335530"/>
                          </a:xfrm>
                          <a:prstGeom prst="rect">
                            <a:avLst/>
                          </a:prstGeom>
                          <a:noFill/>
                          <a:ln>
                            <a:noFill/>
                          </a:ln>
                        </pic:spPr>
                      </pic:pic>
                    </a:graphicData>
                  </a:graphic>
                </wp:inline>
              </w:drawing>
            </w:r>
            <w:r>
              <w:drawing>
                <wp:inline distT="0" distB="0" distL="114300" distR="114300">
                  <wp:extent cx="5267325" cy="1935480"/>
                  <wp:effectExtent l="0" t="0" r="9525" b="762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55"/>
                          <a:stretch>
                            <a:fillRect/>
                          </a:stretch>
                        </pic:blipFill>
                        <pic:spPr>
                          <a:xfrm>
                            <a:off x="0" y="0"/>
                            <a:ext cx="5267325" cy="1935480"/>
                          </a:xfrm>
                          <a:prstGeom prst="rect">
                            <a:avLst/>
                          </a:prstGeom>
                          <a:noFill/>
                          <a:ln>
                            <a:noFill/>
                          </a:ln>
                        </pic:spPr>
                      </pic:pic>
                    </a:graphicData>
                  </a:graphic>
                </wp:inline>
              </w:drawing>
            </w:r>
          </w:p>
        </w:tc>
      </w:tr>
      <w:tr w14:paraId="121A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7F47A140">
            <w:pPr>
              <w:pStyle w:val="12"/>
              <w:pageBreakBefore w:val="0"/>
              <w:kinsoku/>
              <w:wordWrap/>
              <w:overflowPunct/>
              <w:topLinePunct w:val="0"/>
              <w:bidi w:val="0"/>
              <w:spacing w:line="360" w:lineRule="auto"/>
            </w:pPr>
            <w:r>
              <w:rPr>
                <w:rFonts w:hint="eastAsia" w:ascii="宋体" w:hAnsi="宋体" w:eastAsia="宋体" w:cs="宋体"/>
                <w:b w:val="0"/>
                <w:bCs/>
                <w:lang w:val="en-US" w:eastAsia="zh-CN"/>
              </w:rPr>
              <w:t>起重臂总成</w:t>
            </w:r>
            <w:r>
              <w:rPr>
                <w:rFonts w:hint="eastAsia" w:ascii="宋体" w:hAnsi="宋体" w:eastAsia="宋体" w:cs="宋体"/>
                <w:b w:val="0"/>
                <w:bCs/>
                <w:lang w:eastAsia="zh-CN"/>
              </w:rPr>
              <w:t>安装示意图</w:t>
            </w:r>
          </w:p>
        </w:tc>
      </w:tr>
    </w:tbl>
    <w:p w14:paraId="19B41F73">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安装剩余的平衡重</w:t>
      </w:r>
    </w:p>
    <w:p w14:paraId="1828D0F1">
      <w:pPr>
        <w:pStyle w:val="7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360" w:lineRule="auto"/>
        <w:ind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剩余平衡重吊装方法同安装第1块平衡重。吊装完成后检查并确认相邻平衡重块的整个表面是否贴紧。</w:t>
      </w:r>
    </w:p>
    <w:p w14:paraId="0A3EB315">
      <w:pPr>
        <w:pStyle w:val="7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360" w:lineRule="auto"/>
        <w:ind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60</w:t>
      </w:r>
      <w:r>
        <w:rPr>
          <w:rFonts w:hint="eastAsia" w:ascii="宋体" w:hAnsi="宋体" w:eastAsia="宋体" w:cs="宋体"/>
          <w:color w:val="auto"/>
          <w:kern w:val="2"/>
          <w:sz w:val="24"/>
          <w:szCs w:val="24"/>
          <w:lang w:val="en-US" w:eastAsia="zh-CN" w:bidi="ar-SA"/>
        </w:rPr>
        <w:t>米臂长平衡重配置由</w:t>
      </w:r>
      <w:r>
        <w:rPr>
          <w:rFonts w:hint="eastAsia" w:ascii="宋体" w:hAnsi="宋体" w:cs="宋体"/>
          <w:color w:val="auto"/>
          <w:kern w:val="2"/>
          <w:sz w:val="24"/>
          <w:szCs w:val="24"/>
          <w:lang w:val="en-US" w:eastAsia="zh-CN" w:bidi="ar-SA"/>
        </w:rPr>
        <w:t>7</w:t>
      </w:r>
      <w:r>
        <w:rPr>
          <w:rFonts w:hint="eastAsia" w:ascii="宋体" w:hAnsi="宋体" w:eastAsia="宋体" w:cs="宋体"/>
          <w:color w:val="auto"/>
          <w:kern w:val="2"/>
          <w:sz w:val="24"/>
          <w:szCs w:val="24"/>
          <w:lang w:val="en-US" w:eastAsia="zh-CN" w:bidi="ar-SA"/>
        </w:rPr>
        <w:t>块</w:t>
      </w:r>
      <w:r>
        <w:rPr>
          <w:rFonts w:hint="eastAsia" w:ascii="宋体" w:hAnsi="宋体" w:cs="宋体"/>
          <w:color w:val="auto"/>
          <w:kern w:val="2"/>
          <w:sz w:val="24"/>
          <w:szCs w:val="24"/>
          <w:lang w:val="en-US" w:eastAsia="zh-CN" w:bidi="ar-SA"/>
        </w:rPr>
        <w:t>2.3</w:t>
      </w:r>
      <w:r>
        <w:rPr>
          <w:rFonts w:hint="eastAsia" w:ascii="宋体" w:hAnsi="宋体" w:eastAsia="宋体" w:cs="宋体"/>
          <w:color w:val="auto"/>
          <w:kern w:val="2"/>
          <w:sz w:val="24"/>
          <w:szCs w:val="24"/>
          <w:lang w:val="en-US" w:eastAsia="zh-CN" w:bidi="ar-SA"/>
        </w:rPr>
        <w:t>吨平衡重</w:t>
      </w:r>
      <w:r>
        <w:rPr>
          <w:rFonts w:hint="eastAsia" w:ascii="宋体" w:hAnsi="宋体" w:cs="宋体"/>
          <w:color w:val="auto"/>
          <w:kern w:val="2"/>
          <w:sz w:val="24"/>
          <w:szCs w:val="24"/>
          <w:lang w:val="en-US" w:eastAsia="zh-CN" w:bidi="ar-SA"/>
        </w:rPr>
        <w:t>和1</w:t>
      </w:r>
      <w:r>
        <w:rPr>
          <w:rFonts w:hint="eastAsia" w:ascii="宋体" w:hAnsi="宋体" w:eastAsia="宋体" w:cs="宋体"/>
          <w:color w:val="auto"/>
          <w:kern w:val="2"/>
          <w:sz w:val="24"/>
          <w:szCs w:val="24"/>
          <w:lang w:val="en-US" w:eastAsia="zh-CN" w:bidi="ar-SA"/>
        </w:rPr>
        <w:t>块</w:t>
      </w:r>
      <w:r>
        <w:rPr>
          <w:rFonts w:hint="eastAsia" w:ascii="宋体" w:hAnsi="宋体" w:cs="宋体"/>
          <w:color w:val="auto"/>
          <w:kern w:val="2"/>
          <w:sz w:val="24"/>
          <w:szCs w:val="24"/>
          <w:lang w:val="en-US" w:eastAsia="zh-CN" w:bidi="ar-SA"/>
        </w:rPr>
        <w:t>1.2</w:t>
      </w:r>
      <w:r>
        <w:rPr>
          <w:rFonts w:hint="eastAsia" w:ascii="宋体" w:hAnsi="宋体" w:eastAsia="宋体" w:cs="宋体"/>
          <w:color w:val="auto"/>
          <w:kern w:val="2"/>
          <w:sz w:val="24"/>
          <w:szCs w:val="24"/>
          <w:lang w:val="en-US" w:eastAsia="zh-CN" w:bidi="ar-SA"/>
        </w:rPr>
        <w:t>吨平衡重组成按从起升机构侧向</w:t>
      </w:r>
      <w:r>
        <w:rPr>
          <w:rFonts w:hint="eastAsia" w:ascii="宋体" w:hAnsi="宋体" w:cs="宋体"/>
          <w:color w:val="auto"/>
          <w:kern w:val="2"/>
          <w:sz w:val="24"/>
          <w:szCs w:val="24"/>
          <w:lang w:val="en-US" w:eastAsia="zh-CN" w:bidi="ar-SA"/>
        </w:rPr>
        <w:t>远离</w:t>
      </w:r>
      <w:r>
        <w:rPr>
          <w:rFonts w:hint="eastAsia" w:ascii="宋体" w:hAnsi="宋体" w:eastAsia="宋体" w:cs="宋体"/>
          <w:color w:val="auto"/>
          <w:kern w:val="2"/>
          <w:sz w:val="24"/>
          <w:szCs w:val="24"/>
          <w:lang w:val="en-US" w:eastAsia="zh-CN" w:bidi="ar-SA"/>
        </w:rPr>
        <w:t>塔身侧依次吊装平衡重。</w:t>
      </w:r>
    </w:p>
    <w:p w14:paraId="753696F4">
      <w:pPr>
        <w:pStyle w:val="7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360" w:lineRule="auto"/>
        <w:ind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p w14:paraId="3CD36D2E">
      <w:pPr>
        <w:pStyle w:val="7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360" w:lineRule="auto"/>
        <w:ind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塔吊平衡重安装时设置警戒区，起吊安排专人负责指挥，专人操作，严禁无关人员进入起重作业范围内。 </w:t>
      </w:r>
    </w:p>
    <w:p w14:paraId="416A975D">
      <w:pPr>
        <w:pStyle w:val="32"/>
        <w:pageBreakBefore w:val="0"/>
        <w:numPr>
          <w:ilvl w:val="0"/>
          <w:numId w:val="0"/>
        </w:numPr>
        <w:kinsoku/>
        <w:wordWrap/>
        <w:overflowPunct/>
        <w:topLinePunct w:val="0"/>
        <w:bidi w:val="0"/>
        <w:spacing w:line="360" w:lineRule="auto"/>
        <w:ind w:firstLine="480" w:firstLineChars="200"/>
        <w:rPr>
          <w:rFonts w:hint="default"/>
          <w:lang w:val="en-US" w:eastAsia="zh-CN"/>
        </w:rPr>
      </w:pPr>
      <w:r>
        <w:rPr>
          <w:rFonts w:hint="eastAsia" w:ascii="宋体" w:hAnsi="宋体" w:eastAsia="宋体" w:cs="宋体"/>
          <w:b w:val="0"/>
          <w:bCs/>
          <w:sz w:val="24"/>
          <w:szCs w:val="24"/>
          <w:lang w:val="en-US" w:eastAsia="zh-CN"/>
        </w:rPr>
        <w:t>平衡重配置情况见下</w:t>
      </w:r>
      <w:r>
        <w:rPr>
          <w:rFonts w:hint="eastAsia" w:ascii="宋体" w:hAnsi="宋体" w:cs="宋体"/>
          <w:b w:val="0"/>
          <w:bCs/>
          <w:sz w:val="24"/>
          <w:szCs w:val="24"/>
          <w:lang w:val="en-US" w:eastAsia="zh-CN"/>
        </w:rPr>
        <w:t>表</w:t>
      </w:r>
      <w:r>
        <w:rPr>
          <w:rFonts w:hint="eastAsia" w:ascii="宋体" w:hAnsi="宋体" w:eastAsia="宋体" w:cs="宋体"/>
          <w:b w:val="0"/>
          <w:bCs/>
          <w:sz w:val="24"/>
          <w:szCs w:val="24"/>
          <w:lang w:val="en-US" w:eastAsia="zh-CN"/>
        </w:rPr>
        <w:t>。</w:t>
      </w:r>
      <w:r>
        <w:rPr>
          <w:rFonts w:hint="eastAsia" w:ascii="宋体" w:hAnsi="宋体" w:eastAsia="宋体" w:cs="Times New Roman"/>
          <w:b/>
          <w:snapToGrid w:val="0"/>
          <w:sz w:val="21"/>
          <w:szCs w:val="21"/>
          <w:lang w:val="en-US" w:eastAsia="zh-CN" w:bidi="ar-SA"/>
        </w:rPr>
        <w:t xml:space="preserve"> </w:t>
      </w:r>
    </w:p>
    <w:p w14:paraId="72934A99">
      <w:pPr>
        <w:pStyle w:val="12"/>
        <w:pageBreakBefore w:val="0"/>
        <w:kinsoku/>
        <w:wordWrap/>
        <w:overflowPunct/>
        <w:topLinePunct w:val="0"/>
        <w:bidi w:val="0"/>
        <w:spacing w:line="360" w:lineRule="auto"/>
        <w:ind w:left="0" w:leftChars="0" w:firstLine="0" w:firstLineChars="0"/>
        <w:jc w:val="center"/>
      </w:pPr>
      <w:r>
        <w:t xml:space="preserve">表 </w:t>
      </w:r>
      <w:r>
        <w:fldChar w:fldCharType="begin"/>
      </w:r>
      <w:r>
        <w:instrText xml:space="preserve"> STYLEREF 3 \s </w:instrText>
      </w:r>
      <w:r>
        <w:fldChar w:fldCharType="separate"/>
      </w:r>
      <w:r>
        <w:t>8.2.2</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ascii="宋体" w:hAnsi="宋体" w:cs="Times New Roman"/>
          <w:b/>
          <w:snapToGrid w:val="0"/>
          <w:sz w:val="21"/>
          <w:szCs w:val="21"/>
          <w:lang w:val="en-US" w:eastAsia="zh-CN" w:bidi="ar-SA"/>
        </w:rPr>
        <w:t>平衡重配置表</w:t>
      </w:r>
    </w:p>
    <w:p w14:paraId="16D80B93">
      <w:pPr>
        <w:pStyle w:val="17"/>
        <w:pageBreakBefore w:val="0"/>
        <w:kinsoku/>
        <w:wordWrap/>
        <w:overflowPunct/>
        <w:topLinePunct w:val="0"/>
        <w:bidi w:val="0"/>
        <w:spacing w:line="360" w:lineRule="auto"/>
        <w:ind w:left="0" w:leftChars="0" w:firstLine="0" w:firstLineChars="0"/>
        <w:jc w:val="center"/>
      </w:pPr>
      <w:r>
        <w:drawing>
          <wp:inline distT="0" distB="0" distL="114300" distR="114300">
            <wp:extent cx="4333875" cy="1994535"/>
            <wp:effectExtent l="0" t="0" r="9525" b="57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6"/>
                    <a:srcRect r="1662" b="3044"/>
                    <a:stretch>
                      <a:fillRect/>
                    </a:stretch>
                  </pic:blipFill>
                  <pic:spPr>
                    <a:xfrm>
                      <a:off x="0" y="0"/>
                      <a:ext cx="4333875" cy="1994535"/>
                    </a:xfrm>
                    <a:prstGeom prst="rect">
                      <a:avLst/>
                    </a:prstGeom>
                    <a:noFill/>
                    <a:ln>
                      <a:noFill/>
                    </a:ln>
                  </pic:spPr>
                </pic:pic>
              </a:graphicData>
            </a:graphic>
          </wp:inline>
        </w:drawing>
      </w:r>
    </w:p>
    <w:tbl>
      <w:tblPr>
        <w:tblStyle w:val="33"/>
        <w:tblpPr w:leftFromText="180" w:rightFromText="180" w:vertAnchor="text" w:horzAnchor="page" w:tblpX="2309" w:tblpY="8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425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7" w:hRule="atLeast"/>
        </w:trPr>
        <w:tc>
          <w:tcPr>
            <w:tcW w:w="8000" w:type="dxa"/>
          </w:tcPr>
          <w:p w14:paraId="3C17C6CE">
            <w:pPr>
              <w:pStyle w:val="12"/>
              <w:pageBreakBefore w:val="0"/>
              <w:kinsoku/>
              <w:wordWrap/>
              <w:overflowPunct/>
              <w:topLinePunct w:val="0"/>
              <w:bidi w:val="0"/>
              <w:spacing w:line="360" w:lineRule="auto"/>
            </w:pPr>
            <w:r>
              <w:drawing>
                <wp:inline distT="0" distB="0" distL="114300" distR="114300">
                  <wp:extent cx="4428490" cy="1600835"/>
                  <wp:effectExtent l="0" t="0" r="10160" b="1841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57"/>
                          <a:stretch>
                            <a:fillRect/>
                          </a:stretch>
                        </pic:blipFill>
                        <pic:spPr>
                          <a:xfrm>
                            <a:off x="0" y="0"/>
                            <a:ext cx="4428490" cy="1600835"/>
                          </a:xfrm>
                          <a:prstGeom prst="rect">
                            <a:avLst/>
                          </a:prstGeom>
                          <a:noFill/>
                          <a:ln>
                            <a:noFill/>
                          </a:ln>
                        </pic:spPr>
                      </pic:pic>
                    </a:graphicData>
                  </a:graphic>
                </wp:inline>
              </w:drawing>
            </w:r>
          </w:p>
          <w:p w14:paraId="3C0A4955">
            <w:pPr>
              <w:pStyle w:val="12"/>
              <w:pageBreakBefore w:val="0"/>
              <w:kinsoku/>
              <w:wordWrap/>
              <w:overflowPunct/>
              <w:topLinePunct w:val="0"/>
              <w:bidi w:val="0"/>
              <w:spacing w:line="360" w:lineRule="auto"/>
              <w:rPr>
                <w:rFonts w:hint="eastAsia" w:ascii="宋体" w:hAnsi="宋体" w:eastAsia="宋体" w:cs="宋体"/>
                <w:b w:val="0"/>
                <w:bCs/>
                <w:kern w:val="2"/>
                <w:sz w:val="24"/>
                <w:szCs w:val="24"/>
                <w:lang w:val="en-US" w:eastAsia="zh-CN" w:bidi="ar-SA"/>
              </w:rPr>
            </w:pPr>
            <w:r>
              <w:drawing>
                <wp:inline distT="0" distB="0" distL="114300" distR="114300">
                  <wp:extent cx="5271135" cy="2555240"/>
                  <wp:effectExtent l="0" t="0" r="5715" b="1651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58"/>
                          <a:stretch>
                            <a:fillRect/>
                          </a:stretch>
                        </pic:blipFill>
                        <pic:spPr>
                          <a:xfrm>
                            <a:off x="0" y="0"/>
                            <a:ext cx="5271135" cy="2555240"/>
                          </a:xfrm>
                          <a:prstGeom prst="rect">
                            <a:avLst/>
                          </a:prstGeom>
                          <a:noFill/>
                          <a:ln>
                            <a:noFill/>
                          </a:ln>
                        </pic:spPr>
                      </pic:pic>
                    </a:graphicData>
                  </a:graphic>
                </wp:inline>
              </w:drawing>
            </w:r>
          </w:p>
        </w:tc>
      </w:tr>
      <w:tr w14:paraId="0689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000" w:type="dxa"/>
          </w:tcPr>
          <w:p w14:paraId="140B9146">
            <w:pPr>
              <w:pStyle w:val="12"/>
              <w:pageBreakBefore w:val="0"/>
              <w:kinsoku/>
              <w:wordWrap/>
              <w:overflowPunct/>
              <w:topLinePunct w:val="0"/>
              <w:bidi w:val="0"/>
              <w:spacing w:line="360" w:lineRule="auto"/>
            </w:pPr>
            <w:r>
              <w:rPr>
                <w:rFonts w:hint="eastAsia" w:ascii="宋体" w:hAnsi="宋体" w:eastAsia="宋体" w:cs="宋体"/>
                <w:b w:val="0"/>
                <w:bCs/>
                <w:kern w:val="2"/>
                <w:sz w:val="24"/>
                <w:szCs w:val="24"/>
                <w:lang w:val="en-US" w:eastAsia="zh-CN" w:bidi="ar-SA"/>
              </w:rPr>
              <w:t>平</w:t>
            </w:r>
            <w:r>
              <w:rPr>
                <w:rFonts w:hint="eastAsia" w:ascii="宋体" w:hAnsi="宋体" w:eastAsia="宋体" w:cs="宋体"/>
                <w:b w:val="0"/>
                <w:bCs/>
                <w:color w:val="auto"/>
                <w:kern w:val="2"/>
                <w:sz w:val="24"/>
                <w:szCs w:val="24"/>
                <w:lang w:val="en-US" w:eastAsia="zh-CN" w:bidi="ar-SA"/>
              </w:rPr>
              <w:t>衡重安装示意图</w:t>
            </w:r>
          </w:p>
        </w:tc>
      </w:tr>
    </w:tbl>
    <w:p w14:paraId="58D84443">
      <w:pPr>
        <w:keepNext w:val="0"/>
        <w:keepLines w:val="0"/>
        <w:pageBreakBefore w:val="0"/>
        <w:kinsoku/>
        <w:wordWrap/>
        <w:overflowPunct/>
        <w:topLinePunct w:val="0"/>
        <w:autoSpaceDE/>
        <w:autoSpaceDN/>
        <w:bidi w:val="0"/>
        <w:snapToGrid/>
        <w:spacing w:line="360" w:lineRule="auto"/>
      </w:pPr>
    </w:p>
    <w:p w14:paraId="7D270F96">
      <w:pPr>
        <w:pStyle w:val="13"/>
        <w:rPr>
          <w:rFonts w:hint="eastAsia"/>
          <w:lang w:val="en-US" w:eastAsia="zh-CN"/>
        </w:rPr>
      </w:pPr>
    </w:p>
    <w:p w14:paraId="13D610BE">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穿绕起升钢丝绳</w:t>
      </w:r>
    </w:p>
    <w:p w14:paraId="214D7EBD">
      <w:pPr>
        <w:pStyle w:val="80"/>
        <w:pageBreakBefore w:val="0"/>
        <w:kinsoku/>
        <w:wordWrap/>
        <w:overflowPunct/>
        <w:topLinePunct w:val="0"/>
        <w:bidi w:val="0"/>
        <w:spacing w:beforeAutospacing="0" w:afterAutospacing="0" w:line="360" w:lineRule="auto"/>
        <w:ind w:left="0" w:leftChars="0" w:firstLine="480" w:firstLineChars="200"/>
        <w:rPr>
          <w:rFonts w:hint="eastAsia"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将起升钢丝绳引经起重臂第一节臂上导向滑轮后，绕过在塔顶中心位置上的起重量限制器滑轮，再引向小车滑轮与吊钩滑轮穿绕，最后，将绳端固定在臂头上</w:t>
      </w:r>
      <w:r>
        <w:rPr>
          <w:rFonts w:hint="eastAsia" w:cs="宋体"/>
          <w:b w:val="0"/>
          <w:bCs/>
          <w:color w:val="auto"/>
          <w:kern w:val="2"/>
          <w:sz w:val="24"/>
          <w:szCs w:val="24"/>
          <w:lang w:val="en-US" w:eastAsia="zh-CN" w:bidi="ar-SA"/>
        </w:rPr>
        <w:t>采用钢丝绳专用锁扣进行固定</w:t>
      </w:r>
      <w:r>
        <w:rPr>
          <w:rFonts w:hint="eastAsia" w:ascii="宋体" w:hAnsi="宋体" w:eastAsia="宋体" w:cs="宋体"/>
          <w:b w:val="0"/>
          <w:bCs/>
          <w:color w:val="auto"/>
          <w:kern w:val="2"/>
          <w:sz w:val="24"/>
          <w:szCs w:val="24"/>
          <w:lang w:val="en-US" w:eastAsia="zh-CN" w:bidi="ar-SA"/>
        </w:rPr>
        <w:t>(见</w:t>
      </w:r>
      <w:r>
        <w:t xml:space="preserve">图 </w:t>
      </w:r>
      <w:r>
        <w:fldChar w:fldCharType="begin"/>
      </w:r>
      <w:r>
        <w:instrText xml:space="preserve"> STYLEREF 3 \s </w:instrText>
      </w:r>
      <w:r>
        <w:fldChar w:fldCharType="separate"/>
      </w:r>
      <w:r>
        <w:t>8.2.2</w:t>
      </w:r>
      <w:r>
        <w:fldChar w:fldCharType="end"/>
      </w:r>
      <w:r>
        <w:rPr>
          <w:rFonts w:hint="eastAsia"/>
          <w:lang w:eastAsia="zh-CN"/>
        </w:rPr>
        <w:t>-</w:t>
      </w:r>
      <w:r>
        <w:rPr>
          <w:rFonts w:hint="eastAsia"/>
          <w:lang w:val="en-US" w:eastAsia="zh-CN"/>
        </w:rPr>
        <w:t>2</w:t>
      </w:r>
      <w:r>
        <w:rPr>
          <w:rFonts w:hint="eastAsia" w:ascii="宋体" w:hAnsi="宋体" w:eastAsia="宋体" w:cs="宋体"/>
          <w:b w:val="0"/>
          <w:bCs/>
          <w:color w:val="auto"/>
          <w:kern w:val="2"/>
          <w:sz w:val="24"/>
          <w:szCs w:val="24"/>
          <w:lang w:val="en-US" w:eastAsia="zh-CN" w:bidi="ar-SA"/>
        </w:rPr>
        <w:t>)。检查起升钢丝绳是否穿绕正确，连接是否可靠</w:t>
      </w:r>
      <w:r>
        <w:rPr>
          <w:rFonts w:hint="eastAsia" w:cs="宋体"/>
          <w:b w:val="0"/>
          <w:bCs/>
          <w:color w:val="auto"/>
          <w:kern w:val="2"/>
          <w:sz w:val="24"/>
          <w:szCs w:val="24"/>
          <w:highlight w:val="none"/>
          <w:lang w:val="en-US" w:eastAsia="zh-CN" w:bidi="ar-SA"/>
        </w:rPr>
        <w:t>（4倍率）</w:t>
      </w:r>
      <w:r>
        <w:rPr>
          <w:rFonts w:hint="eastAsia" w:cs="宋体"/>
          <w:b w:val="0"/>
          <w:bCs/>
          <w:color w:val="auto"/>
          <w:kern w:val="2"/>
          <w:sz w:val="24"/>
          <w:szCs w:val="24"/>
          <w:lang w:val="en-US" w:eastAsia="zh-CN" w:bidi="ar-SA"/>
        </w:rPr>
        <w:t>。</w:t>
      </w:r>
    </w:p>
    <w:p w14:paraId="7E82D84F">
      <w:pPr>
        <w:pStyle w:val="80"/>
        <w:pageBreakBefore w:val="0"/>
        <w:kinsoku/>
        <w:wordWrap/>
        <w:overflowPunct/>
        <w:topLinePunct w:val="0"/>
        <w:bidi w:val="0"/>
        <w:spacing w:beforeAutospacing="0" w:afterAutospacing="0" w:line="360" w:lineRule="auto"/>
        <w:ind w:left="0" w:leftChars="0" w:firstLine="480" w:firstLineChars="200"/>
        <w:rPr>
          <w:rFonts w:hint="eastAsia" w:cs="宋体"/>
          <w:b w:val="0"/>
          <w:bCs/>
          <w:color w:val="auto"/>
          <w:kern w:val="2"/>
          <w:sz w:val="24"/>
          <w:szCs w:val="24"/>
          <w:lang w:val="en-US" w:eastAsia="zh-CN" w:bidi="ar-SA"/>
        </w:rPr>
      </w:pPr>
    </w:p>
    <w:p w14:paraId="0A73F41F">
      <w:pPr>
        <w:pStyle w:val="80"/>
        <w:pageBreakBefore w:val="0"/>
        <w:kinsoku/>
        <w:wordWrap/>
        <w:overflowPunct/>
        <w:topLinePunct w:val="0"/>
        <w:bidi w:val="0"/>
        <w:spacing w:beforeAutospacing="0" w:afterAutospacing="0" w:line="360" w:lineRule="auto"/>
        <w:ind w:left="0" w:leftChars="0" w:firstLine="480" w:firstLineChars="200"/>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400040" cy="1800225"/>
            <wp:effectExtent l="0" t="0" r="10160" b="9525"/>
            <wp:docPr id="77" name="图片 15" descr="IMG_256"/>
            <wp:cNvGraphicFramePr/>
            <a:graphic xmlns:a="http://schemas.openxmlformats.org/drawingml/2006/main">
              <a:graphicData uri="http://schemas.openxmlformats.org/drawingml/2006/picture">
                <pic:pic xmlns:pic="http://schemas.openxmlformats.org/drawingml/2006/picture">
                  <pic:nvPicPr>
                    <pic:cNvPr id="77" name="图片 15" descr="IMG_256"/>
                    <pic:cNvPicPr/>
                  </pic:nvPicPr>
                  <pic:blipFill>
                    <a:blip r:embed="rId59"/>
                    <a:stretch>
                      <a:fillRect/>
                    </a:stretch>
                  </pic:blipFill>
                  <pic:spPr>
                    <a:xfrm>
                      <a:off x="0" y="0"/>
                      <a:ext cx="5400040" cy="1800225"/>
                    </a:xfrm>
                    <a:prstGeom prst="rect">
                      <a:avLst/>
                    </a:prstGeom>
                    <a:ln w="9525">
                      <a:noFill/>
                    </a:ln>
                  </pic:spPr>
                </pic:pic>
              </a:graphicData>
            </a:graphic>
          </wp:inline>
        </w:drawing>
      </w:r>
    </w:p>
    <w:p w14:paraId="7A84FC16">
      <w:pPr>
        <w:pStyle w:val="12"/>
        <w:pageBreakBefore w:val="0"/>
        <w:kinsoku/>
        <w:wordWrap/>
        <w:overflowPunct/>
        <w:topLinePunct w:val="0"/>
        <w:bidi w:val="0"/>
        <w:spacing w:beforeAutospacing="0" w:afterAutospacing="0" w:line="360" w:lineRule="auto"/>
        <w:ind w:left="0" w:leftChars="0" w:firstLine="422" w:firstLineChars="200"/>
        <w:rPr>
          <w:rFonts w:hint="eastAsia" w:ascii="宋体" w:hAnsi="宋体" w:eastAsia="宋体" w:cs="宋体"/>
          <w:b w:val="0"/>
          <w:bCs/>
          <w:color w:val="auto"/>
          <w:kern w:val="2"/>
          <w:sz w:val="24"/>
          <w:szCs w:val="24"/>
          <w:lang w:val="en-US" w:eastAsia="zh-CN" w:bidi="ar-SA"/>
        </w:rPr>
      </w:pPr>
      <w:r>
        <w:t xml:space="preserve">图 </w:t>
      </w:r>
      <w:r>
        <w:fldChar w:fldCharType="begin"/>
      </w:r>
      <w:r>
        <w:instrText xml:space="preserve"> STYLEREF 3 \s </w:instrText>
      </w:r>
      <w:r>
        <w:fldChar w:fldCharType="separate"/>
      </w:r>
      <w:r>
        <w:t>8.2.2</w:t>
      </w:r>
      <w:r>
        <w:fldChar w:fldCharType="end"/>
      </w:r>
      <w:r>
        <w:rPr>
          <w:rFonts w:hint="eastAsia"/>
          <w:lang w:val="en-US" w:eastAsia="zh-CN"/>
        </w:rPr>
        <w:t>.14</w:t>
      </w:r>
      <w:r>
        <w:rPr>
          <w:rFonts w:hint="eastAsia"/>
          <w:lang w:eastAsia="zh-CN"/>
        </w:rPr>
        <w:t>-</w:t>
      </w:r>
      <w:r>
        <w:rPr>
          <w:rFonts w:hint="eastAsia"/>
          <w:lang w:val="en-US" w:eastAsia="zh-CN"/>
        </w:rPr>
        <w:t>1</w:t>
      </w:r>
      <w:r>
        <w:rPr>
          <w:rFonts w:hint="eastAsia" w:ascii="宋体" w:hAnsi="宋体" w:eastAsia="宋体" w:cs="宋体"/>
          <w:b w:val="0"/>
          <w:bCs/>
          <w:color w:val="auto"/>
          <w:kern w:val="2"/>
          <w:sz w:val="24"/>
          <w:szCs w:val="24"/>
          <w:lang w:val="en-US" w:eastAsia="zh-CN" w:bidi="ar-SA"/>
        </w:rPr>
        <w:t xml:space="preserve"> 起升钢丝绳穿绕示意图</w:t>
      </w:r>
    </w:p>
    <w:p w14:paraId="79D395BD">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穿绕变幅钢丝绳</w:t>
      </w:r>
    </w:p>
    <w:p w14:paraId="5DEC4B65">
      <w:pPr>
        <w:pStyle w:val="32"/>
        <w:pageBreakBefore w:val="0"/>
        <w:numPr>
          <w:ilvl w:val="0"/>
          <w:numId w:val="0"/>
        </w:numPr>
        <w:kinsoku/>
        <w:wordWrap/>
        <w:overflowPunct/>
        <w:topLinePunct w:val="0"/>
        <w:bidi w:val="0"/>
        <w:spacing w:line="360" w:lineRule="auto"/>
        <w:ind w:leftChars="20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400040" cy="1800225"/>
            <wp:effectExtent l="0" t="0" r="10160" b="9525"/>
            <wp:docPr id="14" name="图片 16" descr="IMG_256"/>
            <wp:cNvGraphicFramePr/>
            <a:graphic xmlns:a="http://schemas.openxmlformats.org/drawingml/2006/main">
              <a:graphicData uri="http://schemas.openxmlformats.org/drawingml/2006/picture">
                <pic:pic xmlns:pic="http://schemas.openxmlformats.org/drawingml/2006/picture">
                  <pic:nvPicPr>
                    <pic:cNvPr id="14" name="图片 16" descr="IMG_256"/>
                    <pic:cNvPicPr/>
                  </pic:nvPicPr>
                  <pic:blipFill>
                    <a:blip r:embed="rId60"/>
                    <a:stretch>
                      <a:fillRect/>
                    </a:stretch>
                  </pic:blipFill>
                  <pic:spPr>
                    <a:xfrm>
                      <a:off x="0" y="0"/>
                      <a:ext cx="5400040" cy="1800225"/>
                    </a:xfrm>
                    <a:prstGeom prst="rect">
                      <a:avLst/>
                    </a:prstGeom>
                    <a:ln w="9525">
                      <a:noFill/>
                    </a:ln>
                  </pic:spPr>
                </pic:pic>
              </a:graphicData>
            </a:graphic>
          </wp:inline>
        </w:drawing>
      </w:r>
    </w:p>
    <w:p w14:paraId="69CCA57A">
      <w:pPr>
        <w:pStyle w:val="12"/>
        <w:pageBreakBefore w:val="0"/>
        <w:kinsoku/>
        <w:wordWrap/>
        <w:overflowPunct/>
        <w:topLinePunct w:val="0"/>
        <w:bidi w:val="0"/>
        <w:spacing w:line="360" w:lineRule="auto"/>
        <w:rPr>
          <w:rFonts w:hint="eastAsia" w:ascii="宋体" w:hAnsi="宋体" w:eastAsia="宋体" w:cs="宋体"/>
          <w:b w:val="0"/>
          <w:bCs/>
          <w:color w:val="auto"/>
          <w:kern w:val="2"/>
          <w:sz w:val="24"/>
          <w:szCs w:val="24"/>
          <w:lang w:val="en-US" w:eastAsia="zh-CN" w:bidi="ar-SA"/>
        </w:rPr>
      </w:pPr>
      <w:r>
        <w:t xml:space="preserve">图 </w:t>
      </w:r>
      <w:r>
        <w:fldChar w:fldCharType="begin"/>
      </w:r>
      <w:r>
        <w:instrText xml:space="preserve"> STYLEREF 3 \s </w:instrText>
      </w:r>
      <w:r>
        <w:fldChar w:fldCharType="separate"/>
      </w:r>
      <w:r>
        <w:t>8.2.2</w:t>
      </w:r>
      <w:r>
        <w:fldChar w:fldCharType="end"/>
      </w:r>
      <w:r>
        <w:rPr>
          <w:rFonts w:hint="eastAsia"/>
          <w:lang w:val="en-US" w:eastAsia="zh-CN"/>
        </w:rPr>
        <w:t>.15</w:t>
      </w:r>
      <w:r>
        <w:rPr>
          <w:rFonts w:hint="eastAsia"/>
          <w:lang w:eastAsia="zh-CN"/>
        </w:rPr>
        <w:t>-</w:t>
      </w:r>
      <w:r>
        <w:rPr>
          <w:rFonts w:hint="eastAsia"/>
          <w:lang w:val="en-US" w:eastAsia="zh-CN"/>
        </w:rPr>
        <w:t>1</w:t>
      </w:r>
      <w:r>
        <w:rPr>
          <w:rFonts w:hint="eastAsia" w:ascii="宋体" w:hAnsi="宋体" w:eastAsia="宋体" w:cs="宋体"/>
          <w:b w:val="0"/>
          <w:bCs/>
          <w:color w:val="auto"/>
          <w:kern w:val="2"/>
          <w:sz w:val="24"/>
          <w:szCs w:val="24"/>
          <w:lang w:val="en-US" w:eastAsia="zh-CN" w:bidi="ar-SA"/>
        </w:rPr>
        <w:t xml:space="preserve"> 变幅钢丝绳穿绕示意图</w:t>
      </w:r>
    </w:p>
    <w:p w14:paraId="7EE110C7">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电气系统安装</w:t>
      </w:r>
    </w:p>
    <w:p w14:paraId="5E5729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根据说明书中操作维护指南部分电气连接的相关内容连接好起升机构、回转机构、变幅机构、顶升机构及司机室内的电气设备，使整个塔机电气设备均可以正常工作</w:t>
      </w:r>
      <w:r>
        <w:rPr>
          <w:rFonts w:hint="eastAsia" w:ascii="宋体" w:hAnsi="宋体" w:eastAsia="宋体" w:cs="宋体"/>
          <w:color w:val="auto"/>
          <w:sz w:val="24"/>
          <w:szCs w:val="24"/>
          <w:lang w:eastAsia="zh-CN"/>
        </w:rPr>
        <w:t>，且主电缆规格为</w:t>
      </w:r>
      <w:r>
        <w:rPr>
          <w:rFonts w:hint="eastAsia" w:ascii="宋体" w:hAnsi="宋体" w:eastAsia="宋体" w:cs="宋体"/>
          <w:color w:val="auto"/>
          <w:sz w:val="24"/>
          <w:szCs w:val="24"/>
          <w:lang w:val="en-US" w:eastAsia="zh-CN"/>
        </w:rPr>
        <w:tab/>
      </w:r>
    </w:p>
    <w:p w14:paraId="0FE7D861">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电气安装注意事项</w:t>
      </w:r>
    </w:p>
    <w:p w14:paraId="14BF196F">
      <w:pPr>
        <w:keepNext w:val="0"/>
        <w:keepLines w:val="0"/>
        <w:pageBreakBefore w:val="0"/>
        <w:numPr>
          <w:ilvl w:val="0"/>
          <w:numId w:val="0"/>
        </w:numPr>
        <w:kinsoku/>
        <w:wordWrap/>
        <w:overflowPunct/>
        <w:topLinePunct w:val="0"/>
        <w:autoSpaceDE/>
        <w:autoSpaceDN/>
        <w:bidi w:val="0"/>
        <w:snapToGrid/>
        <w:spacing w:beforeAutospacing="0" w:afterAutospacing="0" w:line="360" w:lineRule="auto"/>
        <w:ind w:leftChars="200"/>
        <w:rPr>
          <w:rFonts w:hint="eastAsia" w:ascii="宋体" w:hAnsi="宋体" w:eastAsia="宋体" w:cs="宋体"/>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起重机电源主电缆线截面应与说明书相符；</w:t>
      </w:r>
      <w:r>
        <w:rPr>
          <w:rFonts w:hint="eastAsia" w:ascii="宋体" w:hAnsi="宋体" w:eastAsia="宋体" w:cs="宋体"/>
        </w:rPr>
        <w:t>。</w:t>
      </w:r>
    </w:p>
    <w:p w14:paraId="3891E5C0">
      <w:pPr>
        <w:keepNext w:val="0"/>
        <w:keepLines w:val="0"/>
        <w:pageBreakBefore w:val="0"/>
        <w:numPr>
          <w:ilvl w:val="0"/>
          <w:numId w:val="0"/>
        </w:numPr>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电气安装应在塔机安装完毕后(塔机处于安装高度时)进行，参看原理图、外部接线图及控制接线图。联接控制与动力电缆、制动器电缆、安全装置、接地装置、障碍灯、探照灯、风速仪等的线路；</w:t>
      </w:r>
    </w:p>
    <w:p w14:paraId="536D1F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送电之前对电气系统进行检查，符合要求后方可通电；所有线路联接必须正确无误，该固定的电线电缆应有可靠的固定，防止塔机在运行时损伤电缆；</w:t>
      </w:r>
    </w:p>
    <w:p w14:paraId="04E215DF">
      <w:pPr>
        <w:keepNext w:val="0"/>
        <w:keepLines w:val="0"/>
        <w:pageBreakBefore w:val="0"/>
        <w:numPr>
          <w:ilvl w:val="0"/>
          <w:numId w:val="0"/>
        </w:numPr>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在通电之前应对电气进行绝缘检查，电路对地绝缘电阻不应小于0.5MΩ，塔身对地的接地电阻应不大于4Ω，重复接地电阻应不大于10Ω；塔机接地时要求：a 接地杆插入地面以下长度不得小于1.5米，不要与建筑物基础的金属加固件连接；b 与基础节连接的绝缘铜电缆截面不得小于25mm2，且必须把与塔机基础节连接处的涂料清理干净；c 不得安装保险丝或开关；d接地装置应由专门人员安装；e检测接地电阻时要用高效精密仪器，且需定期检查接地线和电阻；</w:t>
      </w:r>
    </w:p>
    <w:p w14:paraId="0AEB6896">
      <w:pPr>
        <w:keepNext w:val="0"/>
        <w:keepLines w:val="0"/>
        <w:pageBreakBefore w:val="0"/>
        <w:numPr>
          <w:ilvl w:val="0"/>
          <w:numId w:val="0"/>
        </w:numPr>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主电缆（地面加司机室电缆）在进入司机室前应穿入电缆保护圈后再进入司机室，并留适当长度，保证塔机在左右一圈半的旋转时不致损坏电缆，且保证爬升时不损伤电缆；</w:t>
      </w:r>
    </w:p>
    <w:p w14:paraId="67676A34">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将司机室所有操作机构放置在安全位置，主开关放在断电位置，最后联接好地面电源电缆。</w:t>
      </w:r>
    </w:p>
    <w:p w14:paraId="361A33D8">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安全设施</w:t>
      </w:r>
    </w:p>
    <w:p w14:paraId="7D572202">
      <w:pPr>
        <w:keepNext w:val="0"/>
        <w:keepLines w:val="0"/>
        <w:pageBreakBefore w:val="0"/>
        <w:kinsoku/>
        <w:wordWrap/>
        <w:overflowPunct/>
        <w:topLinePunct w:val="0"/>
        <w:autoSpaceDE/>
        <w:autoSpaceDN/>
        <w:bidi w:val="0"/>
        <w:snapToGrid/>
        <w:spacing w:line="360" w:lineRule="auto"/>
        <w:ind w:firstLine="480"/>
        <w:rPr>
          <w:rFonts w:ascii="宋体" w:hAnsi="宋体"/>
        </w:rPr>
      </w:pPr>
      <w:r>
        <w:rPr>
          <w:rFonts w:ascii="宋体" w:hAnsi="宋体"/>
        </w:rPr>
        <w:t>（1）塔吊基础四周应设置围挡，悬挂安全警示标牌。</w:t>
      </w:r>
    </w:p>
    <w:p w14:paraId="75098412">
      <w:pPr>
        <w:keepNext w:val="0"/>
        <w:keepLines w:val="0"/>
        <w:pageBreakBefore w:val="0"/>
        <w:kinsoku/>
        <w:wordWrap/>
        <w:overflowPunct/>
        <w:topLinePunct w:val="0"/>
        <w:autoSpaceDE/>
        <w:autoSpaceDN/>
        <w:bidi w:val="0"/>
        <w:snapToGrid/>
        <w:spacing w:line="360" w:lineRule="auto"/>
        <w:ind w:firstLine="480"/>
        <w:rPr>
          <w:rFonts w:ascii="宋体" w:hAnsi="宋体"/>
        </w:rPr>
      </w:pPr>
      <w:r>
        <w:rPr>
          <w:rFonts w:ascii="宋体" w:hAnsi="宋体"/>
        </w:rPr>
        <w:t>（2）塔吊操作人员须每天检查起重量限制器、起重力矩限制器、行程限位装置</w:t>
      </w:r>
      <w:r>
        <w:rPr>
          <w:rFonts w:hint="eastAsia" w:ascii="宋体" w:hAnsi="宋体"/>
          <w:lang w:eastAsia="zh-CN"/>
        </w:rPr>
        <w:t>、</w:t>
      </w:r>
      <w:r>
        <w:rPr>
          <w:rFonts w:hint="eastAsia" w:ascii="宋体" w:hAnsi="宋体"/>
          <w:lang w:val="en-US" w:eastAsia="zh-CN"/>
        </w:rPr>
        <w:t>安全监控报警系统</w:t>
      </w:r>
      <w:r>
        <w:rPr>
          <w:rFonts w:ascii="宋体" w:hAnsi="宋体"/>
        </w:rPr>
        <w:t>，保证其灵敏有效，并做好检查维修记录，严禁机械带病作业。</w:t>
      </w:r>
    </w:p>
    <w:p w14:paraId="23573409">
      <w:pPr>
        <w:keepNext w:val="0"/>
        <w:keepLines w:val="0"/>
        <w:pageBreakBefore w:val="0"/>
        <w:kinsoku/>
        <w:wordWrap/>
        <w:overflowPunct/>
        <w:topLinePunct w:val="0"/>
        <w:autoSpaceDE/>
        <w:autoSpaceDN/>
        <w:bidi w:val="0"/>
        <w:snapToGrid/>
        <w:spacing w:line="360" w:lineRule="auto"/>
        <w:ind w:firstLine="480"/>
        <w:rPr>
          <w:rFonts w:ascii="宋体" w:hAnsi="宋体"/>
        </w:rPr>
      </w:pPr>
      <w:r>
        <w:rPr>
          <w:rFonts w:ascii="宋体" w:hAnsi="宋体"/>
        </w:rPr>
        <w:t>（3）塔身高于30m的塔机，应在塔顶和臂架端部设置红色警示灯；夜间工作的塔吊应在正对工作面设置投光灯。</w:t>
      </w:r>
    </w:p>
    <w:p w14:paraId="63B173A8">
      <w:pPr>
        <w:keepNext w:val="0"/>
        <w:keepLines w:val="0"/>
        <w:pageBreakBefore w:val="0"/>
        <w:tabs>
          <w:tab w:val="left" w:pos="4296"/>
        </w:tabs>
        <w:kinsoku/>
        <w:wordWrap/>
        <w:overflowPunct/>
        <w:topLinePunct w:val="0"/>
        <w:autoSpaceDE/>
        <w:autoSpaceDN/>
        <w:bidi w:val="0"/>
        <w:snapToGrid/>
        <w:spacing w:line="360" w:lineRule="auto"/>
        <w:ind w:firstLine="480"/>
        <w:jc w:val="center"/>
        <w:rPr>
          <w:rFonts w:ascii="宋体" w:hAnsi="宋体"/>
          <w:snapToGrid/>
        </w:rPr>
      </w:pPr>
      <w:r>
        <w:rPr>
          <w:rFonts w:ascii="宋体" w:hAnsi="宋体"/>
          <w:snapToGrid/>
        </w:rPr>
        <w:drawing>
          <wp:inline distT="0" distB="0" distL="114300" distR="114300">
            <wp:extent cx="1800225" cy="1800225"/>
            <wp:effectExtent l="9525" t="9525" r="19050" b="19050"/>
            <wp:docPr id="79" name="图片 2"/>
            <wp:cNvGraphicFramePr/>
            <a:graphic xmlns:a="http://schemas.openxmlformats.org/drawingml/2006/main">
              <a:graphicData uri="http://schemas.openxmlformats.org/drawingml/2006/picture">
                <pic:pic xmlns:pic="http://schemas.openxmlformats.org/drawingml/2006/picture">
                  <pic:nvPicPr>
                    <pic:cNvPr id="79" name="图片 2"/>
                    <pic:cNvPicPr/>
                  </pic:nvPicPr>
                  <pic:blipFill>
                    <a:blip r:embed="rId61"/>
                    <a:srcRect b="6735"/>
                    <a:stretch>
                      <a:fillRect/>
                    </a:stretch>
                  </pic:blipFill>
                  <pic:spPr>
                    <a:xfrm>
                      <a:off x="0" y="0"/>
                      <a:ext cx="1800225" cy="1800225"/>
                    </a:xfrm>
                    <a:prstGeom prst="rect">
                      <a:avLst/>
                    </a:prstGeom>
                    <a:ln w="9525" cap="flat" cmpd="sng">
                      <a:solidFill>
                        <a:srgbClr val="4F81BD"/>
                      </a:solidFill>
                      <a:prstDash val="solid"/>
                      <a:miter lim="0"/>
                      <a:headEnd type="none" w="med" len="med"/>
                      <a:tailEnd type="none" w="med" len="med"/>
                    </a:ln>
                  </pic:spPr>
                </pic:pic>
              </a:graphicData>
            </a:graphic>
          </wp:inline>
        </w:drawing>
      </w:r>
      <w:r>
        <w:rPr>
          <w:rFonts w:ascii="宋体" w:hAnsi="宋体"/>
          <w:snapToGrid/>
        </w:rPr>
        <w:drawing>
          <wp:inline distT="0" distB="0" distL="114300" distR="114300">
            <wp:extent cx="1800225" cy="1800225"/>
            <wp:effectExtent l="9525" t="9525" r="19050" b="19050"/>
            <wp:docPr id="81" name="图片 3"/>
            <wp:cNvGraphicFramePr/>
            <a:graphic xmlns:a="http://schemas.openxmlformats.org/drawingml/2006/main">
              <a:graphicData uri="http://schemas.openxmlformats.org/drawingml/2006/picture">
                <pic:pic xmlns:pic="http://schemas.openxmlformats.org/drawingml/2006/picture">
                  <pic:nvPicPr>
                    <pic:cNvPr id="81" name="图片 3"/>
                    <pic:cNvPicPr/>
                  </pic:nvPicPr>
                  <pic:blipFill>
                    <a:blip r:embed="rId62"/>
                    <a:srcRect b="7131"/>
                    <a:stretch>
                      <a:fillRect/>
                    </a:stretch>
                  </pic:blipFill>
                  <pic:spPr>
                    <a:xfrm>
                      <a:off x="0" y="0"/>
                      <a:ext cx="1800225" cy="1800225"/>
                    </a:xfrm>
                    <a:prstGeom prst="rect">
                      <a:avLst/>
                    </a:prstGeom>
                    <a:ln w="9525" cap="flat" cmpd="sng">
                      <a:solidFill>
                        <a:srgbClr val="4F81BD"/>
                      </a:solidFill>
                      <a:prstDash val="solid"/>
                      <a:miter lim="0"/>
                      <a:headEnd type="none" w="med" len="med"/>
                      <a:tailEnd type="none" w="med" len="med"/>
                    </a:ln>
                  </pic:spPr>
                </pic:pic>
              </a:graphicData>
            </a:graphic>
          </wp:inline>
        </w:drawing>
      </w:r>
    </w:p>
    <w:p w14:paraId="74378B9C">
      <w:pPr>
        <w:pStyle w:val="12"/>
        <w:pageBreakBefore w:val="0"/>
        <w:kinsoku/>
        <w:wordWrap/>
        <w:overflowPunct/>
        <w:topLinePunct w:val="0"/>
        <w:bidi w:val="0"/>
        <w:spacing w:line="360" w:lineRule="auto"/>
        <w:rPr>
          <w:rFonts w:hint="eastAsia" w:ascii="宋体" w:hAnsi="宋体"/>
        </w:rPr>
      </w:pPr>
      <w:r>
        <w:t xml:space="preserve">图 </w:t>
      </w:r>
      <w:r>
        <w:fldChar w:fldCharType="begin"/>
      </w:r>
      <w:r>
        <w:instrText xml:space="preserve"> STYLEREF 3 \s </w:instrText>
      </w:r>
      <w:r>
        <w:fldChar w:fldCharType="separate"/>
      </w:r>
      <w:r>
        <w:t>8.2.2</w:t>
      </w:r>
      <w:r>
        <w:fldChar w:fldCharType="end"/>
      </w:r>
      <w:r>
        <w:rPr>
          <w:rFonts w:hint="eastAsia"/>
          <w:lang w:val="en-US" w:eastAsia="zh-CN"/>
        </w:rPr>
        <w:t>.18</w:t>
      </w:r>
      <w:r>
        <w:rPr>
          <w:rFonts w:hint="eastAsia"/>
          <w:lang w:eastAsia="zh-CN"/>
        </w:rPr>
        <w:t>-</w:t>
      </w:r>
      <w:r>
        <w:rPr>
          <w:rFonts w:hint="eastAsia"/>
          <w:lang w:val="en-US" w:eastAsia="zh-CN"/>
        </w:rPr>
        <w:t>1</w:t>
      </w:r>
      <w:r>
        <w:rPr>
          <w:rFonts w:hint="eastAsia" w:ascii="宋体" w:hAnsi="宋体" w:eastAsia="宋体" w:cs="Times New Roman"/>
          <w:b/>
          <w:snapToGrid w:val="0"/>
          <w:sz w:val="21"/>
          <w:szCs w:val="21"/>
          <w:lang w:val="en-US" w:eastAsia="zh-CN" w:bidi="ar-SA"/>
        </w:rPr>
        <w:t xml:space="preserve"> 塔吊基础围挡</w:t>
      </w:r>
    </w:p>
    <w:p w14:paraId="128FB5F7">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塔吊的沉降、垂直度测定及偏差校正</w:t>
      </w:r>
    </w:p>
    <w:p w14:paraId="4E861B09">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（一）基础水平</w:t>
      </w:r>
    </w:p>
    <w:p w14:paraId="668C21A0">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使用水平仪和全站仪对基础水平进行监控，应保证预埋后标准节中心线与水平面的垂直度≤1/1000；四个支腿与标准节连接接触断面所组成的平面的平面度不大于2mm。</w:t>
      </w:r>
    </w:p>
    <w:p w14:paraId="6CEA59EF">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（二）塔身垂直度</w:t>
      </w:r>
    </w:p>
    <w:p w14:paraId="73A5994E">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利用全站仪对塔身垂直度进行监测，要求空载，风速不大于3m/s状态下，独立状态塔身（或附着状态下最高附着点以上塔身）轴心线的侧向垂直度允差</w:t>
      </w:r>
      <w:r>
        <w:rPr>
          <w:rFonts w:hint="eastAsia" w:ascii="宋体" w:hAnsi="宋体"/>
          <w:lang w:val="en-US" w:eastAsia="zh-CN"/>
        </w:rPr>
        <w:t>不大于</w:t>
      </w:r>
      <w:r>
        <w:rPr>
          <w:rFonts w:hint="eastAsia" w:ascii="宋体" w:hAnsi="宋体"/>
        </w:rPr>
        <w:t>4‰，最高附着点以下塔身轴心线的垂直度允差</w:t>
      </w:r>
      <w:r>
        <w:rPr>
          <w:rFonts w:hint="eastAsia" w:ascii="宋体" w:hAnsi="宋体"/>
          <w:lang w:val="en-US" w:eastAsia="zh-CN"/>
        </w:rPr>
        <w:t>不大于</w:t>
      </w:r>
      <w:r>
        <w:rPr>
          <w:rFonts w:hint="eastAsia" w:ascii="宋体" w:hAnsi="宋体"/>
        </w:rPr>
        <w:t>2‰。当塔身不满足以上要求时应纠正垂直度。</w:t>
      </w:r>
    </w:p>
    <w:p w14:paraId="6455CA6C">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（三）现场作业监测</w:t>
      </w:r>
    </w:p>
    <w:p w14:paraId="3AA61D25">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（1）组织学习施工方案，对班组作业人员进行技术方案交底，对分项工作内容、技术要求、安全措施以及注意事项等进行单独交底。</w:t>
      </w:r>
    </w:p>
    <w:p w14:paraId="2C4BF597">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（2）作业人需持证上岗。</w:t>
      </w:r>
    </w:p>
    <w:p w14:paraId="4789BC88">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（3）严禁酒后作业，身体不适者禁止施工作业。</w:t>
      </w:r>
    </w:p>
    <w:p w14:paraId="13D68139">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（4）作业区域设置红白警戒线，严禁任何无关人员进入施工现场。安全人员应现场旁站，及时消除各种安全隐患。</w:t>
      </w:r>
    </w:p>
    <w:p w14:paraId="69702F2E">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（5）作业前各类工具均应严格检查，确认合格方可使用。</w:t>
      </w:r>
    </w:p>
    <w:p w14:paraId="533EA3C0">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（6）</w:t>
      </w:r>
      <w:r>
        <w:rPr>
          <w:rFonts w:hint="eastAsia" w:ascii="宋体" w:hAnsi="宋体"/>
          <w:highlight w:val="none"/>
          <w:lang w:val="en-US" w:eastAsia="zh-CN"/>
        </w:rPr>
        <w:t>12</w:t>
      </w:r>
      <w:r>
        <w:rPr>
          <w:rFonts w:hint="eastAsia" w:ascii="宋体" w:hAnsi="宋体"/>
        </w:rPr>
        <w:t>m/s风速以上及下雨等恶劣天气禁止作业。</w:t>
      </w:r>
    </w:p>
    <w:p w14:paraId="59B3C5CA">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（7）所有作业人员必须穿戴好安全带和安全帽后方可上塔作业。</w:t>
      </w:r>
    </w:p>
    <w:p w14:paraId="7851CD97">
      <w:pPr>
        <w:keepNext w:val="0"/>
        <w:keepLines w:val="0"/>
        <w:pageBreakBefore w:val="0"/>
        <w:kinsoku/>
        <w:wordWrap/>
        <w:overflowPunct/>
        <w:topLinePunct w:val="0"/>
        <w:autoSpaceDE/>
        <w:autoSpaceDN/>
        <w:bidi w:val="0"/>
        <w:snapToGrid/>
        <w:spacing w:line="360" w:lineRule="auto"/>
        <w:ind w:firstLine="480"/>
        <w:rPr>
          <w:rFonts w:hint="eastAsia" w:ascii="宋体" w:hAnsi="宋体"/>
        </w:rPr>
      </w:pPr>
      <w:r>
        <w:rPr>
          <w:rFonts w:hint="eastAsia" w:ascii="宋体" w:hAnsi="宋体"/>
        </w:rPr>
        <w:t>（8）每施工一个工序合格后方可施工下一个工序。</w:t>
      </w:r>
    </w:p>
    <w:p w14:paraId="6DB06BC0">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rPr>
          <w:rFonts w:hint="default"/>
          <w:highlight w:val="yellow"/>
          <w:lang w:val="en-US"/>
        </w:rPr>
      </w:pPr>
      <w:r>
        <w:rPr>
          <w:rFonts w:hint="eastAsia" w:ascii="宋体" w:hAnsi="宋体"/>
          <w:highlight w:val="none"/>
          <w:lang w:val="en-US" w:eastAsia="zh-CN"/>
        </w:rPr>
        <w:t>（9）起重作业人员需熟知“十不吊”内容；①‌信号不明不吊‌：如果指挥信号不明确或指挥人员乱指挥，不得进行吊装作业。②‌超负荷不吊‌：如果吊物的重量超过起重设备的额定负荷，不得进行吊装作业。③‌工件紧固不牢不吊‌：如果工件捆缚不牢固，不符合安全规则，不得进行吊装作业。④‌吊物上有人不吊‌：如果吊物上有人或工件上浮放着有活动物，不得进行吊装作业。⑤‌安全装置失灵不吊‌：如果安全装置失灵或带病工作，不得进行吊装作业。⑥‌工件埋在地下不吊‌：如果工件埋在地下，不得进行吊装作业。⑦‌光线阴暗不吊‌：如果现场光线阴暗，看不清吊物起落点，不得进行吊装作业。⑧‌斜拉工件不吊‌：如果工件歪拉斜挂，不得进行吊装作业。⑨‌带棱角缺口未垫好不吊‌：如果带棱角的物件没有采取保护措施，不得进行吊装作业。⑩‌六级以上强风不吊‌：在六级以上强风天气下，不得进行吊装作业。起重吊装过程严禁人员站于吊物下方。</w:t>
      </w:r>
    </w:p>
    <w:p w14:paraId="6B99785B">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调试与试运转</w:t>
      </w:r>
    </w:p>
    <w:p w14:paraId="7920BC4E">
      <w:pPr>
        <w:ind w:firstLine="0" w:firstLineChars="0"/>
      </w:pPr>
      <w:r>
        <w:t>试</w:t>
      </w:r>
      <w:r>
        <w:rPr>
          <w:rFonts w:hint="eastAsia" w:ascii="黑体" w:hAnsi="黑体" w:cs="黑体"/>
          <w:color w:val="000000"/>
        </w:rPr>
        <w:t>运转</w:t>
      </w:r>
      <w:r>
        <w:t>目的</w:t>
      </w:r>
    </w:p>
    <w:p w14:paraId="77E4EFA6">
      <w:pPr>
        <w:ind w:firstLine="560"/>
      </w:pPr>
      <w:r>
        <w:t>（1）验证塔式起重机的承载能力，保证塔式起重机正常使用。</w:t>
      </w:r>
    </w:p>
    <w:p w14:paraId="24CAA220">
      <w:pPr>
        <w:ind w:firstLine="560"/>
      </w:pPr>
      <w:r>
        <w:t>（2）通过加载试验，在塔式起重机正式使用前，消除其结构的非弹性变形。</w:t>
      </w:r>
    </w:p>
    <w:p w14:paraId="0CBA71FB">
      <w:pPr>
        <w:ind w:firstLine="560"/>
      </w:pPr>
      <w:r>
        <w:rPr>
          <w:rFonts w:hint="eastAsia"/>
        </w:rPr>
        <w:t>（3）</w:t>
      </w:r>
      <w:r>
        <w:t>试吊载荷</w:t>
      </w:r>
    </w:p>
    <w:p w14:paraId="67B3612E">
      <w:pPr>
        <w:adjustRightInd w:val="0"/>
        <w:snapToGrid w:val="0"/>
        <w:ind w:firstLine="560"/>
      </w:pPr>
      <w:r>
        <w:t>根据工程实际工程概况使用四倍率进行载荷试验，确定如下试吊载荷</w:t>
      </w:r>
    </w:p>
    <w:p w14:paraId="67A407FC">
      <w:pPr>
        <w:adjustRightInd w:val="0"/>
        <w:snapToGrid w:val="0"/>
        <w:ind w:firstLine="560"/>
      </w:pPr>
      <w:r>
        <w:rPr>
          <w:rFonts w:hint="eastAsia"/>
          <w:lang w:val="en-US" w:eastAsia="zh-CN"/>
        </w:rPr>
        <w:t>XGT6015-8S1</w:t>
      </w:r>
      <w:r>
        <w:rPr>
          <w:rFonts w:hint="eastAsia"/>
        </w:rPr>
        <w:t>塔机</w:t>
      </w:r>
      <w:r>
        <w:t>最大试验载荷：</w:t>
      </w:r>
      <w:r>
        <w:rPr>
          <w:rFonts w:hint="eastAsia"/>
          <w:lang w:val="en-US" w:eastAsia="zh-CN"/>
        </w:rPr>
        <w:t>8</w:t>
      </w:r>
      <w:r>
        <w:t>t （1.1倍载荷试验）</w:t>
      </w:r>
    </w:p>
    <w:p w14:paraId="1AD34C6E">
      <w:pPr>
        <w:adjustRightInd w:val="0"/>
        <w:snapToGrid w:val="0"/>
        <w:ind w:firstLine="560"/>
      </w:pPr>
      <w:r>
        <w:t>力矩调试试验载荷： (</w:t>
      </w:r>
      <w:r>
        <w:rPr>
          <w:rFonts w:hint="eastAsia"/>
        </w:rPr>
        <w:t>1</w:t>
      </w:r>
      <w:r>
        <w:t>)</w:t>
      </w:r>
      <w:r>
        <w:rPr>
          <w:rFonts w:hint="eastAsia"/>
          <w:lang w:val="en-US" w:eastAsia="zh-CN"/>
        </w:rPr>
        <w:t>8.8</w:t>
      </w:r>
      <w:r>
        <w:t>t(</w:t>
      </w:r>
      <w:r>
        <w:rPr>
          <w:rFonts w:hint="eastAsia"/>
        </w:rPr>
        <w:t>1</w:t>
      </w:r>
      <w:r>
        <w:rPr>
          <w:rFonts w:hint="eastAsia"/>
          <w:lang w:val="en-US" w:eastAsia="zh-CN"/>
        </w:rPr>
        <w:t>0</w:t>
      </w:r>
      <w:r>
        <w:t xml:space="preserve">m)       (2) </w:t>
      </w:r>
      <w:r>
        <w:rPr>
          <w:rFonts w:hint="eastAsia"/>
          <w:lang w:val="en-US" w:eastAsia="zh-CN"/>
        </w:rPr>
        <w:t>1.562t</w:t>
      </w:r>
      <w:r>
        <w:t>(</w:t>
      </w:r>
      <w:r>
        <w:rPr>
          <w:rFonts w:hint="eastAsia"/>
          <w:lang w:val="en-US" w:eastAsia="zh-CN"/>
        </w:rPr>
        <w:t>60</w:t>
      </w:r>
      <w:r>
        <w:rPr>
          <w:rFonts w:hint="eastAsia"/>
        </w:rPr>
        <w:t>m</w:t>
      </w:r>
      <w:r>
        <w:t xml:space="preserve">)    </w:t>
      </w:r>
    </w:p>
    <w:p w14:paraId="3727D16F">
      <w:pPr>
        <w:ind w:firstLine="562"/>
        <w:rPr>
          <w:b/>
          <w:bCs/>
        </w:rPr>
      </w:pPr>
      <w:bookmarkStart w:id="101" w:name="_Toc15536"/>
      <w:r>
        <w:rPr>
          <w:b/>
          <w:bCs/>
        </w:rPr>
        <w:t>塔式起重机加载试验工序</w:t>
      </w:r>
      <w:bookmarkEnd w:id="101"/>
    </w:p>
    <w:p w14:paraId="0D9A4F04">
      <w:pPr>
        <w:ind w:firstLine="0" w:firstLineChars="0"/>
        <w:rPr>
          <w:b/>
          <w:bCs/>
        </w:rPr>
      </w:pPr>
      <w:r>
        <w:rPr>
          <w:b/>
          <w:bCs/>
        </w:rPr>
        <w:t>试验前检查</w:t>
      </w:r>
    </w:p>
    <w:p w14:paraId="73D60F10">
      <w:pPr>
        <w:ind w:firstLine="560"/>
      </w:pPr>
      <w:r>
        <w:t>试吊前按人员分工进行全面检查：</w:t>
      </w:r>
    </w:p>
    <w:p w14:paraId="760CC502">
      <w:pPr>
        <w:numPr>
          <w:ilvl w:val="0"/>
          <w:numId w:val="40"/>
        </w:numPr>
        <w:ind w:firstLine="560"/>
      </w:pPr>
      <w:r>
        <w:t>对塔机基础和主体结构焊缝质量、油漆质量等外观质量进行目测检查；</w:t>
      </w:r>
    </w:p>
    <w:p w14:paraId="62EEC2A7">
      <w:pPr>
        <w:numPr>
          <w:ilvl w:val="0"/>
          <w:numId w:val="40"/>
        </w:numPr>
        <w:ind w:firstLine="560"/>
      </w:pPr>
      <w:r>
        <w:t>对电气系统、操作室进行检查；</w:t>
      </w:r>
    </w:p>
    <w:p w14:paraId="7CAE7447">
      <w:pPr>
        <w:numPr>
          <w:ilvl w:val="0"/>
          <w:numId w:val="40"/>
        </w:numPr>
        <w:ind w:firstLine="560"/>
      </w:pPr>
      <w:r>
        <w:t>对起升、回转、变幅等机构进行检查；</w:t>
      </w:r>
    </w:p>
    <w:p w14:paraId="4BAFD269">
      <w:pPr>
        <w:numPr>
          <w:ilvl w:val="0"/>
          <w:numId w:val="40"/>
        </w:numPr>
        <w:ind w:firstLine="560"/>
      </w:pPr>
      <w:r>
        <w:t>对吊索、吊具、试吊物进行全面检查；</w:t>
      </w:r>
    </w:p>
    <w:p w14:paraId="3327E17C">
      <w:pPr>
        <w:numPr>
          <w:ilvl w:val="0"/>
          <w:numId w:val="40"/>
        </w:numPr>
        <w:ind w:firstLine="560"/>
      </w:pPr>
      <w:r>
        <w:t>测量组顺着起重臂方向测量塔身垂直度，需东西向与南北向测量两次</w:t>
      </w:r>
      <w:r>
        <w:rPr>
          <w:rFonts w:hint="eastAsia"/>
        </w:rPr>
        <w:t>.</w:t>
      </w:r>
    </w:p>
    <w:p w14:paraId="1C0215A2">
      <w:pPr>
        <w:ind w:firstLine="0" w:firstLineChars="0"/>
        <w:rPr>
          <w:rFonts w:hint="default" w:ascii="Times New Roman" w:hAnsi="Times New Roman"/>
          <w:b/>
          <w:bCs/>
        </w:rPr>
      </w:pPr>
      <w:r>
        <w:rPr>
          <w:rFonts w:ascii="Times New Roman" w:hAnsi="Times New Roman"/>
          <w:b/>
          <w:bCs/>
        </w:rPr>
        <w:t>绝缘试验</w:t>
      </w:r>
    </w:p>
    <w:p w14:paraId="1704BB8D">
      <w:pPr>
        <w:ind w:firstLine="560"/>
      </w:pPr>
      <w:r>
        <w:rPr>
          <w:rFonts w:hint="eastAsia"/>
        </w:rPr>
        <w:t>利用接地电阻仪，对附近土壤和预埋接地体进行阻值测试，利用兆欧表对塔身的接地测试是否良好</w:t>
      </w:r>
    </w:p>
    <w:p w14:paraId="2B9BBF94">
      <w:pPr>
        <w:ind w:firstLine="0" w:firstLineChars="0"/>
        <w:rPr>
          <w:b/>
          <w:bCs/>
        </w:rPr>
      </w:pPr>
      <w:r>
        <w:rPr>
          <w:b/>
          <w:bCs/>
        </w:rPr>
        <w:t>空载试验</w:t>
      </w:r>
    </w:p>
    <w:p w14:paraId="111162D1">
      <w:pPr>
        <w:ind w:firstLine="560"/>
      </w:pPr>
      <w:r>
        <w:t>塔机空载状态下，起升、回转、变幅等各动作的操作试验。检查：</w:t>
      </w:r>
    </w:p>
    <w:p w14:paraId="63089B6E">
      <w:pPr>
        <w:ind w:firstLine="560"/>
      </w:pPr>
      <w:r>
        <w:t>（1）操作系统、控制系统、联锁装置动作准确性和灵活性；</w:t>
      </w:r>
    </w:p>
    <w:p w14:paraId="5C3FAAF1">
      <w:pPr>
        <w:ind w:firstLine="560"/>
      </w:pPr>
      <w:r>
        <w:t>（2）各行程限位器的动作准确性和可靠性，（本次试验测试高度限位器与幅度限位器）；</w:t>
      </w:r>
    </w:p>
    <w:p w14:paraId="118DD38B">
      <w:pPr>
        <w:ind w:firstLine="560"/>
      </w:pPr>
      <w:r>
        <w:t>（3）各机构中无相对运动部位是否有漏油现象，有相对运动部位的渗漏情况，各机构运动的平稳性，是否有爬行、振颤、冲击、过热、异常噪声等现象。</w:t>
      </w:r>
    </w:p>
    <w:p w14:paraId="08F935DE">
      <w:pPr>
        <w:ind w:firstLine="0" w:firstLineChars="0"/>
        <w:rPr>
          <w:b/>
          <w:bCs/>
        </w:rPr>
      </w:pPr>
      <w:r>
        <w:rPr>
          <w:b/>
          <w:bCs/>
        </w:rPr>
        <w:t>额定荷载试验</w:t>
      </w:r>
    </w:p>
    <w:p w14:paraId="5B944C3B">
      <w:pPr>
        <w:ind w:firstLine="560"/>
      </w:pPr>
      <w:r>
        <w:t>根据设计的额定载荷，按照GB/T5031规定的工况、试验方法和要求，进行起升、变幅、回转试验，每一工况的试验次数不得少于3次。还应当检查以下内容是否符合要求：</w:t>
      </w:r>
    </w:p>
    <w:p w14:paraId="633D5151">
      <w:pPr>
        <w:ind w:firstLine="560"/>
      </w:pPr>
      <w:r>
        <w:t>（1）起升、回转、变幅的额定速度在允差范围内。</w:t>
      </w:r>
    </w:p>
    <w:p w14:paraId="4265811E">
      <w:pPr>
        <w:ind w:firstLine="560"/>
        <w:rPr>
          <w:b/>
          <w:sz w:val="21"/>
        </w:rPr>
      </w:pPr>
      <w:r>
        <w:t>（2）起重量限制器、起重力矩限制器信号显示、报警精度在允许范围内。</w:t>
      </w:r>
    </w:p>
    <w:p w14:paraId="4B173CEE">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w:t>
      </w:r>
      <w:r>
        <w:rPr>
          <w:rFonts w:hint="eastAsia" w:ascii="宋体" w:hAnsi="宋体" w:eastAsia="宋体" w:cs="宋体"/>
          <w:b/>
          <w:bCs/>
          <w:color w:val="171717"/>
          <w:sz w:val="21"/>
          <w:lang w:val="en-US" w:eastAsia="zh-CN"/>
        </w:rPr>
        <w:t>8</w:t>
      </w:r>
      <w:r>
        <w:rPr>
          <w:rFonts w:hint="eastAsia" w:ascii="宋体" w:hAnsi="宋体" w:eastAsia="宋体" w:cs="宋体"/>
          <w:b/>
          <w:bCs/>
          <w:color w:val="171717"/>
          <w:sz w:val="21"/>
        </w:rPr>
        <w:t>.</w:t>
      </w:r>
      <w:r>
        <w:rPr>
          <w:rFonts w:hint="eastAsia" w:ascii="宋体" w:hAnsi="宋体" w:eastAsia="宋体" w:cs="宋体"/>
          <w:b/>
          <w:bCs/>
          <w:color w:val="171717"/>
          <w:sz w:val="21"/>
          <w:lang w:val="en-US" w:eastAsia="zh-CN"/>
        </w:rPr>
        <w:t>2</w:t>
      </w:r>
      <w:r>
        <w:rPr>
          <w:rFonts w:hint="eastAsia" w:ascii="宋体" w:hAnsi="宋体" w:eastAsia="宋体" w:cs="宋体"/>
          <w:b/>
          <w:bCs/>
          <w:color w:val="171717"/>
          <w:sz w:val="21"/>
        </w:rPr>
        <w:t>.</w:t>
      </w:r>
      <w:r>
        <w:rPr>
          <w:rFonts w:hint="eastAsia" w:ascii="宋体" w:hAnsi="宋体" w:eastAsia="宋体" w:cs="宋体"/>
          <w:b/>
          <w:bCs/>
          <w:color w:val="171717"/>
          <w:sz w:val="21"/>
          <w:lang w:val="en-US" w:eastAsia="zh-CN"/>
        </w:rPr>
        <w:t>2.20</w:t>
      </w:r>
      <w:r>
        <w:rPr>
          <w:rFonts w:hint="eastAsia" w:ascii="宋体" w:hAnsi="宋体" w:cs="宋体"/>
          <w:b/>
          <w:bCs/>
          <w:color w:val="171717"/>
          <w:sz w:val="21"/>
        </w:rPr>
        <w:t>-</w:t>
      </w:r>
      <w:r>
        <w:rPr>
          <w:rFonts w:hint="eastAsia" w:ascii="宋体" w:hAnsi="宋体" w:eastAsia="宋体" w:cs="宋体"/>
          <w:b/>
          <w:bCs/>
          <w:color w:val="171717"/>
          <w:sz w:val="21"/>
        </w:rPr>
        <w:t>1 额定载荷试验</w:t>
      </w:r>
    </w:p>
    <w:tbl>
      <w:tblPr>
        <w:tblStyle w:val="33"/>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84"/>
        <w:gridCol w:w="1664"/>
        <w:gridCol w:w="1666"/>
        <w:gridCol w:w="1671"/>
        <w:gridCol w:w="1651"/>
      </w:tblGrid>
      <w:tr w14:paraId="0F56FC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010" w:type="pct"/>
            <w:vMerge w:val="restart"/>
            <w:vAlign w:val="center"/>
          </w:tcPr>
          <w:p w14:paraId="558958EA">
            <w:pPr>
              <w:adjustRightInd w:val="0"/>
              <w:snapToGrid w:val="0"/>
              <w:spacing w:line="240" w:lineRule="auto"/>
              <w:ind w:firstLine="0" w:firstLineChars="0"/>
              <w:jc w:val="center"/>
              <w:rPr>
                <w:sz w:val="21"/>
              </w:rPr>
            </w:pPr>
            <w:r>
              <w:rPr>
                <w:sz w:val="21"/>
              </w:rPr>
              <w:t>工况</w:t>
            </w:r>
          </w:p>
        </w:tc>
        <w:tc>
          <w:tcPr>
            <w:tcW w:w="2999" w:type="pct"/>
            <w:gridSpan w:val="3"/>
            <w:vAlign w:val="center"/>
          </w:tcPr>
          <w:p w14:paraId="1124FCC6">
            <w:pPr>
              <w:adjustRightInd w:val="0"/>
              <w:snapToGrid w:val="0"/>
              <w:spacing w:line="240" w:lineRule="auto"/>
              <w:ind w:firstLine="0" w:firstLineChars="0"/>
              <w:jc w:val="center"/>
              <w:rPr>
                <w:sz w:val="21"/>
              </w:rPr>
            </w:pPr>
            <w:r>
              <w:rPr>
                <w:sz w:val="21"/>
              </w:rPr>
              <w:t>试验方法</w:t>
            </w:r>
          </w:p>
        </w:tc>
        <w:tc>
          <w:tcPr>
            <w:tcW w:w="990" w:type="pct"/>
            <w:vMerge w:val="restart"/>
            <w:vAlign w:val="center"/>
          </w:tcPr>
          <w:p w14:paraId="530203C2">
            <w:pPr>
              <w:adjustRightInd w:val="0"/>
              <w:snapToGrid w:val="0"/>
              <w:spacing w:line="240" w:lineRule="auto"/>
              <w:ind w:firstLine="0" w:firstLineChars="0"/>
              <w:jc w:val="center"/>
              <w:rPr>
                <w:sz w:val="21"/>
              </w:rPr>
            </w:pPr>
            <w:r>
              <w:rPr>
                <w:sz w:val="21"/>
              </w:rPr>
              <w:t>试验目的</w:t>
            </w:r>
          </w:p>
        </w:tc>
      </w:tr>
      <w:tr w14:paraId="67A6FC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010" w:type="pct"/>
            <w:vMerge w:val="continue"/>
            <w:vAlign w:val="center"/>
          </w:tcPr>
          <w:p w14:paraId="171E9800">
            <w:pPr>
              <w:adjustRightInd w:val="0"/>
              <w:snapToGrid w:val="0"/>
              <w:spacing w:line="240" w:lineRule="auto"/>
              <w:ind w:firstLine="0" w:firstLineChars="0"/>
              <w:jc w:val="center"/>
              <w:rPr>
                <w:sz w:val="21"/>
              </w:rPr>
            </w:pPr>
          </w:p>
        </w:tc>
        <w:tc>
          <w:tcPr>
            <w:tcW w:w="998" w:type="pct"/>
            <w:vAlign w:val="center"/>
          </w:tcPr>
          <w:p w14:paraId="0BB9E689">
            <w:pPr>
              <w:adjustRightInd w:val="0"/>
              <w:snapToGrid w:val="0"/>
              <w:spacing w:line="240" w:lineRule="auto"/>
              <w:ind w:firstLine="0" w:firstLineChars="0"/>
              <w:jc w:val="center"/>
              <w:rPr>
                <w:sz w:val="21"/>
              </w:rPr>
            </w:pPr>
            <w:r>
              <w:rPr>
                <w:sz w:val="21"/>
              </w:rPr>
              <w:t>起升</w:t>
            </w:r>
          </w:p>
        </w:tc>
        <w:tc>
          <w:tcPr>
            <w:tcW w:w="999" w:type="pct"/>
            <w:vAlign w:val="center"/>
          </w:tcPr>
          <w:p w14:paraId="75CDC186">
            <w:pPr>
              <w:adjustRightInd w:val="0"/>
              <w:snapToGrid w:val="0"/>
              <w:spacing w:line="240" w:lineRule="auto"/>
              <w:ind w:firstLine="0" w:firstLineChars="0"/>
              <w:jc w:val="center"/>
              <w:rPr>
                <w:sz w:val="21"/>
              </w:rPr>
            </w:pPr>
            <w:r>
              <w:rPr>
                <w:sz w:val="21"/>
              </w:rPr>
              <w:t>变幅</w:t>
            </w:r>
          </w:p>
        </w:tc>
        <w:tc>
          <w:tcPr>
            <w:tcW w:w="1002" w:type="pct"/>
            <w:vAlign w:val="center"/>
          </w:tcPr>
          <w:p w14:paraId="718634E0">
            <w:pPr>
              <w:adjustRightInd w:val="0"/>
              <w:snapToGrid w:val="0"/>
              <w:spacing w:line="240" w:lineRule="auto"/>
              <w:ind w:firstLine="0" w:firstLineChars="0"/>
              <w:jc w:val="center"/>
              <w:rPr>
                <w:sz w:val="21"/>
              </w:rPr>
            </w:pPr>
            <w:r>
              <w:rPr>
                <w:sz w:val="21"/>
              </w:rPr>
              <w:t>回转</w:t>
            </w:r>
          </w:p>
        </w:tc>
        <w:tc>
          <w:tcPr>
            <w:tcW w:w="990" w:type="pct"/>
            <w:vMerge w:val="continue"/>
            <w:vAlign w:val="center"/>
          </w:tcPr>
          <w:p w14:paraId="44A777AD">
            <w:pPr>
              <w:adjustRightInd w:val="0"/>
              <w:snapToGrid w:val="0"/>
              <w:spacing w:line="240" w:lineRule="auto"/>
              <w:ind w:firstLine="0" w:firstLineChars="0"/>
              <w:jc w:val="center"/>
              <w:rPr>
                <w:sz w:val="21"/>
              </w:rPr>
            </w:pPr>
          </w:p>
        </w:tc>
      </w:tr>
      <w:tr w14:paraId="57C128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258" w:hRule="atLeast"/>
        </w:trPr>
        <w:tc>
          <w:tcPr>
            <w:tcW w:w="1010" w:type="pct"/>
            <w:vAlign w:val="center"/>
          </w:tcPr>
          <w:p w14:paraId="0C4096E4">
            <w:pPr>
              <w:adjustRightInd w:val="0"/>
              <w:snapToGrid w:val="0"/>
              <w:spacing w:line="240" w:lineRule="auto"/>
              <w:ind w:firstLine="0" w:firstLineChars="0"/>
              <w:jc w:val="center"/>
              <w:rPr>
                <w:sz w:val="21"/>
              </w:rPr>
            </w:pPr>
            <w:r>
              <w:rPr>
                <w:sz w:val="21"/>
              </w:rPr>
              <w:t>最大幅度相应的额定起重量</w:t>
            </w:r>
          </w:p>
        </w:tc>
        <w:tc>
          <w:tcPr>
            <w:tcW w:w="998" w:type="pct"/>
            <w:vMerge w:val="restart"/>
            <w:vAlign w:val="center"/>
          </w:tcPr>
          <w:p w14:paraId="24E95710">
            <w:pPr>
              <w:adjustRightInd w:val="0"/>
              <w:snapToGrid w:val="0"/>
              <w:spacing w:line="240" w:lineRule="auto"/>
              <w:ind w:firstLine="0" w:firstLineChars="0"/>
              <w:jc w:val="center"/>
              <w:rPr>
                <w:sz w:val="21"/>
              </w:rPr>
            </w:pPr>
            <w:r>
              <w:rPr>
                <w:sz w:val="21"/>
              </w:rPr>
              <w:t>在起升全程范围内以额定速度进行起升、下降，在每一起升、下降过程中进行不少于三次的正常制动</w:t>
            </w:r>
          </w:p>
        </w:tc>
        <w:tc>
          <w:tcPr>
            <w:tcW w:w="999" w:type="pct"/>
            <w:vAlign w:val="center"/>
          </w:tcPr>
          <w:p w14:paraId="26BDB710">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002" w:type="pct"/>
            <w:vMerge w:val="restart"/>
            <w:vAlign w:val="center"/>
          </w:tcPr>
          <w:p w14:paraId="5724A7C5">
            <w:pPr>
              <w:adjustRightInd w:val="0"/>
              <w:snapToGrid w:val="0"/>
              <w:spacing w:line="240" w:lineRule="auto"/>
              <w:ind w:firstLine="0" w:firstLineChars="0"/>
              <w:jc w:val="center"/>
              <w:rPr>
                <w:sz w:val="21"/>
              </w:rPr>
            </w:pPr>
            <w:r>
              <w:rPr>
                <w:sz w:val="21"/>
              </w:rPr>
              <w:t>以额定速度进行左右回转。</w:t>
            </w:r>
          </w:p>
        </w:tc>
        <w:tc>
          <w:tcPr>
            <w:tcW w:w="990" w:type="pct"/>
            <w:vMerge w:val="restart"/>
            <w:vAlign w:val="center"/>
          </w:tcPr>
          <w:p w14:paraId="34450AEE">
            <w:pPr>
              <w:adjustRightInd w:val="0"/>
              <w:snapToGrid w:val="0"/>
              <w:spacing w:line="240" w:lineRule="auto"/>
              <w:ind w:firstLine="0" w:firstLineChars="0"/>
              <w:jc w:val="center"/>
              <w:rPr>
                <w:sz w:val="21"/>
              </w:rPr>
            </w:pPr>
            <w:r>
              <w:rPr>
                <w:sz w:val="21"/>
              </w:rPr>
              <w:t>测量各机构的运动速度；机构及司机室噪声；力矩限制器、起重量限制器精度</w:t>
            </w:r>
          </w:p>
        </w:tc>
      </w:tr>
      <w:tr w14:paraId="5B3DF1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56" w:hRule="atLeast"/>
        </w:trPr>
        <w:tc>
          <w:tcPr>
            <w:tcW w:w="1010" w:type="pct"/>
            <w:vAlign w:val="center"/>
          </w:tcPr>
          <w:p w14:paraId="283D65C4">
            <w:pPr>
              <w:adjustRightInd w:val="0"/>
              <w:snapToGrid w:val="0"/>
              <w:spacing w:line="240" w:lineRule="auto"/>
              <w:ind w:firstLine="0" w:firstLineChars="0"/>
              <w:jc w:val="center"/>
              <w:rPr>
                <w:sz w:val="21"/>
              </w:rPr>
            </w:pPr>
            <w:r>
              <w:rPr>
                <w:sz w:val="21"/>
              </w:rPr>
              <w:t>最大额定起重量相应的最大幅度</w:t>
            </w:r>
          </w:p>
        </w:tc>
        <w:tc>
          <w:tcPr>
            <w:tcW w:w="998" w:type="pct"/>
            <w:vMerge w:val="continue"/>
            <w:vAlign w:val="center"/>
          </w:tcPr>
          <w:p w14:paraId="5675E10D">
            <w:pPr>
              <w:adjustRightInd w:val="0"/>
              <w:snapToGrid w:val="0"/>
              <w:spacing w:line="240" w:lineRule="auto"/>
              <w:ind w:firstLine="0" w:firstLineChars="0"/>
              <w:jc w:val="center"/>
              <w:rPr>
                <w:sz w:val="21"/>
              </w:rPr>
            </w:pPr>
          </w:p>
        </w:tc>
        <w:tc>
          <w:tcPr>
            <w:tcW w:w="999" w:type="pct"/>
            <w:vAlign w:val="center"/>
          </w:tcPr>
          <w:p w14:paraId="03478931">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002" w:type="pct"/>
            <w:vMerge w:val="continue"/>
            <w:vAlign w:val="center"/>
          </w:tcPr>
          <w:p w14:paraId="6A66CBA1">
            <w:pPr>
              <w:adjustRightInd w:val="0"/>
              <w:snapToGrid w:val="0"/>
              <w:spacing w:line="240" w:lineRule="auto"/>
              <w:ind w:firstLine="0" w:firstLineChars="0"/>
              <w:jc w:val="center"/>
              <w:rPr>
                <w:sz w:val="21"/>
              </w:rPr>
            </w:pPr>
          </w:p>
        </w:tc>
        <w:tc>
          <w:tcPr>
            <w:tcW w:w="990" w:type="pct"/>
            <w:vMerge w:val="continue"/>
            <w:vAlign w:val="center"/>
          </w:tcPr>
          <w:p w14:paraId="049ECD7D">
            <w:pPr>
              <w:adjustRightInd w:val="0"/>
              <w:snapToGrid w:val="0"/>
              <w:spacing w:line="240" w:lineRule="auto"/>
              <w:ind w:firstLine="0" w:firstLineChars="0"/>
              <w:jc w:val="center"/>
              <w:rPr>
                <w:sz w:val="21"/>
              </w:rPr>
            </w:pPr>
          </w:p>
        </w:tc>
      </w:tr>
    </w:tbl>
    <w:p w14:paraId="7262D0B6">
      <w:pPr>
        <w:ind w:firstLine="560"/>
      </w:pPr>
      <w:r>
        <w:t>具体过程如下：</w:t>
      </w:r>
      <w:r>
        <w:br w:type="textWrapping"/>
      </w:r>
      <w:r>
        <w:rPr>
          <w:rFonts w:hint="eastAsia"/>
          <w:lang w:val="en-US" w:eastAsia="zh-CN"/>
        </w:rPr>
        <w:t>XGT6015-8S1</w:t>
      </w:r>
      <w:r>
        <w:rPr>
          <w:rFonts w:hint="eastAsia"/>
        </w:rPr>
        <w:t>塔机：</w:t>
      </w:r>
    </w:p>
    <w:p w14:paraId="53EDBD38">
      <w:pPr>
        <w:ind w:firstLine="480" w:firstLineChars="0"/>
      </w:pPr>
      <w:r>
        <w:t>1.起重力矩定码变幅调整（4倍率）</w:t>
      </w:r>
    </w:p>
    <w:p w14:paraId="6280E4C9">
      <w:pPr>
        <w:ind w:firstLine="480" w:firstLineChars="0"/>
      </w:pPr>
      <w:r>
        <w:t>吊重</w:t>
      </w:r>
      <w:r>
        <w:rPr>
          <w:rFonts w:hint="eastAsia"/>
          <w:lang w:val="en-US" w:eastAsia="zh-CN"/>
        </w:rPr>
        <w:t>8</w:t>
      </w:r>
      <w:r>
        <w:t>t，载重小车以慢速由</w:t>
      </w:r>
      <w:r>
        <w:rPr>
          <w:rFonts w:hint="eastAsia"/>
          <w:lang w:val="en-US" w:eastAsia="zh-CN"/>
        </w:rPr>
        <w:t>10</w:t>
      </w:r>
      <w:r>
        <w:t>m幅度开始向内变幅，使小车在</w:t>
      </w:r>
      <w:r>
        <w:rPr>
          <w:rFonts w:hint="eastAsia"/>
        </w:rPr>
        <w:t>1</w:t>
      </w:r>
      <w:r>
        <w:rPr>
          <w:rFonts w:hint="eastAsia"/>
          <w:lang w:val="en-US" w:eastAsia="zh-CN"/>
        </w:rPr>
        <w:t>0</w:t>
      </w:r>
      <w:r>
        <w:t>m-</w:t>
      </w:r>
      <w:r>
        <w:rPr>
          <w:rFonts w:hint="eastAsia"/>
          <w:lang w:val="en-US" w:eastAsia="zh-CN"/>
        </w:rPr>
        <w:t>8.5</w:t>
      </w:r>
      <w:r>
        <w:t>m处，90%起重力矩开关发挥作用，司机室内预报警灯亮。</w:t>
      </w:r>
    </w:p>
    <w:p w14:paraId="05D5CBE3">
      <w:pPr>
        <w:ind w:firstLine="480" w:firstLineChars="0"/>
      </w:pPr>
      <w:r>
        <w:t>调整定码变幅螺杆，使小车</w:t>
      </w:r>
      <w:r>
        <w:rPr>
          <w:rFonts w:hint="eastAsia"/>
          <w:lang w:val="en-US" w:eastAsia="zh-CN"/>
        </w:rPr>
        <w:t>8.5</w:t>
      </w:r>
      <w:r>
        <w:t>m-</w:t>
      </w:r>
      <w:r>
        <w:rPr>
          <w:rFonts w:hint="eastAsia"/>
        </w:rPr>
        <w:t>1</w:t>
      </w:r>
      <w:r>
        <w:rPr>
          <w:rFonts w:hint="eastAsia"/>
          <w:lang w:val="en-US" w:eastAsia="zh-CN"/>
        </w:rPr>
        <w:t>0</w:t>
      </w:r>
      <w:r>
        <w:t>m处，起升向上、变幅向外断电，同时发出超载警报。</w:t>
      </w:r>
    </w:p>
    <w:p w14:paraId="75FB8746">
      <w:pPr>
        <w:ind w:firstLine="480" w:firstLineChars="0"/>
      </w:pPr>
      <w:r>
        <w:t>2.起重力矩定幅变码调整（4倍率）</w:t>
      </w:r>
    </w:p>
    <w:p w14:paraId="4D817107">
      <w:pPr>
        <w:ind w:firstLine="480" w:firstLineChars="0"/>
      </w:pPr>
      <w:r>
        <w:t>在</w:t>
      </w:r>
      <w:r>
        <w:rPr>
          <w:rFonts w:hint="eastAsia"/>
          <w:lang w:val="en-US" w:eastAsia="zh-CN"/>
        </w:rPr>
        <w:t>60</w:t>
      </w:r>
      <w:r>
        <w:t>m处吊重</w:t>
      </w:r>
      <w:r>
        <w:rPr>
          <w:rFonts w:hint="eastAsia"/>
          <w:lang w:val="en-US" w:eastAsia="zh-CN"/>
        </w:rPr>
        <w:t>1.42</w:t>
      </w:r>
      <w:r>
        <w:t>t，起升机构应能向上起升，之后再加载</w:t>
      </w:r>
      <w:r>
        <w:rPr>
          <w:rFonts w:hint="eastAsia"/>
        </w:rPr>
        <w:t>25</w:t>
      </w:r>
      <w:r>
        <w:t>0kg，调节定幅变码螺杆，使起升不能向上，同时发出超载警报。</w:t>
      </w:r>
    </w:p>
    <w:p w14:paraId="79DA0942">
      <w:pPr>
        <w:ind w:firstLine="480" w:firstLineChars="0"/>
      </w:pPr>
      <w:r>
        <w:t>3.上述动作重复三次，保持功能稳定。</w:t>
      </w:r>
    </w:p>
    <w:p w14:paraId="3CA22283">
      <w:pPr>
        <w:ind w:firstLine="0" w:firstLineChars="0"/>
        <w:rPr>
          <w:b/>
          <w:bCs/>
        </w:rPr>
      </w:pPr>
      <w:r>
        <w:rPr>
          <w:b/>
          <w:bCs/>
        </w:rPr>
        <w:t>110 ％额定载荷动载试验</w:t>
      </w:r>
    </w:p>
    <w:p w14:paraId="3312C70B">
      <w:pPr>
        <w:ind w:firstLine="560"/>
        <w:rPr>
          <w:rFonts w:ascii="宋体" w:hAnsi="宋体" w:eastAsia="宋体" w:cs="宋体"/>
          <w:b/>
          <w:bCs/>
          <w:color w:val="171717"/>
          <w:sz w:val="21"/>
        </w:rPr>
      </w:pPr>
      <w:r>
        <w:t>110 ％额定载荷动载试验按表2进行。每一工况试验不少于3次。每一次的动作停稳后再进行下一次启动。</w:t>
      </w:r>
    </w:p>
    <w:p w14:paraId="726AC776">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w:t>
      </w:r>
      <w:r>
        <w:rPr>
          <w:rFonts w:hint="eastAsia" w:ascii="宋体" w:hAnsi="宋体" w:eastAsia="宋体" w:cs="宋体"/>
          <w:b/>
          <w:bCs/>
          <w:color w:val="171717"/>
          <w:sz w:val="21"/>
          <w:lang w:val="en-US" w:eastAsia="zh-CN"/>
        </w:rPr>
        <w:t>8</w:t>
      </w:r>
      <w:r>
        <w:rPr>
          <w:rFonts w:hint="eastAsia" w:ascii="宋体" w:hAnsi="宋体" w:eastAsia="宋体" w:cs="宋体"/>
          <w:b/>
          <w:bCs/>
          <w:color w:val="171717"/>
          <w:sz w:val="21"/>
        </w:rPr>
        <w:t>.</w:t>
      </w:r>
      <w:r>
        <w:rPr>
          <w:rFonts w:hint="eastAsia" w:ascii="宋体" w:hAnsi="宋体" w:eastAsia="宋体" w:cs="宋体"/>
          <w:b/>
          <w:bCs/>
          <w:color w:val="171717"/>
          <w:sz w:val="21"/>
          <w:lang w:val="en-US" w:eastAsia="zh-CN"/>
        </w:rPr>
        <w:t>2.2</w:t>
      </w:r>
      <w:r>
        <w:rPr>
          <w:rFonts w:hint="eastAsia" w:ascii="宋体" w:hAnsi="宋体" w:eastAsia="宋体" w:cs="宋体"/>
          <w:b/>
          <w:bCs/>
          <w:color w:val="171717"/>
          <w:sz w:val="21"/>
        </w:rPr>
        <w:t>.</w:t>
      </w:r>
      <w:r>
        <w:rPr>
          <w:rFonts w:hint="eastAsia" w:ascii="宋体" w:hAnsi="宋体" w:eastAsia="宋体" w:cs="宋体"/>
          <w:b/>
          <w:bCs/>
          <w:color w:val="171717"/>
          <w:sz w:val="21"/>
          <w:lang w:val="en-US" w:eastAsia="zh-CN"/>
        </w:rPr>
        <w:t>20</w:t>
      </w:r>
      <w:r>
        <w:rPr>
          <w:rFonts w:hint="eastAsia" w:ascii="宋体" w:hAnsi="宋体" w:cs="宋体"/>
          <w:b/>
          <w:bCs/>
          <w:color w:val="171717"/>
          <w:sz w:val="21"/>
        </w:rPr>
        <w:t>-2</w:t>
      </w:r>
      <w:r>
        <w:rPr>
          <w:rFonts w:hint="eastAsia" w:ascii="宋体" w:hAnsi="宋体" w:eastAsia="宋体" w:cs="宋体"/>
          <w:b/>
          <w:bCs/>
          <w:color w:val="171717"/>
          <w:sz w:val="21"/>
        </w:rPr>
        <w:t xml:space="preserve">  110 ％额定载荷动载试验</w:t>
      </w:r>
    </w:p>
    <w:tbl>
      <w:tblPr>
        <w:tblStyle w:val="33"/>
        <w:tblW w:w="865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1AE08F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vAlign w:val="center"/>
          </w:tcPr>
          <w:p w14:paraId="0572EB3D">
            <w:pPr>
              <w:adjustRightInd w:val="0"/>
              <w:snapToGrid w:val="0"/>
              <w:spacing w:line="240" w:lineRule="auto"/>
              <w:ind w:firstLine="0" w:firstLineChars="0"/>
              <w:jc w:val="center"/>
              <w:rPr>
                <w:sz w:val="21"/>
              </w:rPr>
            </w:pPr>
            <w:r>
              <w:rPr>
                <w:sz w:val="21"/>
              </w:rPr>
              <w:t>工况</w:t>
            </w:r>
          </w:p>
        </w:tc>
        <w:tc>
          <w:tcPr>
            <w:tcW w:w="4665" w:type="dxa"/>
            <w:gridSpan w:val="3"/>
            <w:vAlign w:val="center"/>
          </w:tcPr>
          <w:p w14:paraId="24B72FE5">
            <w:pPr>
              <w:adjustRightInd w:val="0"/>
              <w:snapToGrid w:val="0"/>
              <w:spacing w:line="240" w:lineRule="auto"/>
              <w:ind w:firstLine="0" w:firstLineChars="0"/>
              <w:jc w:val="center"/>
              <w:rPr>
                <w:sz w:val="21"/>
              </w:rPr>
            </w:pPr>
            <w:r>
              <w:rPr>
                <w:sz w:val="21"/>
              </w:rPr>
              <w:t>试验方法</w:t>
            </w:r>
          </w:p>
        </w:tc>
        <w:tc>
          <w:tcPr>
            <w:tcW w:w="1716" w:type="dxa"/>
            <w:vMerge w:val="restart"/>
            <w:vAlign w:val="center"/>
          </w:tcPr>
          <w:p w14:paraId="22B52887">
            <w:pPr>
              <w:adjustRightInd w:val="0"/>
              <w:snapToGrid w:val="0"/>
              <w:spacing w:line="240" w:lineRule="auto"/>
              <w:ind w:firstLine="0" w:firstLineChars="0"/>
              <w:jc w:val="center"/>
              <w:rPr>
                <w:sz w:val="21"/>
              </w:rPr>
            </w:pPr>
            <w:r>
              <w:rPr>
                <w:sz w:val="21"/>
              </w:rPr>
              <w:t>试验目的</w:t>
            </w:r>
          </w:p>
        </w:tc>
      </w:tr>
      <w:tr w14:paraId="4662BF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vAlign w:val="center"/>
          </w:tcPr>
          <w:p w14:paraId="33F57289">
            <w:pPr>
              <w:adjustRightInd w:val="0"/>
              <w:snapToGrid w:val="0"/>
              <w:spacing w:line="240" w:lineRule="auto"/>
              <w:ind w:firstLine="0" w:firstLineChars="0"/>
              <w:jc w:val="center"/>
              <w:rPr>
                <w:sz w:val="21"/>
              </w:rPr>
            </w:pPr>
          </w:p>
        </w:tc>
        <w:tc>
          <w:tcPr>
            <w:tcW w:w="1202" w:type="dxa"/>
            <w:vAlign w:val="center"/>
          </w:tcPr>
          <w:p w14:paraId="6A37C78F">
            <w:pPr>
              <w:autoSpaceDE w:val="0"/>
              <w:autoSpaceDN w:val="0"/>
              <w:adjustRightInd w:val="0"/>
              <w:snapToGrid w:val="0"/>
              <w:ind w:firstLine="0" w:firstLineChars="0"/>
              <w:jc w:val="center"/>
              <w:rPr>
                <w:sz w:val="21"/>
              </w:rPr>
            </w:pPr>
            <w:r>
              <w:rPr>
                <w:sz w:val="21"/>
              </w:rPr>
              <w:t>起升</w:t>
            </w:r>
          </w:p>
        </w:tc>
        <w:tc>
          <w:tcPr>
            <w:tcW w:w="2001" w:type="dxa"/>
            <w:vAlign w:val="center"/>
          </w:tcPr>
          <w:p w14:paraId="78EFB853">
            <w:pPr>
              <w:autoSpaceDE w:val="0"/>
              <w:autoSpaceDN w:val="0"/>
              <w:adjustRightInd w:val="0"/>
              <w:snapToGrid w:val="0"/>
              <w:ind w:firstLine="0" w:firstLineChars="0"/>
              <w:jc w:val="center"/>
              <w:rPr>
                <w:sz w:val="21"/>
              </w:rPr>
            </w:pPr>
            <w:r>
              <w:rPr>
                <w:sz w:val="21"/>
              </w:rPr>
              <w:t>小车变幅</w:t>
            </w:r>
          </w:p>
        </w:tc>
        <w:tc>
          <w:tcPr>
            <w:tcW w:w="1462" w:type="dxa"/>
            <w:vAlign w:val="center"/>
          </w:tcPr>
          <w:p w14:paraId="1F7F4044">
            <w:pPr>
              <w:autoSpaceDE w:val="0"/>
              <w:autoSpaceDN w:val="0"/>
              <w:adjustRightInd w:val="0"/>
              <w:snapToGrid w:val="0"/>
              <w:ind w:firstLine="0" w:firstLineChars="0"/>
              <w:jc w:val="center"/>
              <w:rPr>
                <w:sz w:val="21"/>
              </w:rPr>
            </w:pPr>
            <w:r>
              <w:rPr>
                <w:sz w:val="21"/>
              </w:rPr>
              <w:t>回转</w:t>
            </w:r>
          </w:p>
        </w:tc>
        <w:tc>
          <w:tcPr>
            <w:tcW w:w="1716" w:type="dxa"/>
            <w:vMerge w:val="continue"/>
            <w:vAlign w:val="center"/>
          </w:tcPr>
          <w:p w14:paraId="6FD12AC5">
            <w:pPr>
              <w:adjustRightInd w:val="0"/>
              <w:snapToGrid w:val="0"/>
              <w:spacing w:line="240" w:lineRule="auto"/>
              <w:ind w:firstLine="0" w:firstLineChars="0"/>
              <w:jc w:val="center"/>
              <w:rPr>
                <w:sz w:val="21"/>
              </w:rPr>
            </w:pPr>
          </w:p>
        </w:tc>
      </w:tr>
      <w:tr w14:paraId="63724E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vAlign w:val="center"/>
          </w:tcPr>
          <w:p w14:paraId="55465185">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vAlign w:val="center"/>
          </w:tcPr>
          <w:p w14:paraId="05B23216">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vAlign w:val="center"/>
          </w:tcPr>
          <w:p w14:paraId="20383682">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vAlign w:val="center"/>
          </w:tcPr>
          <w:p w14:paraId="278FDBC4">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vAlign w:val="center"/>
          </w:tcPr>
          <w:p w14:paraId="54EEAD11">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3BB6CE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vAlign w:val="center"/>
          </w:tcPr>
          <w:p w14:paraId="332FD3DF">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vAlign w:val="center"/>
          </w:tcPr>
          <w:p w14:paraId="4CDFF2D2">
            <w:pPr>
              <w:adjustRightInd w:val="0"/>
              <w:snapToGrid w:val="0"/>
              <w:spacing w:line="240" w:lineRule="auto"/>
              <w:ind w:firstLine="0" w:firstLineChars="0"/>
              <w:jc w:val="center"/>
              <w:rPr>
                <w:sz w:val="21"/>
              </w:rPr>
            </w:pPr>
          </w:p>
        </w:tc>
        <w:tc>
          <w:tcPr>
            <w:tcW w:w="2001" w:type="dxa"/>
            <w:vMerge w:val="restart"/>
            <w:vAlign w:val="center"/>
          </w:tcPr>
          <w:p w14:paraId="46732FD7">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vAlign w:val="center"/>
          </w:tcPr>
          <w:p w14:paraId="4BFF24DF">
            <w:pPr>
              <w:adjustRightInd w:val="0"/>
              <w:snapToGrid w:val="0"/>
              <w:spacing w:line="240" w:lineRule="auto"/>
              <w:ind w:firstLine="0" w:firstLineChars="0"/>
              <w:jc w:val="center"/>
              <w:rPr>
                <w:sz w:val="21"/>
              </w:rPr>
            </w:pPr>
          </w:p>
        </w:tc>
        <w:tc>
          <w:tcPr>
            <w:tcW w:w="1716" w:type="dxa"/>
            <w:vMerge w:val="continue"/>
            <w:vAlign w:val="center"/>
          </w:tcPr>
          <w:p w14:paraId="163649B8">
            <w:pPr>
              <w:adjustRightInd w:val="0"/>
              <w:snapToGrid w:val="0"/>
              <w:spacing w:line="240" w:lineRule="auto"/>
              <w:ind w:firstLine="0" w:firstLineChars="0"/>
              <w:jc w:val="center"/>
              <w:rPr>
                <w:sz w:val="21"/>
              </w:rPr>
            </w:pPr>
          </w:p>
        </w:tc>
      </w:tr>
      <w:tr w14:paraId="150AEB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vAlign w:val="center"/>
          </w:tcPr>
          <w:p w14:paraId="6F2FB41F">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vAlign w:val="center"/>
          </w:tcPr>
          <w:p w14:paraId="141DFEE7">
            <w:pPr>
              <w:adjustRightInd w:val="0"/>
              <w:snapToGrid w:val="0"/>
              <w:spacing w:line="240" w:lineRule="auto"/>
              <w:ind w:firstLine="0" w:firstLineChars="0"/>
              <w:jc w:val="center"/>
              <w:rPr>
                <w:sz w:val="21"/>
              </w:rPr>
            </w:pPr>
          </w:p>
        </w:tc>
        <w:tc>
          <w:tcPr>
            <w:tcW w:w="2001" w:type="dxa"/>
            <w:vMerge w:val="continue"/>
            <w:vAlign w:val="center"/>
          </w:tcPr>
          <w:p w14:paraId="5DC89E49">
            <w:pPr>
              <w:adjustRightInd w:val="0"/>
              <w:snapToGrid w:val="0"/>
              <w:spacing w:line="240" w:lineRule="auto"/>
              <w:ind w:firstLine="0" w:firstLineChars="0"/>
              <w:jc w:val="center"/>
              <w:rPr>
                <w:sz w:val="21"/>
              </w:rPr>
            </w:pPr>
          </w:p>
        </w:tc>
        <w:tc>
          <w:tcPr>
            <w:tcW w:w="1462" w:type="dxa"/>
            <w:vMerge w:val="continue"/>
            <w:vAlign w:val="center"/>
          </w:tcPr>
          <w:p w14:paraId="746D4376">
            <w:pPr>
              <w:adjustRightInd w:val="0"/>
              <w:snapToGrid w:val="0"/>
              <w:spacing w:line="240" w:lineRule="auto"/>
              <w:ind w:firstLine="0" w:firstLineChars="0"/>
              <w:jc w:val="center"/>
              <w:rPr>
                <w:sz w:val="21"/>
              </w:rPr>
            </w:pPr>
          </w:p>
        </w:tc>
        <w:tc>
          <w:tcPr>
            <w:tcW w:w="1716" w:type="dxa"/>
            <w:vMerge w:val="continue"/>
            <w:vAlign w:val="center"/>
          </w:tcPr>
          <w:p w14:paraId="1EC20A1E">
            <w:pPr>
              <w:adjustRightInd w:val="0"/>
              <w:snapToGrid w:val="0"/>
              <w:spacing w:line="240" w:lineRule="auto"/>
              <w:ind w:firstLine="0" w:firstLineChars="0"/>
              <w:jc w:val="center"/>
              <w:rPr>
                <w:sz w:val="21"/>
              </w:rPr>
            </w:pPr>
          </w:p>
        </w:tc>
      </w:tr>
    </w:tbl>
    <w:p w14:paraId="5EF1D0F9">
      <w:pPr>
        <w:ind w:firstLine="560"/>
      </w:pPr>
      <w:r>
        <w:t>具体过程如下：</w:t>
      </w:r>
    </w:p>
    <w:p w14:paraId="7DEABECA">
      <w:pPr>
        <w:ind w:firstLine="0" w:firstLineChars="0"/>
      </w:pPr>
      <w:r>
        <w:rPr>
          <w:rFonts w:hint="eastAsia"/>
          <w:lang w:val="en-US" w:eastAsia="zh-CN"/>
        </w:rPr>
        <w:t>XGT6015-8S1</w:t>
      </w:r>
      <w:r>
        <w:rPr>
          <w:rFonts w:hint="eastAsia"/>
        </w:rPr>
        <w:t>塔机：</w:t>
      </w:r>
    </w:p>
    <w:p w14:paraId="31A63F86">
      <w:pPr>
        <w:ind w:firstLine="560"/>
      </w:pPr>
      <w:r>
        <w:t>工况1：最大幅度相应额定起重量的110%（4倍率）</w:t>
      </w:r>
    </w:p>
    <w:p w14:paraId="51DFC022">
      <w:pPr>
        <w:ind w:firstLine="560"/>
      </w:pPr>
      <w:r>
        <w:t>起重量为G</w:t>
      </w:r>
      <w:r>
        <w:rPr>
          <w:rFonts w:hint="eastAsia"/>
        </w:rPr>
        <w:t>=</w:t>
      </w:r>
      <w:r>
        <w:rPr>
          <w:rFonts w:hint="eastAsia"/>
          <w:lang w:val="en-US" w:eastAsia="zh-CN"/>
        </w:rPr>
        <w:t>1.562t</w:t>
      </w:r>
      <w:r>
        <w:t>；</w:t>
      </w:r>
    </w:p>
    <w:p w14:paraId="0FDACAFF">
      <w:pPr>
        <w:ind w:firstLine="560"/>
      </w:pPr>
      <w:r>
        <w:t>将100%重量限制、100%力矩限制继电器临时短接屏蔽，缓慢起钩，离地20cm,检查各构件，确保无误后从</w:t>
      </w:r>
      <w:r>
        <w:rPr>
          <w:rFonts w:hint="eastAsia"/>
          <w:lang w:val="en-US" w:eastAsia="zh-CN"/>
        </w:rPr>
        <w:t>60</w:t>
      </w:r>
      <w:r>
        <w:t>m幅度起向内至</w:t>
      </w:r>
      <w:r>
        <w:rPr>
          <w:rFonts w:hint="eastAsia"/>
        </w:rPr>
        <w:t>3</w:t>
      </w:r>
      <w:r>
        <w:t>m幅度进行来回起落钩、变幅、回转动作；卸载后检查各机构及结构有无松动和破坏等异常现象，测量组测量臂根铰点最大位移量并监测能否恢复原先位置；</w:t>
      </w:r>
    </w:p>
    <w:p w14:paraId="57AA48AA">
      <w:pPr>
        <w:ind w:firstLine="560"/>
      </w:pPr>
      <w:r>
        <w:t>试验完毕恢复起重量限制器与力矩限制器。</w:t>
      </w:r>
    </w:p>
    <w:p w14:paraId="3AB28C28">
      <w:pPr>
        <w:ind w:firstLine="560"/>
      </w:pPr>
      <w:r>
        <w:t>工况2：起吊最大额定起重量的110%，在该吊重相应的最大幅度时（4倍率）</w:t>
      </w:r>
    </w:p>
    <w:p w14:paraId="6EB7B1AC">
      <w:pPr>
        <w:ind w:firstLine="560"/>
      </w:pPr>
      <w:r>
        <w:t>起重量为G=</w:t>
      </w:r>
      <w:r>
        <w:rPr>
          <w:rFonts w:hint="eastAsia"/>
          <w:lang w:val="en-US" w:eastAsia="zh-CN"/>
        </w:rPr>
        <w:t>8.8</w:t>
      </w:r>
      <w:r>
        <w:t>t</w:t>
      </w:r>
    </w:p>
    <w:p w14:paraId="1827F6D8">
      <w:pPr>
        <w:ind w:firstLine="560"/>
      </w:pPr>
      <w:r>
        <w:t>将100%重量限制、100%力矩限制继电器临时短接屏蔽，缓慢起钩，离地</w:t>
      </w:r>
      <w:r>
        <w:rPr>
          <w:rFonts w:hint="eastAsia"/>
        </w:rPr>
        <w:t>15.8</w:t>
      </w:r>
      <w:r>
        <w:t>cm,检查各构件，确保无误后在从</w:t>
      </w:r>
      <w:r>
        <w:rPr>
          <w:rFonts w:hint="eastAsia"/>
          <w:lang w:val="en-US" w:eastAsia="zh-CN"/>
        </w:rPr>
        <w:t>10</w:t>
      </w:r>
      <w:r>
        <w:t>m幅度起向内至</w:t>
      </w:r>
      <w:r>
        <w:rPr>
          <w:rFonts w:hint="eastAsia"/>
        </w:rPr>
        <w:t>3</w:t>
      </w:r>
      <w:r>
        <w:t>m幅度内进行来回起落钩、变幅、回转动作；卸载后检查各机构及结构有无松动和破坏等异常现象，测量组测量臂根铰点最大位移量并监测能否恢复原先位置；</w:t>
      </w:r>
    </w:p>
    <w:p w14:paraId="50356A8D">
      <w:pPr>
        <w:ind w:firstLine="560"/>
      </w:pPr>
      <w:r>
        <w:t>试验完毕恢复起重量限制器与力矩限制器。</w:t>
      </w:r>
    </w:p>
    <w:p w14:paraId="2C4571E6">
      <w:pPr>
        <w:ind w:firstLine="560"/>
      </w:pPr>
      <w:r>
        <w:t>工况3：在上两个幅度的中间幅度处，相应额定起重量的110%，这里取</w:t>
      </w:r>
      <w:r>
        <w:rPr>
          <w:rFonts w:hint="eastAsia"/>
          <w:lang w:val="en-US" w:eastAsia="zh-CN"/>
        </w:rPr>
        <w:t>30</w:t>
      </w:r>
      <w:r>
        <w:t>米幅度（4倍率额定起重量</w:t>
      </w:r>
      <w:r>
        <w:rPr>
          <w:rFonts w:hint="eastAsia"/>
          <w:lang w:val="en-US" w:eastAsia="zh-CN"/>
        </w:rPr>
        <w:t>3.532</w:t>
      </w:r>
      <w:r>
        <w:t>t）起重量为G=</w:t>
      </w:r>
      <w:r>
        <w:rPr>
          <w:rFonts w:hint="eastAsia"/>
          <w:lang w:val="en-US" w:eastAsia="zh-CN"/>
        </w:rPr>
        <w:t>3.8852</w:t>
      </w:r>
      <w:r>
        <w:t>t；</w:t>
      </w:r>
    </w:p>
    <w:p w14:paraId="7F2F53C0">
      <w:pPr>
        <w:spacing w:before="29" w:line="360" w:lineRule="auto"/>
        <w:ind w:right="159" w:firstLine="240" w:firstLineChars="100"/>
      </w:pPr>
      <w:r>
        <w:t>将100%重量限制、100%力矩限制继电器临时短接屏蔽，缓慢起钩，离地20cm,检查各构件，确保无误后从</w:t>
      </w:r>
      <w:r>
        <w:rPr>
          <w:rFonts w:hint="eastAsia"/>
          <w:lang w:val="en-US" w:eastAsia="zh-CN"/>
        </w:rPr>
        <w:t>30</w:t>
      </w:r>
      <w:r>
        <w:t>m幅度起向内至</w:t>
      </w:r>
      <w:r>
        <w:rPr>
          <w:rFonts w:hint="eastAsia"/>
        </w:rPr>
        <w:t>3</w:t>
      </w:r>
      <w:r>
        <w:t>m内进行来回起落钩、变幅、回转动作；卸载后检查各机构及结构有无松动和破坏等异常现象，测量组测量臂根铰点最大位移量并监测能否恢复原先位置。</w:t>
      </w:r>
    </w:p>
    <w:p w14:paraId="55ACECBA">
      <w:pPr>
        <w:ind w:firstLine="0" w:firstLineChars="0"/>
        <w:rPr>
          <w:b/>
          <w:bCs/>
        </w:rPr>
      </w:pPr>
      <w:bookmarkStart w:id="102" w:name="_Toc20814"/>
      <w:bookmarkStart w:id="103" w:name="_Toc25574"/>
      <w:r>
        <w:rPr>
          <w:b/>
          <w:bCs/>
        </w:rPr>
        <w:t>125%额定载荷静载试验</w:t>
      </w:r>
      <w:bookmarkEnd w:id="102"/>
      <w:bookmarkEnd w:id="103"/>
    </w:p>
    <w:p w14:paraId="66027EB3">
      <w:pPr>
        <w:ind w:firstLine="560"/>
      </w:pPr>
      <w:r>
        <w:t>125%额定载荷静载试验按照下表进行，试验时臂架分别位于与塔身成0°和45°两个方位</w:t>
      </w:r>
    </w:p>
    <w:tbl>
      <w:tblPr>
        <w:tblStyle w:val="33"/>
        <w:tblW w:w="93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751"/>
        <w:gridCol w:w="3252"/>
      </w:tblGrid>
      <w:tr w14:paraId="551BBA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6" w:type="dxa"/>
            <w:noWrap/>
            <w:vAlign w:val="center"/>
          </w:tcPr>
          <w:p w14:paraId="08C37EC9">
            <w:pPr>
              <w:ind w:firstLine="0" w:firstLineChars="0"/>
              <w:jc w:val="center"/>
              <w:rPr>
                <w:sz w:val="24"/>
                <w:szCs w:val="24"/>
              </w:rPr>
            </w:pPr>
            <w:r>
              <w:rPr>
                <w:sz w:val="24"/>
                <w:szCs w:val="24"/>
              </w:rPr>
              <w:t>工况</w:t>
            </w:r>
          </w:p>
        </w:tc>
        <w:tc>
          <w:tcPr>
            <w:tcW w:w="2751" w:type="dxa"/>
            <w:noWrap/>
            <w:vAlign w:val="center"/>
          </w:tcPr>
          <w:p w14:paraId="4EE38BC2">
            <w:pPr>
              <w:ind w:firstLine="0" w:firstLineChars="0"/>
              <w:jc w:val="center"/>
              <w:rPr>
                <w:sz w:val="24"/>
                <w:szCs w:val="24"/>
              </w:rPr>
            </w:pPr>
            <w:r>
              <w:rPr>
                <w:sz w:val="24"/>
                <w:szCs w:val="24"/>
              </w:rPr>
              <w:t>试验方法</w:t>
            </w:r>
          </w:p>
        </w:tc>
        <w:tc>
          <w:tcPr>
            <w:tcW w:w="3252" w:type="dxa"/>
            <w:noWrap/>
            <w:vAlign w:val="center"/>
          </w:tcPr>
          <w:p w14:paraId="0A7567CC">
            <w:pPr>
              <w:ind w:firstLine="0" w:firstLineChars="0"/>
              <w:jc w:val="center"/>
              <w:rPr>
                <w:sz w:val="24"/>
                <w:szCs w:val="24"/>
              </w:rPr>
            </w:pPr>
            <w:r>
              <w:rPr>
                <w:sz w:val="24"/>
                <w:szCs w:val="24"/>
              </w:rPr>
              <w:t>试验目的</w:t>
            </w:r>
          </w:p>
        </w:tc>
      </w:tr>
      <w:tr w14:paraId="7E2782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396" w:type="dxa"/>
            <w:noWrap/>
            <w:vAlign w:val="center"/>
          </w:tcPr>
          <w:p w14:paraId="23C22B9D">
            <w:pPr>
              <w:ind w:firstLine="0" w:firstLineChars="0"/>
              <w:jc w:val="center"/>
              <w:rPr>
                <w:sz w:val="24"/>
                <w:szCs w:val="24"/>
              </w:rPr>
            </w:pPr>
            <w:r>
              <w:rPr>
                <w:sz w:val="24"/>
                <w:szCs w:val="24"/>
              </w:rPr>
              <w:t>吊重</w:t>
            </w:r>
            <w:r>
              <w:rPr>
                <w:rFonts w:hint="eastAsia"/>
                <w:sz w:val="24"/>
                <w:szCs w:val="24"/>
                <w:lang w:val="en-US" w:eastAsia="zh-CN"/>
              </w:rPr>
              <w:t>1.42</w:t>
            </w:r>
            <w:r>
              <w:rPr>
                <w:sz w:val="24"/>
                <w:szCs w:val="24"/>
              </w:rPr>
              <w:t>t×125%=</w:t>
            </w:r>
            <w:r>
              <w:rPr>
                <w:rFonts w:hint="eastAsia"/>
                <w:sz w:val="24"/>
                <w:szCs w:val="24"/>
                <w:lang w:val="en-US" w:eastAsia="zh-CN"/>
              </w:rPr>
              <w:t>3.025</w:t>
            </w:r>
            <w:r>
              <w:rPr>
                <w:sz w:val="24"/>
                <w:szCs w:val="24"/>
              </w:rPr>
              <w:t>t，工作幅度</w:t>
            </w:r>
            <w:r>
              <w:rPr>
                <w:rFonts w:hint="eastAsia"/>
                <w:sz w:val="24"/>
                <w:szCs w:val="24"/>
                <w:lang w:val="en-US" w:eastAsia="zh-CN"/>
              </w:rPr>
              <w:t>60</w:t>
            </w:r>
            <w:r>
              <w:rPr>
                <w:sz w:val="24"/>
                <w:szCs w:val="24"/>
              </w:rPr>
              <w:t>m</w:t>
            </w:r>
          </w:p>
        </w:tc>
        <w:tc>
          <w:tcPr>
            <w:tcW w:w="2751" w:type="dxa"/>
            <w:vMerge w:val="restart"/>
            <w:noWrap/>
            <w:vAlign w:val="center"/>
          </w:tcPr>
          <w:p w14:paraId="6B0FE2A6">
            <w:pPr>
              <w:ind w:firstLine="0" w:firstLineChars="0"/>
              <w:jc w:val="center"/>
              <w:rPr>
                <w:sz w:val="24"/>
                <w:szCs w:val="24"/>
              </w:rPr>
            </w:pPr>
            <w:r>
              <w:rPr>
                <w:sz w:val="24"/>
                <w:szCs w:val="24"/>
              </w:rPr>
              <w:t>起升额定载荷，离地100mm～200mm，停稳后，逐次加载至125%，测量载荷离地高度，停留10min后同一位置测量并进行比较。</w:t>
            </w:r>
          </w:p>
        </w:tc>
        <w:tc>
          <w:tcPr>
            <w:tcW w:w="3252" w:type="dxa"/>
            <w:vMerge w:val="restart"/>
            <w:noWrap/>
            <w:vAlign w:val="center"/>
          </w:tcPr>
          <w:p w14:paraId="5B76F87C">
            <w:pPr>
              <w:ind w:firstLine="0" w:firstLineChars="0"/>
              <w:jc w:val="center"/>
              <w:rPr>
                <w:sz w:val="24"/>
                <w:szCs w:val="24"/>
              </w:rPr>
            </w:pPr>
            <w:r>
              <w:rPr>
                <w:sz w:val="24"/>
                <w:szCs w:val="24"/>
              </w:rPr>
              <w:t>检查制动器可靠性，并在卸载后目测检查塔机是否出现可见裂纹、永久变形、油漆剥落、连接松动及其他可能对塔机性能和安全有影响的隐患。</w:t>
            </w:r>
          </w:p>
        </w:tc>
      </w:tr>
      <w:tr w14:paraId="6A991C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3396" w:type="dxa"/>
            <w:noWrap/>
            <w:vAlign w:val="center"/>
          </w:tcPr>
          <w:p w14:paraId="4CC20BE5">
            <w:pPr>
              <w:ind w:firstLine="0" w:firstLineChars="0"/>
              <w:jc w:val="center"/>
              <w:rPr>
                <w:sz w:val="24"/>
                <w:szCs w:val="24"/>
              </w:rPr>
            </w:pPr>
            <w:r>
              <w:rPr>
                <w:sz w:val="24"/>
                <w:szCs w:val="24"/>
              </w:rPr>
              <w:t>吊重</w:t>
            </w:r>
            <w:r>
              <w:rPr>
                <w:rFonts w:hint="eastAsia"/>
                <w:sz w:val="24"/>
                <w:szCs w:val="24"/>
                <w:lang w:val="en-US" w:eastAsia="zh-CN"/>
              </w:rPr>
              <w:t>8</w:t>
            </w:r>
            <w:r>
              <w:rPr>
                <w:sz w:val="24"/>
                <w:szCs w:val="24"/>
              </w:rPr>
              <w:t>t×125%=</w:t>
            </w:r>
            <w:r>
              <w:rPr>
                <w:rFonts w:hint="eastAsia"/>
                <w:sz w:val="24"/>
                <w:szCs w:val="24"/>
                <w:lang w:val="en-US" w:eastAsia="zh-CN"/>
              </w:rPr>
              <w:t>10</w:t>
            </w:r>
            <w:r>
              <w:rPr>
                <w:sz w:val="24"/>
                <w:szCs w:val="24"/>
              </w:rPr>
              <w:t>t，工作幅度</w:t>
            </w:r>
            <w:r>
              <w:rPr>
                <w:rFonts w:hint="eastAsia"/>
                <w:sz w:val="24"/>
                <w:szCs w:val="24"/>
                <w:lang w:val="en-US" w:eastAsia="zh-CN"/>
              </w:rPr>
              <w:t>10</w:t>
            </w:r>
            <w:r>
              <w:rPr>
                <w:sz w:val="24"/>
                <w:szCs w:val="24"/>
              </w:rPr>
              <w:t>m</w:t>
            </w:r>
          </w:p>
        </w:tc>
        <w:tc>
          <w:tcPr>
            <w:tcW w:w="2751" w:type="dxa"/>
            <w:vMerge w:val="continue"/>
            <w:noWrap/>
            <w:vAlign w:val="center"/>
          </w:tcPr>
          <w:p w14:paraId="4B4F3AD0">
            <w:pPr>
              <w:ind w:firstLine="0" w:firstLineChars="0"/>
              <w:jc w:val="center"/>
              <w:rPr>
                <w:sz w:val="24"/>
                <w:szCs w:val="24"/>
              </w:rPr>
            </w:pPr>
          </w:p>
        </w:tc>
        <w:tc>
          <w:tcPr>
            <w:tcW w:w="3252" w:type="dxa"/>
            <w:vMerge w:val="continue"/>
            <w:noWrap/>
            <w:vAlign w:val="center"/>
          </w:tcPr>
          <w:p w14:paraId="3990299C">
            <w:pPr>
              <w:ind w:firstLine="0" w:firstLineChars="0"/>
              <w:jc w:val="center"/>
              <w:rPr>
                <w:sz w:val="24"/>
                <w:szCs w:val="24"/>
              </w:rPr>
            </w:pPr>
          </w:p>
        </w:tc>
      </w:tr>
      <w:tr w14:paraId="4104C5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396" w:type="dxa"/>
            <w:noWrap/>
            <w:vAlign w:val="center"/>
          </w:tcPr>
          <w:p w14:paraId="0EED7B2E">
            <w:pPr>
              <w:ind w:firstLine="0" w:firstLineChars="0"/>
              <w:jc w:val="center"/>
              <w:rPr>
                <w:sz w:val="24"/>
                <w:szCs w:val="24"/>
              </w:rPr>
            </w:pPr>
            <w:r>
              <w:rPr>
                <w:sz w:val="24"/>
                <w:szCs w:val="24"/>
              </w:rPr>
              <w:t>吊重</w:t>
            </w:r>
            <w:r>
              <w:rPr>
                <w:rFonts w:hint="eastAsia"/>
                <w:sz w:val="24"/>
                <w:szCs w:val="24"/>
                <w:lang w:val="en-US" w:eastAsia="zh-CN"/>
              </w:rPr>
              <w:t>3.532</w:t>
            </w:r>
            <w:r>
              <w:rPr>
                <w:sz w:val="24"/>
                <w:szCs w:val="24"/>
              </w:rPr>
              <w:t>t×125%=</w:t>
            </w:r>
            <w:r>
              <w:rPr>
                <w:rFonts w:hint="eastAsia"/>
                <w:sz w:val="24"/>
                <w:szCs w:val="24"/>
                <w:lang w:val="en-US" w:eastAsia="zh-CN"/>
              </w:rPr>
              <w:t>4.415t</w:t>
            </w:r>
            <w:r>
              <w:rPr>
                <w:sz w:val="24"/>
                <w:szCs w:val="24"/>
              </w:rPr>
              <w:t>，</w:t>
            </w:r>
            <w:r>
              <w:rPr>
                <w:rFonts w:hint="eastAsia"/>
                <w:sz w:val="24"/>
                <w:szCs w:val="24"/>
              </w:rPr>
              <w:t>最大</w:t>
            </w:r>
            <w:r>
              <w:rPr>
                <w:sz w:val="24"/>
                <w:szCs w:val="24"/>
              </w:rPr>
              <w:t>工作幅度</w:t>
            </w:r>
            <w:r>
              <w:rPr>
                <w:rFonts w:hint="eastAsia"/>
                <w:sz w:val="24"/>
                <w:szCs w:val="24"/>
                <w:lang w:val="en-US" w:eastAsia="zh-CN"/>
              </w:rPr>
              <w:t>30</w:t>
            </w:r>
            <w:r>
              <w:rPr>
                <w:sz w:val="24"/>
                <w:szCs w:val="24"/>
              </w:rPr>
              <w:t>m</w:t>
            </w:r>
          </w:p>
        </w:tc>
        <w:tc>
          <w:tcPr>
            <w:tcW w:w="2751" w:type="dxa"/>
            <w:vMerge w:val="continue"/>
            <w:noWrap/>
            <w:vAlign w:val="center"/>
          </w:tcPr>
          <w:p w14:paraId="479B49E2">
            <w:pPr>
              <w:ind w:firstLine="0" w:firstLineChars="0"/>
              <w:jc w:val="center"/>
              <w:rPr>
                <w:sz w:val="24"/>
                <w:szCs w:val="24"/>
              </w:rPr>
            </w:pPr>
          </w:p>
        </w:tc>
        <w:tc>
          <w:tcPr>
            <w:tcW w:w="3252" w:type="dxa"/>
            <w:vMerge w:val="continue"/>
            <w:noWrap/>
            <w:vAlign w:val="center"/>
          </w:tcPr>
          <w:p w14:paraId="2B6E4975">
            <w:pPr>
              <w:ind w:firstLine="0" w:firstLineChars="0"/>
              <w:jc w:val="center"/>
              <w:rPr>
                <w:sz w:val="24"/>
                <w:szCs w:val="24"/>
              </w:rPr>
            </w:pPr>
          </w:p>
        </w:tc>
      </w:tr>
    </w:tbl>
    <w:p w14:paraId="74CFA960">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自检、检测取证、交付使用</w:t>
      </w:r>
    </w:p>
    <w:p w14:paraId="3DABE96B">
      <w:pPr>
        <w:spacing w:before="29" w:line="360" w:lineRule="auto"/>
        <w:ind w:right="159" w:firstLine="240" w:firstLineChars="100"/>
        <w:rPr>
          <w:rFonts w:hint="eastAsia"/>
          <w:lang w:val="en-US" w:eastAsia="zh-CN"/>
        </w:rPr>
      </w:pPr>
      <w:r>
        <w:rPr>
          <w:rFonts w:hint="eastAsia"/>
          <w:lang w:val="en-US" w:eastAsia="zh-CN"/>
        </w:rPr>
        <w:t xml:space="preserve">安装完毕后，在自检合格的基础上，组织项目部、监理单位进行联合验收，同时报安装当地市场监督管理局进行验收，验收合格后，整理好合格证、使用说明书、监督检验报告、使用登记证等相关资料交付使用单位，以备后续检查使用。 </w:t>
      </w:r>
    </w:p>
    <w:p w14:paraId="544AE113">
      <w:pPr>
        <w:pStyle w:val="6"/>
        <w:pageBreakBefore w:val="0"/>
        <w:numPr>
          <w:ilvl w:val="2"/>
          <w:numId w:val="6"/>
        </w:numPr>
        <w:tabs>
          <w:tab w:val="left" w:pos="936"/>
        </w:tabs>
        <w:kinsoku/>
        <w:wordWrap/>
        <w:overflowPunct/>
        <w:topLinePunct w:val="0"/>
        <w:bidi w:val="0"/>
        <w:spacing w:line="360" w:lineRule="auto"/>
        <w:ind w:left="709" w:leftChars="0" w:hanging="709" w:firstLineChars="0"/>
        <w:outlineLvl w:val="2"/>
        <w:rPr>
          <w:b/>
          <w:bCs/>
          <w:color w:val="000000"/>
          <w:highlight w:val="none"/>
        </w:rPr>
      </w:pPr>
      <w:r>
        <w:rPr>
          <w:rFonts w:hint="eastAsia"/>
          <w:b/>
          <w:bCs/>
          <w:color w:val="000000"/>
          <w:highlight w:val="none"/>
          <w:lang w:val="en-US" w:eastAsia="zh-CN"/>
        </w:rPr>
        <w:t>塔机附着</w:t>
      </w:r>
    </w:p>
    <w:p w14:paraId="523BA400">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塔吊附着布置</w:t>
      </w:r>
    </w:p>
    <w:p w14:paraId="7AC57CD0">
      <w:pPr>
        <w:ind w:firstLine="480"/>
        <w:rPr>
          <w:rFonts w:ascii="Times New Roman" w:hAnsi="Times New Roman"/>
          <w:color w:val="000000"/>
          <w:highlight w:val="none"/>
        </w:rPr>
      </w:pPr>
      <w:r>
        <w:rPr>
          <w:rFonts w:hint="eastAsia"/>
          <w:color w:val="000000"/>
          <w:highlight w:val="none"/>
          <w:lang w:val="en-US" w:eastAsia="zh-CN"/>
        </w:rPr>
        <w:t>1#2#</w:t>
      </w:r>
      <w:r>
        <w:rPr>
          <w:rFonts w:hint="eastAsia"/>
          <w:color w:val="000000"/>
          <w:highlight w:val="none"/>
        </w:rPr>
        <w:t>3#</w:t>
      </w:r>
      <w:r>
        <w:rPr>
          <w:rFonts w:hint="eastAsia"/>
          <w:color w:val="000000"/>
          <w:highlight w:val="none"/>
          <w:lang w:val="en-US" w:eastAsia="zh-CN"/>
        </w:rPr>
        <w:t>4#</w:t>
      </w:r>
      <w:r>
        <w:rPr>
          <w:rFonts w:hint="eastAsia"/>
          <w:color w:val="000000"/>
          <w:highlight w:val="none"/>
        </w:rPr>
        <w:t>塔机</w:t>
      </w:r>
      <w:r>
        <w:rPr>
          <w:rFonts w:hint="eastAsia"/>
          <w:color w:val="000000"/>
          <w:highlight w:val="none"/>
          <w:lang w:val="en-US" w:eastAsia="zh-CN"/>
        </w:rPr>
        <w:t>各</w:t>
      </w:r>
      <w:r>
        <w:rPr>
          <w:rFonts w:hint="eastAsia"/>
          <w:color w:val="000000"/>
          <w:highlight w:val="none"/>
        </w:rPr>
        <w:t>设置</w:t>
      </w:r>
      <w:r>
        <w:rPr>
          <w:rFonts w:hint="eastAsia"/>
          <w:color w:val="000000"/>
          <w:highlight w:val="none"/>
          <w:lang w:val="en-US" w:eastAsia="zh-CN"/>
        </w:rPr>
        <w:t>1</w:t>
      </w:r>
      <w:r>
        <w:rPr>
          <w:rFonts w:hint="eastAsia"/>
          <w:color w:val="000000"/>
          <w:highlight w:val="none"/>
        </w:rPr>
        <w:t>道附着，附着平面布置见下图所示。</w:t>
      </w:r>
    </w:p>
    <w:p w14:paraId="2EAEF079">
      <w:pPr>
        <w:keepNext w:val="0"/>
        <w:keepLines w:val="0"/>
        <w:pageBreakBefore w:val="0"/>
        <w:kinsoku/>
        <w:wordWrap/>
        <w:overflowPunct/>
        <w:topLinePunct w:val="0"/>
        <w:autoSpaceDE/>
        <w:autoSpaceDN/>
        <w:bidi w:val="0"/>
        <w:snapToGrid/>
        <w:spacing w:line="360" w:lineRule="auto"/>
        <w:rPr>
          <w:highlight w:val="none"/>
        </w:rPr>
      </w:pPr>
      <w:r>
        <w:drawing>
          <wp:inline distT="0" distB="0" distL="114300" distR="114300">
            <wp:extent cx="5266690" cy="4306570"/>
            <wp:effectExtent l="0" t="0" r="10160" b="17780"/>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9"/>
                    <pic:cNvPicPr>
                      <a:picLocks noChangeAspect="1"/>
                    </pic:cNvPicPr>
                  </pic:nvPicPr>
                  <pic:blipFill>
                    <a:blip r:embed="rId63"/>
                    <a:stretch>
                      <a:fillRect/>
                    </a:stretch>
                  </pic:blipFill>
                  <pic:spPr>
                    <a:xfrm>
                      <a:off x="0" y="0"/>
                      <a:ext cx="5266690" cy="4306570"/>
                    </a:xfrm>
                    <a:prstGeom prst="rect">
                      <a:avLst/>
                    </a:prstGeom>
                    <a:noFill/>
                    <a:ln>
                      <a:noFill/>
                    </a:ln>
                  </pic:spPr>
                </pic:pic>
              </a:graphicData>
            </a:graphic>
          </wp:inline>
        </w:drawing>
      </w:r>
    </w:p>
    <w:p w14:paraId="281149A7">
      <w:pPr>
        <w:pStyle w:val="12"/>
        <w:rPr>
          <w:rFonts w:hint="eastAsia"/>
          <w:color w:val="000000"/>
          <w:highlight w:val="none"/>
          <w:lang w:val="en-US" w:eastAsia="zh-CN"/>
        </w:rPr>
      </w:pPr>
      <w:r>
        <w:t xml:space="preserve">图 </w:t>
      </w:r>
      <w:r>
        <w:fldChar w:fldCharType="begin"/>
      </w:r>
      <w:r>
        <w:instrText xml:space="preserve"> STYLEREF 3 \s </w:instrText>
      </w:r>
      <w:r>
        <w:fldChar w:fldCharType="separate"/>
      </w:r>
      <w:r>
        <w:t>8.2.3</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w:t>
      </w:r>
      <w:r>
        <w:rPr>
          <w:rFonts w:hint="eastAsia"/>
          <w:color w:val="000000"/>
          <w:highlight w:val="none"/>
        </w:rPr>
        <w:t>附着平面布置</w:t>
      </w:r>
      <w:r>
        <w:rPr>
          <w:rFonts w:hint="eastAsia"/>
          <w:color w:val="000000"/>
          <w:highlight w:val="none"/>
          <w:lang w:val="en-US" w:eastAsia="zh-CN"/>
        </w:rPr>
        <w:t>图</w:t>
      </w:r>
    </w:p>
    <w:p w14:paraId="2738A79E">
      <w:pPr>
        <w:pStyle w:val="12"/>
        <w:rPr>
          <w:rFonts w:hint="eastAsia"/>
          <w:color w:val="000000"/>
          <w:highlight w:val="none"/>
          <w:lang w:val="en-US" w:eastAsia="zh-CN"/>
        </w:rPr>
      </w:pPr>
      <w:r>
        <w:drawing>
          <wp:inline distT="0" distB="0" distL="114300" distR="114300">
            <wp:extent cx="5264150" cy="1565275"/>
            <wp:effectExtent l="0" t="0" r="12700" b="15875"/>
            <wp:docPr id="9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
                    <pic:cNvPicPr>
                      <a:picLocks noChangeAspect="1"/>
                    </pic:cNvPicPr>
                  </pic:nvPicPr>
                  <pic:blipFill>
                    <a:blip r:embed="rId64"/>
                    <a:stretch>
                      <a:fillRect/>
                    </a:stretch>
                  </pic:blipFill>
                  <pic:spPr>
                    <a:xfrm>
                      <a:off x="0" y="0"/>
                      <a:ext cx="5264150" cy="156527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8.2.3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w:t>
      </w:r>
      <w:r>
        <w:rPr>
          <w:rFonts w:hint="eastAsia"/>
          <w:color w:val="000000"/>
          <w:highlight w:val="none"/>
        </w:rPr>
        <w:t>附着</w:t>
      </w:r>
      <w:r>
        <w:rPr>
          <w:rFonts w:hint="eastAsia"/>
          <w:color w:val="000000"/>
          <w:highlight w:val="none"/>
          <w:lang w:val="en-US" w:eastAsia="zh-CN"/>
        </w:rPr>
        <w:t>立面</w:t>
      </w:r>
      <w:r>
        <w:rPr>
          <w:rFonts w:hint="eastAsia"/>
          <w:color w:val="000000"/>
          <w:highlight w:val="none"/>
        </w:rPr>
        <w:t>布置</w:t>
      </w:r>
      <w:r>
        <w:rPr>
          <w:rFonts w:hint="eastAsia"/>
          <w:color w:val="000000"/>
          <w:highlight w:val="none"/>
          <w:lang w:val="en-US" w:eastAsia="zh-CN"/>
        </w:rPr>
        <w:t>图</w:t>
      </w:r>
    </w:p>
    <w:p w14:paraId="0180AEE7">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附着安装操作平台</w:t>
      </w:r>
    </w:p>
    <w:p w14:paraId="0AC5D1BD">
      <w:pPr>
        <w:keepNext/>
        <w:keepLines/>
        <w:tabs>
          <w:tab w:val="left" w:pos="0"/>
        </w:tabs>
        <w:adjustRightInd w:val="0"/>
        <w:snapToGrid w:val="0"/>
        <w:spacing w:before="240" w:after="64" w:line="317" w:lineRule="auto"/>
        <w:ind w:firstLine="0" w:firstLineChars="0"/>
        <w:rPr>
          <w:color w:val="000000"/>
          <w:highlight w:val="none"/>
        </w:rPr>
      </w:pPr>
      <w:r>
        <w:rPr>
          <w:rFonts w:hint="eastAsia"/>
          <w:color w:val="000000"/>
          <w:highlight w:val="none"/>
        </w:rPr>
        <w:t>1）塔吊端作业平台</w:t>
      </w:r>
    </w:p>
    <w:p w14:paraId="7CD38963">
      <w:pPr>
        <w:ind w:firstLine="480"/>
        <w:rPr>
          <w:color w:val="000000"/>
          <w:highlight w:val="none"/>
        </w:rPr>
      </w:pPr>
      <w:r>
        <w:rPr>
          <w:rFonts w:hint="eastAsia"/>
          <w:color w:val="000000"/>
          <w:highlight w:val="none"/>
        </w:rPr>
        <w:t>塔吊端采用厂家提供的专用作业平台，作业平台通过螺栓固定在附着装置下方1</w:t>
      </w:r>
      <w:r>
        <w:rPr>
          <w:color w:val="000000"/>
          <w:highlight w:val="none"/>
        </w:rPr>
        <w:t>.4m</w:t>
      </w:r>
      <w:r>
        <w:rPr>
          <w:rFonts w:hint="eastAsia"/>
          <w:color w:val="000000"/>
          <w:highlight w:val="none"/>
        </w:rPr>
        <w:t>处的塔身竖杆上，见下图所示。</w:t>
      </w:r>
    </w:p>
    <w:p w14:paraId="397E2E6A">
      <w:pPr>
        <w:ind w:firstLine="480"/>
        <w:rPr>
          <w:highlight w:val="none"/>
        </w:rPr>
      </w:pPr>
      <w:r>
        <w:rPr>
          <w:highlight w:val="none"/>
        </w:rPr>
        <w:drawing>
          <wp:inline distT="0" distB="0" distL="114300" distR="114300">
            <wp:extent cx="4693285" cy="2351405"/>
            <wp:effectExtent l="0" t="0" r="12065" b="10795"/>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65"/>
                    <a:stretch>
                      <a:fillRect/>
                    </a:stretch>
                  </pic:blipFill>
                  <pic:spPr>
                    <a:xfrm>
                      <a:off x="0" y="0"/>
                      <a:ext cx="4693285" cy="2351405"/>
                    </a:xfrm>
                    <a:prstGeom prst="rect">
                      <a:avLst/>
                    </a:prstGeom>
                    <a:noFill/>
                    <a:ln>
                      <a:noFill/>
                    </a:ln>
                  </pic:spPr>
                </pic:pic>
              </a:graphicData>
            </a:graphic>
          </wp:inline>
        </w:drawing>
      </w:r>
    </w:p>
    <w:p w14:paraId="0B52F502">
      <w:pPr>
        <w:pStyle w:val="12"/>
        <w:rPr>
          <w:b/>
          <w:color w:val="000000"/>
          <w:sz w:val="21"/>
          <w:szCs w:val="20"/>
          <w:highlight w:val="none"/>
        </w:rPr>
      </w:pPr>
      <w:r>
        <w:t xml:space="preserve">图 </w:t>
      </w:r>
      <w:r>
        <w:fldChar w:fldCharType="begin"/>
      </w:r>
      <w:r>
        <w:instrText xml:space="preserve"> STYLEREF 3 \s </w:instrText>
      </w:r>
      <w:r>
        <w:fldChar w:fldCharType="separate"/>
      </w:r>
      <w:r>
        <w:t>8.2.3</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b/>
          <w:color w:val="000000"/>
          <w:sz w:val="21"/>
          <w:szCs w:val="20"/>
          <w:highlight w:val="none"/>
          <w:lang w:val="en-US" w:eastAsia="zh-CN"/>
        </w:rPr>
        <w:t xml:space="preserve"> </w:t>
      </w:r>
      <w:r>
        <w:rPr>
          <w:b/>
          <w:color w:val="000000"/>
          <w:sz w:val="21"/>
          <w:szCs w:val="20"/>
          <w:highlight w:val="none"/>
        </w:rPr>
        <w:t xml:space="preserve"> </w:t>
      </w:r>
      <w:r>
        <w:rPr>
          <w:rFonts w:hint="eastAsia"/>
          <w:b/>
          <w:color w:val="000000"/>
          <w:sz w:val="21"/>
          <w:szCs w:val="20"/>
          <w:highlight w:val="none"/>
        </w:rPr>
        <w:t>附着装置安装作业平台示意图</w:t>
      </w:r>
    </w:p>
    <w:p w14:paraId="513A7B28">
      <w:pPr>
        <w:keepNext/>
        <w:keepLines/>
        <w:tabs>
          <w:tab w:val="left" w:pos="0"/>
        </w:tabs>
        <w:adjustRightInd w:val="0"/>
        <w:snapToGrid w:val="0"/>
        <w:spacing w:before="240" w:after="64" w:line="317" w:lineRule="auto"/>
        <w:ind w:firstLine="0" w:firstLineChars="0"/>
        <w:rPr>
          <w:color w:val="000000"/>
          <w:highlight w:val="none"/>
        </w:rPr>
      </w:pPr>
      <w:r>
        <w:rPr>
          <w:rFonts w:hint="eastAsia"/>
          <w:color w:val="000000"/>
          <w:highlight w:val="none"/>
        </w:rPr>
        <w:t>2）</w:t>
      </w:r>
      <w:r>
        <w:rPr>
          <w:rFonts w:hint="eastAsia"/>
          <w:color w:val="000000"/>
          <w:highlight w:val="none"/>
          <w:lang w:val="en-US" w:eastAsia="zh-CN"/>
        </w:rPr>
        <w:t>排架柱侧</w:t>
      </w:r>
      <w:r>
        <w:rPr>
          <w:rFonts w:hint="eastAsia"/>
          <w:color w:val="000000"/>
          <w:highlight w:val="none"/>
        </w:rPr>
        <w:t>作业平台</w:t>
      </w:r>
    </w:p>
    <w:p w14:paraId="7232A6C2">
      <w:pPr>
        <w:ind w:firstLine="480"/>
        <w:rPr>
          <w:rFonts w:hint="eastAsia" w:eastAsia="宋体"/>
          <w:color w:val="000000"/>
          <w:highlight w:val="none"/>
          <w:lang w:eastAsia="zh-CN"/>
        </w:rPr>
      </w:pPr>
      <w:r>
        <w:rPr>
          <w:rFonts w:hint="eastAsia"/>
          <w:color w:val="000000"/>
          <w:highlight w:val="none"/>
          <w:lang w:val="en-US" w:eastAsia="zh-CN"/>
        </w:rPr>
        <w:t>排架柱侧</w:t>
      </w:r>
      <w:r>
        <w:rPr>
          <w:rFonts w:hint="eastAsia"/>
          <w:color w:val="000000"/>
          <w:highlight w:val="none"/>
        </w:rPr>
        <w:t>设置附着安装操作平台，操作平台与</w:t>
      </w:r>
      <w:r>
        <w:rPr>
          <w:rFonts w:hint="eastAsia"/>
          <w:color w:val="000000"/>
          <w:highlight w:val="none"/>
          <w:lang w:val="en-US" w:eastAsia="zh-CN"/>
        </w:rPr>
        <w:t>排架柱侧操作平台</w:t>
      </w:r>
      <w:r>
        <w:rPr>
          <w:rFonts w:hint="eastAsia"/>
          <w:color w:val="000000"/>
          <w:highlight w:val="none"/>
        </w:rPr>
        <w:t>同步设计</w:t>
      </w:r>
      <w:r>
        <w:rPr>
          <w:rFonts w:hint="eastAsia"/>
          <w:color w:val="000000"/>
          <w:highlight w:val="none"/>
          <w:lang w:eastAsia="zh-CN"/>
        </w:rPr>
        <w:t>。</w:t>
      </w:r>
    </w:p>
    <w:p w14:paraId="45F8B1A2">
      <w:pPr>
        <w:pStyle w:val="7"/>
        <w:pageBreakBefore w:val="0"/>
        <w:numPr>
          <w:ilvl w:val="3"/>
          <w:numId w:val="6"/>
        </w:numPr>
        <w:kinsoku/>
        <w:wordWrap/>
        <w:overflowPunct/>
        <w:topLinePunct w:val="0"/>
        <w:bidi w:val="0"/>
        <w:spacing w:line="360" w:lineRule="auto"/>
        <w:ind w:left="850" w:leftChars="0" w:hanging="850" w:firstLineChars="0"/>
        <w:rPr>
          <w:rFonts w:hint="eastAsia"/>
          <w:lang w:val="en-US" w:eastAsia="zh-CN"/>
        </w:rPr>
      </w:pPr>
      <w:r>
        <w:rPr>
          <w:rFonts w:hint="eastAsia"/>
          <w:lang w:val="en-US" w:eastAsia="zh-CN"/>
        </w:rPr>
        <w:t>附着安装</w:t>
      </w:r>
    </w:p>
    <w:p w14:paraId="6BB3A446">
      <w:pPr>
        <w:ind w:firstLine="480"/>
        <w:rPr>
          <w:color w:val="000000"/>
          <w:highlight w:val="none"/>
        </w:rPr>
      </w:pPr>
      <w:r>
        <w:rPr>
          <w:rFonts w:hint="eastAsia"/>
          <w:color w:val="000000"/>
          <w:highlight w:val="none"/>
        </w:rPr>
        <w:t>塔吊附着安装步骤如下：</w:t>
      </w:r>
    </w:p>
    <w:p w14:paraId="501C69F6">
      <w:pPr>
        <w:ind w:firstLine="480"/>
        <w:rPr>
          <w:color w:val="000000"/>
          <w:highlight w:val="none"/>
        </w:rPr>
      </w:pPr>
      <w:r>
        <w:rPr>
          <w:rFonts w:hint="eastAsia"/>
          <w:color w:val="000000"/>
          <w:highlight w:val="none"/>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05199022">
      <w:pPr>
        <w:ind w:firstLine="480"/>
        <w:rPr>
          <w:color w:val="000000"/>
          <w:highlight w:val="none"/>
        </w:rPr>
      </w:pPr>
      <w:r>
        <w:rPr>
          <w:rFonts w:hint="eastAsia"/>
          <w:color w:val="000000"/>
          <w:highlight w:val="none"/>
        </w:rPr>
        <w:t>2）作业人员从</w:t>
      </w:r>
      <w:r>
        <w:rPr>
          <w:rFonts w:hint="eastAsia"/>
          <w:color w:val="000000"/>
          <w:highlight w:val="none"/>
          <w:lang w:val="en-US" w:eastAsia="zh-CN"/>
        </w:rPr>
        <w:t>排架柱侧进入附着</w:t>
      </w:r>
      <w:r>
        <w:rPr>
          <w:rFonts w:hint="eastAsia"/>
          <w:color w:val="000000"/>
          <w:highlight w:val="none"/>
          <w:lang w:eastAsia="zh-CN"/>
        </w:rPr>
        <w:t>操作平台</w:t>
      </w:r>
      <w:r>
        <w:rPr>
          <w:rFonts w:hint="eastAsia"/>
          <w:color w:val="000000"/>
          <w:highlight w:val="none"/>
        </w:rPr>
        <w:t>，将安全带系挂在</w:t>
      </w:r>
      <w:r>
        <w:rPr>
          <w:rFonts w:hint="eastAsia"/>
          <w:color w:val="000000"/>
          <w:highlight w:val="none"/>
          <w:lang w:val="en-US" w:eastAsia="zh-CN"/>
        </w:rPr>
        <w:t>操作平台</w:t>
      </w:r>
      <w:r>
        <w:rPr>
          <w:rFonts w:hint="eastAsia"/>
          <w:color w:val="000000"/>
          <w:highlight w:val="none"/>
        </w:rPr>
        <w:t>上可靠位置。</w:t>
      </w:r>
    </w:p>
    <w:p w14:paraId="228DFD8C">
      <w:pPr>
        <w:ind w:firstLine="480"/>
        <w:rPr>
          <w:color w:val="000000"/>
          <w:highlight w:val="none"/>
        </w:rPr>
      </w:pPr>
      <w:r>
        <w:rPr>
          <w:rFonts w:hint="eastAsia"/>
          <w:color w:val="000000"/>
          <w:highlight w:val="none"/>
        </w:rPr>
        <w:t>3）附着杆件采用两点吊，以附着杆件上4个固定吊耳孔为吊装孔，采用2根</w:t>
      </w:r>
      <w:r>
        <w:rPr>
          <w:rFonts w:hint="eastAsia" w:cs="Times New Roman"/>
          <w:highlight w:val="none"/>
          <w:lang w:val="en-US" w:eastAsia="zh-CN"/>
        </w:rPr>
        <w:t>22</w:t>
      </w:r>
      <w:r>
        <w:rPr>
          <w:rFonts w:hint="eastAsia" w:cs="Times New Roman"/>
          <w:highlight w:val="none"/>
        </w:rPr>
        <w:t>mm6×19S+FC1870Mpa</w:t>
      </w:r>
      <w:r>
        <w:rPr>
          <w:color w:val="000000"/>
          <w:highlight w:val="none"/>
        </w:rPr>
        <w:t>的钢丝绳配套GB/T 25854-6-</w:t>
      </w:r>
      <w:r>
        <w:rPr>
          <w:rFonts w:hint="eastAsia"/>
          <w:color w:val="000000"/>
          <w:highlight w:val="none"/>
          <w:lang w:eastAsia="zh-CN"/>
        </w:rPr>
        <w:t>DW</w:t>
      </w:r>
      <w:r>
        <w:rPr>
          <w:rFonts w:hint="eastAsia"/>
          <w:color w:val="000000"/>
          <w:highlight w:val="none"/>
          <w:lang w:val="en-US" w:eastAsia="zh-CN"/>
        </w:rPr>
        <w:t>5</w:t>
      </w:r>
      <w:r>
        <w:rPr>
          <w:color w:val="000000"/>
          <w:highlight w:val="none"/>
        </w:rPr>
        <w:t>卸扣进行吊装。</w:t>
      </w:r>
    </w:p>
    <w:p w14:paraId="130C9BD5">
      <w:pPr>
        <w:ind w:firstLine="480"/>
        <w:rPr>
          <w:color w:val="000000"/>
          <w:highlight w:val="none"/>
        </w:rPr>
      </w:pPr>
      <w:r>
        <w:rPr>
          <w:rFonts w:hint="eastAsia"/>
          <w:color w:val="000000"/>
          <w:highlight w:val="none"/>
        </w:rPr>
        <w:t>4）作业人员先在地面上将钢丝绳一端与吊环连接，另一端与卸扣连接，卸扣与吊装孔连接，并在附着杆上拴好两根溜绳。启动起升机构，将附着杆件缓</w:t>
      </w:r>
      <w:r>
        <w:rPr>
          <w:rFonts w:hint="eastAsia"/>
          <w:color w:val="000000"/>
          <w:highlight w:val="none"/>
          <w:lang w:val="en-US" w:eastAsia="zh-CN"/>
        </w:rPr>
        <w:t xml:space="preserve">                                                                                    </w:t>
      </w:r>
      <w:r>
        <w:rPr>
          <w:rFonts w:hint="eastAsia"/>
          <w:color w:val="000000"/>
          <w:highlight w:val="none"/>
        </w:rPr>
        <w:t>慢提升，用溜绳控制其摆动。起吊附着杆件至对应高度，溜绳辅助附着杆件就位，两侧的作业人员通过销轴将附着杆件分别与塔吊附着框和主墩预埋件连接固定。</w:t>
      </w:r>
    </w:p>
    <w:p w14:paraId="779D2CF1">
      <w:pPr>
        <w:ind w:firstLine="480"/>
        <w:rPr>
          <w:color w:val="000000"/>
          <w:highlight w:val="none"/>
        </w:rPr>
      </w:pPr>
      <w:r>
        <w:rPr>
          <w:rFonts w:hint="eastAsia"/>
          <w:color w:val="000000"/>
          <w:highlight w:val="none"/>
        </w:rPr>
        <w:t>5）重复以上步骤，安装4根附着杆件。安装完成后，主墩侧平台上的作业人员通过爬梯上到</w:t>
      </w:r>
      <w:r>
        <w:rPr>
          <w:rFonts w:hint="eastAsia"/>
          <w:color w:val="000000"/>
          <w:highlight w:val="none"/>
          <w:lang w:val="en-US" w:eastAsia="zh-CN"/>
        </w:rPr>
        <w:t>排架柱侧</w:t>
      </w:r>
      <w:r>
        <w:rPr>
          <w:rFonts w:hint="eastAsia"/>
          <w:color w:val="000000"/>
          <w:highlight w:val="none"/>
          <w:lang w:eastAsia="zh-CN"/>
        </w:rPr>
        <w:t>平台</w:t>
      </w:r>
      <w:r>
        <w:rPr>
          <w:rFonts w:hint="eastAsia"/>
          <w:color w:val="000000"/>
          <w:highlight w:val="none"/>
        </w:rPr>
        <w:t>，再通过电梯下至地面；塔吊塔身侧作业人员通过塔身内爬梯下到地面。</w:t>
      </w:r>
    </w:p>
    <w:p w14:paraId="128CE7E9">
      <w:pPr>
        <w:ind w:firstLine="480"/>
        <w:rPr>
          <w:color w:val="000000"/>
          <w:highlight w:val="none"/>
        </w:rPr>
      </w:pPr>
      <w:r>
        <w:rPr>
          <w:color w:val="000000"/>
          <w:highlight w:val="none"/>
        </w:rPr>
        <w:t>塔吊附着安装要求如下：</w:t>
      </w:r>
    </w:p>
    <w:p w14:paraId="44DB657B">
      <w:pPr>
        <w:ind w:firstLine="480"/>
        <w:rPr>
          <w:color w:val="000000"/>
          <w:highlight w:val="none"/>
        </w:rPr>
      </w:pPr>
      <w:r>
        <w:rPr>
          <w:color w:val="000000"/>
          <w:highlight w:val="none"/>
        </w:rPr>
        <w:t>（1）先将附着外框梁套在塔身上，并通过楔块和斜撑将塔身的四根主弦杆顶紧；通过销轴将附着撑杆的一端与附着框架连接，另一端与固定在主墩上的耳座连接。</w:t>
      </w:r>
    </w:p>
    <w:p w14:paraId="60D65CDF">
      <w:pPr>
        <w:ind w:firstLine="480"/>
        <w:rPr>
          <w:color w:val="000000"/>
          <w:highlight w:val="none"/>
        </w:rPr>
      </w:pPr>
      <w:r>
        <w:rPr>
          <w:color w:val="000000"/>
          <w:highlight w:val="none"/>
        </w:rPr>
        <w:t>（2）每道附着架的4组附着撑杆应尽量处于同一水平面上。但在安装附着框架时，若与塔身标准节的某些部位发生干涉，可适当升高或降低附着框架的安装高度。允许附着框架与耳座高度差不大于0.01L（L为下图中撑杆的长度）</w:t>
      </w:r>
    </w:p>
    <w:p w14:paraId="3F8976DE">
      <w:pPr>
        <w:ind w:firstLine="480"/>
        <w:rPr>
          <w:color w:val="000000"/>
          <w:highlight w:val="none"/>
        </w:rPr>
      </w:pPr>
      <w:r>
        <w:rPr>
          <w:color w:val="000000"/>
          <w:highlight w:val="none"/>
        </w:rPr>
        <w:t>（3）附着撑杆上允许搭设供人从建筑物通向塔机的通道，但严禁堆放重物。</w:t>
      </w:r>
    </w:p>
    <w:p w14:paraId="37A636B9">
      <w:pPr>
        <w:ind w:firstLine="480"/>
        <w:rPr>
          <w:color w:val="000000"/>
          <w:highlight w:val="none"/>
        </w:rPr>
      </w:pPr>
      <w:r>
        <w:rPr>
          <w:color w:val="000000"/>
          <w:highlight w:val="none"/>
        </w:rPr>
        <w:t>（4）安装塔机前，应对建筑物附着点（耳座固定处）的承载能力以及影响附着点强度的钢筋混凝土骨架的施工日期等因素预先估计。</w:t>
      </w:r>
    </w:p>
    <w:p w14:paraId="60803A64">
      <w:pPr>
        <w:ind w:firstLine="480"/>
        <w:rPr>
          <w:color w:val="000000"/>
          <w:highlight w:val="none"/>
        </w:rPr>
      </w:pPr>
      <w:r>
        <w:rPr>
          <w:color w:val="000000"/>
          <w:highlight w:val="none"/>
        </w:rPr>
        <w:t>（</w:t>
      </w:r>
      <w:r>
        <w:rPr>
          <w:rFonts w:hint="eastAsia"/>
          <w:color w:val="000000"/>
          <w:highlight w:val="none"/>
        </w:rPr>
        <w:t>5</w:t>
      </w:r>
      <w:r>
        <w:rPr>
          <w:color w:val="000000"/>
          <w:highlight w:val="none"/>
        </w:rPr>
        <w:t>）安装附着装置时，应当用全站仪检查塔身轴心线的垂直度，最上一道附着架以上塔身轴心线的侧向垂直度允差为4/1000，最上一道附着架以下塔身轴心线的垂直度允差为2/1000，可通过调节附着撑杆的长度来控制塔身垂直度。</w:t>
      </w:r>
    </w:p>
    <w:p w14:paraId="383174DF">
      <w:pPr>
        <w:ind w:firstLine="480"/>
        <w:rPr>
          <w:highlight w:val="none"/>
        </w:rPr>
      </w:pPr>
      <w:r>
        <w:rPr>
          <w:color w:val="000000"/>
          <w:highlight w:val="none"/>
        </w:rPr>
        <w:t>（</w:t>
      </w:r>
      <w:r>
        <w:rPr>
          <w:rFonts w:hint="eastAsia"/>
          <w:color w:val="000000"/>
          <w:highlight w:val="none"/>
        </w:rPr>
        <w:t>6</w:t>
      </w:r>
      <w:r>
        <w:rPr>
          <w:color w:val="000000"/>
          <w:highlight w:val="none"/>
        </w:rPr>
        <w:t>）附着撑杆与附着框架，连接耳座，以及附着框架与塔身、内撑杆的连接必须可靠。内撑杆应可靠地将塔身主弦杆顶紧，并与塔身的主弦夹紧，各连接螺栓应紧固好。各调节螺栓调整好后，应将螺母可靠地</w:t>
      </w:r>
      <w:r>
        <w:rPr>
          <w:rFonts w:hint="eastAsia"/>
          <w:color w:val="000000"/>
          <w:highlight w:val="none"/>
        </w:rPr>
        <w:t>拧</w:t>
      </w:r>
      <w:r>
        <w:rPr>
          <w:color w:val="000000"/>
          <w:highlight w:val="none"/>
        </w:rPr>
        <w:t>紧。开口销应按规定张开，运行后应经常检查是否发生松动，并及时进行调整。</w:t>
      </w:r>
    </w:p>
    <w:p w14:paraId="601F8E21">
      <w:pPr>
        <w:pStyle w:val="13"/>
        <w:rPr>
          <w:rFonts w:hint="eastAsia"/>
          <w:lang w:val="en-US" w:eastAsia="zh-CN"/>
        </w:rPr>
      </w:pPr>
    </w:p>
    <w:p w14:paraId="0C288261">
      <w:pPr>
        <w:pStyle w:val="6"/>
        <w:pageBreakBefore w:val="0"/>
        <w:numPr>
          <w:ilvl w:val="2"/>
          <w:numId w:val="6"/>
        </w:numPr>
        <w:tabs>
          <w:tab w:val="left" w:pos="936"/>
        </w:tabs>
        <w:kinsoku/>
        <w:wordWrap/>
        <w:overflowPunct/>
        <w:topLinePunct w:val="0"/>
        <w:bidi w:val="0"/>
        <w:spacing w:line="360" w:lineRule="auto"/>
        <w:ind w:left="709" w:leftChars="0" w:hanging="709" w:firstLineChars="0"/>
        <w:outlineLvl w:val="2"/>
        <w:rPr>
          <w:rFonts w:hint="eastAsia" w:ascii="宋体" w:hAnsi="宋体" w:eastAsia="宋体" w:cs="Times New Roman"/>
          <w:b/>
          <w:bCs/>
          <w:lang w:val="en-US" w:eastAsia="zh-CN"/>
        </w:rPr>
      </w:pPr>
      <w:bookmarkStart w:id="104" w:name="_Toc19835"/>
      <w:bookmarkEnd w:id="104"/>
      <w:bookmarkStart w:id="105" w:name="_Toc31704"/>
      <w:bookmarkEnd w:id="105"/>
      <w:bookmarkStart w:id="106" w:name="_Toc22253"/>
      <w:bookmarkEnd w:id="106"/>
      <w:bookmarkStart w:id="107" w:name="_Toc7605"/>
      <w:bookmarkStart w:id="108" w:name="_Toc10705"/>
      <w:r>
        <w:rPr>
          <w:rFonts w:hint="eastAsia" w:ascii="宋体" w:hAnsi="宋体" w:eastAsia="宋体" w:cs="Times New Roman"/>
          <w:b/>
          <w:bCs/>
          <w:lang w:val="en-US" w:eastAsia="zh-CN"/>
        </w:rPr>
        <w:t>顶升加节</w:t>
      </w:r>
      <w:bookmarkEnd w:id="107"/>
      <w:bookmarkEnd w:id="108"/>
    </w:p>
    <w:p w14:paraId="12176B01">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Cs w:val="24"/>
        </w:rPr>
      </w:pPr>
      <w:r>
        <w:rPr>
          <w:rFonts w:hint="eastAsia" w:ascii="宋体" w:hAnsi="宋体" w:eastAsia="宋体" w:cs="宋体"/>
          <w:color w:val="auto"/>
          <w:szCs w:val="24"/>
        </w:rPr>
        <w:t>根据现场施工需求</w:t>
      </w:r>
      <w:r>
        <w:rPr>
          <w:rFonts w:hint="eastAsia" w:ascii="宋体" w:hAnsi="宋体" w:eastAsia="宋体" w:cs="宋体"/>
          <w:color w:val="auto"/>
          <w:szCs w:val="24"/>
          <w:highlight w:val="none"/>
        </w:rPr>
        <w:t>，塔机</w:t>
      </w:r>
      <w:r>
        <w:rPr>
          <w:rFonts w:hint="eastAsia" w:ascii="宋体" w:hAnsi="宋体" w:cs="宋体"/>
          <w:color w:val="auto"/>
          <w:szCs w:val="24"/>
          <w:highlight w:val="none"/>
          <w:lang w:val="en-US" w:eastAsia="zh-CN"/>
        </w:rPr>
        <w:t>最高高度</w:t>
      </w:r>
      <w:r>
        <w:rPr>
          <w:rFonts w:hint="eastAsia" w:ascii="宋体" w:hAnsi="宋体" w:eastAsia="宋体" w:cs="宋体"/>
          <w:color w:val="auto"/>
          <w:szCs w:val="24"/>
          <w:highlight w:val="none"/>
        </w:rPr>
        <w:t>为</w:t>
      </w:r>
      <w:r>
        <w:rPr>
          <w:rFonts w:hint="eastAsia" w:ascii="宋体" w:hAnsi="宋体" w:cs="宋体"/>
          <w:color w:val="auto"/>
          <w:szCs w:val="24"/>
          <w:highlight w:val="none"/>
          <w:lang w:val="en-US" w:eastAsia="zh-CN"/>
        </w:rPr>
        <w:t>48.4</w:t>
      </w:r>
      <w:r>
        <w:rPr>
          <w:rFonts w:hint="eastAsia" w:ascii="宋体" w:hAnsi="宋体" w:eastAsia="宋体" w:cs="宋体"/>
          <w:color w:val="auto"/>
          <w:szCs w:val="24"/>
          <w:highlight w:val="none"/>
        </w:rPr>
        <w:t>m，</w:t>
      </w:r>
      <w:r>
        <w:rPr>
          <w:rFonts w:hint="eastAsia" w:ascii="宋体" w:hAnsi="宋体" w:cs="宋体"/>
          <w:color w:val="auto"/>
          <w:szCs w:val="24"/>
          <w:highlight w:val="none"/>
          <w:lang w:val="en-US" w:eastAsia="zh-CN"/>
        </w:rPr>
        <w:t>根据第三章节塔吊安装正视、俯视图依次进行顶升</w:t>
      </w:r>
      <w:r>
        <w:rPr>
          <w:rFonts w:hint="eastAsia" w:ascii="宋体" w:hAnsi="宋体" w:cs="宋体"/>
          <w:color w:val="auto"/>
          <w:szCs w:val="24"/>
          <w:highlight w:val="none"/>
          <w:lang w:eastAsia="zh-CN"/>
        </w:rPr>
        <w:t>，以达到群塔高低错塔作业以确保现场施工安全性</w:t>
      </w:r>
      <w:r>
        <w:rPr>
          <w:rFonts w:hint="eastAsia" w:ascii="宋体" w:hAnsi="宋体" w:eastAsia="宋体" w:cs="宋体"/>
          <w:color w:val="auto"/>
          <w:szCs w:val="24"/>
          <w:highlight w:val="none"/>
        </w:rPr>
        <w:t>。</w:t>
      </w:r>
      <w:r>
        <w:rPr>
          <w:rFonts w:hint="eastAsia" w:ascii="宋体" w:hAnsi="宋体" w:eastAsia="宋体" w:cs="宋体"/>
          <w:color w:val="auto"/>
          <w:szCs w:val="24"/>
        </w:rPr>
        <w:t>塔吊顶升加节前，首先应进行顶升交底和操作人员技能培训，待顶升操作人员清晰其工作界面后，方可开始顶升。</w:t>
      </w:r>
    </w:p>
    <w:p w14:paraId="00A78ADD">
      <w:pPr>
        <w:keepNext w:val="0"/>
        <w:keepLines w:val="0"/>
        <w:pageBreakBefore w:val="0"/>
        <w:numPr>
          <w:ilvl w:val="0"/>
          <w:numId w:val="41"/>
        </w:numPr>
        <w:kinsoku/>
        <w:wordWrap/>
        <w:overflowPunct/>
        <w:topLinePunct w:val="0"/>
        <w:autoSpaceDE/>
        <w:autoSpaceDN/>
        <w:bidi w:val="0"/>
        <w:snapToGrid/>
        <w:spacing w:beforeAutospacing="0" w:afterAutospacing="0" w:line="360" w:lineRule="auto"/>
        <w:ind w:firstLine="480"/>
        <w:outlineLvl w:val="9"/>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顶升前的准备工作</w:t>
      </w:r>
    </w:p>
    <w:p w14:paraId="39550F5D">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1、按液压泵站要求给其油箱加油，顶升横梁防脱装置的销轴退出踏步的圆孔。</w:t>
      </w:r>
    </w:p>
    <w:p w14:paraId="369BC32F">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2、清理好各个塔身节，在塔身节连接套内涂上黄油，将待顶升加高用的标准节在顶升位置时的起重臂下排成一排，这样能使塔机在整个顶升加节过程中不用回转机构，能使顶升加节过程所用时间最短。</w:t>
      </w:r>
    </w:p>
    <w:p w14:paraId="196B0071">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3、放松电缆长度略大于总的顶升高度，并紧固好电缆。将起重臂旋转至爬升架前方，平衡臂处于爬升架的后方（顶升油缸必须位于平衡臂下方）爬升架平台上准备好塔身高强度</w:t>
      </w:r>
      <w:r>
        <w:rPr>
          <w:rFonts w:hint="eastAsia" w:ascii="宋体" w:hAnsi="宋体" w:cs="宋体"/>
          <w:color w:val="auto"/>
          <w:kern w:val="0"/>
          <w:sz w:val="24"/>
          <w:szCs w:val="24"/>
          <w:lang w:val="en-US" w:eastAsia="zh-CN" w:bidi="ar"/>
        </w:rPr>
        <w:t>销轴</w:t>
      </w:r>
      <w:r>
        <w:rPr>
          <w:rFonts w:hint="eastAsia" w:ascii="宋体" w:hAnsi="宋体" w:eastAsia="宋体" w:cs="宋体"/>
          <w:color w:val="auto"/>
          <w:kern w:val="0"/>
          <w:sz w:val="24"/>
          <w:szCs w:val="24"/>
          <w:lang w:val="en-US" w:eastAsia="zh-CN" w:bidi="ar"/>
        </w:rPr>
        <w:t>。</w:t>
      </w:r>
    </w:p>
    <w:p w14:paraId="75DC792D">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4、检查、调试并确认顶升机构工作正确、可靠，保证爬升架能按塔机爬升规定的程序上升、下降、可靠停止；运行过程中应平稳，无爬行、振动现象。检查爬升架支承系统，确保各部分运动灵活，承重可靠。 液压顶升机构应保证安全，溢流阀的调整压力不得大于系统额定工作压力110%。</w:t>
      </w:r>
    </w:p>
    <w:p w14:paraId="7827A623">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操作顺序如下述；</w:t>
      </w:r>
      <w:r>
        <w:rPr>
          <w:rFonts w:hint="eastAsia" w:ascii="宋体" w:hAnsi="宋体" w:eastAsia="宋体" w:cs="宋体"/>
          <w:color w:val="auto"/>
          <w:kern w:val="0"/>
          <w:sz w:val="24"/>
          <w:szCs w:val="24"/>
          <w:lang w:val="en-US" w:eastAsia="zh-CN" w:bidi="ar"/>
        </w:rPr>
        <w:t xml:space="preserve"> </w:t>
      </w:r>
    </w:p>
    <w:p w14:paraId="0138B707">
      <w:pPr>
        <w:keepNext w:val="0"/>
        <w:keepLines w:val="0"/>
        <w:pageBreakBefore w:val="0"/>
        <w:numPr>
          <w:ilvl w:val="0"/>
          <w:numId w:val="41"/>
        </w:numPr>
        <w:kinsoku/>
        <w:wordWrap/>
        <w:overflowPunct/>
        <w:topLinePunct w:val="0"/>
        <w:autoSpaceDE/>
        <w:autoSpaceDN/>
        <w:bidi w:val="0"/>
        <w:snapToGrid/>
        <w:spacing w:beforeAutospacing="0" w:afterAutospacing="0" w:line="360" w:lineRule="auto"/>
        <w:ind w:firstLine="480"/>
        <w:outlineLvl w:val="9"/>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顶升时的配平</w:t>
      </w:r>
    </w:p>
    <w:p w14:paraId="2BF4099F">
      <w:pPr>
        <w:pStyle w:val="7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7A443912">
      <w:pPr>
        <w:pStyle w:val="74"/>
        <w:pageBreakBefore w:val="0"/>
        <w:kinsoku/>
        <w:wordWrap/>
        <w:overflowPunct/>
        <w:topLinePunct w:val="0"/>
        <w:bidi w:val="0"/>
        <w:spacing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color w:val="auto"/>
          <w:kern w:val="0"/>
          <w:sz w:val="24"/>
          <w:szCs w:val="24"/>
          <w:lang w:val="en-US" w:eastAsia="zh-CN" w:bidi="ar"/>
        </w:rPr>
        <w:t>2、</w:t>
      </w:r>
      <w:r>
        <w:rPr>
          <w:rFonts w:hint="eastAsia" w:ascii="宋体" w:hAnsi="宋体" w:eastAsia="宋体" w:cs="宋体"/>
          <w:color w:val="auto"/>
          <w:lang w:eastAsia="zh-CN"/>
        </w:rPr>
        <w:t>注意：</w:t>
      </w:r>
      <w:r>
        <w:rPr>
          <w:rFonts w:hint="eastAsia" w:ascii="宋体" w:hAnsi="宋体" w:eastAsia="宋体" w:cs="宋体"/>
          <w:b w:val="0"/>
          <w:bCs w:val="0"/>
          <w:color w:val="auto"/>
          <w:kern w:val="0"/>
          <w:sz w:val="24"/>
          <w:szCs w:val="24"/>
          <w:lang w:val="en-US" w:eastAsia="zh-CN" w:bidi="ar"/>
        </w:rPr>
        <w:t>必须使得塔机上部重心落在顶升油缸梁的位置上，方能进行塔机的顶升工作，否则可能会导致塔机倾覆，造成人身伤害安全事故！</w:t>
      </w:r>
    </w:p>
    <w:p w14:paraId="4A7EBF33">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0" w:firstLineChars="0"/>
        <w:jc w:val="center"/>
      </w:pPr>
      <w:r>
        <w:drawing>
          <wp:inline distT="0" distB="0" distL="114300" distR="114300">
            <wp:extent cx="5272405" cy="1470660"/>
            <wp:effectExtent l="0" t="0" r="4445" b="1524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66"/>
                    <a:stretch>
                      <a:fillRect/>
                    </a:stretch>
                  </pic:blipFill>
                  <pic:spPr>
                    <a:xfrm>
                      <a:off x="0" y="0"/>
                      <a:ext cx="5272405" cy="1470660"/>
                    </a:xfrm>
                    <a:prstGeom prst="rect">
                      <a:avLst/>
                    </a:prstGeom>
                    <a:noFill/>
                    <a:ln>
                      <a:noFill/>
                    </a:ln>
                  </pic:spPr>
                </pic:pic>
              </a:graphicData>
            </a:graphic>
          </wp:inline>
        </w:drawing>
      </w:r>
    </w:p>
    <w:p w14:paraId="36220B7D">
      <w:pPr>
        <w:pStyle w:val="12"/>
        <w:rPr>
          <w:rFonts w:hint="eastAsia" w:ascii="宋体" w:hAnsi="宋体" w:eastAsia="宋体" w:cs="宋体"/>
          <w:lang w:val="en-US" w:eastAsia="zh-CN"/>
        </w:rPr>
      </w:pPr>
      <w:r>
        <w:t xml:space="preserve">图 </w:t>
      </w:r>
      <w:r>
        <w:fldChar w:fldCharType="begin"/>
      </w:r>
      <w:r>
        <w:instrText xml:space="preserve"> STYLEREF 3 \s </w:instrText>
      </w:r>
      <w:r>
        <w:fldChar w:fldCharType="separate"/>
      </w:r>
      <w:r>
        <w:t>8.2.4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宋体" w:hAnsi="宋体" w:eastAsia="宋体" w:cs="宋体"/>
          <w:lang w:val="en-US" w:eastAsia="zh-CN"/>
        </w:rPr>
        <w:t>塔机配平示意图</w:t>
      </w:r>
    </w:p>
    <w:p w14:paraId="575D27CA">
      <w:pPr>
        <w:pStyle w:val="13"/>
        <w:rPr>
          <w:rFonts w:hint="eastAsia"/>
          <w:lang w:val="en-US" w:eastAsia="zh-CN"/>
        </w:rPr>
      </w:pPr>
    </w:p>
    <w:p w14:paraId="4E432D2E">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0" w:firstLineChars="0"/>
        <w:jc w:val="center"/>
      </w:pPr>
      <w:r>
        <w:t xml:space="preserve">表 </w:t>
      </w:r>
      <w:r>
        <w:fldChar w:fldCharType="begin"/>
      </w:r>
      <w:r>
        <w:instrText xml:space="preserve"> STYLEREF 3 \s </w:instrText>
      </w:r>
      <w:r>
        <w:fldChar w:fldCharType="separate"/>
      </w:r>
      <w:r>
        <w:t>8.2.4</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ascii="宋体" w:hAnsi="宋体" w:eastAsia="宋体" w:cs="宋体"/>
          <w:lang w:val="en-US" w:eastAsia="zh-CN"/>
        </w:rPr>
        <w:t>塔机各臂长配平参数明细表</w:t>
      </w:r>
    </w:p>
    <w:p w14:paraId="0DC44859">
      <w:pPr>
        <w:pStyle w:val="74"/>
        <w:pageBreakBefore w:val="0"/>
        <w:kinsoku/>
        <w:wordWrap/>
        <w:overflowPunct/>
        <w:topLinePunct w:val="0"/>
        <w:bidi w:val="0"/>
        <w:spacing w:line="360" w:lineRule="auto"/>
        <w:jc w:val="center"/>
        <w:rPr>
          <w:rFonts w:ascii="宋体" w:hAnsi="宋体" w:eastAsia="宋体" w:cs="宋体"/>
          <w:kern w:val="0"/>
          <w:sz w:val="24"/>
          <w:szCs w:val="24"/>
          <w:lang w:val="en-US" w:eastAsia="zh-CN" w:bidi="ar"/>
        </w:rPr>
      </w:pPr>
      <w:r>
        <w:drawing>
          <wp:inline distT="0" distB="0" distL="114300" distR="114300">
            <wp:extent cx="4258945" cy="1717040"/>
            <wp:effectExtent l="0" t="0" r="8255"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7"/>
                    <a:srcRect l="-181" t="6407" r="1180" b="2875"/>
                    <a:stretch>
                      <a:fillRect/>
                    </a:stretch>
                  </pic:blipFill>
                  <pic:spPr>
                    <a:xfrm>
                      <a:off x="0" y="0"/>
                      <a:ext cx="4258945" cy="1717040"/>
                    </a:xfrm>
                    <a:prstGeom prst="rect">
                      <a:avLst/>
                    </a:prstGeom>
                    <a:noFill/>
                    <a:ln>
                      <a:noFill/>
                    </a:ln>
                  </pic:spPr>
                </pic:pic>
              </a:graphicData>
            </a:graphic>
          </wp:inline>
        </w:drawing>
      </w:r>
    </w:p>
    <w:p w14:paraId="67E8B44D">
      <w:pPr>
        <w:pStyle w:val="74"/>
        <w:pageBreakBefore w:val="0"/>
        <w:kinsoku/>
        <w:wordWrap/>
        <w:overflowPunct/>
        <w:topLinePunct w:val="0"/>
        <w:bidi w:val="0"/>
        <w:spacing w:beforeAutospacing="0" w:afterAutospacing="0" w:line="360" w:lineRule="auto"/>
        <w:ind w:firstLine="480" w:firstLineChars="200"/>
        <w:rPr>
          <w:rFonts w:hint="eastAsia" w:ascii="宋体" w:hAnsi="宋体" w:eastAsia="宋体" w:cs="宋体"/>
          <w:b w:val="0"/>
          <w:bCs w:val="0"/>
          <w:color w:val="auto"/>
        </w:rPr>
      </w:pPr>
      <w:r>
        <w:rPr>
          <w:rFonts w:hint="eastAsia" w:ascii="宋体" w:hAnsi="宋体" w:eastAsia="宋体" w:cs="宋体"/>
          <w:b w:val="0"/>
          <w:bCs w:val="0"/>
          <w:color w:val="auto"/>
          <w:lang w:eastAsia="zh-CN"/>
        </w:rPr>
        <w:t>注意一：</w:t>
      </w:r>
      <w:r>
        <w:rPr>
          <w:rFonts w:hint="eastAsia" w:ascii="宋体" w:hAnsi="宋体" w:eastAsia="宋体" w:cs="宋体"/>
          <w:b w:val="0"/>
          <w:bCs w:val="0"/>
          <w:color w:val="auto"/>
          <w:kern w:val="0"/>
          <w:sz w:val="24"/>
          <w:szCs w:val="24"/>
          <w:lang w:val="en-US" w:eastAsia="zh-CN" w:bidi="ar"/>
        </w:rPr>
        <w:t>上表中的数据为理论配平尺寸，实际配平时以观察下支座支腿与塔身主弦杆在一条垂直线上，并观察爬升架 8 个导轮与塔身主弦杆间隙基本相同为准，否则可能造成配平错误，导致顶升倾覆安全事故。</w:t>
      </w:r>
    </w:p>
    <w:p w14:paraId="0D63F37E">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注意二：在顶升过程中禁止： </w:t>
      </w:r>
    </w:p>
    <w:p w14:paraId="36F82141">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1）回转起重臂。</w:t>
      </w:r>
    </w:p>
    <w:p w14:paraId="5E9062A4">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2）移动小车。 </w:t>
      </w:r>
    </w:p>
    <w:p w14:paraId="61560BFE">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3）提升重物（上升及下降）。 </w:t>
      </w:r>
    </w:p>
    <w:p w14:paraId="6219EE6C">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否则将会造成产品损坏及人身伤害安全事故！</w:t>
      </w:r>
    </w:p>
    <w:p w14:paraId="491A4A8E">
      <w:pPr>
        <w:keepNext w:val="0"/>
        <w:keepLines w:val="0"/>
        <w:pageBreakBefore w:val="0"/>
        <w:kinsoku/>
        <w:wordWrap/>
        <w:overflowPunct/>
        <w:topLinePunct w:val="0"/>
        <w:autoSpaceDE/>
        <w:autoSpaceDN/>
        <w:bidi w:val="0"/>
        <w:snapToGrid/>
        <w:spacing w:beforeAutospacing="0" w:afterAutospacing="0" w:line="360" w:lineRule="auto"/>
        <w:ind w:firstLine="420" w:firstLineChars="0"/>
        <w:jc w:val="left"/>
        <w:outlineLvl w:val="9"/>
        <w:rPr>
          <w:rFonts w:hint="default" w:ascii="宋体" w:hAnsi="宋体" w:eastAsia="宋体" w:cs="宋体"/>
          <w:lang w:val="en-US" w:eastAsia="zh-CN"/>
        </w:rPr>
      </w:pPr>
      <w:bookmarkStart w:id="109" w:name="_Toc6008"/>
      <w:r>
        <w:rPr>
          <w:rFonts w:hint="eastAsia" w:ascii="宋体" w:hAnsi="宋体" w:eastAsia="宋体" w:cs="宋体"/>
          <w:lang w:val="en-US" w:eastAsia="zh-CN"/>
        </w:rPr>
        <w:t>3、</w:t>
      </w:r>
      <w:r>
        <w:rPr>
          <w:rFonts w:hint="eastAsia" w:ascii="宋体" w:hAnsi="宋体" w:eastAsia="宋体" w:cs="宋体"/>
          <w:color w:val="auto"/>
          <w:lang w:eastAsia="zh-CN"/>
        </w:rPr>
        <w:t>一般说明</w:t>
      </w:r>
      <w:bookmarkEnd w:id="109"/>
    </w:p>
    <w:p w14:paraId="53D34669">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14467BC1">
      <w:pPr>
        <w:keepNext w:val="0"/>
        <w:keepLines w:val="0"/>
        <w:pageBreakBefore w:val="0"/>
        <w:numPr>
          <w:ilvl w:val="0"/>
          <w:numId w:val="0"/>
        </w:numPr>
        <w:tabs>
          <w:tab w:val="left" w:pos="548"/>
        </w:tabs>
        <w:kinsoku/>
        <w:wordWrap/>
        <w:overflowPunct/>
        <w:topLinePunct w:val="0"/>
        <w:autoSpaceDE/>
        <w:autoSpaceDN/>
        <w:bidi w:val="0"/>
        <w:snapToGrid/>
        <w:spacing w:beforeAutospacing="0" w:afterAutospacing="0" w:line="360" w:lineRule="auto"/>
        <w:ind w:firstLine="480" w:firstLineChars="200"/>
        <w:outlineLvl w:val="9"/>
        <w:rPr>
          <w:rFonts w:hint="eastAsia" w:ascii="宋体" w:hAnsi="宋体" w:eastAsia="宋体" w:cs="宋体"/>
          <w:color w:val="auto"/>
          <w:kern w:val="0"/>
          <w:sz w:val="24"/>
          <w:szCs w:val="24"/>
          <w:lang w:val="en-US" w:eastAsia="zh-CN" w:bidi="ar"/>
        </w:rPr>
      </w:pPr>
      <w:bookmarkStart w:id="110" w:name="_Toc20784"/>
      <w:r>
        <w:rPr>
          <w:rFonts w:hint="eastAsia" w:ascii="宋体" w:hAnsi="宋体" w:eastAsia="宋体" w:cs="宋体"/>
          <w:color w:val="auto"/>
          <w:kern w:val="0"/>
          <w:sz w:val="24"/>
          <w:szCs w:val="24"/>
          <w:lang w:val="en-US" w:eastAsia="zh-CN" w:bidi="ar"/>
        </w:rPr>
        <w:t>4、顶升原理</w:t>
      </w:r>
      <w:bookmarkEnd w:id="110"/>
    </w:p>
    <w:p w14:paraId="75B37F25">
      <w:pPr>
        <w:keepNext w:val="0"/>
        <w:keepLines w:val="0"/>
        <w:pageBreakBefore w:val="0"/>
        <w:numPr>
          <w:ilvl w:val="0"/>
          <w:numId w:val="0"/>
        </w:numPr>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szCs w:val="24"/>
        </w:rPr>
      </w:pPr>
      <w:r>
        <w:rPr>
          <w:rFonts w:hint="eastAsia" w:ascii="宋体" w:hAnsi="宋体" w:eastAsia="宋体" w:cs="宋体"/>
          <w:color w:val="auto"/>
          <w:szCs w:val="24"/>
        </w:rPr>
        <w:t>1)顶升程序包括一系列操作过程，这些操作过程需要重复进行几次。</w:t>
      </w:r>
    </w:p>
    <w:p w14:paraId="3668C5A4">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Cs w:val="24"/>
        </w:rPr>
      </w:pPr>
      <w:r>
        <w:rPr>
          <w:rFonts w:hint="eastAsia" w:ascii="宋体" w:hAnsi="宋体" w:eastAsia="宋体" w:cs="宋体"/>
          <w:color w:val="auto"/>
          <w:szCs w:val="24"/>
        </w:rPr>
        <w:t>2)将顶升横梁上的挂靴放入标准节上就近的一组顶升耳座内，并用安全销将挂靴与标准节固定，防止挂靴脱出顶升耳座。</w:t>
      </w:r>
    </w:p>
    <w:p w14:paraId="0FDA0D8E">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Cs w:val="24"/>
        </w:rPr>
      </w:pPr>
      <w:r>
        <w:rPr>
          <w:rFonts w:hint="eastAsia" w:ascii="宋体" w:hAnsi="宋体" w:eastAsia="宋体" w:cs="宋体"/>
          <w:color w:val="auto"/>
          <w:szCs w:val="24"/>
        </w:rPr>
        <w:t>3)将塔机回转以上部分配平，使其重心位置落在顶升油缸上。</w:t>
      </w:r>
    </w:p>
    <w:p w14:paraId="12C656A6">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Cs w:val="24"/>
        </w:rPr>
      </w:pPr>
      <w:r>
        <w:rPr>
          <w:rFonts w:hint="eastAsia" w:ascii="宋体" w:hAnsi="宋体" w:eastAsia="宋体" w:cs="宋体"/>
          <w:color w:val="auto"/>
          <w:szCs w:val="24"/>
        </w:rPr>
        <w:t>4)用顶升横梁上的顶升油缸顶起塔机下支座及以上部分。</w:t>
      </w:r>
    </w:p>
    <w:p w14:paraId="6D32721F">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Cs w:val="24"/>
        </w:rPr>
      </w:pPr>
      <w:r>
        <w:rPr>
          <w:rFonts w:hint="eastAsia" w:ascii="宋体" w:hAnsi="宋体" w:eastAsia="宋体" w:cs="宋体"/>
          <w:color w:val="auto"/>
          <w:szCs w:val="24"/>
        </w:rPr>
        <w:t>5)用套架制动块将顶起的塔机部分支撑在塔身的顶各项耳座上。</w:t>
      </w:r>
    </w:p>
    <w:p w14:paraId="10B2DF34">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Cs w:val="24"/>
        </w:rPr>
      </w:pPr>
      <w:r>
        <w:rPr>
          <w:rFonts w:hint="eastAsia" w:ascii="宋体" w:hAnsi="宋体" w:eastAsia="宋体" w:cs="宋体"/>
          <w:color w:val="auto"/>
          <w:szCs w:val="24"/>
        </w:rPr>
        <w:t>6)抽出将挂靴锁闭在耳座上的安全销。</w:t>
      </w:r>
    </w:p>
    <w:p w14:paraId="00E5DC1B">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Cs w:val="24"/>
        </w:rPr>
      </w:pPr>
      <w:r>
        <w:rPr>
          <w:rFonts w:hint="eastAsia" w:ascii="宋体" w:hAnsi="宋体" w:eastAsia="宋体" w:cs="宋体"/>
          <w:color w:val="auto"/>
          <w:szCs w:val="24"/>
        </w:rPr>
        <w:t>7)收回油缸活塞杆，将顶升横梁组件提起。</w:t>
      </w:r>
    </w:p>
    <w:p w14:paraId="1D5F46B9">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Cs w:val="24"/>
        </w:rPr>
      </w:pPr>
      <w:r>
        <w:rPr>
          <w:rFonts w:hint="eastAsia" w:ascii="宋体" w:hAnsi="宋体" w:eastAsia="宋体" w:cs="宋体"/>
          <w:color w:val="auto"/>
          <w:szCs w:val="24"/>
        </w:rPr>
        <w:t>8)重新将顶升横梁放到上一对顶升耳座内，再开始做下一个工作循环。</w:t>
      </w:r>
    </w:p>
    <w:p w14:paraId="1754D222">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Cs w:val="24"/>
        </w:rPr>
      </w:pPr>
      <w:r>
        <w:rPr>
          <w:rFonts w:hint="eastAsia" w:ascii="宋体" w:hAnsi="宋体" w:eastAsia="宋体" w:cs="宋体"/>
          <w:color w:val="auto"/>
          <w:szCs w:val="24"/>
        </w:rPr>
        <w:t>9)顶升油缸活塞杆的工作行程略为</w:t>
      </w:r>
      <w:r>
        <w:rPr>
          <w:rFonts w:hint="eastAsia" w:ascii="宋体" w:hAnsi="宋体" w:eastAsia="宋体" w:cs="宋体"/>
          <w:color w:val="auto"/>
          <w:szCs w:val="24"/>
          <w:highlight w:val="none"/>
        </w:rPr>
        <w:t>1.</w:t>
      </w:r>
      <w:r>
        <w:rPr>
          <w:rFonts w:hint="eastAsia" w:ascii="宋体" w:hAnsi="宋体" w:cs="宋体"/>
          <w:color w:val="auto"/>
          <w:szCs w:val="24"/>
          <w:highlight w:val="none"/>
          <w:lang w:val="en-US" w:eastAsia="zh-CN"/>
        </w:rPr>
        <w:t>5</w:t>
      </w:r>
      <w:r>
        <w:rPr>
          <w:rFonts w:hint="eastAsia" w:ascii="宋体" w:hAnsi="宋体" w:eastAsia="宋体" w:cs="宋体"/>
          <w:color w:val="auto"/>
          <w:szCs w:val="24"/>
          <w:highlight w:val="none"/>
        </w:rPr>
        <w:t>米</w:t>
      </w:r>
      <w:r>
        <w:rPr>
          <w:rFonts w:hint="eastAsia" w:ascii="宋体" w:hAnsi="宋体" w:eastAsia="宋体" w:cs="宋体"/>
          <w:color w:val="auto"/>
          <w:szCs w:val="24"/>
        </w:rPr>
        <w:t>，顶升两次可安装一节标准节。</w:t>
      </w:r>
    </w:p>
    <w:p w14:paraId="1EDF584E">
      <w:pPr>
        <w:pStyle w:val="74"/>
        <w:pageBreakBefore w:val="0"/>
        <w:kinsoku/>
        <w:wordWrap/>
        <w:overflowPunct/>
        <w:topLinePunct w:val="0"/>
        <w:bidi w:val="0"/>
        <w:spacing w:beforeAutospacing="0" w:afterAutospacing="0" w:line="360" w:lineRule="auto"/>
        <w:ind w:firstLine="240" w:firstLineChars="100"/>
        <w:outlineLvl w:val="9"/>
        <w:rPr>
          <w:rFonts w:hint="default" w:ascii="宋体" w:hAnsi="宋体" w:eastAsia="宋体" w:cs="宋体"/>
          <w:color w:val="auto"/>
          <w:kern w:val="0"/>
          <w:sz w:val="24"/>
          <w:szCs w:val="24"/>
          <w:lang w:val="en-US" w:eastAsia="zh-CN" w:bidi="ar"/>
        </w:rPr>
      </w:pPr>
      <w:r>
        <w:rPr>
          <w:rFonts w:hint="eastAsia" w:ascii="宋体" w:hAnsi="宋体" w:eastAsia="宋体" w:cs="宋体"/>
          <w:color w:val="auto"/>
          <w:szCs w:val="24"/>
          <w:lang w:val="en-US" w:eastAsia="zh-CN"/>
        </w:rPr>
        <w:t xml:space="preserve">  </w:t>
      </w:r>
      <w:bookmarkStart w:id="111" w:name="_Toc26861"/>
      <w:r>
        <w:rPr>
          <w:rFonts w:hint="eastAsia" w:ascii="宋体" w:hAnsi="宋体" w:eastAsia="宋体" w:cs="宋体"/>
          <w:color w:val="auto"/>
          <w:szCs w:val="24"/>
          <w:lang w:val="en-US" w:eastAsia="zh-CN"/>
        </w:rPr>
        <w:t>5、</w:t>
      </w:r>
      <w:r>
        <w:rPr>
          <w:rFonts w:hint="eastAsia" w:ascii="宋体" w:hAnsi="宋体" w:eastAsia="宋体" w:cs="宋体"/>
          <w:color w:val="auto"/>
          <w:kern w:val="0"/>
          <w:sz w:val="24"/>
          <w:szCs w:val="24"/>
          <w:lang w:val="en-US" w:eastAsia="zh-CN" w:bidi="ar"/>
        </w:rPr>
        <w:t>配平起重机</w:t>
      </w:r>
      <w:bookmarkEnd w:id="111"/>
    </w:p>
    <w:p w14:paraId="6331E135">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eastAsia" w:ascii="宋体" w:hAnsi="宋体" w:eastAsia="宋体" w:cs="宋体"/>
          <w:color w:val="auto"/>
        </w:rPr>
      </w:pPr>
      <w:bookmarkStart w:id="112" w:name="_Toc11321"/>
      <w:r>
        <w:rPr>
          <w:rFonts w:hint="eastAsia" w:ascii="宋体" w:hAnsi="宋体" w:eastAsia="宋体" w:cs="宋体"/>
          <w:color w:val="auto"/>
          <w:kern w:val="0"/>
          <w:sz w:val="24"/>
          <w:szCs w:val="24"/>
          <w:lang w:val="en-US" w:eastAsia="zh-CN" w:bidi="ar"/>
        </w:rPr>
        <w:t>1）准备</w:t>
      </w:r>
      <w:bookmarkEnd w:id="112"/>
      <w:r>
        <w:rPr>
          <w:rFonts w:hint="eastAsia" w:ascii="宋体" w:hAnsi="宋体" w:eastAsia="宋体" w:cs="宋体"/>
          <w:color w:val="auto"/>
          <w:kern w:val="0"/>
          <w:sz w:val="24"/>
          <w:szCs w:val="24"/>
          <w:lang w:val="en-US" w:eastAsia="zh-CN" w:bidi="ar"/>
        </w:rPr>
        <w:t xml:space="preserve"> </w:t>
      </w:r>
    </w:p>
    <w:p w14:paraId="7B27C032">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检查确认引进平台上放置着一个标节。检查确认爬升架由销轴固定到特殊节上。将变幅小车移到理论上的平衡距离。取下最后一节标节与特殊节之间的螺栓。</w:t>
      </w:r>
    </w:p>
    <w:p w14:paraId="5F9E0861">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eastAsia" w:ascii="宋体" w:hAnsi="宋体" w:eastAsia="宋体" w:cs="宋体"/>
          <w:color w:val="auto"/>
          <w:kern w:val="0"/>
          <w:sz w:val="24"/>
          <w:szCs w:val="24"/>
          <w:lang w:val="en-US" w:eastAsia="zh-CN" w:bidi="ar"/>
        </w:rPr>
      </w:pPr>
      <w:bookmarkStart w:id="113" w:name="_Toc30525"/>
      <w:r>
        <w:rPr>
          <w:rFonts w:hint="eastAsia" w:ascii="宋体" w:hAnsi="宋体" w:eastAsia="宋体" w:cs="宋体"/>
          <w:color w:val="auto"/>
          <w:kern w:val="0"/>
          <w:sz w:val="24"/>
          <w:szCs w:val="24"/>
          <w:lang w:val="en-US" w:eastAsia="zh-CN" w:bidi="ar"/>
        </w:rPr>
        <w:t>2）配平</w:t>
      </w:r>
      <w:bookmarkEnd w:id="113"/>
      <w:r>
        <w:rPr>
          <w:rFonts w:hint="eastAsia" w:ascii="宋体" w:hAnsi="宋体" w:eastAsia="宋体" w:cs="宋体"/>
          <w:color w:val="auto"/>
          <w:kern w:val="0"/>
          <w:sz w:val="24"/>
          <w:szCs w:val="24"/>
          <w:lang w:val="en-US" w:eastAsia="zh-CN" w:bidi="ar"/>
        </w:rPr>
        <w:t xml:space="preserve"> </w:t>
      </w:r>
    </w:p>
    <w:p w14:paraId="07B257EA">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eastAsia" w:ascii="宋体" w:hAnsi="宋体" w:eastAsia="宋体" w:cs="宋体"/>
          <w:b w:val="0"/>
          <w:bCs w:val="0"/>
          <w:color w:val="auto"/>
        </w:rPr>
      </w:pPr>
      <w:r>
        <w:rPr>
          <w:rFonts w:hint="eastAsia" w:ascii="宋体" w:hAnsi="宋体" w:eastAsia="宋体" w:cs="宋体"/>
          <w:color w:val="auto"/>
          <w:kern w:val="0"/>
          <w:sz w:val="24"/>
          <w:szCs w:val="24"/>
          <w:lang w:val="en-US" w:eastAsia="zh-CN" w:bidi="ar"/>
        </w:rPr>
        <w:t>注</w:t>
      </w:r>
      <w:r>
        <w:rPr>
          <w:rFonts w:hint="eastAsia" w:ascii="宋体" w:hAnsi="宋体" w:eastAsia="宋体" w:cs="宋体"/>
          <w:b w:val="0"/>
          <w:bCs w:val="0"/>
          <w:color w:val="auto"/>
          <w:kern w:val="0"/>
          <w:sz w:val="24"/>
          <w:szCs w:val="24"/>
          <w:lang w:val="en-US" w:eastAsia="zh-CN" w:bidi="ar"/>
        </w:rPr>
        <w:t>意：只有在特殊节支脚被顶起离开塔身连接套时方可进行配平微调。</w:t>
      </w:r>
    </w:p>
    <w:p w14:paraId="7E530DEA">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0" w:firstLineChars="0"/>
        <w:jc w:val="center"/>
      </w:pPr>
      <w:r>
        <w:drawing>
          <wp:inline distT="0" distB="0" distL="114300" distR="114300">
            <wp:extent cx="5273040" cy="1535430"/>
            <wp:effectExtent l="0" t="0" r="3810" b="762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68"/>
                    <a:stretch>
                      <a:fillRect/>
                    </a:stretch>
                  </pic:blipFill>
                  <pic:spPr>
                    <a:xfrm>
                      <a:off x="0" y="0"/>
                      <a:ext cx="5273040" cy="1535430"/>
                    </a:xfrm>
                    <a:prstGeom prst="rect">
                      <a:avLst/>
                    </a:prstGeom>
                    <a:noFill/>
                    <a:ln>
                      <a:noFill/>
                    </a:ln>
                  </pic:spPr>
                </pic:pic>
              </a:graphicData>
            </a:graphic>
          </wp:inline>
        </w:drawing>
      </w:r>
    </w:p>
    <w:p w14:paraId="328669E6">
      <w:pPr>
        <w:pStyle w:val="12"/>
        <w:rPr>
          <w:rFonts w:hint="eastAsia" w:ascii="宋体" w:hAnsi="宋体" w:eastAsia="宋体" w:cs="宋体"/>
          <w:lang w:val="en-US" w:eastAsia="zh-CN"/>
        </w:rPr>
      </w:pPr>
      <w:r>
        <w:t xml:space="preserve">图 </w:t>
      </w:r>
      <w:r>
        <w:fldChar w:fldCharType="begin"/>
      </w:r>
      <w:r>
        <w:instrText xml:space="preserve"> STYLEREF 3 \s </w:instrText>
      </w:r>
      <w:r>
        <w:fldChar w:fldCharType="separate"/>
      </w:r>
      <w:r>
        <w:t>8.2.4</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w:t>
      </w:r>
      <w:r>
        <w:rPr>
          <w:rFonts w:hint="eastAsia" w:ascii="宋体" w:hAnsi="宋体" w:eastAsia="宋体" w:cs="宋体"/>
          <w:lang w:val="en-US" w:eastAsia="zh-CN"/>
        </w:rPr>
        <w:t>塔机配平示意图</w:t>
      </w:r>
    </w:p>
    <w:p w14:paraId="10752858">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塔机配平前，必须先将载重小车运行到配平参考位置，并吊起一节标准节(顶升时必须根据实际情况的需要调整)，然后拆除特殊节四个支腿与标准节的连接螺栓</w:t>
      </w:r>
      <w:r>
        <w:rPr>
          <w:rFonts w:hint="eastAsia" w:ascii="宋体" w:hAnsi="宋体" w:cs="宋体"/>
          <w:color w:val="auto"/>
          <w:kern w:val="0"/>
          <w:sz w:val="24"/>
          <w:szCs w:val="24"/>
          <w:lang w:val="en-US" w:eastAsia="zh-CN" w:bidi="ar"/>
        </w:rPr>
        <w:t>。</w:t>
      </w:r>
    </w:p>
    <w:p w14:paraId="3CEB395E">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将液压顶升系统操纵杆推至“顶升”方向，使爬升架项升至特殊节支腿刚刚脱离塔身节的主弦杆的位置。 </w:t>
      </w:r>
    </w:p>
    <w:p w14:paraId="7EC5D664">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通过检验特殊节支腿与塔身主弦杆是否在一条垂直线上，并观察爬升架8个导轮与塔身主弦杆间隙是否基本相同来检查塔机是否平衡。略微调整载重小车的配平位置，直至平衡。必须使得塔机上部重心落在顶升油缸梁的位置上。 </w:t>
      </w:r>
    </w:p>
    <w:p w14:paraId="6EC91B2B">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记录下载重小车的配平位置。但要注意该位置随起重臂长度不同而改变。 </w:t>
      </w:r>
    </w:p>
    <w:p w14:paraId="58FD84A5">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操纵液压系统使爬升架下降，连接好特殊节</w:t>
      </w:r>
      <w:r>
        <w:rPr>
          <w:rFonts w:hint="eastAsia" w:ascii="宋体" w:hAnsi="宋体" w:cs="宋体"/>
          <w:color w:val="auto"/>
          <w:kern w:val="0"/>
          <w:sz w:val="24"/>
          <w:szCs w:val="24"/>
          <w:lang w:val="en-US" w:eastAsia="zh-CN" w:bidi="ar"/>
        </w:rPr>
        <w:t>与</w:t>
      </w:r>
      <w:r>
        <w:rPr>
          <w:rFonts w:hint="eastAsia" w:ascii="宋体" w:hAnsi="宋体" w:eastAsia="宋体" w:cs="宋体"/>
          <w:color w:val="auto"/>
          <w:kern w:val="0"/>
          <w:sz w:val="24"/>
          <w:szCs w:val="24"/>
          <w:lang w:val="en-US" w:eastAsia="zh-CN" w:bidi="ar"/>
        </w:rPr>
        <w:t>塔身</w:t>
      </w:r>
      <w:r>
        <w:rPr>
          <w:rFonts w:hint="eastAsia" w:ascii="宋体" w:hAnsi="宋体" w:cs="宋体"/>
          <w:color w:val="auto"/>
          <w:kern w:val="0"/>
          <w:sz w:val="24"/>
          <w:szCs w:val="24"/>
          <w:lang w:val="en-US" w:eastAsia="zh-CN" w:bidi="ar"/>
        </w:rPr>
        <w:t>标准</w:t>
      </w:r>
      <w:r>
        <w:rPr>
          <w:rFonts w:hint="eastAsia" w:ascii="宋体" w:hAnsi="宋体" w:eastAsia="宋体" w:cs="宋体"/>
          <w:color w:val="auto"/>
          <w:kern w:val="0"/>
          <w:sz w:val="24"/>
          <w:szCs w:val="24"/>
          <w:lang w:val="en-US" w:eastAsia="zh-CN" w:bidi="ar"/>
        </w:rPr>
        <w:t>节间的连接</w:t>
      </w:r>
      <w:r>
        <w:rPr>
          <w:rFonts w:hint="eastAsia" w:ascii="宋体" w:hAnsi="宋体" w:cs="宋体"/>
          <w:color w:val="auto"/>
          <w:kern w:val="0"/>
          <w:sz w:val="24"/>
          <w:szCs w:val="24"/>
          <w:lang w:val="en-US" w:eastAsia="zh-CN" w:bidi="ar"/>
        </w:rPr>
        <w:t>螺栓</w:t>
      </w:r>
      <w:r>
        <w:rPr>
          <w:rFonts w:hint="eastAsia" w:ascii="宋体" w:hAnsi="宋体" w:eastAsia="宋体" w:cs="宋体"/>
          <w:color w:val="auto"/>
          <w:kern w:val="0"/>
          <w:sz w:val="24"/>
          <w:szCs w:val="24"/>
          <w:lang w:val="en-US" w:eastAsia="zh-CN" w:bidi="ar"/>
        </w:rPr>
        <w:t>。</w:t>
      </w:r>
    </w:p>
    <w:p w14:paraId="65F33AF5">
      <w:pPr>
        <w:pStyle w:val="74"/>
        <w:pageBreakBefore w:val="0"/>
        <w:kinsoku/>
        <w:wordWrap/>
        <w:overflowPunct/>
        <w:topLinePunct w:val="0"/>
        <w:bidi w:val="0"/>
        <w:spacing w:line="360" w:lineRule="auto"/>
        <w:ind w:firstLine="482" w:firstLineChars="200"/>
        <w:outlineLvl w:val="9"/>
        <w:rPr>
          <w:rFonts w:hint="eastAsia" w:ascii="宋体" w:hAnsi="宋体" w:eastAsia="宋体" w:cs="宋体"/>
          <w:color w:val="auto"/>
          <w:kern w:val="0"/>
          <w:sz w:val="24"/>
          <w:szCs w:val="24"/>
          <w:lang w:val="en-US" w:eastAsia="zh-CN" w:bidi="ar"/>
        </w:rPr>
      </w:pPr>
      <w:bookmarkStart w:id="114" w:name="_Toc31271"/>
      <w:r>
        <w:rPr>
          <w:rFonts w:hint="eastAsia" w:ascii="宋体" w:hAnsi="宋体" w:eastAsia="宋体" w:cs="宋体"/>
          <w:b/>
          <w:bCs/>
          <w:color w:val="auto"/>
          <w:kern w:val="0"/>
          <w:sz w:val="24"/>
          <w:szCs w:val="24"/>
          <w:lang w:val="en-US" w:eastAsia="zh-CN" w:bidi="ar"/>
        </w:rPr>
        <w:t>（3）顶升作业</w:t>
      </w:r>
      <w:bookmarkEnd w:id="114"/>
    </w:p>
    <w:p w14:paraId="1050BAA9">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eastAsia" w:ascii="宋体" w:hAnsi="宋体" w:eastAsia="宋体" w:cs="宋体"/>
          <w:color w:val="auto"/>
          <w:lang w:val="en-US" w:eastAsia="zh-CN"/>
        </w:rPr>
      </w:pPr>
      <w:bookmarkStart w:id="115" w:name="_Toc7545"/>
      <w:r>
        <w:rPr>
          <w:rFonts w:hint="eastAsia" w:ascii="宋体" w:hAnsi="宋体" w:eastAsia="宋体" w:cs="宋体"/>
          <w:color w:val="auto"/>
          <w:lang w:val="en-US" w:eastAsia="zh-CN"/>
        </w:rPr>
        <w:t>1）顶升作业顺序</w:t>
      </w:r>
      <w:bookmarkEnd w:id="115"/>
    </w:p>
    <w:p w14:paraId="37BA3680">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顶升作业顺序包括了一连串将重复数次的操作： </w:t>
      </w:r>
    </w:p>
    <w:p w14:paraId="5C2C1063">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firstLine="42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在地面将四个引进轮安装固定在待吊标节下部横腹杆的四个角上（引进轮的安装位置参考下图），然后吊起标节并安放在引进平台上；</w:t>
      </w:r>
    </w:p>
    <w:p w14:paraId="56650EE7">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firstLine="42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再吊一节标准节，将载重小车开至顶升平衡位置；</w:t>
      </w:r>
    </w:p>
    <w:p w14:paraId="4E4951A1">
      <w:pPr>
        <w:keepNext w:val="0"/>
        <w:keepLines w:val="0"/>
        <w:pageBreakBefore w:val="0"/>
        <w:suppressLineNumbers w:val="0"/>
        <w:kinsoku/>
        <w:wordWrap/>
        <w:overflowPunct/>
        <w:topLinePunct w:val="0"/>
        <w:autoSpaceDE/>
        <w:autoSpaceDN/>
        <w:bidi w:val="0"/>
        <w:snapToGrid/>
        <w:spacing w:beforeAutospacing="0" w:afterAutospacing="0" w:line="360" w:lineRule="auto"/>
        <w:jc w:val="both"/>
        <w:rPr>
          <w:rFonts w:ascii="宋体" w:hAnsi="宋体" w:eastAsia="宋体" w:cs="宋体"/>
          <w:kern w:val="0"/>
          <w:sz w:val="24"/>
          <w:szCs w:val="24"/>
          <w:lang w:val="en-US" w:eastAsia="zh-CN" w:bidi="ar"/>
        </w:rPr>
      </w:pPr>
      <w:r>
        <w:drawing>
          <wp:inline distT="0" distB="0" distL="114300" distR="114300">
            <wp:extent cx="5268595" cy="1539240"/>
            <wp:effectExtent l="0" t="0" r="8255" b="381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69"/>
                    <a:stretch>
                      <a:fillRect/>
                    </a:stretch>
                  </pic:blipFill>
                  <pic:spPr>
                    <a:xfrm>
                      <a:off x="0" y="0"/>
                      <a:ext cx="5268595" cy="1539240"/>
                    </a:xfrm>
                    <a:prstGeom prst="rect">
                      <a:avLst/>
                    </a:prstGeom>
                    <a:noFill/>
                    <a:ln>
                      <a:noFill/>
                    </a:ln>
                  </pic:spPr>
                </pic:pic>
              </a:graphicData>
            </a:graphic>
          </wp:inline>
        </w:drawing>
      </w:r>
    </w:p>
    <w:p w14:paraId="52AB017A">
      <w:pPr>
        <w:pStyle w:val="12"/>
        <w:rPr>
          <w:rFonts w:hint="eastAsia" w:ascii="宋体" w:hAnsi="宋体" w:eastAsia="宋体" w:cs="宋体"/>
          <w:lang w:val="en-US" w:eastAsia="zh-CN"/>
        </w:rPr>
      </w:pPr>
      <w:r>
        <w:t xml:space="preserve">图 </w:t>
      </w:r>
      <w:r>
        <w:fldChar w:fldCharType="begin"/>
      </w:r>
      <w:r>
        <w:instrText xml:space="preserve"> STYLEREF 3 \s </w:instrText>
      </w:r>
      <w:r>
        <w:fldChar w:fldCharType="separate"/>
      </w:r>
      <w:r>
        <w:t>8.2.4</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ascii="宋体" w:hAnsi="宋体" w:eastAsia="宋体" w:cs="宋体"/>
          <w:lang w:val="en-US" w:eastAsia="zh-CN"/>
        </w:rPr>
        <w:t>　顶升作业顺序示意图1</w:t>
      </w:r>
    </w:p>
    <w:p w14:paraId="264CF9AF">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firstLine="42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使用回转机构上的回转制动器，将塔机上部机构处于制动状态，卸下塔身顶部与特殊节连接的</w:t>
      </w:r>
      <w:r>
        <w:rPr>
          <w:rFonts w:hint="default" w:ascii="宋体" w:hAnsi="宋体" w:eastAsia="宋体" w:cs="宋体"/>
          <w:sz w:val="24"/>
          <w:szCs w:val="24"/>
          <w:lang w:val="en-US" w:eastAsia="zh-CN"/>
        </w:rPr>
        <w:t>8</w:t>
      </w:r>
      <w:r>
        <w:rPr>
          <w:rFonts w:hint="eastAsia" w:ascii="宋体" w:hAnsi="宋体" w:eastAsia="宋体" w:cs="宋体"/>
          <w:sz w:val="24"/>
          <w:szCs w:val="24"/>
          <w:lang w:val="en-US" w:eastAsia="zh-CN"/>
        </w:rPr>
        <w:t xml:space="preserve">个高强度螺栓； </w:t>
      </w:r>
    </w:p>
    <w:p w14:paraId="03F94D9A">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firstLine="42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动液压顶升系统，使油缸活塞杆伸出，将顶升横梁两端的销轴落入距顶升横梁最近的塔身节踏步的圆弧槽内，插入防脱销（要设专人负责观察顶升横梁两端销轴都必须落入踏步圆弧槽内），确认无误后继续顶升，将爬升架及以上部分顶起</w:t>
      </w:r>
      <w:r>
        <w:rPr>
          <w:rFonts w:hint="default" w:ascii="宋体" w:hAnsi="宋体" w:eastAsia="宋体" w:cs="宋体"/>
          <w:sz w:val="24"/>
          <w:szCs w:val="24"/>
          <w:lang w:val="en-US" w:eastAsia="zh-CN"/>
        </w:rPr>
        <w:t>10~50mm</w:t>
      </w:r>
      <w:r>
        <w:rPr>
          <w:rFonts w:hint="eastAsia" w:ascii="宋体" w:hAnsi="宋体" w:eastAsia="宋体" w:cs="宋体"/>
          <w:sz w:val="24"/>
          <w:szCs w:val="24"/>
          <w:lang w:val="en-US" w:eastAsia="zh-CN"/>
        </w:rPr>
        <w:t>时停止，检查顶升横梁等爬升架传力部件是否有异响、变形，油缸活塞杆是否有自动回缩等异常现象，确认正常后，继续顶升；顶升略超过半个塔身节高度并使爬升架上的活动爬爪滑过一对踏步并自动复位后，停止顶升，并回缩油缸；确认两个活动爬爪全部准确地压在踏步顶端的平面上并承受住爬升架及其以上部分的重量，且无局部变形、异响等异常情况</w:t>
      </w:r>
    </w:p>
    <w:p w14:paraId="6A659B06">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firstLine="420" w:firstLineChars="0"/>
        <w:jc w:val="center"/>
        <w:textAlignment w:val="auto"/>
      </w:pPr>
      <w:r>
        <w:drawing>
          <wp:inline distT="0" distB="0" distL="114300" distR="114300">
            <wp:extent cx="4646295" cy="2315845"/>
            <wp:effectExtent l="0" t="0" r="1905" b="825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70"/>
                    <a:stretch>
                      <a:fillRect/>
                    </a:stretch>
                  </pic:blipFill>
                  <pic:spPr>
                    <a:xfrm>
                      <a:off x="0" y="0"/>
                      <a:ext cx="4646295" cy="2315845"/>
                    </a:xfrm>
                    <a:prstGeom prst="rect">
                      <a:avLst/>
                    </a:prstGeom>
                    <a:noFill/>
                    <a:ln>
                      <a:noFill/>
                    </a:ln>
                  </pic:spPr>
                </pic:pic>
              </a:graphicData>
            </a:graphic>
          </wp:inline>
        </w:drawing>
      </w:r>
    </w:p>
    <w:p w14:paraId="554517A5">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firstLine="420" w:firstLineChars="0"/>
        <w:jc w:val="left"/>
        <w:textAlignment w:val="auto"/>
        <w:rPr>
          <w:rFonts w:hint="eastAsia"/>
        </w:rPr>
      </w:pPr>
      <w:r>
        <w:rPr>
          <w:rFonts w:hint="eastAsia"/>
        </w:rPr>
        <w:t>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上的标准节拉进至塔身正上方，稍微缩回油缸，将新引进的标准节落在塔身顶部并对正，拆下引进轮。用8件高强度螺栓（每根高强度螺栓必须有两个螺母）将上、下标准节连接牢靠（预紧力矩1400N·m）</w:t>
      </w:r>
    </w:p>
    <w:p w14:paraId="36DEE2FC">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firstLine="420" w:firstLineChars="0"/>
        <w:jc w:val="center"/>
        <w:textAlignment w:val="auto"/>
      </w:pPr>
      <w:r>
        <w:drawing>
          <wp:inline distT="0" distB="0" distL="114300" distR="114300">
            <wp:extent cx="2194560" cy="2934335"/>
            <wp:effectExtent l="0" t="0" r="15240" b="1841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71"/>
                    <a:stretch>
                      <a:fillRect/>
                    </a:stretch>
                  </pic:blipFill>
                  <pic:spPr>
                    <a:xfrm>
                      <a:off x="0" y="0"/>
                      <a:ext cx="2194560" cy="2934335"/>
                    </a:xfrm>
                    <a:prstGeom prst="rect">
                      <a:avLst/>
                    </a:prstGeom>
                    <a:noFill/>
                    <a:ln>
                      <a:noFill/>
                    </a:ln>
                  </pic:spPr>
                </pic:pic>
              </a:graphicData>
            </a:graphic>
          </wp:inline>
        </w:drawing>
      </w:r>
    </w:p>
    <w:p w14:paraId="1C4FF917">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firstLine="420" w:firstLineChars="0"/>
        <w:jc w:val="left"/>
        <w:textAlignment w:val="auto"/>
        <w:rPr>
          <w:rFonts w:hint="default"/>
          <w:lang w:val="en-US" w:eastAsia="zh-CN"/>
        </w:rPr>
      </w:pPr>
      <w:r>
        <w:rPr>
          <w:rFonts w:hint="eastAsia"/>
          <w:lang w:val="en-US" w:eastAsia="zh-CN"/>
        </w:rPr>
        <w:t>销轴及防脱销收回后，继续缩回油缸，将特殊节落在新的塔身顶部上，并对正，用高强度螺 栓将下支座与塔身</w:t>
      </w:r>
      <w:r>
        <w:rPr>
          <w:rFonts w:hint="default"/>
          <w:lang w:val="en-US" w:eastAsia="zh-CN"/>
        </w:rPr>
        <w:t>4</w:t>
      </w:r>
      <w:r>
        <w:rPr>
          <w:rFonts w:hint="eastAsia"/>
          <w:lang w:val="en-US" w:eastAsia="zh-CN"/>
        </w:rPr>
        <w:t>个主弦上的全部连接套连接牢靠（每根高强度螺栓必须有两个螺母），即完成一节标准节的加节工作。</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1817"/>
        <w:gridCol w:w="2015"/>
        <w:gridCol w:w="2004"/>
        <w:gridCol w:w="1705"/>
      </w:tblGrid>
      <w:tr w14:paraId="0D98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51BB851F">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序号</w:t>
            </w:r>
          </w:p>
        </w:tc>
        <w:tc>
          <w:tcPr>
            <w:tcW w:w="2046" w:type="dxa"/>
          </w:tcPr>
          <w:p w14:paraId="468E073D">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塔机编号</w:t>
            </w:r>
          </w:p>
        </w:tc>
        <w:tc>
          <w:tcPr>
            <w:tcW w:w="2277" w:type="dxa"/>
          </w:tcPr>
          <w:p w14:paraId="635F0CAF">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已安装基础节数量</w:t>
            </w:r>
          </w:p>
        </w:tc>
        <w:tc>
          <w:tcPr>
            <w:tcW w:w="2264" w:type="dxa"/>
          </w:tcPr>
          <w:p w14:paraId="178C90BE">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已安装标准节数量</w:t>
            </w:r>
          </w:p>
        </w:tc>
        <w:tc>
          <w:tcPr>
            <w:tcW w:w="1915" w:type="dxa"/>
          </w:tcPr>
          <w:p w14:paraId="6C7068DE">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需顶升数量</w:t>
            </w:r>
          </w:p>
        </w:tc>
      </w:tr>
      <w:tr w14:paraId="5AB5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021636E3">
            <w:pPr>
              <w:keepNext w:val="0"/>
              <w:keepLines w:val="0"/>
              <w:pageBreakBefore w:val="0"/>
              <w:numPr>
                <w:ilvl w:val="0"/>
                <w:numId w:val="42"/>
              </w:numPr>
              <w:suppressLineNumbers w:val="0"/>
              <w:kinsoku/>
              <w:wordWrap/>
              <w:overflowPunct/>
              <w:topLinePunct w:val="0"/>
              <w:bidi w:val="0"/>
              <w:adjustRightInd/>
              <w:spacing w:beforeAutospacing="0" w:afterAutospacing="0" w:line="360" w:lineRule="auto"/>
              <w:ind w:left="425" w:leftChars="0" w:hanging="425" w:firstLineChars="0"/>
              <w:jc w:val="center"/>
              <w:textAlignment w:val="auto"/>
              <w:rPr>
                <w:rFonts w:hint="eastAsia" w:ascii="宋体" w:hAnsi="宋体" w:eastAsia="宋体" w:cs="宋体"/>
                <w:b w:val="0"/>
                <w:bCs w:val="0"/>
                <w:sz w:val="24"/>
                <w:szCs w:val="24"/>
                <w:vertAlign w:val="baseline"/>
                <w:lang w:val="en-US" w:eastAsia="zh-CN"/>
              </w:rPr>
            </w:pPr>
          </w:p>
        </w:tc>
        <w:tc>
          <w:tcPr>
            <w:tcW w:w="2046" w:type="dxa"/>
            <w:shd w:val="clear" w:color="auto" w:fill="auto"/>
            <w:vAlign w:val="top"/>
          </w:tcPr>
          <w:p w14:paraId="2829AC3F">
            <w:pPr>
              <w:keepNext w:val="0"/>
              <w:keepLines w:val="0"/>
              <w:pageBreakBefore w:val="0"/>
              <w:tabs>
                <w:tab w:val="left" w:pos="1134"/>
                <w:tab w:val="left" w:pos="1200"/>
              </w:tabs>
              <w:kinsoku/>
              <w:wordWrap/>
              <w:overflowPunct/>
              <w:topLinePunct w:val="0"/>
              <w:autoSpaceDE/>
              <w:autoSpaceDN/>
              <w:bidi w:val="0"/>
              <w:snapToGrid/>
              <w:spacing w:line="360" w:lineRule="auto"/>
              <w:ind w:left="0" w:leftChars="0" w:firstLine="0" w:firstLineChars="0"/>
              <w:jc w:val="center"/>
              <w:outlineLvl w:val="9"/>
              <w:rPr>
                <w:rFonts w:hint="eastAsia" w:ascii="Times New Roman" w:hAnsi="Times New Roman" w:eastAsia="宋体" w:cs="Times New Roman"/>
                <w:kern w:val="2"/>
                <w:sz w:val="24"/>
                <w:szCs w:val="24"/>
                <w:vertAlign w:val="baseline"/>
                <w:lang w:val="en-US" w:eastAsia="zh-CN" w:bidi="ar-SA"/>
              </w:rPr>
            </w:pPr>
            <w:r>
              <w:rPr>
                <w:rFonts w:hint="eastAsia"/>
                <w:vertAlign w:val="baseline"/>
                <w:lang w:val="en-US" w:eastAsia="zh-CN"/>
              </w:rPr>
              <w:t>1#塔吊</w:t>
            </w:r>
          </w:p>
        </w:tc>
        <w:tc>
          <w:tcPr>
            <w:tcW w:w="2277" w:type="dxa"/>
          </w:tcPr>
          <w:p w14:paraId="5367F9AA">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2264" w:type="dxa"/>
          </w:tcPr>
          <w:p w14:paraId="549980B6">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1915" w:type="dxa"/>
          </w:tcPr>
          <w:p w14:paraId="246F91DE">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宋体" w:hAnsi="宋体" w:eastAsia="宋体" w:cs="宋体"/>
                <w:b w:val="0"/>
                <w:bCs w:val="0"/>
                <w:sz w:val="24"/>
                <w:szCs w:val="24"/>
                <w:highlight w:val="blue"/>
                <w:vertAlign w:val="baseline"/>
                <w:lang w:val="en-US" w:eastAsia="zh-CN"/>
              </w:rPr>
            </w:pPr>
            <w:r>
              <w:rPr>
                <w:rFonts w:hint="eastAsia" w:ascii="宋体" w:hAnsi="宋体" w:cs="宋体"/>
                <w:b w:val="0"/>
                <w:bCs w:val="0"/>
                <w:sz w:val="24"/>
                <w:szCs w:val="24"/>
                <w:highlight w:val="none"/>
                <w:vertAlign w:val="baseline"/>
                <w:lang w:val="en-US" w:eastAsia="zh-CN"/>
              </w:rPr>
              <w:t>13</w:t>
            </w:r>
          </w:p>
        </w:tc>
      </w:tr>
      <w:tr w14:paraId="3ECA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080D6E21">
            <w:pPr>
              <w:keepNext w:val="0"/>
              <w:keepLines w:val="0"/>
              <w:pageBreakBefore w:val="0"/>
              <w:numPr>
                <w:ilvl w:val="0"/>
                <w:numId w:val="42"/>
              </w:numPr>
              <w:suppressLineNumbers w:val="0"/>
              <w:kinsoku/>
              <w:wordWrap/>
              <w:overflowPunct/>
              <w:topLinePunct w:val="0"/>
              <w:bidi w:val="0"/>
              <w:adjustRightInd/>
              <w:spacing w:beforeAutospacing="0" w:afterAutospacing="0" w:line="360" w:lineRule="auto"/>
              <w:ind w:left="425" w:leftChars="0" w:hanging="425" w:firstLineChars="0"/>
              <w:jc w:val="center"/>
              <w:textAlignment w:val="auto"/>
              <w:rPr>
                <w:rFonts w:hint="eastAsia" w:ascii="宋体" w:hAnsi="宋体" w:cs="宋体"/>
                <w:b w:val="0"/>
                <w:bCs w:val="0"/>
                <w:sz w:val="24"/>
                <w:szCs w:val="24"/>
                <w:vertAlign w:val="baseline"/>
                <w:lang w:val="en-US" w:eastAsia="zh-CN"/>
              </w:rPr>
            </w:pPr>
          </w:p>
        </w:tc>
        <w:tc>
          <w:tcPr>
            <w:tcW w:w="2046" w:type="dxa"/>
            <w:shd w:val="clear" w:color="auto" w:fill="auto"/>
            <w:vAlign w:val="top"/>
          </w:tcPr>
          <w:p w14:paraId="6BB535AE">
            <w:pPr>
              <w:keepNext w:val="0"/>
              <w:keepLines w:val="0"/>
              <w:pageBreakBefore w:val="0"/>
              <w:tabs>
                <w:tab w:val="left" w:pos="1134"/>
                <w:tab w:val="left" w:pos="1200"/>
              </w:tabs>
              <w:kinsoku/>
              <w:wordWrap/>
              <w:overflowPunct/>
              <w:topLinePunct w:val="0"/>
              <w:autoSpaceDE/>
              <w:autoSpaceDN/>
              <w:bidi w:val="0"/>
              <w:snapToGrid/>
              <w:spacing w:line="360" w:lineRule="auto"/>
              <w:ind w:left="0" w:leftChars="0" w:firstLine="0" w:firstLineChars="0"/>
              <w:jc w:val="center"/>
              <w:outlineLvl w:val="9"/>
              <w:rPr>
                <w:rFonts w:hint="eastAsia"/>
                <w:vertAlign w:val="baseline"/>
                <w:lang w:val="en-US" w:eastAsia="zh-CN"/>
              </w:rPr>
            </w:pPr>
            <w:r>
              <w:rPr>
                <w:rFonts w:hint="eastAsia"/>
                <w:vertAlign w:val="baseline"/>
                <w:lang w:val="en-US" w:eastAsia="zh-CN"/>
              </w:rPr>
              <w:t>2#塔吊</w:t>
            </w:r>
          </w:p>
        </w:tc>
        <w:tc>
          <w:tcPr>
            <w:tcW w:w="2277" w:type="dxa"/>
            <w:vAlign w:val="top"/>
          </w:tcPr>
          <w:p w14:paraId="6A862FB7">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2264" w:type="dxa"/>
            <w:vAlign w:val="top"/>
          </w:tcPr>
          <w:p w14:paraId="1D4C2E58">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1915" w:type="dxa"/>
          </w:tcPr>
          <w:p w14:paraId="74AE75A9">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宋体" w:hAnsi="宋体" w:cs="宋体"/>
                <w:b w:val="0"/>
                <w:bCs w:val="0"/>
                <w:sz w:val="24"/>
                <w:szCs w:val="24"/>
                <w:highlight w:val="none"/>
                <w:vertAlign w:val="baseline"/>
                <w:lang w:val="en-US" w:eastAsia="zh-CN"/>
              </w:rPr>
            </w:pPr>
            <w:r>
              <w:rPr>
                <w:rFonts w:hint="eastAsia" w:ascii="宋体" w:hAnsi="宋体" w:cs="宋体"/>
                <w:b w:val="0"/>
                <w:bCs w:val="0"/>
                <w:sz w:val="24"/>
                <w:szCs w:val="24"/>
                <w:highlight w:val="none"/>
                <w:vertAlign w:val="baseline"/>
                <w:lang w:val="en-US" w:eastAsia="zh-CN"/>
              </w:rPr>
              <w:t>10</w:t>
            </w:r>
          </w:p>
        </w:tc>
      </w:tr>
      <w:tr w14:paraId="411F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2623FC4A">
            <w:pPr>
              <w:keepNext w:val="0"/>
              <w:keepLines w:val="0"/>
              <w:pageBreakBefore w:val="0"/>
              <w:numPr>
                <w:ilvl w:val="0"/>
                <w:numId w:val="42"/>
              </w:numPr>
              <w:suppressLineNumbers w:val="0"/>
              <w:kinsoku/>
              <w:wordWrap/>
              <w:overflowPunct/>
              <w:topLinePunct w:val="0"/>
              <w:bidi w:val="0"/>
              <w:adjustRightInd/>
              <w:spacing w:beforeAutospacing="0" w:afterAutospacing="0" w:line="360" w:lineRule="auto"/>
              <w:ind w:left="425" w:leftChars="0" w:hanging="425" w:firstLineChars="0"/>
              <w:jc w:val="center"/>
              <w:textAlignment w:val="auto"/>
              <w:rPr>
                <w:rFonts w:hint="eastAsia" w:ascii="宋体" w:hAnsi="宋体" w:cs="宋体"/>
                <w:b w:val="0"/>
                <w:bCs w:val="0"/>
                <w:sz w:val="24"/>
                <w:szCs w:val="24"/>
                <w:vertAlign w:val="baseline"/>
                <w:lang w:val="en-US" w:eastAsia="zh-CN"/>
              </w:rPr>
            </w:pPr>
          </w:p>
        </w:tc>
        <w:tc>
          <w:tcPr>
            <w:tcW w:w="2046" w:type="dxa"/>
            <w:shd w:val="clear" w:color="auto" w:fill="auto"/>
            <w:vAlign w:val="top"/>
          </w:tcPr>
          <w:p w14:paraId="071420C3">
            <w:pPr>
              <w:keepNext w:val="0"/>
              <w:keepLines w:val="0"/>
              <w:pageBreakBefore w:val="0"/>
              <w:tabs>
                <w:tab w:val="left" w:pos="1134"/>
                <w:tab w:val="left" w:pos="1200"/>
              </w:tabs>
              <w:kinsoku/>
              <w:wordWrap/>
              <w:overflowPunct/>
              <w:topLinePunct w:val="0"/>
              <w:autoSpaceDE/>
              <w:autoSpaceDN/>
              <w:bidi w:val="0"/>
              <w:snapToGrid/>
              <w:spacing w:line="360" w:lineRule="auto"/>
              <w:ind w:left="0" w:leftChars="0" w:firstLine="0" w:firstLineChars="0"/>
              <w:jc w:val="center"/>
              <w:outlineLvl w:val="9"/>
              <w:rPr>
                <w:rFonts w:hint="eastAsia"/>
                <w:vertAlign w:val="baseline"/>
                <w:lang w:val="en-US" w:eastAsia="zh-CN"/>
              </w:rPr>
            </w:pPr>
            <w:r>
              <w:rPr>
                <w:rFonts w:hint="eastAsia"/>
                <w:vertAlign w:val="baseline"/>
                <w:lang w:val="en-US" w:eastAsia="zh-CN"/>
              </w:rPr>
              <w:t>3#塔吊</w:t>
            </w:r>
          </w:p>
        </w:tc>
        <w:tc>
          <w:tcPr>
            <w:tcW w:w="2277" w:type="dxa"/>
            <w:vAlign w:val="top"/>
          </w:tcPr>
          <w:p w14:paraId="61A7481B">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2264" w:type="dxa"/>
            <w:vAlign w:val="top"/>
          </w:tcPr>
          <w:p w14:paraId="6FF8CED6">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1915" w:type="dxa"/>
            <w:shd w:val="clear" w:color="auto" w:fill="auto"/>
            <w:vAlign w:val="top"/>
          </w:tcPr>
          <w:p w14:paraId="455417F5">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eastAsia="宋体" w:cs="宋体"/>
                <w:b w:val="0"/>
                <w:bCs w:val="0"/>
                <w:kern w:val="2"/>
                <w:sz w:val="24"/>
                <w:szCs w:val="24"/>
                <w:highlight w:val="blue"/>
                <w:vertAlign w:val="baseline"/>
                <w:lang w:val="en-US" w:eastAsia="zh-CN" w:bidi="ar-SA"/>
              </w:rPr>
            </w:pPr>
            <w:r>
              <w:rPr>
                <w:rFonts w:hint="eastAsia" w:ascii="宋体" w:hAnsi="宋体" w:cs="宋体"/>
                <w:b w:val="0"/>
                <w:bCs w:val="0"/>
                <w:sz w:val="24"/>
                <w:szCs w:val="24"/>
                <w:highlight w:val="none"/>
                <w:vertAlign w:val="baseline"/>
                <w:lang w:val="en-US" w:eastAsia="zh-CN"/>
              </w:rPr>
              <w:t>13</w:t>
            </w:r>
          </w:p>
        </w:tc>
      </w:tr>
      <w:tr w14:paraId="5761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25B1477B">
            <w:pPr>
              <w:keepNext w:val="0"/>
              <w:keepLines w:val="0"/>
              <w:pageBreakBefore w:val="0"/>
              <w:numPr>
                <w:ilvl w:val="0"/>
                <w:numId w:val="42"/>
              </w:numPr>
              <w:suppressLineNumbers w:val="0"/>
              <w:kinsoku/>
              <w:wordWrap/>
              <w:overflowPunct/>
              <w:topLinePunct w:val="0"/>
              <w:bidi w:val="0"/>
              <w:adjustRightInd/>
              <w:spacing w:beforeAutospacing="0" w:afterAutospacing="0" w:line="360" w:lineRule="auto"/>
              <w:ind w:left="425" w:leftChars="0" w:hanging="425" w:firstLineChars="0"/>
              <w:jc w:val="center"/>
              <w:textAlignment w:val="auto"/>
              <w:rPr>
                <w:rFonts w:hint="eastAsia" w:ascii="宋体" w:hAnsi="宋体" w:cs="宋体"/>
                <w:b w:val="0"/>
                <w:bCs w:val="0"/>
                <w:sz w:val="24"/>
                <w:szCs w:val="24"/>
                <w:vertAlign w:val="baseline"/>
                <w:lang w:val="en-US" w:eastAsia="zh-CN"/>
              </w:rPr>
            </w:pPr>
          </w:p>
        </w:tc>
        <w:tc>
          <w:tcPr>
            <w:tcW w:w="2046" w:type="dxa"/>
            <w:shd w:val="clear" w:color="auto" w:fill="auto"/>
            <w:vAlign w:val="top"/>
          </w:tcPr>
          <w:p w14:paraId="5A75EFE0">
            <w:pPr>
              <w:keepNext w:val="0"/>
              <w:keepLines w:val="0"/>
              <w:pageBreakBefore w:val="0"/>
              <w:tabs>
                <w:tab w:val="left" w:pos="1134"/>
                <w:tab w:val="left" w:pos="1200"/>
              </w:tabs>
              <w:kinsoku/>
              <w:wordWrap/>
              <w:overflowPunct/>
              <w:topLinePunct w:val="0"/>
              <w:autoSpaceDE/>
              <w:autoSpaceDN/>
              <w:bidi w:val="0"/>
              <w:snapToGrid/>
              <w:spacing w:line="360" w:lineRule="auto"/>
              <w:ind w:left="0" w:leftChars="0" w:firstLine="0" w:firstLineChars="0"/>
              <w:jc w:val="center"/>
              <w:outlineLvl w:val="9"/>
              <w:rPr>
                <w:rFonts w:hint="eastAsia"/>
                <w:vertAlign w:val="baseline"/>
                <w:lang w:val="en-US" w:eastAsia="zh-CN"/>
              </w:rPr>
            </w:pPr>
            <w:r>
              <w:rPr>
                <w:rFonts w:hint="eastAsia"/>
                <w:vertAlign w:val="baseline"/>
                <w:lang w:val="en-US" w:eastAsia="zh-CN"/>
              </w:rPr>
              <w:t>4#塔吊</w:t>
            </w:r>
          </w:p>
        </w:tc>
        <w:tc>
          <w:tcPr>
            <w:tcW w:w="2277" w:type="dxa"/>
            <w:vAlign w:val="top"/>
          </w:tcPr>
          <w:p w14:paraId="5DF366DA">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2264" w:type="dxa"/>
            <w:vAlign w:val="top"/>
          </w:tcPr>
          <w:p w14:paraId="14F5D74C">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1915" w:type="dxa"/>
            <w:shd w:val="clear" w:color="auto" w:fill="auto"/>
            <w:vAlign w:val="top"/>
          </w:tcPr>
          <w:p w14:paraId="0D30D27C">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cs="宋体"/>
                <w:b w:val="0"/>
                <w:bCs w:val="0"/>
                <w:sz w:val="24"/>
                <w:szCs w:val="24"/>
                <w:highlight w:val="none"/>
                <w:vertAlign w:val="baseline"/>
                <w:lang w:val="en-US" w:eastAsia="zh-CN"/>
              </w:rPr>
              <w:t>10</w:t>
            </w:r>
          </w:p>
        </w:tc>
      </w:tr>
    </w:tbl>
    <w:p w14:paraId="44C73DFB">
      <w:pPr>
        <w:pStyle w:val="74"/>
        <w:pageBreakBefore w:val="0"/>
        <w:kinsoku/>
        <w:wordWrap/>
        <w:overflowPunct/>
        <w:topLinePunct w:val="0"/>
        <w:bidi w:val="0"/>
        <w:spacing w:line="360" w:lineRule="auto"/>
        <w:ind w:firstLine="482" w:firstLineChars="200"/>
        <w:outlineLvl w:val="9"/>
        <w:rPr>
          <w:rFonts w:hint="eastAsia" w:ascii="宋体" w:hAnsi="宋体" w:eastAsia="宋体" w:cs="宋体"/>
          <w:b/>
          <w:bCs/>
          <w:color w:val="auto"/>
          <w:kern w:val="0"/>
          <w:sz w:val="24"/>
          <w:szCs w:val="24"/>
          <w:lang w:val="en-US" w:eastAsia="zh-CN" w:bidi="ar"/>
        </w:rPr>
      </w:pPr>
      <w:bookmarkStart w:id="116" w:name="_Toc25335"/>
      <w:r>
        <w:rPr>
          <w:rFonts w:hint="eastAsia" w:ascii="宋体" w:hAnsi="宋体" w:eastAsia="宋体" w:cs="宋体"/>
          <w:b/>
          <w:bCs/>
          <w:color w:val="auto"/>
          <w:kern w:val="0"/>
          <w:sz w:val="24"/>
          <w:szCs w:val="24"/>
          <w:lang w:val="en-US" w:eastAsia="zh-CN" w:bidi="ar"/>
        </w:rPr>
        <w:t>（4）顶升作业注意事项</w:t>
      </w:r>
      <w:bookmarkEnd w:id="116"/>
    </w:p>
    <w:p w14:paraId="6AF6EB16">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eastAsia" w:ascii="宋体" w:hAnsi="宋体" w:eastAsia="宋体" w:cs="宋体"/>
          <w:color w:val="auto"/>
          <w:sz w:val="24"/>
          <w:szCs w:val="24"/>
        </w:rPr>
      </w:pPr>
      <w:bookmarkStart w:id="117" w:name="_Toc26419"/>
      <w:r>
        <w:rPr>
          <w:rFonts w:hint="eastAsia" w:ascii="宋体" w:hAnsi="宋体" w:eastAsia="宋体" w:cs="宋体"/>
          <w:color w:val="auto"/>
          <w:kern w:val="0"/>
          <w:sz w:val="24"/>
          <w:szCs w:val="24"/>
          <w:lang w:val="en-US" w:eastAsia="zh-CN" w:bidi="ar"/>
        </w:rPr>
        <w:t>1）塔机最高处风速大于</w:t>
      </w:r>
      <w:r>
        <w:rPr>
          <w:rFonts w:hint="eastAsia" w:ascii="宋体" w:hAnsi="宋体" w:cs="宋体"/>
          <w:color w:val="auto"/>
          <w:kern w:val="0"/>
          <w:sz w:val="24"/>
          <w:szCs w:val="24"/>
          <w:highlight w:val="none"/>
          <w:lang w:val="en-US" w:eastAsia="zh-CN" w:bidi="ar"/>
        </w:rPr>
        <w:t>12</w:t>
      </w:r>
      <w:r>
        <w:rPr>
          <w:rFonts w:hint="eastAsia" w:ascii="宋体" w:hAnsi="宋体" w:eastAsia="宋体" w:cs="宋体"/>
          <w:color w:val="auto"/>
          <w:kern w:val="0"/>
          <w:sz w:val="24"/>
          <w:szCs w:val="24"/>
          <w:lang w:val="en-US" w:eastAsia="zh-CN" w:bidi="ar"/>
        </w:rPr>
        <w:t>m/s时，不得进行顶升作业。</w:t>
      </w:r>
      <w:bookmarkEnd w:id="117"/>
      <w:r>
        <w:rPr>
          <w:rFonts w:hint="eastAsia" w:ascii="宋体" w:hAnsi="宋体" w:eastAsia="宋体" w:cs="宋体"/>
          <w:color w:val="auto"/>
          <w:kern w:val="0"/>
          <w:sz w:val="24"/>
          <w:szCs w:val="24"/>
          <w:lang w:val="en-US" w:eastAsia="zh-CN" w:bidi="ar"/>
        </w:rPr>
        <w:t xml:space="preserve"> </w:t>
      </w:r>
    </w:p>
    <w:p w14:paraId="6B01ED49">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2）塔机的爬升机构，其爬升作业时应确保爬升架上支承在塔身上的受力部位与塔身顶升支承部位应可靠定位和结合。并应及时查看顶升支承部位焊缝情况，若有异常情况应排除后才能继续进行爬升作业。 </w:t>
      </w:r>
    </w:p>
    <w:p w14:paraId="7471F5C2">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3）顶升过程中必须保证起重臂与引入标准节方向一致，并利用回转机构制动器将起重臂制动住，载重小车必须停靠在顶升配平位置。 </w:t>
      </w:r>
    </w:p>
    <w:p w14:paraId="48C40EBA">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4）若要连续加高几节标准节，则每加完一节后，用塔机自身起吊下一节标准节前，塔身4个主弦杆和特殊节必须有12个的螺栓连接，唯有在这种情况下，允许这12根螺栓每根只用一个螺母。 　　</w:t>
      </w:r>
    </w:p>
    <w:p w14:paraId="4927EA2C">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eastAsia" w:ascii="宋体" w:hAnsi="宋体" w:eastAsia="宋体" w:cs="宋体"/>
          <w:color w:val="auto"/>
        </w:rPr>
      </w:pPr>
      <w:bookmarkStart w:id="118" w:name="_Toc4999"/>
      <w:r>
        <w:rPr>
          <w:rFonts w:hint="eastAsia" w:ascii="宋体" w:hAnsi="宋体" w:eastAsia="宋体" w:cs="宋体"/>
          <w:color w:val="auto"/>
          <w:kern w:val="0"/>
          <w:sz w:val="24"/>
          <w:szCs w:val="24"/>
          <w:lang w:val="en-US" w:eastAsia="zh-CN" w:bidi="ar"/>
        </w:rPr>
        <w:t>5）所加标准节上的踏步，必须与已有塔身节对正。</w:t>
      </w:r>
      <w:bookmarkEnd w:id="118"/>
      <w:r>
        <w:rPr>
          <w:rFonts w:hint="eastAsia" w:ascii="宋体" w:hAnsi="宋体" w:eastAsia="宋体" w:cs="宋体"/>
          <w:color w:val="auto"/>
          <w:kern w:val="0"/>
          <w:sz w:val="24"/>
          <w:szCs w:val="24"/>
          <w:lang w:val="en-US" w:eastAsia="zh-CN" w:bidi="ar"/>
        </w:rPr>
        <w:t xml:space="preserve"> </w:t>
      </w:r>
    </w:p>
    <w:p w14:paraId="4B87D751">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6）在特殊节与塔身没有用螺栓连接好之前，严禁起重臂回转、载重小车变幅和吊装作业。 </w:t>
      </w:r>
    </w:p>
    <w:p w14:paraId="62DCA89F">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7）在顶升过程中，若液压顶升系统出现异常，应立即停止顶升，收回油缸，将下支座落在塔身顶部，并用12件高强度</w:t>
      </w:r>
      <w:r>
        <w:rPr>
          <w:rFonts w:hint="eastAsia" w:ascii="宋体" w:hAnsi="宋体" w:cs="宋体"/>
          <w:color w:val="auto"/>
          <w:kern w:val="0"/>
          <w:sz w:val="24"/>
          <w:szCs w:val="24"/>
          <w:lang w:val="en-US" w:eastAsia="zh-CN" w:bidi="ar"/>
        </w:rPr>
        <w:t>销轴</w:t>
      </w:r>
      <w:r>
        <w:rPr>
          <w:rFonts w:hint="eastAsia" w:ascii="宋体" w:hAnsi="宋体" w:eastAsia="宋体" w:cs="宋体"/>
          <w:color w:val="auto"/>
          <w:kern w:val="0"/>
          <w:sz w:val="24"/>
          <w:szCs w:val="24"/>
          <w:lang w:val="en-US" w:eastAsia="zh-CN" w:bidi="ar"/>
        </w:rPr>
        <w:t xml:space="preserve">将特殊节与塔身连接牢靠后，再排除液压系统的故障。 </w:t>
      </w:r>
    </w:p>
    <w:p w14:paraId="2AB421C2">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8）塔机加节达到所需工作高度(但不超过独立高度)后，应旋转起重臂至不同的角度，检查</w:t>
      </w:r>
      <w:r>
        <w:rPr>
          <w:rFonts w:hint="eastAsia" w:ascii="宋体" w:hAnsi="宋体" w:cs="宋体"/>
          <w:color w:val="auto"/>
          <w:kern w:val="0"/>
          <w:sz w:val="24"/>
          <w:szCs w:val="24"/>
          <w:lang w:val="en-US" w:eastAsia="zh-CN" w:bidi="ar"/>
        </w:rPr>
        <w:t>塔</w:t>
      </w:r>
      <w:r>
        <w:rPr>
          <w:rFonts w:hint="eastAsia" w:ascii="宋体" w:hAnsi="宋体" w:eastAsia="宋体" w:cs="宋体"/>
          <w:color w:val="auto"/>
          <w:kern w:val="0"/>
          <w:sz w:val="24"/>
          <w:szCs w:val="24"/>
          <w:lang w:val="en-US" w:eastAsia="zh-CN" w:bidi="ar"/>
        </w:rPr>
        <w:t>身各接头处、基础支脚处螺栓的拧紧问题(哪一根主弦杆位于平衡臂正下方时就把这根主弦杆从下到上的所有螺母拧紧，上述连接处均为双螺母防松)。</w:t>
      </w:r>
    </w:p>
    <w:p w14:paraId="20B3D511">
      <w:pPr>
        <w:pStyle w:val="74"/>
        <w:pageBreakBefore w:val="0"/>
        <w:kinsoku/>
        <w:wordWrap/>
        <w:overflowPunct/>
        <w:topLinePunct w:val="0"/>
        <w:bidi w:val="0"/>
        <w:spacing w:line="360" w:lineRule="auto"/>
        <w:ind w:firstLine="482" w:firstLineChars="200"/>
        <w:outlineLvl w:val="9"/>
        <w:rPr>
          <w:rFonts w:hint="eastAsia" w:ascii="宋体" w:hAnsi="宋体" w:eastAsia="宋体" w:cs="宋体"/>
          <w:b/>
          <w:bCs/>
          <w:color w:val="auto"/>
          <w:kern w:val="0"/>
          <w:sz w:val="24"/>
          <w:szCs w:val="24"/>
          <w:lang w:val="en-US" w:eastAsia="zh-CN" w:bidi="ar"/>
        </w:rPr>
      </w:pPr>
      <w:bookmarkStart w:id="119" w:name="_Toc25632"/>
      <w:r>
        <w:rPr>
          <w:rFonts w:hint="eastAsia" w:ascii="宋体" w:hAnsi="宋体" w:eastAsia="宋体" w:cs="宋体"/>
          <w:b/>
          <w:bCs/>
          <w:color w:val="auto"/>
          <w:kern w:val="0"/>
          <w:sz w:val="24"/>
          <w:szCs w:val="24"/>
          <w:lang w:val="en-US" w:eastAsia="zh-CN" w:bidi="ar"/>
        </w:rPr>
        <w:t>（</w:t>
      </w:r>
      <w:r>
        <w:rPr>
          <w:rFonts w:hint="eastAsia" w:ascii="宋体" w:hAnsi="宋体" w:cs="宋体"/>
          <w:b/>
          <w:bCs/>
          <w:color w:val="auto"/>
          <w:kern w:val="0"/>
          <w:sz w:val="24"/>
          <w:szCs w:val="24"/>
          <w:lang w:val="en-US" w:eastAsia="zh-CN" w:bidi="ar"/>
        </w:rPr>
        <w:t>5</w:t>
      </w:r>
      <w:r>
        <w:rPr>
          <w:rFonts w:hint="eastAsia" w:ascii="宋体" w:hAnsi="宋体" w:eastAsia="宋体" w:cs="宋体"/>
          <w:b/>
          <w:bCs/>
          <w:color w:val="auto"/>
          <w:kern w:val="0"/>
          <w:sz w:val="24"/>
          <w:szCs w:val="24"/>
          <w:lang w:val="en-US" w:eastAsia="zh-CN" w:bidi="ar"/>
        </w:rPr>
        <w:t>）顶升后的收尾工作</w:t>
      </w:r>
      <w:bookmarkEnd w:id="119"/>
    </w:p>
    <w:p w14:paraId="036FEC21">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顶升结束后利用套架制动块将顶升套架支承在塔身上，收回压缩升油缸。</w:t>
      </w:r>
    </w:p>
    <w:p w14:paraId="18399F96">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顶升工作全面完成后可以半顶升套架下降到标准节底部或拆除顶升套架，以降低整个塔机的重心和减小迎风面积</w:t>
      </w:r>
      <w:r>
        <w:rPr>
          <w:rFonts w:hint="eastAsia" w:ascii="宋体" w:hAnsi="宋体" w:cs="宋体"/>
          <w:color w:val="auto"/>
          <w:sz w:val="24"/>
          <w:szCs w:val="24"/>
          <w:lang w:eastAsia="zh-CN"/>
        </w:rPr>
        <w:t>。</w:t>
      </w:r>
    </w:p>
    <w:p w14:paraId="001B88D0">
      <w:pPr>
        <w:keepNext w:val="0"/>
        <w:keepLines w:val="0"/>
        <w:pageBreakBefore w:val="0"/>
        <w:kinsoku/>
        <w:wordWrap/>
        <w:overflowPunct/>
        <w:topLinePunct w:val="0"/>
        <w:autoSpaceDE/>
        <w:autoSpaceDN/>
        <w:bidi w:val="0"/>
        <w:snapToGrid/>
        <w:spacing w:beforeAutospacing="0" w:afterAutospacing="0" w:line="360" w:lineRule="auto"/>
        <w:ind w:firstLine="480"/>
        <w:rPr>
          <w:rFonts w:hint="eastAsia" w:ascii="宋体" w:hAnsi="宋体" w:eastAsia="宋体" w:cs="宋体"/>
          <w:color w:val="auto"/>
          <w:sz w:val="24"/>
          <w:szCs w:val="24"/>
          <w:lang w:val="en-US" w:eastAsia="zh-CN"/>
        </w:rPr>
      </w:pPr>
      <w:bookmarkStart w:id="120" w:name="_Toc22934"/>
      <w:bookmarkEnd w:id="120"/>
      <w:bookmarkStart w:id="121" w:name="_Toc14758"/>
      <w:bookmarkEnd w:id="121"/>
      <w:bookmarkStart w:id="122" w:name="_Toc9915"/>
      <w:bookmarkEnd w:id="122"/>
      <w:bookmarkStart w:id="123" w:name="_Toc4956"/>
      <w:bookmarkEnd w:id="123"/>
      <w:r>
        <w:rPr>
          <w:rFonts w:hint="eastAsia" w:ascii="宋体" w:hAnsi="宋体" w:eastAsia="宋体" w:cs="宋体"/>
          <w:color w:val="auto"/>
          <w:sz w:val="24"/>
          <w:szCs w:val="24"/>
          <w:lang w:val="en-US" w:eastAsia="zh-CN"/>
        </w:rPr>
        <w:t>3）顶升完毕后可将引进梁缩回下支座内或者拆除引进梁。以免吊钩在最小幅度工作时碰到。</w:t>
      </w:r>
    </w:p>
    <w:p w14:paraId="411ED74F">
      <w:pPr>
        <w:keepNext w:val="0"/>
        <w:keepLines w:val="0"/>
        <w:pageBreakBefore w:val="0"/>
        <w:kinsoku/>
        <w:wordWrap/>
        <w:overflowPunct/>
        <w:topLinePunct w:val="0"/>
        <w:autoSpaceDE/>
        <w:autoSpaceDN/>
        <w:bidi w:val="0"/>
        <w:snapToGrid/>
        <w:spacing w:line="360" w:lineRule="auto"/>
        <w:rPr>
          <w:rFonts w:cs="Times New Roman"/>
        </w:rPr>
      </w:pPr>
      <w:r>
        <w:rPr>
          <w:rFonts w:cs="Times New Roman"/>
        </w:rPr>
        <w:br w:type="page"/>
      </w:r>
    </w:p>
    <w:p w14:paraId="5C96972B">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124" w:name="_Toc11660"/>
      <w:r>
        <w:rPr>
          <w:rFonts w:cs="Times New Roman"/>
        </w:rPr>
        <w:t>拆除</w:t>
      </w:r>
      <w:r>
        <w:rPr>
          <w:rFonts w:hint="eastAsia" w:cs="Times New Roman"/>
        </w:rPr>
        <w:t>顺序</w:t>
      </w:r>
      <w:bookmarkEnd w:id="124"/>
    </w:p>
    <w:p w14:paraId="55084C75">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25" w:name="_Toc6105"/>
      <w:bookmarkStart w:id="126" w:name="_Toc4277"/>
      <w:r>
        <w:rPr>
          <w:rFonts w:hint="eastAsia" w:ascii="Times New Roman" w:hAnsi="Times New Roman" w:cs="Times New Roman"/>
          <w:color w:val="auto"/>
          <w:sz w:val="24"/>
          <w:szCs w:val="24"/>
          <w:lang w:val="en-US" w:eastAsia="zh-CN"/>
        </w:rPr>
        <w:t>塔式起重机拆卸工艺流程</w:t>
      </w:r>
      <w:bookmarkEnd w:id="125"/>
      <w:bookmarkEnd w:id="126"/>
    </w:p>
    <w:p w14:paraId="79EF4089">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塔机的拆卸方法与安装方法基本相同，只是工作程序与安装时相反，即先装的后拆，后装的先拆，但是，在拆卸过程中不能马虎大意，否则会发生安全事故。</w:t>
      </w:r>
    </w:p>
    <w:p w14:paraId="06389BBF">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27" w:name="_Toc1247271456"/>
      <w:bookmarkEnd w:id="127"/>
      <w:bookmarkStart w:id="128" w:name="_Toc6110"/>
      <w:bookmarkStart w:id="129" w:name="_Toc10831"/>
      <w:r>
        <w:rPr>
          <w:rFonts w:hint="eastAsia" w:ascii="Times New Roman" w:hAnsi="Times New Roman" w:cs="Times New Roman"/>
          <w:color w:val="auto"/>
          <w:sz w:val="24"/>
          <w:szCs w:val="24"/>
          <w:lang w:val="en-US" w:eastAsia="zh-CN"/>
        </w:rPr>
        <w:t>施工流程及方法</w:t>
      </w:r>
      <w:bookmarkEnd w:id="128"/>
      <w:bookmarkEnd w:id="129"/>
    </w:p>
    <w:p w14:paraId="16ECFE46">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ind w:firstLine="420" w:firstLineChars="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将塔机旋转至拆卸区域，保证该区域无影响拆卸作业的任何障碍。按下述顺序，进行塔机拆卸。其步骤与立塔组装的步骤相反。</w:t>
      </w:r>
    </w:p>
    <w:p w14:paraId="6AFA1481">
      <w:pPr>
        <w:keepNext w:val="0"/>
        <w:keepLines w:val="0"/>
        <w:pageBreakBefore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拆塔具体程序如下： </w:t>
      </w:r>
    </w:p>
    <w:p w14:paraId="04FCFB61">
      <w:pPr>
        <w:keepNext w:val="0"/>
        <w:keepLines w:val="0"/>
        <w:pageBreakBefore w:val="0"/>
        <w:widowControl w:val="0"/>
        <w:numPr>
          <w:ilvl w:val="0"/>
          <w:numId w:val="43"/>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降塔身标准节(如有附着装置，相应地也拆卸);</w:t>
      </w:r>
    </w:p>
    <w:p w14:paraId="76B0C8BA">
      <w:pPr>
        <w:keepNext w:val="0"/>
        <w:keepLines w:val="0"/>
        <w:pageBreakBefore w:val="0"/>
        <w:widowControl w:val="0"/>
        <w:numPr>
          <w:ilvl w:val="0"/>
          <w:numId w:val="43"/>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拆下平衡臂配重(留2块2.3t的配重);</w:t>
      </w:r>
    </w:p>
    <w:p w14:paraId="56D2785F">
      <w:pPr>
        <w:keepNext w:val="0"/>
        <w:keepLines w:val="0"/>
        <w:pageBreakBefore w:val="0"/>
        <w:widowControl w:val="0"/>
        <w:numPr>
          <w:ilvl w:val="0"/>
          <w:numId w:val="43"/>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起重臂的拆卸;</w:t>
      </w:r>
    </w:p>
    <w:p w14:paraId="23B6D37A">
      <w:pPr>
        <w:keepNext w:val="0"/>
        <w:keepLines w:val="0"/>
        <w:pageBreakBefore w:val="0"/>
        <w:widowControl w:val="0"/>
        <w:numPr>
          <w:ilvl w:val="0"/>
          <w:numId w:val="43"/>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拆卸留下的两块2.3t的配重;</w:t>
      </w:r>
    </w:p>
    <w:p w14:paraId="17203FAB">
      <w:pPr>
        <w:keepNext w:val="0"/>
        <w:keepLines w:val="0"/>
        <w:pageBreakBefore w:val="0"/>
        <w:widowControl w:val="0"/>
        <w:numPr>
          <w:ilvl w:val="0"/>
          <w:numId w:val="43"/>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平衡臂的拆卸;</w:t>
      </w:r>
    </w:p>
    <w:p w14:paraId="15F0E0F7">
      <w:pPr>
        <w:keepNext w:val="0"/>
        <w:keepLines w:val="0"/>
        <w:pageBreakBefore w:val="0"/>
        <w:widowControl w:val="0"/>
        <w:numPr>
          <w:ilvl w:val="0"/>
          <w:numId w:val="43"/>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拆卸回转总成</w:t>
      </w:r>
    </w:p>
    <w:p w14:paraId="4F9306C9">
      <w:pPr>
        <w:keepNext w:val="0"/>
        <w:keepLines w:val="0"/>
        <w:pageBreakBefore w:val="0"/>
        <w:widowControl w:val="0"/>
        <w:numPr>
          <w:ilvl w:val="0"/>
          <w:numId w:val="43"/>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拆卸特殊节总成</w:t>
      </w:r>
    </w:p>
    <w:p w14:paraId="6BE73508">
      <w:pPr>
        <w:keepNext w:val="0"/>
        <w:keepLines w:val="0"/>
        <w:pageBreakBefore w:val="0"/>
        <w:widowControl w:val="0"/>
        <w:numPr>
          <w:ilvl w:val="0"/>
          <w:numId w:val="43"/>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拆卸爬升架及塔身。</w:t>
      </w:r>
    </w:p>
    <w:p w14:paraId="1F89428C">
      <w:pPr>
        <w:keepNext w:val="0"/>
        <w:keepLines w:val="0"/>
        <w:pageBreakBefore w:val="0"/>
        <w:kinsoku/>
        <w:wordWrap/>
        <w:overflowPunct/>
        <w:topLinePunct w:val="0"/>
        <w:autoSpaceDE/>
        <w:autoSpaceDN/>
        <w:bidi w:val="0"/>
        <w:snapToGrid/>
        <w:spacing w:line="360" w:lineRule="auto"/>
        <w:ind w:firstLine="420" w:firstLineChars="0"/>
        <w:rPr>
          <w:rFonts w:hint="eastAsia"/>
          <w:lang w:val="en-US" w:eastAsia="zh-CN"/>
        </w:rPr>
      </w:pPr>
      <w:r>
        <w:rPr>
          <w:rFonts w:hint="eastAsia" w:ascii="宋体" w:hAnsi="宋体" w:eastAsia="宋体" w:cs="宋体"/>
          <w:b w:val="0"/>
          <w:bCs w:val="0"/>
          <w:color w:val="auto"/>
          <w:kern w:val="0"/>
          <w:szCs w:val="24"/>
          <w:lang w:val="en-US" w:eastAsia="zh-CN" w:bidi="ar"/>
        </w:rPr>
        <w:t>注意：以上部件的拆卸方法与安装方法相反，严格按照以上几点来执行塔机的拆卸工作，</w:t>
      </w:r>
      <w:r>
        <w:rPr>
          <w:rFonts w:hint="eastAsia"/>
          <w:lang w:val="en-US" w:eastAsia="zh-CN"/>
        </w:rPr>
        <w:t>否则将会造成机毁人亡的严重后果！</w:t>
      </w:r>
    </w:p>
    <w:p w14:paraId="101910EA">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30" w:name="_Toc13001"/>
      <w:bookmarkStart w:id="131" w:name="_Toc6320"/>
      <w:r>
        <w:rPr>
          <w:rFonts w:hint="eastAsia" w:ascii="Times New Roman" w:hAnsi="Times New Roman" w:cs="Times New Roman"/>
          <w:color w:val="auto"/>
          <w:sz w:val="24"/>
          <w:szCs w:val="24"/>
          <w:lang w:val="en-US" w:eastAsia="zh-CN"/>
        </w:rPr>
        <w:t>附着拆除</w:t>
      </w:r>
      <w:bookmarkEnd w:id="130"/>
      <w:bookmarkEnd w:id="131"/>
    </w:p>
    <w:tbl>
      <w:tblPr>
        <w:tblStyle w:val="33"/>
        <w:tblpPr w:leftFromText="180" w:rightFromText="180" w:vertAnchor="text" w:horzAnchor="page" w:tblpX="1754" w:tblpY="17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216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171B537C">
            <w:pPr>
              <w:pStyle w:val="12"/>
              <w:pageBreakBefore w:val="0"/>
              <w:kinsoku/>
              <w:wordWrap/>
              <w:overflowPunct/>
              <w:topLinePunct w:val="0"/>
              <w:bidi w:val="0"/>
              <w:spacing w:line="360" w:lineRule="auto"/>
              <w:rPr>
                <w:rFonts w:hint="eastAsia" w:ascii="宋体" w:hAnsi="宋体" w:eastAsia="宋体" w:cs="宋体"/>
                <w:b w:val="0"/>
                <w:bCs/>
                <w:kern w:val="2"/>
                <w:sz w:val="24"/>
                <w:szCs w:val="24"/>
                <w:lang w:val="en-US" w:eastAsia="zh-CN" w:bidi="ar-SA"/>
              </w:rPr>
            </w:pPr>
            <w:r>
              <w:drawing>
                <wp:inline distT="0" distB="0" distL="114300" distR="114300">
                  <wp:extent cx="5264150" cy="1565275"/>
                  <wp:effectExtent l="0" t="0" r="12700" b="1587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64"/>
                          <a:stretch>
                            <a:fillRect/>
                          </a:stretch>
                        </pic:blipFill>
                        <pic:spPr>
                          <a:xfrm>
                            <a:off x="0" y="0"/>
                            <a:ext cx="5264150" cy="1565275"/>
                          </a:xfrm>
                          <a:prstGeom prst="rect">
                            <a:avLst/>
                          </a:prstGeom>
                          <a:noFill/>
                          <a:ln>
                            <a:noFill/>
                          </a:ln>
                        </pic:spPr>
                      </pic:pic>
                    </a:graphicData>
                  </a:graphic>
                </wp:inline>
              </w:drawing>
            </w:r>
          </w:p>
        </w:tc>
      </w:tr>
      <w:tr w14:paraId="018B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11E37DC9">
            <w:pPr>
              <w:jc w:val="center"/>
            </w:pPr>
            <w:r>
              <w:rPr>
                <w:rFonts w:hint="eastAsia"/>
                <w:lang w:val="en-US" w:eastAsia="zh-CN"/>
              </w:rPr>
              <w:t>附着布置立面图</w:t>
            </w:r>
          </w:p>
        </w:tc>
      </w:tr>
    </w:tbl>
    <w:p w14:paraId="64D9B239">
      <w:pPr>
        <w:ind w:firstLine="420" w:firstLineChars="0"/>
        <w:rPr>
          <w:rFonts w:hint="eastAsia"/>
          <w:lang w:val="en-US" w:eastAsia="zh-CN"/>
        </w:rPr>
      </w:pPr>
      <w:r>
        <w:rPr>
          <w:rFonts w:hint="eastAsia"/>
          <w:lang w:val="en-US" w:eastAsia="zh-CN"/>
        </w:rPr>
        <w:t>1#2#3#4#塔机各1道附着，附着采用XGT6015-8S1自身吊装拆除，附着布置如下图</w:t>
      </w:r>
    </w:p>
    <w:p w14:paraId="5BFF547A">
      <w:pPr>
        <w:jc w:val="both"/>
        <w:rPr>
          <w:rFonts w:hint="default"/>
          <w:lang w:val="en-US" w:eastAsia="zh-CN"/>
        </w:rPr>
      </w:pPr>
    </w:p>
    <w:p w14:paraId="10953B01">
      <w:pPr>
        <w:ind w:firstLine="480"/>
        <w:rPr>
          <w:rFonts w:hint="eastAsia"/>
          <w:lang w:val="en-US" w:eastAsia="zh-CN"/>
        </w:rPr>
      </w:pPr>
      <w:r>
        <w:rPr>
          <w:rFonts w:hint="eastAsia"/>
          <w:lang w:val="en-US" w:eastAsia="zh-CN"/>
        </w:rPr>
        <w:t>拆卸附着装置前必须先降低塔身，并保证在此道附着装置之下的附着装置处于夹紧有效状态，才能拆卸该道附着装置。</w:t>
      </w:r>
    </w:p>
    <w:p w14:paraId="6A7550F6">
      <w:pPr>
        <w:ind w:firstLine="480"/>
      </w:pPr>
      <w:r>
        <w:rPr>
          <w:rFonts w:hint="eastAsia"/>
        </w:rPr>
        <w:t>塔吊附着拆除步骤如下：</w:t>
      </w:r>
    </w:p>
    <w:p w14:paraId="625F727B">
      <w:pPr>
        <w:numPr>
          <w:ilvl w:val="0"/>
          <w:numId w:val="0"/>
        </w:numPr>
        <w:ind w:firstLine="480" w:firstLineChars="200"/>
        <w:rPr>
          <w:rFonts w:hint="eastAsia" w:eastAsia="宋体"/>
          <w:lang w:eastAsia="zh-CN"/>
        </w:rPr>
      </w:pPr>
      <w:r>
        <w:rPr>
          <w:rFonts w:ascii="Times New Roman" w:hAnsi="Times New Roman" w:eastAsia="宋体" w:cs="Times New Roman"/>
          <w:kern w:val="2"/>
          <w:sz w:val="24"/>
          <w:szCs w:val="21"/>
          <w:lang w:val="en-US" w:eastAsia="zh-CN" w:bidi="ar-SA"/>
        </w:rPr>
        <w:t>1）</w:t>
      </w:r>
      <w:r>
        <w:rPr>
          <w:rFonts w:hint="eastAsia"/>
        </w:rPr>
        <w:t>作业人员</w:t>
      </w:r>
      <w:r>
        <w:rPr>
          <w:rFonts w:hint="eastAsia"/>
          <w:highlight w:val="none"/>
          <w:lang w:val="en-US" w:eastAsia="zh-CN"/>
        </w:rPr>
        <w:t>先上</w:t>
      </w:r>
      <w:r>
        <w:rPr>
          <w:rFonts w:hint="eastAsia"/>
          <w:highlight w:val="none"/>
        </w:rPr>
        <w:t>到</w:t>
      </w:r>
      <w:r>
        <w:rPr>
          <w:rFonts w:hint="eastAsia"/>
          <w:highlight w:val="none"/>
          <w:lang w:val="en-US" w:eastAsia="zh-CN"/>
        </w:rPr>
        <w:t>桥墩侧</w:t>
      </w:r>
      <w:r>
        <w:rPr>
          <w:rFonts w:hint="eastAsia"/>
          <w:highlight w:val="none"/>
        </w:rPr>
        <w:t>附着</w:t>
      </w:r>
      <w:r>
        <w:rPr>
          <w:rFonts w:hint="eastAsia"/>
          <w:highlight w:val="none"/>
          <w:lang w:eastAsia="zh-CN"/>
        </w:rPr>
        <w:t>拆除</w:t>
      </w:r>
      <w:r>
        <w:rPr>
          <w:rFonts w:hint="eastAsia"/>
          <w:highlight w:val="none"/>
        </w:rPr>
        <w:t>位置对应的</w:t>
      </w:r>
      <w:r>
        <w:rPr>
          <w:rFonts w:hint="eastAsia"/>
          <w:highlight w:val="none"/>
          <w:lang w:val="en-US" w:eastAsia="zh-CN"/>
        </w:rPr>
        <w:t>操作平台</w:t>
      </w:r>
      <w:r>
        <w:rPr>
          <w:rFonts w:hint="eastAsia"/>
          <w:highlight w:val="none"/>
        </w:rPr>
        <w:t>，将安全带在上方横杆上系挂牢固</w:t>
      </w:r>
      <w:r>
        <w:rPr>
          <w:rFonts w:hint="eastAsia"/>
          <w:lang w:eastAsia="zh-CN"/>
        </w:rPr>
        <w:t>。</w:t>
      </w:r>
    </w:p>
    <w:p w14:paraId="0BF838A7">
      <w:pPr>
        <w:numPr>
          <w:ilvl w:val="0"/>
          <w:numId w:val="44"/>
        </w:numPr>
        <w:ind w:firstLine="480"/>
        <w:rPr>
          <w:rFonts w:hint="eastAsia"/>
        </w:rPr>
      </w:pPr>
      <w:r>
        <w:rPr>
          <w:rFonts w:hint="eastAsia"/>
        </w:rPr>
        <w:t>作业人员从塔机底层</w:t>
      </w:r>
      <w:r>
        <w:rPr>
          <w:rFonts w:hint="eastAsia"/>
          <w:lang w:eastAsia="zh-CN"/>
        </w:rPr>
        <w:t>，</w:t>
      </w:r>
      <w:r>
        <w:rPr>
          <w:rFonts w:hint="eastAsia"/>
        </w:rPr>
        <w:t>通过爬梯</w:t>
      </w:r>
      <w:r>
        <w:rPr>
          <w:rFonts w:hint="eastAsia"/>
          <w:lang w:val="en-US" w:eastAsia="zh-CN"/>
        </w:rPr>
        <w:t>上</w:t>
      </w:r>
      <w:r>
        <w:rPr>
          <w:rFonts w:hint="eastAsia"/>
        </w:rPr>
        <w:t>到塔机下方悬挂平台上，将安全带系挂在上方可靠位置。</w:t>
      </w:r>
    </w:p>
    <w:p w14:paraId="5698887F">
      <w:pPr>
        <w:numPr>
          <w:ilvl w:val="0"/>
          <w:numId w:val="44"/>
        </w:numPr>
        <w:ind w:firstLine="480"/>
      </w:pPr>
      <w:r>
        <w:rPr>
          <w:rFonts w:hint="eastAsia"/>
        </w:rPr>
        <w:t>附着杆件采用两点吊，以附着杆件上</w:t>
      </w:r>
      <w:r>
        <w:rPr>
          <w:rFonts w:hint="eastAsia"/>
          <w:lang w:val="en-US" w:eastAsia="zh-CN"/>
        </w:rPr>
        <w:t>2</w:t>
      </w:r>
      <w:r>
        <w:rPr>
          <w:rFonts w:hint="eastAsia"/>
        </w:rPr>
        <w:t>个固定吊耳孔为吊装孔，</w:t>
      </w:r>
      <w:r>
        <w:rPr>
          <w:rFonts w:hint="eastAsia"/>
          <w:highlight w:val="none"/>
        </w:rPr>
        <w:t>采用2根</w:t>
      </w:r>
      <w:r>
        <w:rPr>
          <w:rFonts w:hint="eastAsia"/>
          <w:highlight w:val="none"/>
          <w:lang w:val="en-US" w:eastAsia="zh-CN"/>
        </w:rPr>
        <w:t>22mm6×19S+FC1870Mpa</w:t>
      </w:r>
      <w:r>
        <w:rPr>
          <w:highlight w:val="none"/>
        </w:rPr>
        <w:t>的钢丝绳配套GB/T 25854-6-</w:t>
      </w:r>
      <w:r>
        <w:rPr>
          <w:rFonts w:hint="eastAsia"/>
          <w:highlight w:val="none"/>
          <w:lang w:eastAsia="zh-CN"/>
        </w:rPr>
        <w:t>DW</w:t>
      </w:r>
      <w:r>
        <w:rPr>
          <w:rFonts w:hint="eastAsia"/>
          <w:highlight w:val="none"/>
          <w:lang w:val="en-US" w:eastAsia="zh-CN"/>
        </w:rPr>
        <w:t>5</w:t>
      </w:r>
      <w:r>
        <w:rPr>
          <w:highlight w:val="none"/>
        </w:rPr>
        <w:t>卸扣进行吊</w:t>
      </w:r>
      <w:r>
        <w:t>装</w:t>
      </w:r>
      <w:r>
        <w:rPr>
          <w:rFonts w:hint="eastAsia"/>
          <w:lang w:eastAsia="zh-CN"/>
        </w:rPr>
        <w:t>，</w:t>
      </w:r>
      <w:r>
        <w:rPr>
          <w:rFonts w:hint="eastAsia"/>
          <w:lang w:val="en-US" w:eastAsia="zh-CN"/>
        </w:rPr>
        <w:t>同时附着杆两端栓上溜绳</w:t>
      </w:r>
      <w:r>
        <w:t>。</w:t>
      </w:r>
    </w:p>
    <w:p w14:paraId="3786F213">
      <w:pPr>
        <w:ind w:firstLine="480"/>
      </w:pPr>
      <w:r>
        <w:rPr>
          <w:rFonts w:hint="eastAsia"/>
        </w:rPr>
        <w:t>4）作业人员将</w:t>
      </w:r>
      <w:r>
        <w:rPr>
          <w:rFonts w:hint="eastAsia"/>
          <w:lang w:val="en-US" w:eastAsia="zh-CN"/>
        </w:rPr>
        <w:t>吊装</w:t>
      </w:r>
      <w:r>
        <w:rPr>
          <w:rFonts w:hint="eastAsia"/>
        </w:rPr>
        <w:t>钢丝绳一端的卸扣与吊装孔连接，两侧的作业人员将连接附着杆件的销轴分别抽出，</w:t>
      </w:r>
      <w:r>
        <w:rPr>
          <w:rFonts w:hint="eastAsia"/>
          <w:lang w:val="en-US" w:eastAsia="zh-CN"/>
        </w:rPr>
        <w:t>操作人员可牵引溜绳，使杆件端部划出耳座，</w:t>
      </w:r>
      <w:r>
        <w:rPr>
          <w:rFonts w:hint="eastAsia"/>
        </w:rPr>
        <w:t>启动起升机构</w:t>
      </w:r>
      <w:r>
        <w:rPr>
          <w:rFonts w:hint="eastAsia"/>
          <w:lang w:val="en-US" w:eastAsia="zh-CN"/>
        </w:rPr>
        <w:t>或吊车吊钩</w:t>
      </w:r>
      <w:r>
        <w:rPr>
          <w:rFonts w:hint="eastAsia"/>
        </w:rPr>
        <w:t>，将附着杆件缓慢起吊下放至地面指定位置。</w:t>
      </w:r>
    </w:p>
    <w:p w14:paraId="0D876D21">
      <w:pPr>
        <w:ind w:firstLine="480"/>
        <w:rPr>
          <w:rFonts w:hint="eastAsia"/>
        </w:rPr>
      </w:pPr>
      <w:r>
        <w:rPr>
          <w:rFonts w:hint="eastAsia"/>
        </w:rPr>
        <w:t>5）重复以上步骤，拆除</w:t>
      </w:r>
      <w:r>
        <w:rPr>
          <w:rFonts w:hint="eastAsia"/>
          <w:lang w:val="en-US" w:eastAsia="zh-CN"/>
        </w:rPr>
        <w:t>所有</w:t>
      </w:r>
      <w:r>
        <w:rPr>
          <w:rFonts w:hint="eastAsia"/>
        </w:rPr>
        <w:t>附着杆件。</w:t>
      </w:r>
    </w:p>
    <w:p w14:paraId="3EC732F2">
      <w:pPr>
        <w:numPr>
          <w:ilvl w:val="0"/>
          <w:numId w:val="0"/>
        </w:numPr>
        <w:ind w:firstLine="480" w:firstLineChars="200"/>
        <w:rPr>
          <w:rFonts w:hint="eastAsia"/>
          <w:lang w:val="en-US" w:eastAsia="zh-CN"/>
        </w:rPr>
      </w:pPr>
      <w:r>
        <w:rPr>
          <w:rFonts w:hint="eastAsia"/>
          <w:lang w:val="en-US" w:eastAsia="zh-CN"/>
        </w:rPr>
        <w:t>6）</w:t>
      </w:r>
      <w:r>
        <w:rPr>
          <w:rFonts w:hint="eastAsia"/>
          <w:highlight w:val="none"/>
          <w:lang w:val="en-US" w:eastAsia="zh-CN"/>
        </w:rPr>
        <w:t>附着横梁采用两点吊装，以横梁上两个吊耳为吊装孔，</w:t>
      </w:r>
      <w:r>
        <w:rPr>
          <w:rFonts w:hint="eastAsia"/>
          <w:highlight w:val="none"/>
        </w:rPr>
        <w:t>采用2根</w:t>
      </w:r>
      <w:r>
        <w:rPr>
          <w:rFonts w:hint="eastAsia"/>
          <w:highlight w:val="none"/>
          <w:lang w:val="en-US" w:eastAsia="zh-CN"/>
        </w:rPr>
        <w:t>22mm6×19S+FC1870Mpa</w:t>
      </w:r>
      <w:r>
        <w:rPr>
          <w:highlight w:val="none"/>
        </w:rPr>
        <w:t>的钢丝绳配套GB/T 25854-6-</w:t>
      </w:r>
      <w:r>
        <w:rPr>
          <w:rFonts w:hint="eastAsia"/>
          <w:highlight w:val="none"/>
          <w:lang w:eastAsia="zh-CN"/>
        </w:rPr>
        <w:t>DW</w:t>
      </w:r>
      <w:r>
        <w:rPr>
          <w:rFonts w:hint="eastAsia"/>
          <w:highlight w:val="none"/>
          <w:lang w:val="en-US" w:eastAsia="zh-CN"/>
        </w:rPr>
        <w:t>5</w:t>
      </w:r>
      <w:r>
        <w:rPr>
          <w:highlight w:val="none"/>
        </w:rPr>
        <w:t>卸扣进行吊装。</w:t>
      </w:r>
      <w:r>
        <w:rPr>
          <w:rFonts w:hint="eastAsia"/>
          <w:highlight w:val="none"/>
          <w:lang w:val="en-US" w:eastAsia="zh-CN"/>
        </w:rPr>
        <w:t>同时横梁两端拴上溜绳，</w:t>
      </w:r>
      <w:r>
        <w:rPr>
          <w:rFonts w:hint="eastAsia"/>
          <w:highlight w:val="none"/>
        </w:rPr>
        <w:t>作业人员将</w:t>
      </w:r>
      <w:r>
        <w:rPr>
          <w:rFonts w:hint="eastAsia"/>
          <w:highlight w:val="none"/>
          <w:lang w:val="en-US" w:eastAsia="zh-CN"/>
        </w:rPr>
        <w:t>吊装</w:t>
      </w:r>
      <w:r>
        <w:rPr>
          <w:rFonts w:hint="eastAsia"/>
          <w:highlight w:val="none"/>
        </w:rPr>
        <w:t>钢丝绳一端的卸扣与吊装孔连接，</w:t>
      </w:r>
      <w:r>
        <w:rPr>
          <w:rFonts w:hint="eastAsia"/>
          <w:highlight w:val="none"/>
          <w:lang w:val="en-US" w:eastAsia="zh-CN"/>
        </w:rPr>
        <w:t>桥墩侧人员拆除横梁与立柱的固定销轴，</w:t>
      </w:r>
      <w:r>
        <w:rPr>
          <w:rFonts w:hint="eastAsia"/>
          <w:highlight w:val="none"/>
        </w:rPr>
        <w:t>启动起升机构</w:t>
      </w:r>
      <w:r>
        <w:rPr>
          <w:rFonts w:hint="eastAsia"/>
          <w:highlight w:val="none"/>
          <w:lang w:val="en-US" w:eastAsia="zh-CN"/>
        </w:rPr>
        <w:t>或吊车吊钩</w:t>
      </w:r>
      <w:r>
        <w:rPr>
          <w:rFonts w:hint="eastAsia"/>
          <w:highlight w:val="none"/>
        </w:rPr>
        <w:t>，</w:t>
      </w:r>
      <w:r>
        <w:rPr>
          <w:rFonts w:hint="eastAsia"/>
          <w:highlight w:val="none"/>
          <w:lang w:val="en-US" w:eastAsia="zh-CN"/>
        </w:rPr>
        <w:t>同时塔机侧操作人员可牵引溜绳调整横梁姿态，然后将横梁缓慢吊起放置地面指定位</w:t>
      </w:r>
      <w:r>
        <w:rPr>
          <w:rFonts w:hint="eastAsia"/>
          <w:lang w:val="en-US" w:eastAsia="zh-CN"/>
        </w:rPr>
        <w:t>置。</w:t>
      </w:r>
    </w:p>
    <w:p w14:paraId="03482A65">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32" w:name="_Toc20149"/>
      <w:bookmarkStart w:id="133" w:name="_Toc22123"/>
      <w:bookmarkStart w:id="134" w:name="_Toc1012592669"/>
      <w:bookmarkStart w:id="135" w:name="_Toc17383782"/>
      <w:r>
        <w:rPr>
          <w:rFonts w:hint="eastAsia" w:ascii="Times New Roman" w:hAnsi="Times New Roman" w:cs="Times New Roman"/>
          <w:color w:val="auto"/>
          <w:sz w:val="24"/>
          <w:szCs w:val="24"/>
          <w:lang w:val="en-US" w:eastAsia="zh-CN"/>
        </w:rPr>
        <w:t>降塔</w:t>
      </w:r>
      <w:bookmarkEnd w:id="132"/>
      <w:bookmarkEnd w:id="133"/>
    </w:p>
    <w:p w14:paraId="7F971C0C">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b w:val="0"/>
          <w:bCs w:val="0"/>
          <w:color w:val="auto"/>
          <w:szCs w:val="24"/>
        </w:rPr>
      </w:pPr>
      <w:r>
        <w:rPr>
          <w:rFonts w:hint="eastAsia"/>
          <w:lang w:val="en-US" w:eastAsia="zh-CN"/>
        </w:rPr>
        <w:t>1）将</w:t>
      </w:r>
      <w:r>
        <w:rPr>
          <w:rFonts w:hint="eastAsia" w:ascii="宋体" w:hAnsi="宋体" w:eastAsia="宋体" w:cs="宋体"/>
          <w:b w:val="0"/>
          <w:bCs w:val="0"/>
          <w:color w:val="auto"/>
          <w:kern w:val="0"/>
          <w:szCs w:val="24"/>
          <w:lang w:val="en-US" w:eastAsia="zh-CN" w:bidi="ar"/>
        </w:rPr>
        <w:t xml:space="preserve">起重臂回转到引进方向（爬升架中有开口的一侧），使回转制动器处于制动状态，载重小车停在配平位置（与立塔顶升加节时载重小车的配平位置一致）； </w:t>
      </w:r>
    </w:p>
    <w:p w14:paraId="10DBE68A">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2）拆掉最上面塔身标准节与特殊节的连接</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，稍稍向上顶升，将引进</w:t>
      </w:r>
      <w:r>
        <w:rPr>
          <w:rFonts w:hint="eastAsia" w:ascii="宋体" w:hAnsi="宋体" w:cs="宋体"/>
          <w:b w:val="0"/>
          <w:bCs w:val="0"/>
          <w:color w:val="auto"/>
          <w:kern w:val="0"/>
          <w:sz w:val="24"/>
          <w:szCs w:val="24"/>
          <w:lang w:val="en-US" w:eastAsia="zh-CN" w:bidi="ar"/>
        </w:rPr>
        <w:t>小车</w:t>
      </w:r>
      <w:r>
        <w:rPr>
          <w:rFonts w:hint="eastAsia" w:ascii="宋体" w:hAnsi="宋体" w:eastAsia="宋体" w:cs="宋体"/>
          <w:b w:val="0"/>
          <w:bCs w:val="0"/>
          <w:color w:val="auto"/>
          <w:kern w:val="0"/>
          <w:sz w:val="24"/>
          <w:szCs w:val="24"/>
          <w:lang w:val="en-US" w:eastAsia="zh-CN" w:bidi="ar"/>
        </w:rPr>
        <w:t>按规定方向放至到标准节下方，并保证安全可靠；然后拆掉最上面的塔身标准节与下一节标准节的连接</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w:t>
      </w:r>
    </w:p>
    <w:p w14:paraId="65868190">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3）伸长顶升油缸，将顶升横梁顶在从上往下数第三个踏步的圆弧槽内，插好防脱销，将上部结构稍稍顶起，把特殊节与爬升架连接耳板销孔对正，打入销轴，并装好开口销； </w:t>
      </w:r>
    </w:p>
    <w:p w14:paraId="3F4B0A81">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4）拆掉最上面塔身标准节与特殊节的连接</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，稍稍向上顶升，并保证安全可靠；然后拆掉最上面的塔身标准节与下一节标准节的连接</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，并在</w:t>
      </w:r>
      <w:r>
        <w:rPr>
          <w:rFonts w:hint="eastAsia" w:ascii="宋体" w:hAnsi="宋体" w:cs="宋体"/>
          <w:b w:val="0"/>
          <w:bCs w:val="0"/>
          <w:color w:val="auto"/>
          <w:kern w:val="0"/>
          <w:sz w:val="24"/>
          <w:szCs w:val="24"/>
          <w:lang w:val="en-US" w:eastAsia="zh-CN" w:bidi="ar"/>
        </w:rPr>
        <w:t>顶部</w:t>
      </w:r>
      <w:r>
        <w:rPr>
          <w:rFonts w:hint="eastAsia" w:ascii="宋体" w:hAnsi="宋体" w:eastAsia="宋体" w:cs="宋体"/>
          <w:b w:val="0"/>
          <w:bCs w:val="0"/>
          <w:color w:val="auto"/>
          <w:kern w:val="0"/>
          <w:sz w:val="24"/>
          <w:szCs w:val="24"/>
          <w:lang w:val="en-US" w:eastAsia="zh-CN" w:bidi="ar"/>
        </w:rPr>
        <w:t>安装引进</w:t>
      </w:r>
      <w:r>
        <w:rPr>
          <w:rFonts w:hint="eastAsia" w:ascii="宋体" w:hAnsi="宋体" w:cs="宋体"/>
          <w:b w:val="0"/>
          <w:bCs w:val="0"/>
          <w:color w:val="auto"/>
          <w:kern w:val="0"/>
          <w:sz w:val="24"/>
          <w:szCs w:val="24"/>
          <w:lang w:val="en-US" w:eastAsia="zh-CN" w:bidi="ar"/>
        </w:rPr>
        <w:t>小车</w:t>
      </w:r>
      <w:r>
        <w:rPr>
          <w:rFonts w:hint="eastAsia" w:ascii="宋体" w:hAnsi="宋体" w:eastAsia="宋体" w:cs="宋体"/>
          <w:b w:val="0"/>
          <w:bCs w:val="0"/>
          <w:color w:val="auto"/>
          <w:kern w:val="0"/>
          <w:sz w:val="24"/>
          <w:szCs w:val="24"/>
          <w:lang w:val="en-US" w:eastAsia="zh-CN" w:bidi="ar"/>
        </w:rPr>
        <w:t xml:space="preserve">； </w:t>
      </w:r>
    </w:p>
    <w:p w14:paraId="47E23977">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5）继续顶升至最上面标准节与下方标准节离开，把标准节推出引进横梁并支稳（推出时且不可用力过猛，以免标准节冲出引进梁而倾翻，造成事故）； </w:t>
      </w:r>
    </w:p>
    <w:p w14:paraId="6FB7EE50">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6）扳开活动爬爪，回缩油缸，让活动爬爪躲过距它最近的一对踏步后，复位放平，继续下降至活动爬爪支承在下一对踏步上并支承住上部结构后，退出防脱销，再回缩油缸至顶升横梁从踏步上移开； </w:t>
      </w:r>
    </w:p>
    <w:p w14:paraId="21A2382F">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7）伸出油缸，将顶升横梁顶在下一对踏步上，插好防脱销，稍微顶升至爬爪翻转时能躲过原来支承的踏步后停止，拨开爬爪，回缩油缸，至下一标准节与特殊节相接触时为止，若连接套</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孔错位，可用随机爬升架调节工具调节到位（严禁用载重小车调位或打回转调整）；</w:t>
      </w:r>
    </w:p>
    <w:p w14:paraId="32C19885">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8）将特殊节与塔身标准节之间用 12 颗高强</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 xml:space="preserve">紧固牢，用小车吊钩将标准节吊至地面； </w:t>
      </w:r>
    </w:p>
    <w:p w14:paraId="40C74756">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eastAsia" w:ascii="宋体" w:hAnsi="宋体" w:eastAsia="宋体" w:cs="宋体"/>
          <w:b w:val="0"/>
          <w:bCs w:val="0"/>
          <w:color w:val="auto"/>
          <w:sz w:val="24"/>
          <w:szCs w:val="24"/>
        </w:rPr>
      </w:pPr>
      <w:bookmarkStart w:id="136" w:name="_Toc21539"/>
      <w:r>
        <w:rPr>
          <w:rFonts w:hint="eastAsia" w:ascii="宋体" w:hAnsi="宋体" w:eastAsia="宋体" w:cs="宋体"/>
          <w:b w:val="0"/>
          <w:bCs w:val="0"/>
          <w:color w:val="auto"/>
          <w:kern w:val="0"/>
          <w:sz w:val="24"/>
          <w:szCs w:val="24"/>
          <w:lang w:val="en-US" w:eastAsia="zh-CN" w:bidi="ar"/>
        </w:rPr>
        <w:t>9）重复上述动作，将塔身标准节依次拆下。</w:t>
      </w:r>
      <w:bookmarkEnd w:id="136"/>
      <w:r>
        <w:rPr>
          <w:rFonts w:hint="eastAsia" w:ascii="宋体" w:hAnsi="宋体" w:eastAsia="宋体" w:cs="宋体"/>
          <w:b w:val="0"/>
          <w:bCs w:val="0"/>
          <w:color w:val="auto"/>
          <w:kern w:val="0"/>
          <w:sz w:val="24"/>
          <w:szCs w:val="24"/>
          <w:lang w:val="en-US" w:eastAsia="zh-CN" w:bidi="ar"/>
        </w:rPr>
        <w:t xml:space="preserve"> </w:t>
      </w:r>
    </w:p>
    <w:p w14:paraId="13F329EE">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注意：</w:t>
      </w:r>
      <w:r>
        <w:rPr>
          <w:rFonts w:hint="eastAsia" w:ascii="宋体" w:hAnsi="宋体" w:eastAsia="宋体" w:cs="宋体"/>
          <w:b w:val="0"/>
          <w:bCs w:val="0"/>
          <w:color w:val="auto"/>
          <w:kern w:val="0"/>
          <w:sz w:val="24"/>
          <w:szCs w:val="24"/>
          <w:lang w:val="en-US" w:eastAsia="zh-CN" w:bidi="ar"/>
        </w:rPr>
        <w:t xml:space="preserve">爬升架下落过程中，需用人工翻转挂靴，同时派专人看管顶升横梁和导轮，观察爬升架下降时有无被障碍物卡住的现象，以便爬升架能顺利下降，否则将造成受力不均，容易造成顶升故障。 </w:t>
      </w:r>
    </w:p>
    <w:p w14:paraId="40CD967A">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降塔的具体操作步骤与顶升章节中引进标节的介绍顺序相反，图示请参阅顶升章节示意。 </w:t>
      </w:r>
    </w:p>
    <w:p w14:paraId="2539D8D3">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37" w:name="_Toc3924"/>
      <w:bookmarkStart w:id="138" w:name="_Toc20762"/>
      <w:r>
        <w:rPr>
          <w:rFonts w:hint="eastAsia" w:ascii="Times New Roman" w:hAnsi="Times New Roman" w:cs="Times New Roman"/>
          <w:color w:val="auto"/>
          <w:sz w:val="24"/>
          <w:szCs w:val="24"/>
          <w:lang w:val="en-US" w:eastAsia="zh-CN"/>
        </w:rPr>
        <w:t>拆除</w:t>
      </w:r>
      <w:bookmarkEnd w:id="137"/>
      <w:r>
        <w:rPr>
          <w:rFonts w:hint="eastAsia" w:ascii="Times New Roman" w:hAnsi="Times New Roman" w:cs="Times New Roman"/>
          <w:color w:val="auto"/>
          <w:sz w:val="24"/>
          <w:szCs w:val="24"/>
          <w:lang w:val="en-US" w:eastAsia="zh-CN"/>
        </w:rPr>
        <w:t>平衡重</w:t>
      </w:r>
      <w:bookmarkEnd w:id="138"/>
    </w:p>
    <w:p w14:paraId="3EE3B423">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bookmarkStart w:id="139" w:name="_Toc24424"/>
      <w:r>
        <w:rPr>
          <w:rFonts w:hint="eastAsia" w:ascii="宋体" w:hAnsi="宋体" w:eastAsia="宋体" w:cs="宋体"/>
          <w:lang w:val="en-US" w:eastAsia="zh-CN"/>
        </w:rPr>
        <w: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t，满足拆除吊装要求。</w:t>
      </w:r>
    </w:p>
    <w:p w14:paraId="618063FF">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平衡重吊装采用两点吊，以平衡重顶部预埋的2个吊耳板作为吊装孔，采用2根</w:t>
      </w:r>
      <w:r>
        <w:rPr>
          <w:rFonts w:hint="eastAsia" w:ascii="宋体" w:hAnsi="宋体" w:cs="宋体"/>
          <w:lang w:val="en-US" w:eastAsia="zh-CN"/>
        </w:rPr>
        <w:t>22</w:t>
      </w:r>
      <w:r>
        <w:rPr>
          <w:rFonts w:hint="eastAsia" w:ascii="宋体" w:hAnsi="宋体" w:eastAsia="宋体" w:cs="宋体"/>
          <w:lang w:val="en-US" w:eastAsia="zh-CN"/>
        </w:rPr>
        <w:t>mm6×19+FC1870Mpa的钢丝绳配套GB/T 25854-6-DW5卸扣进行起吊。</w:t>
      </w:r>
    </w:p>
    <w:p w14:paraId="25CFAD54">
      <w:pPr>
        <w:keepNext w:val="0"/>
        <w:keepLines w:val="0"/>
        <w:pageBreakBefore w:val="0"/>
        <w:kinsoku/>
        <w:wordWrap/>
        <w:overflowPunct/>
        <w:topLinePunct w:val="0"/>
        <w:autoSpaceDE/>
        <w:autoSpaceDN/>
        <w:bidi w:val="0"/>
        <w:snapToGrid/>
        <w:spacing w:line="360" w:lineRule="auto"/>
        <w:rPr>
          <w:rFonts w:hint="eastAsia" w:ascii="宋体" w:hAnsi="宋体" w:eastAsia="宋体" w:cs="宋体"/>
          <w:lang w:val="en-US" w:eastAsia="zh-CN"/>
        </w:rPr>
      </w:pPr>
      <w:r>
        <w:rPr>
          <w:rFonts w:hint="eastAsia" w:ascii="宋体" w:hAnsi="宋体" w:eastAsia="宋体" w:cs="宋体"/>
        </w:rPr>
        <w:t>作业人员在地面上先将钢丝绳一端挂在</w:t>
      </w:r>
      <w:r>
        <w:rPr>
          <w:rFonts w:hint="eastAsia" w:ascii="宋体" w:hAnsi="宋体" w:eastAsia="宋体" w:cs="宋体"/>
          <w:lang w:val="en-US" w:eastAsia="zh-CN"/>
        </w:rPr>
        <w:t>汽车吊</w:t>
      </w:r>
      <w:r>
        <w:rPr>
          <w:rFonts w:hint="eastAsia" w:ascii="宋体" w:hAnsi="宋体" w:eastAsia="宋体" w:cs="宋体"/>
        </w:rPr>
        <w:t>吊钩上，另一端与卸扣连接，启动</w:t>
      </w:r>
      <w:r>
        <w:rPr>
          <w:rFonts w:hint="eastAsia" w:ascii="宋体" w:hAnsi="宋体" w:eastAsia="宋体" w:cs="宋体"/>
          <w:lang w:eastAsia="zh-CN"/>
        </w:rPr>
        <w:t>汽车吊</w:t>
      </w:r>
      <w:r>
        <w:rPr>
          <w:rFonts w:hint="eastAsia" w:ascii="宋体" w:hAnsi="宋体" w:eastAsia="宋体" w:cs="宋体"/>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s="宋体"/>
          <w:lang w:eastAsia="zh-CN"/>
        </w:rPr>
        <w:t>汽车吊</w:t>
      </w:r>
      <w:r>
        <w:rPr>
          <w:rFonts w:hint="eastAsia" w:ascii="宋体" w:hAnsi="宋体" w:eastAsia="宋体" w:cs="宋体"/>
        </w:rPr>
        <w:t>起升吊钩，将平衡重竖直起吊一定高度后，解除平衡重孔的销轴，</w:t>
      </w:r>
      <w:r>
        <w:rPr>
          <w:rFonts w:hint="eastAsia" w:ascii="宋体" w:hAnsi="宋体" w:eastAsia="宋体" w:cs="宋体"/>
          <w:lang w:eastAsia="zh-CN"/>
        </w:rPr>
        <w:t>汽车吊</w:t>
      </w:r>
      <w:r>
        <w:rPr>
          <w:rFonts w:hint="eastAsia" w:ascii="宋体" w:hAnsi="宋体" w:eastAsia="宋体" w:cs="宋体"/>
        </w:rPr>
        <w:t>将平衡重沿平衡臂尾部槽口缓慢向外移出平衡臂，将平衡重下</w:t>
      </w:r>
      <w:r>
        <w:rPr>
          <w:rFonts w:hint="eastAsia" w:ascii="宋体" w:hAnsi="宋体" w:eastAsia="宋体" w:cs="宋体"/>
          <w:lang w:val="en-US" w:eastAsia="zh-CN"/>
        </w:rPr>
        <w:t>放至地面，作业人员在地面上解除卸扣与平衡重吊耳的连接。</w:t>
      </w:r>
    </w:p>
    <w:p w14:paraId="3859A990">
      <w:pPr>
        <w:pStyle w:val="32"/>
        <w:rPr>
          <w:rFonts w:hint="eastAsia"/>
          <w:lang w:val="en-US" w:eastAsia="zh-CN"/>
        </w:rPr>
      </w:pPr>
      <w:r>
        <w:rPr>
          <w:rFonts w:hint="eastAsia" w:ascii="宋体" w:hAnsi="宋体" w:eastAsia="宋体" w:cs="宋体"/>
          <w:b w:val="0"/>
          <w:bCs w:val="0"/>
          <w:color w:val="auto"/>
          <w:kern w:val="0"/>
          <w:sz w:val="24"/>
          <w:szCs w:val="24"/>
          <w:lang w:val="en-US" w:eastAsia="zh-CN" w:bidi="ar"/>
        </w:rPr>
        <w:t>按装配重的相反顺序，将各块配重依次卸下，仅留下</w:t>
      </w:r>
      <w:r>
        <w:rPr>
          <w:rFonts w:hint="eastAsia" w:ascii="宋体" w:hAnsi="宋体" w:cs="宋体"/>
          <w:b w:val="0"/>
          <w:bCs w:val="0"/>
          <w:color w:val="auto"/>
          <w:kern w:val="0"/>
          <w:sz w:val="24"/>
          <w:szCs w:val="24"/>
          <w:lang w:val="en-US" w:eastAsia="zh-CN" w:bidi="ar"/>
        </w:rPr>
        <w:t>2.3</w:t>
      </w:r>
      <w:r>
        <w:rPr>
          <w:rFonts w:hint="eastAsia" w:ascii="宋体" w:hAnsi="宋体" w:eastAsia="宋体" w:cs="宋体"/>
          <w:b w:val="0"/>
          <w:bCs w:val="0"/>
          <w:color w:val="auto"/>
          <w:kern w:val="0"/>
          <w:sz w:val="24"/>
          <w:szCs w:val="24"/>
          <w:lang w:val="en-US" w:eastAsia="zh-CN" w:bidi="ar"/>
        </w:rPr>
        <w:t>t×</w:t>
      </w:r>
      <w:r>
        <w:rPr>
          <w:rFonts w:hint="eastAsia" w:ascii="宋体" w:hAnsi="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配重块</w:t>
      </w:r>
      <w:r>
        <w:rPr>
          <w:rFonts w:hint="eastAsia" w:ascii="宋体" w:hAnsi="宋体" w:cs="宋体"/>
          <w:b w:val="0"/>
          <w:bCs w:val="0"/>
          <w:color w:val="auto"/>
          <w:kern w:val="0"/>
          <w:sz w:val="24"/>
          <w:szCs w:val="24"/>
          <w:lang w:val="en-US" w:eastAsia="zh-CN" w:bidi="ar"/>
        </w:rPr>
        <w:t>。</w:t>
      </w:r>
    </w:p>
    <w:p w14:paraId="712275B8">
      <w:pPr>
        <w:keepNext w:val="0"/>
        <w:keepLines w:val="0"/>
        <w:pageBreakBefore w:val="0"/>
        <w:kinsoku/>
        <w:wordWrap/>
        <w:overflowPunct/>
        <w:topLinePunct w:val="0"/>
        <w:autoSpaceDE/>
        <w:autoSpaceDN/>
        <w:bidi w:val="0"/>
        <w:snapToGrid/>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lang w:val="en-US" w:eastAsia="zh-CN"/>
        </w:rPr>
        <w:t>塔式起重机平衡重拆除时设置警戒区，起吊安排专人负责指挥，专人操作，严禁无关人员进入起重作业范围内。</w:t>
      </w:r>
      <w:bookmarkEnd w:id="139"/>
      <w:r>
        <w:rPr>
          <w:rFonts w:hint="eastAsia" w:ascii="宋体" w:hAnsi="宋体" w:eastAsia="宋体" w:cs="宋体"/>
          <w:b w:val="0"/>
          <w:bCs w:val="0"/>
          <w:color w:val="auto"/>
          <w:kern w:val="0"/>
          <w:sz w:val="24"/>
          <w:szCs w:val="24"/>
          <w:lang w:val="en-US" w:eastAsia="zh-CN" w:bidi="ar"/>
        </w:rPr>
        <w:t xml:space="preserve"> </w:t>
      </w:r>
    </w:p>
    <w:tbl>
      <w:tblPr>
        <w:tblStyle w:val="33"/>
        <w:tblpPr w:leftFromText="180" w:rightFromText="180" w:vertAnchor="text" w:horzAnchor="page" w:tblpX="2309" w:tblpY="8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BB2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679E88BE">
            <w:pPr>
              <w:pStyle w:val="12"/>
              <w:pageBreakBefore w:val="0"/>
              <w:kinsoku/>
              <w:wordWrap/>
              <w:overflowPunct/>
              <w:topLinePunct w:val="0"/>
              <w:bidi w:val="0"/>
              <w:spacing w:line="360" w:lineRule="auto"/>
              <w:rPr>
                <w:rFonts w:hint="eastAsia" w:ascii="宋体" w:hAnsi="宋体" w:eastAsia="宋体" w:cs="宋体"/>
                <w:b w:val="0"/>
                <w:bCs/>
                <w:kern w:val="2"/>
                <w:sz w:val="24"/>
                <w:szCs w:val="24"/>
                <w:lang w:val="en-US" w:eastAsia="zh-CN" w:bidi="ar-SA"/>
              </w:rPr>
            </w:pPr>
            <w:r>
              <w:drawing>
                <wp:inline distT="0" distB="0" distL="114300" distR="114300">
                  <wp:extent cx="5269230" cy="1905000"/>
                  <wp:effectExtent l="0" t="0" r="7620" b="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57"/>
                          <a:stretch>
                            <a:fillRect/>
                          </a:stretch>
                        </pic:blipFill>
                        <pic:spPr>
                          <a:xfrm>
                            <a:off x="0" y="0"/>
                            <a:ext cx="5269230" cy="1905000"/>
                          </a:xfrm>
                          <a:prstGeom prst="rect">
                            <a:avLst/>
                          </a:prstGeom>
                          <a:noFill/>
                          <a:ln>
                            <a:noFill/>
                          </a:ln>
                        </pic:spPr>
                      </pic:pic>
                    </a:graphicData>
                  </a:graphic>
                </wp:inline>
              </w:drawing>
            </w:r>
            <w:r>
              <w:drawing>
                <wp:inline distT="0" distB="0" distL="114300" distR="114300">
                  <wp:extent cx="5271135" cy="2555240"/>
                  <wp:effectExtent l="0" t="0" r="5715" b="1651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58"/>
                          <a:stretch>
                            <a:fillRect/>
                          </a:stretch>
                        </pic:blipFill>
                        <pic:spPr>
                          <a:xfrm>
                            <a:off x="0" y="0"/>
                            <a:ext cx="5271135" cy="2555240"/>
                          </a:xfrm>
                          <a:prstGeom prst="rect">
                            <a:avLst/>
                          </a:prstGeom>
                          <a:noFill/>
                          <a:ln>
                            <a:noFill/>
                          </a:ln>
                        </pic:spPr>
                      </pic:pic>
                    </a:graphicData>
                  </a:graphic>
                </wp:inline>
              </w:drawing>
            </w:r>
          </w:p>
        </w:tc>
      </w:tr>
      <w:tr w14:paraId="7906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47431F17">
            <w:pPr>
              <w:pStyle w:val="12"/>
              <w:pageBreakBefore w:val="0"/>
              <w:kinsoku/>
              <w:wordWrap/>
              <w:overflowPunct/>
              <w:topLinePunct w:val="0"/>
              <w:bidi w:val="0"/>
              <w:spacing w:line="360" w:lineRule="auto"/>
            </w:pPr>
            <w:r>
              <w:rPr>
                <w:rFonts w:hint="eastAsia" w:ascii="宋体" w:hAnsi="宋体" w:eastAsia="宋体" w:cs="宋体"/>
                <w:b w:val="0"/>
                <w:bCs/>
                <w:kern w:val="2"/>
                <w:sz w:val="24"/>
                <w:szCs w:val="24"/>
                <w:lang w:val="en-US" w:eastAsia="zh-CN" w:bidi="ar-SA"/>
              </w:rPr>
              <w:t>平</w:t>
            </w:r>
            <w:r>
              <w:rPr>
                <w:rFonts w:hint="eastAsia" w:ascii="宋体" w:hAnsi="宋体" w:eastAsia="宋体" w:cs="宋体"/>
                <w:b w:val="0"/>
                <w:bCs/>
                <w:color w:val="auto"/>
                <w:kern w:val="2"/>
                <w:sz w:val="24"/>
                <w:szCs w:val="24"/>
                <w:lang w:val="en-US" w:eastAsia="zh-CN" w:bidi="ar-SA"/>
              </w:rPr>
              <w:t>衡重拆除示意图</w:t>
            </w:r>
          </w:p>
        </w:tc>
      </w:tr>
    </w:tbl>
    <w:p w14:paraId="6CAF7026">
      <w:pPr>
        <w:keepNext w:val="0"/>
        <w:keepLines w:val="0"/>
        <w:pageBreakBefore w:val="0"/>
        <w:kinsoku/>
        <w:wordWrap/>
        <w:overflowPunct/>
        <w:topLinePunct w:val="0"/>
        <w:autoSpaceDE/>
        <w:autoSpaceDN/>
        <w:bidi w:val="0"/>
        <w:snapToGrid/>
        <w:spacing w:line="360" w:lineRule="auto"/>
      </w:pPr>
    </w:p>
    <w:p w14:paraId="00C7A613">
      <w:pPr>
        <w:keepNext w:val="0"/>
        <w:keepLines w:val="0"/>
        <w:pageBreakBefore w:val="0"/>
        <w:kinsoku/>
        <w:wordWrap/>
        <w:overflowPunct/>
        <w:topLinePunct w:val="0"/>
        <w:autoSpaceDE/>
        <w:autoSpaceDN/>
        <w:bidi w:val="0"/>
        <w:snapToGrid/>
        <w:spacing w:beforeAutospacing="0" w:afterAutospacing="0" w:line="360" w:lineRule="auto"/>
        <w:ind w:left="0" w:leftChars="0" w:firstLine="0" w:firstLineChars="0"/>
        <w:jc w:val="center"/>
        <w:rPr>
          <w:rFonts w:hint="eastAsia" w:ascii="宋体" w:hAnsi="宋体" w:eastAsia="宋体" w:cs="宋体"/>
          <w:b w:val="0"/>
          <w:bCs w:val="0"/>
          <w:color w:val="auto"/>
          <w:sz w:val="24"/>
          <w:szCs w:val="24"/>
          <w:lang w:val="en-US" w:eastAsia="zh-CN"/>
        </w:rPr>
      </w:pPr>
    </w:p>
    <w:p w14:paraId="78DE8284">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40" w:name="_Toc20004"/>
      <w:bookmarkStart w:id="141" w:name="_Toc9406"/>
      <w:r>
        <w:rPr>
          <w:rFonts w:hint="eastAsia" w:ascii="Times New Roman" w:hAnsi="Times New Roman" w:cs="Times New Roman"/>
          <w:color w:val="auto"/>
          <w:sz w:val="24"/>
          <w:szCs w:val="24"/>
          <w:lang w:val="en-US" w:eastAsia="zh-CN"/>
        </w:rPr>
        <w:t>起重臂拆卸</w:t>
      </w:r>
      <w:bookmarkEnd w:id="140"/>
      <w:bookmarkEnd w:id="141"/>
    </w:p>
    <w:p w14:paraId="38F3BA40">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t，满足拆除吊装要求。</w:t>
      </w:r>
    </w:p>
    <w:p w14:paraId="7173A395">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起重臂臂节吊装采用两点吊，以起重臂顶部2个吊耳板作为吊装孔，采用2根</w:t>
      </w:r>
      <w:r>
        <w:rPr>
          <w:rFonts w:hint="eastAsia" w:ascii="宋体" w:hAnsi="宋体" w:cs="宋体"/>
          <w:lang w:val="en-US" w:eastAsia="zh-CN"/>
        </w:rPr>
        <w:t>22</w:t>
      </w:r>
      <w:r>
        <w:rPr>
          <w:rFonts w:hint="eastAsia" w:ascii="宋体" w:hAnsi="宋体" w:eastAsia="宋体" w:cs="宋体"/>
          <w:lang w:val="en-US" w:eastAsia="zh-CN"/>
        </w:rPr>
        <w:t>mm6×19+FC1870Mpa的钢丝绳配套GB/T 25854-6-DW5卸扣进行起吊。</w:t>
      </w:r>
    </w:p>
    <w:p w14:paraId="6F7C4F86">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rPr>
      </w:pPr>
      <w:r>
        <w:rPr>
          <w:rFonts w:hint="eastAsia" w:ascii="宋体" w:hAnsi="宋体" w:eastAsia="宋体" w:cs="宋体"/>
        </w:rPr>
        <w:t>作业人员在地面上先将钢丝绳一端挂在</w:t>
      </w:r>
      <w:r>
        <w:rPr>
          <w:rFonts w:hint="eastAsia" w:ascii="宋体" w:hAnsi="宋体" w:eastAsia="宋体" w:cs="宋体"/>
          <w:lang w:eastAsia="zh-CN"/>
        </w:rPr>
        <w:t>汽车吊</w:t>
      </w:r>
      <w:r>
        <w:rPr>
          <w:rFonts w:hint="eastAsia" w:ascii="宋体" w:hAnsi="宋体" w:eastAsia="宋体" w:cs="宋体"/>
        </w:rPr>
        <w:t>吊钩上，启动</w:t>
      </w:r>
      <w:r>
        <w:rPr>
          <w:rFonts w:hint="eastAsia" w:ascii="宋体" w:hAnsi="宋体" w:eastAsia="宋体" w:cs="宋体"/>
          <w:lang w:eastAsia="zh-CN"/>
        </w:rPr>
        <w:t>汽车吊</w:t>
      </w:r>
      <w:r>
        <w:rPr>
          <w:rFonts w:hint="eastAsia" w:ascii="宋体" w:hAnsi="宋体" w:eastAsia="宋体" w:cs="宋体"/>
        </w:rPr>
        <w:t>，将钢丝绳缓慢提升至起重臂上方时，作业人员通过爬梯爬至回转总成平台上，将安全带交替系挂在起重臂安全绳上，沿下弦杆走行至起重臂吊点位置处。</w:t>
      </w:r>
      <w:r>
        <w:rPr>
          <w:rFonts w:hint="eastAsia" w:ascii="宋体" w:hAnsi="宋体" w:eastAsia="宋体" w:cs="宋体"/>
          <w:lang w:eastAsia="zh-CN"/>
        </w:rPr>
        <w:t>汽车吊</w:t>
      </w:r>
      <w:r>
        <w:rPr>
          <w:rFonts w:hint="eastAsia" w:ascii="宋体" w:hAnsi="宋体" w:eastAsia="宋体" w:cs="宋体"/>
        </w:rPr>
        <w:t>放松吊钩，将另一端钢丝绳与起重臂腹杆节点捆绑连接，采用卸扣固定，同时在起重臂腹杆上栓好2根溜绳。作业人员沿下弦杆走行至起重臂臂根节处，</w:t>
      </w:r>
      <w:r>
        <w:rPr>
          <w:rFonts w:hint="eastAsia" w:ascii="宋体" w:hAnsi="宋体" w:eastAsia="宋体" w:cs="宋体"/>
          <w:lang w:eastAsia="zh-CN"/>
        </w:rPr>
        <w:t>汽车吊</w:t>
      </w:r>
      <w:r>
        <w:rPr>
          <w:rFonts w:hint="eastAsia" w:ascii="宋体" w:hAnsi="宋体" w:eastAsia="宋体" w:cs="宋体"/>
        </w:rPr>
        <w:t>轻轻将起重臂往上抬，拆除起重臂和起重臂臂根节的连接销轴，</w:t>
      </w:r>
      <w:r>
        <w:rPr>
          <w:rFonts w:hint="eastAsia" w:ascii="宋体" w:hAnsi="宋体" w:eastAsia="宋体" w:cs="宋体"/>
          <w:lang w:eastAsia="zh-CN"/>
        </w:rPr>
        <w:t>汽车吊</w:t>
      </w:r>
      <w:r>
        <w:rPr>
          <w:rFonts w:hint="eastAsia" w:ascii="宋体" w:hAnsi="宋体" w:eastAsia="宋体" w:cs="宋体"/>
        </w:rPr>
        <w:t>起升吊钩，将起重臂竖直起吊一定安全高度后，再将起重臂下放至地面，稳固后</w:t>
      </w:r>
      <w:r>
        <w:rPr>
          <w:rFonts w:hint="eastAsia" w:ascii="宋体" w:hAnsi="宋体" w:eastAsia="宋体" w:cs="宋体"/>
          <w:lang w:eastAsia="zh-CN"/>
        </w:rPr>
        <w:t>汽车吊</w:t>
      </w:r>
      <w:r>
        <w:rPr>
          <w:rFonts w:hint="eastAsia" w:ascii="宋体" w:hAnsi="宋体" w:eastAsia="宋体" w:cs="宋体"/>
        </w:rPr>
        <w:t>放松吊钩，作业人员在地面上解除钢丝绳与起重臂吊点的连接。</w:t>
      </w:r>
    </w:p>
    <w:p w14:paraId="4D911310">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b w:val="0"/>
          <w:bCs w:val="0"/>
          <w:color w:val="auto"/>
          <w:sz w:val="24"/>
          <w:szCs w:val="24"/>
          <w:lang w:val="en-US" w:eastAsia="zh-CN"/>
        </w:rPr>
      </w:pPr>
      <w:r>
        <w:rPr>
          <w:rFonts w:hint="eastAsia" w:ascii="宋体" w:hAnsi="宋体" w:eastAsia="宋体" w:cs="宋体"/>
          <w:lang w:val="en-US" w:eastAsia="zh-CN"/>
        </w:rPr>
        <w:t>塔式起重机起重臂拆除时设置警戒区，起吊安排专人负责指挥，专人操作，严禁无关人员进入起重作业范围内。</w:t>
      </w:r>
    </w:p>
    <w:tbl>
      <w:tblPr>
        <w:tblStyle w:val="33"/>
        <w:tblpPr w:leftFromText="180" w:rightFromText="180" w:vertAnchor="text" w:horzAnchor="page" w:tblpX="2309" w:tblpY="8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ABC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6CC5D65C">
            <w:pPr>
              <w:pStyle w:val="12"/>
              <w:pageBreakBefore w:val="0"/>
              <w:kinsoku/>
              <w:wordWrap/>
              <w:overflowPunct/>
              <w:topLinePunct w:val="0"/>
              <w:bidi w:val="0"/>
              <w:spacing w:line="360" w:lineRule="auto"/>
              <w:rPr>
                <w:rFonts w:hint="eastAsia" w:ascii="宋体" w:hAnsi="宋体" w:eastAsia="宋体" w:cs="宋体"/>
                <w:b w:val="0"/>
                <w:bCs/>
                <w:lang w:val="en-US" w:eastAsia="zh-CN"/>
              </w:rPr>
            </w:pPr>
            <w:r>
              <w:drawing>
                <wp:inline distT="0" distB="0" distL="114300" distR="114300">
                  <wp:extent cx="5274310" cy="1134110"/>
                  <wp:effectExtent l="0" t="0" r="2540" b="8890"/>
                  <wp:docPr id="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8"/>
                          <pic:cNvPicPr>
                            <a:picLocks noChangeAspect="1"/>
                          </pic:cNvPicPr>
                        </pic:nvPicPr>
                        <pic:blipFill>
                          <a:blip r:embed="rId72"/>
                          <a:stretch>
                            <a:fillRect/>
                          </a:stretch>
                        </pic:blipFill>
                        <pic:spPr>
                          <a:xfrm>
                            <a:off x="0" y="0"/>
                            <a:ext cx="5274310" cy="1134110"/>
                          </a:xfrm>
                          <a:prstGeom prst="rect">
                            <a:avLst/>
                          </a:prstGeom>
                          <a:noFill/>
                          <a:ln>
                            <a:noFill/>
                          </a:ln>
                        </pic:spPr>
                      </pic:pic>
                    </a:graphicData>
                  </a:graphic>
                </wp:inline>
              </w:drawing>
            </w:r>
            <w:r>
              <w:drawing>
                <wp:inline distT="0" distB="0" distL="114300" distR="114300">
                  <wp:extent cx="5332730" cy="2334260"/>
                  <wp:effectExtent l="0" t="0" r="1270" b="8890"/>
                  <wp:docPr id="4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7"/>
                          <pic:cNvPicPr>
                            <a:picLocks noChangeAspect="1"/>
                          </pic:cNvPicPr>
                        </pic:nvPicPr>
                        <pic:blipFill>
                          <a:blip r:embed="rId73"/>
                          <a:stretch>
                            <a:fillRect/>
                          </a:stretch>
                        </pic:blipFill>
                        <pic:spPr>
                          <a:xfrm>
                            <a:off x="0" y="0"/>
                            <a:ext cx="5332730" cy="2334260"/>
                          </a:xfrm>
                          <a:prstGeom prst="rect">
                            <a:avLst/>
                          </a:prstGeom>
                          <a:noFill/>
                          <a:ln>
                            <a:noFill/>
                          </a:ln>
                        </pic:spPr>
                      </pic:pic>
                    </a:graphicData>
                  </a:graphic>
                </wp:inline>
              </w:drawing>
            </w:r>
            <w:r>
              <w:drawing>
                <wp:inline distT="0" distB="0" distL="114300" distR="114300">
                  <wp:extent cx="5267325" cy="1935480"/>
                  <wp:effectExtent l="0" t="0" r="9525" b="762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55"/>
                          <a:stretch>
                            <a:fillRect/>
                          </a:stretch>
                        </pic:blipFill>
                        <pic:spPr>
                          <a:xfrm>
                            <a:off x="0" y="0"/>
                            <a:ext cx="5267325" cy="1935480"/>
                          </a:xfrm>
                          <a:prstGeom prst="rect">
                            <a:avLst/>
                          </a:prstGeom>
                          <a:noFill/>
                          <a:ln>
                            <a:noFill/>
                          </a:ln>
                        </pic:spPr>
                      </pic:pic>
                    </a:graphicData>
                  </a:graphic>
                </wp:inline>
              </w:drawing>
            </w:r>
          </w:p>
        </w:tc>
      </w:tr>
      <w:tr w14:paraId="77BB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36303193">
            <w:pPr>
              <w:pStyle w:val="12"/>
              <w:pageBreakBefore w:val="0"/>
              <w:kinsoku/>
              <w:wordWrap/>
              <w:overflowPunct/>
              <w:topLinePunct w:val="0"/>
              <w:bidi w:val="0"/>
              <w:spacing w:line="360" w:lineRule="auto"/>
            </w:pPr>
            <w:r>
              <w:rPr>
                <w:rFonts w:hint="eastAsia" w:ascii="宋体" w:hAnsi="宋体" w:eastAsia="宋体" w:cs="宋体"/>
                <w:b w:val="0"/>
                <w:bCs/>
                <w:lang w:val="en-US" w:eastAsia="zh-CN"/>
              </w:rPr>
              <w:t>起重臂总成拆除示意图</w:t>
            </w:r>
          </w:p>
        </w:tc>
      </w:tr>
    </w:tbl>
    <w:p w14:paraId="32E3F70F">
      <w:pPr>
        <w:keepNext w:val="0"/>
        <w:keepLines w:val="0"/>
        <w:pageBreakBefore w:val="0"/>
        <w:kinsoku/>
        <w:wordWrap/>
        <w:overflowPunct/>
        <w:topLinePunct w:val="0"/>
        <w:autoSpaceDE/>
        <w:autoSpaceDN/>
        <w:bidi w:val="0"/>
        <w:snapToGrid/>
        <w:spacing w:beforeAutospacing="0" w:afterAutospacing="0" w:line="360" w:lineRule="auto"/>
        <w:ind w:left="0" w:leftChars="0" w:firstLine="0" w:firstLineChars="0"/>
        <w:jc w:val="center"/>
        <w:rPr>
          <w:rFonts w:hint="eastAsia" w:ascii="宋体" w:hAnsi="宋体" w:eastAsia="宋体" w:cs="宋体"/>
          <w:b w:val="0"/>
          <w:bCs w:val="0"/>
          <w:color w:val="auto"/>
          <w:sz w:val="24"/>
          <w:szCs w:val="24"/>
          <w:lang w:val="en-US" w:eastAsia="zh-CN"/>
        </w:rPr>
      </w:pPr>
    </w:p>
    <w:p w14:paraId="6C798DEF">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42" w:name="_Toc201"/>
      <w:r>
        <w:rPr>
          <w:rFonts w:hint="eastAsia" w:ascii="Times New Roman" w:hAnsi="Times New Roman" w:cs="Times New Roman"/>
          <w:color w:val="auto"/>
          <w:sz w:val="24"/>
          <w:szCs w:val="24"/>
          <w:lang w:val="en-US" w:eastAsia="zh-CN"/>
        </w:rPr>
        <w:t>拆除剩余平衡重</w:t>
      </w:r>
      <w:bookmarkEnd w:id="142"/>
    </w:p>
    <w:p w14:paraId="0550AA7D">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t，满足拆除吊装要求。</w:t>
      </w:r>
    </w:p>
    <w:p w14:paraId="286B4799">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平衡重吊装采用两点吊，以平衡重顶部预埋的2个吊耳板作为吊装孔，采用2根</w:t>
      </w:r>
      <w:r>
        <w:rPr>
          <w:rFonts w:hint="eastAsia" w:ascii="宋体" w:hAnsi="宋体" w:cs="宋体"/>
          <w:lang w:val="en-US" w:eastAsia="zh-CN"/>
        </w:rPr>
        <w:t>22</w:t>
      </w:r>
      <w:r>
        <w:rPr>
          <w:rFonts w:hint="eastAsia" w:ascii="宋体" w:hAnsi="宋体" w:eastAsia="宋体" w:cs="宋体"/>
          <w:lang w:val="en-US" w:eastAsia="zh-CN"/>
        </w:rPr>
        <w:t>mm6×19+FC1870Mpa的钢丝绳配套GB/T 25854-6-DW5卸扣进行起吊。</w:t>
      </w:r>
    </w:p>
    <w:p w14:paraId="5BA16AB9">
      <w:pPr>
        <w:keepNext w:val="0"/>
        <w:keepLines w:val="0"/>
        <w:pageBreakBefore w:val="0"/>
        <w:kinsoku/>
        <w:wordWrap/>
        <w:overflowPunct/>
        <w:topLinePunct w:val="0"/>
        <w:autoSpaceDE/>
        <w:autoSpaceDN/>
        <w:bidi w:val="0"/>
        <w:snapToGrid/>
        <w:spacing w:line="360" w:lineRule="auto"/>
        <w:rPr>
          <w:rFonts w:hint="eastAsia" w:ascii="宋体" w:hAnsi="宋体" w:eastAsia="宋体" w:cs="宋体"/>
          <w:lang w:val="en-US" w:eastAsia="zh-CN"/>
        </w:rPr>
      </w:pPr>
      <w:r>
        <w:rPr>
          <w:rFonts w:hint="eastAsia" w:ascii="宋体" w:hAnsi="宋体" w:eastAsia="宋体" w:cs="宋体"/>
        </w:rPr>
        <w:t>作业人员在地面上先将钢丝绳一端挂在</w:t>
      </w:r>
      <w:r>
        <w:rPr>
          <w:rFonts w:hint="eastAsia" w:ascii="宋体" w:hAnsi="宋体" w:eastAsia="宋体" w:cs="宋体"/>
          <w:lang w:val="en-US" w:eastAsia="zh-CN"/>
        </w:rPr>
        <w:t>汽车吊</w:t>
      </w:r>
      <w:r>
        <w:rPr>
          <w:rFonts w:hint="eastAsia" w:ascii="宋体" w:hAnsi="宋体" w:eastAsia="宋体" w:cs="宋体"/>
        </w:rPr>
        <w:t>吊钩上，另一端与卸扣连接，启动</w:t>
      </w:r>
      <w:r>
        <w:rPr>
          <w:rFonts w:hint="eastAsia" w:ascii="宋体" w:hAnsi="宋体" w:eastAsia="宋体" w:cs="宋体"/>
          <w:lang w:eastAsia="zh-CN"/>
        </w:rPr>
        <w:t>汽车吊</w:t>
      </w:r>
      <w:r>
        <w:rPr>
          <w:rFonts w:hint="eastAsia" w:ascii="宋体" w:hAnsi="宋体" w:eastAsia="宋体" w:cs="宋体"/>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s="宋体"/>
          <w:lang w:eastAsia="zh-CN"/>
        </w:rPr>
        <w:t>汽车吊</w:t>
      </w:r>
      <w:r>
        <w:rPr>
          <w:rFonts w:hint="eastAsia" w:ascii="宋体" w:hAnsi="宋体" w:eastAsia="宋体" w:cs="宋体"/>
        </w:rPr>
        <w:t>起升吊钩，将平衡重竖直起吊一定高度后，解除平衡重孔的销轴，</w:t>
      </w:r>
      <w:r>
        <w:rPr>
          <w:rFonts w:hint="eastAsia" w:ascii="宋体" w:hAnsi="宋体" w:eastAsia="宋体" w:cs="宋体"/>
          <w:lang w:eastAsia="zh-CN"/>
        </w:rPr>
        <w:t>汽车吊</w:t>
      </w:r>
      <w:r>
        <w:rPr>
          <w:rFonts w:hint="eastAsia" w:ascii="宋体" w:hAnsi="宋体" w:eastAsia="宋体" w:cs="宋体"/>
        </w:rPr>
        <w:t>将平衡重沿平衡臂尾部槽口缓慢向外移出平衡臂，将平衡重下</w:t>
      </w:r>
      <w:r>
        <w:rPr>
          <w:rFonts w:hint="eastAsia" w:ascii="宋体" w:hAnsi="宋体" w:eastAsia="宋体" w:cs="宋体"/>
          <w:lang w:val="en-US" w:eastAsia="zh-CN"/>
        </w:rPr>
        <w:t>放至地面，作业人员在地面上解除卸扣与平衡重吊耳的连接。</w:t>
      </w:r>
    </w:p>
    <w:p w14:paraId="19F1D20A">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lang w:val="en-US" w:eastAsia="zh-CN"/>
        </w:rPr>
        <w:t>塔式起重机平衡重拆除时设置警戒区，起吊安排专人负责指挥，专人操作，严禁无关人员进入起重作业范围内。</w:t>
      </w:r>
    </w:p>
    <w:tbl>
      <w:tblPr>
        <w:tblStyle w:val="33"/>
        <w:tblpPr w:leftFromText="180" w:rightFromText="180" w:vertAnchor="text" w:horzAnchor="page" w:tblpX="2131" w:tblpY="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87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6BD1CB86">
            <w:pPr>
              <w:pStyle w:val="12"/>
              <w:pageBreakBefore w:val="0"/>
              <w:kinsoku/>
              <w:wordWrap/>
              <w:overflowPunct/>
              <w:topLinePunct w:val="0"/>
              <w:bidi w:val="0"/>
              <w:spacing w:line="360" w:lineRule="auto"/>
              <w:rPr>
                <w:rFonts w:hint="eastAsia" w:ascii="宋体" w:hAnsi="宋体" w:eastAsia="宋体" w:cs="宋体"/>
                <w:b w:val="0"/>
                <w:bCs/>
                <w:lang w:eastAsia="zh-CN"/>
              </w:rPr>
            </w:pPr>
            <w:bookmarkStart w:id="143" w:name="_Toc31035"/>
            <w:r>
              <w:drawing>
                <wp:inline distT="0" distB="0" distL="114300" distR="114300">
                  <wp:extent cx="3477260" cy="3420745"/>
                  <wp:effectExtent l="0" t="0" r="0" b="0"/>
                  <wp:docPr id="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pic:cNvPicPr>
                            <a:picLocks noChangeAspect="1"/>
                          </pic:cNvPicPr>
                        </pic:nvPicPr>
                        <pic:blipFill>
                          <a:blip r:embed="rId51"/>
                          <a:srcRect r="37" b="5624"/>
                          <a:stretch>
                            <a:fillRect/>
                          </a:stretch>
                        </pic:blipFill>
                        <pic:spPr>
                          <a:xfrm>
                            <a:off x="0" y="0"/>
                            <a:ext cx="3477260" cy="3420745"/>
                          </a:xfrm>
                          <a:prstGeom prst="rect">
                            <a:avLst/>
                          </a:prstGeom>
                          <a:noFill/>
                          <a:ln>
                            <a:noFill/>
                          </a:ln>
                        </pic:spPr>
                      </pic:pic>
                    </a:graphicData>
                  </a:graphic>
                </wp:inline>
              </w:drawing>
            </w:r>
            <w:r>
              <w:drawing>
                <wp:inline distT="0" distB="0" distL="114300" distR="114300">
                  <wp:extent cx="5273675" cy="2393315"/>
                  <wp:effectExtent l="0" t="0" r="3175" b="698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50"/>
                          <a:stretch>
                            <a:fillRect/>
                          </a:stretch>
                        </pic:blipFill>
                        <pic:spPr>
                          <a:xfrm>
                            <a:off x="0" y="0"/>
                            <a:ext cx="5273675" cy="2393315"/>
                          </a:xfrm>
                          <a:prstGeom prst="rect">
                            <a:avLst/>
                          </a:prstGeom>
                          <a:noFill/>
                          <a:ln>
                            <a:noFill/>
                          </a:ln>
                        </pic:spPr>
                      </pic:pic>
                    </a:graphicData>
                  </a:graphic>
                </wp:inline>
              </w:drawing>
            </w:r>
          </w:p>
        </w:tc>
      </w:tr>
      <w:tr w14:paraId="0E62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5A50FED5">
            <w:pPr>
              <w:pStyle w:val="12"/>
              <w:pageBreakBefore w:val="0"/>
              <w:kinsoku/>
              <w:wordWrap/>
              <w:overflowPunct/>
              <w:topLinePunct w:val="0"/>
              <w:bidi w:val="0"/>
              <w:spacing w:line="360" w:lineRule="auto"/>
            </w:pPr>
            <w:r>
              <w:rPr>
                <w:rFonts w:hint="eastAsia" w:ascii="宋体" w:hAnsi="宋体"/>
                <w:color w:val="000000"/>
                <w:sz w:val="24"/>
                <w:szCs w:val="24"/>
              </w:rPr>
              <w:t xml:space="preserve"> </w:t>
            </w:r>
            <w:r>
              <w:rPr>
                <w:rFonts w:hint="eastAsia" w:ascii="宋体" w:hAnsi="宋体" w:cs="宋体"/>
                <w:b w:val="0"/>
                <w:bCs/>
                <w:lang w:val="en-US" w:eastAsia="zh-CN"/>
              </w:rPr>
              <w:t>2</w:t>
            </w:r>
            <w:r>
              <w:rPr>
                <w:rFonts w:hint="eastAsia" w:ascii="宋体" w:hAnsi="宋体" w:eastAsia="宋体" w:cs="宋体"/>
                <w:b w:val="0"/>
                <w:bCs/>
                <w:lang w:val="en-US" w:eastAsia="zh-CN"/>
              </w:rPr>
              <w:t>块平衡重拆除</w:t>
            </w:r>
            <w:r>
              <w:rPr>
                <w:rFonts w:hint="eastAsia" w:ascii="宋体" w:hAnsi="宋体" w:eastAsia="宋体" w:cs="宋体"/>
                <w:b w:val="0"/>
                <w:bCs/>
                <w:lang w:eastAsia="zh-CN"/>
              </w:rPr>
              <w:t>示意图</w:t>
            </w:r>
          </w:p>
        </w:tc>
      </w:tr>
    </w:tbl>
    <w:p w14:paraId="7EB91CEB">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44" w:name="_Toc29045"/>
      <w:r>
        <w:rPr>
          <w:rFonts w:hint="eastAsia" w:ascii="Times New Roman" w:hAnsi="Times New Roman" w:cs="Times New Roman"/>
          <w:color w:val="auto"/>
          <w:sz w:val="24"/>
          <w:szCs w:val="24"/>
          <w:lang w:val="en-US" w:eastAsia="zh-CN"/>
        </w:rPr>
        <w:t>平衡臂拆除</w:t>
      </w:r>
      <w:bookmarkEnd w:id="143"/>
      <w:bookmarkEnd w:id="144"/>
    </w:p>
    <w:p w14:paraId="3C0FA828">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bookmarkStart w:id="145" w:name="_Toc5511"/>
      <w:r>
        <w:rPr>
          <w:rFonts w:hint="eastAsia" w:ascii="宋体" w:hAnsi="宋体" w:eastAsia="宋体" w:cs="宋体"/>
          <w:lang w:val="en-US" w:eastAsia="zh-CN"/>
        </w:rPr>
        <w: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t，满足拆除吊装要求。</w:t>
      </w:r>
    </w:p>
    <w:p w14:paraId="6664F25D">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平衡臂吊装采用四点吊，以平衡臂顶部4个吊耳板作为吊装孔，采用4根16mm6×19+FC1870Mpa的钢丝绳配套GB/T 25854-6-DW5卸扣进行起吊。</w:t>
      </w:r>
    </w:p>
    <w:p w14:paraId="257AD8D9">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default" w:ascii="宋体" w:hAnsi="宋体" w:eastAsia="宋体" w:cs="宋体"/>
          <w:b w:val="0"/>
          <w:bCs w:val="0"/>
          <w:color w:val="auto"/>
          <w:kern w:val="0"/>
          <w:sz w:val="24"/>
          <w:szCs w:val="24"/>
          <w:lang w:val="en-US" w:eastAsia="zh-CN" w:bidi="ar"/>
        </w:rPr>
      </w:pPr>
      <w:r>
        <w:rPr>
          <w:rFonts w:hint="default" w:ascii="宋体" w:hAnsi="宋体" w:eastAsia="宋体" w:cs="宋体"/>
          <w:b w:val="0"/>
          <w:bCs w:val="0"/>
          <w:color w:val="auto"/>
          <w:kern w:val="0"/>
          <w:sz w:val="24"/>
          <w:szCs w:val="24"/>
          <w:lang w:val="en-US" w:eastAsia="zh-CN" w:bidi="ar"/>
        </w:rPr>
        <w:t>作业人员在地面上先将钢丝绳一端挂在</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吊钩上，另一端与卸扣连接，启动</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，将卸扣缓慢提升至平衡臂上方，作业人员将安全带系挂在平衡臂横杆上，通过平衡臂走道走行至平衡臂吊耳位置，</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放松吊钩，作业人员将卸扣与平衡臂吊耳通过销轴连接，同时在平衡臂杆件上栓好2根溜绳。作业人员通过平衡臂走道走行至起重臂臂根节处，将安全带系挂在起重臂臂根节的横杆上，</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稍微提起平衡臂，使吊装钢丝绳和平衡臂处于紧绷状态，拆除拉杆和起重臂臂根节的连接销轴，采用</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提升平衡臂，使平衡臂与起重臂臂根节倾斜至一定角度，拆除平衡臂和起重臂臂根节连接销轴。</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起升吊钩，将平衡臂提升至一定安全高度后，再将平衡臂下放至地面，作业人员在地面上解除卸扣与平衡臂吊耳的连接。</w:t>
      </w:r>
    </w:p>
    <w:p w14:paraId="23BEE5EC">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塔式起重机平衡臂拆除时设置警戒区，起吊安排专人负责指挥，专人操作，严禁无关人员进入起重作业范围内。</w:t>
      </w:r>
      <w:bookmarkEnd w:id="145"/>
    </w:p>
    <w:p w14:paraId="658DEDDB">
      <w:pPr>
        <w:keepNext w:val="0"/>
        <w:keepLines w:val="0"/>
        <w:pageBreakBefore w:val="0"/>
        <w:kinsoku/>
        <w:wordWrap/>
        <w:overflowPunct/>
        <w:topLinePunct w:val="0"/>
        <w:autoSpaceDE/>
        <w:autoSpaceDN/>
        <w:bidi w:val="0"/>
        <w:snapToGrid/>
        <w:spacing w:beforeAutospacing="0" w:afterAutospacing="0" w:line="360" w:lineRule="auto"/>
        <w:ind w:left="0" w:leftChars="0" w:firstLine="0" w:firstLineChars="0"/>
        <w:jc w:val="center"/>
        <w:rPr>
          <w:rFonts w:hint="eastAsia" w:ascii="宋体" w:hAnsi="宋体" w:eastAsia="宋体" w:cs="宋体"/>
          <w:b w:val="0"/>
          <w:bCs w:val="0"/>
          <w:color w:val="auto"/>
          <w:sz w:val="24"/>
          <w:szCs w:val="24"/>
          <w:lang w:val="en-US" w:eastAsia="zh-CN"/>
        </w:rPr>
      </w:pPr>
    </w:p>
    <w:tbl>
      <w:tblPr>
        <w:tblStyle w:val="33"/>
        <w:tblpPr w:leftFromText="180" w:rightFromText="180" w:vertAnchor="text" w:horzAnchor="page" w:tblpX="1890" w:tblpY="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5C8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040AA7E9">
            <w:pPr>
              <w:pStyle w:val="12"/>
              <w:pageBreakBefore w:val="0"/>
              <w:kinsoku/>
              <w:wordWrap/>
              <w:overflowPunct/>
              <w:topLinePunct w:val="0"/>
              <w:bidi w:val="0"/>
              <w:spacing w:line="360" w:lineRule="auto"/>
              <w:rPr>
                <w:rFonts w:hint="eastAsia" w:ascii="宋体" w:hAnsi="宋体" w:eastAsia="宋体" w:cs="宋体"/>
                <w:b w:val="0"/>
                <w:bCs/>
                <w:lang w:eastAsia="zh-CN"/>
              </w:rPr>
            </w:pPr>
            <w:r>
              <w:drawing>
                <wp:inline distT="0" distB="0" distL="114300" distR="114300">
                  <wp:extent cx="3238500" cy="41338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49"/>
                          <a:stretch>
                            <a:fillRect/>
                          </a:stretch>
                        </pic:blipFill>
                        <pic:spPr>
                          <a:xfrm>
                            <a:off x="0" y="0"/>
                            <a:ext cx="3238500" cy="4133850"/>
                          </a:xfrm>
                          <a:prstGeom prst="rect">
                            <a:avLst/>
                          </a:prstGeom>
                          <a:noFill/>
                          <a:ln>
                            <a:noFill/>
                          </a:ln>
                        </pic:spPr>
                      </pic:pic>
                    </a:graphicData>
                  </a:graphic>
                </wp:inline>
              </w:drawing>
            </w:r>
            <w:r>
              <w:drawing>
                <wp:inline distT="0" distB="0" distL="114300" distR="114300">
                  <wp:extent cx="5273675" cy="2393315"/>
                  <wp:effectExtent l="0" t="0" r="3175" b="698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50"/>
                          <a:stretch>
                            <a:fillRect/>
                          </a:stretch>
                        </pic:blipFill>
                        <pic:spPr>
                          <a:xfrm>
                            <a:off x="0" y="0"/>
                            <a:ext cx="5273675" cy="2393315"/>
                          </a:xfrm>
                          <a:prstGeom prst="rect">
                            <a:avLst/>
                          </a:prstGeom>
                          <a:noFill/>
                          <a:ln>
                            <a:noFill/>
                          </a:ln>
                        </pic:spPr>
                      </pic:pic>
                    </a:graphicData>
                  </a:graphic>
                </wp:inline>
              </w:drawing>
            </w:r>
          </w:p>
        </w:tc>
      </w:tr>
      <w:tr w14:paraId="4AB6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7925083F">
            <w:pPr>
              <w:pStyle w:val="12"/>
              <w:pageBreakBefore w:val="0"/>
              <w:kinsoku/>
              <w:wordWrap/>
              <w:overflowPunct/>
              <w:topLinePunct w:val="0"/>
              <w:bidi w:val="0"/>
              <w:spacing w:line="360" w:lineRule="auto"/>
            </w:pPr>
            <w:r>
              <w:rPr>
                <w:rFonts w:hint="eastAsia" w:ascii="宋体" w:hAnsi="宋体" w:eastAsia="宋体" w:cs="宋体"/>
                <w:b w:val="0"/>
                <w:bCs/>
                <w:lang w:eastAsia="zh-CN"/>
              </w:rPr>
              <w:t>平衡臂总成</w:t>
            </w:r>
            <w:r>
              <w:rPr>
                <w:rFonts w:hint="eastAsia" w:ascii="宋体" w:hAnsi="宋体" w:eastAsia="宋体" w:cs="宋体"/>
                <w:b w:val="0"/>
                <w:bCs/>
                <w:lang w:val="en-US" w:eastAsia="zh-CN"/>
              </w:rPr>
              <w:t>拆除</w:t>
            </w:r>
            <w:r>
              <w:rPr>
                <w:rFonts w:hint="eastAsia" w:ascii="宋体" w:hAnsi="宋体" w:eastAsia="宋体" w:cs="宋体"/>
                <w:b w:val="0"/>
                <w:bCs/>
                <w:lang w:eastAsia="zh-CN"/>
              </w:rPr>
              <w:t>示意图</w:t>
            </w:r>
          </w:p>
        </w:tc>
      </w:tr>
    </w:tbl>
    <w:p w14:paraId="6ACAF7DA">
      <w:pPr>
        <w:keepNext w:val="0"/>
        <w:keepLines w:val="0"/>
        <w:pageBreakBefore w:val="0"/>
        <w:kinsoku/>
        <w:wordWrap/>
        <w:overflowPunct/>
        <w:topLinePunct w:val="0"/>
        <w:autoSpaceDE/>
        <w:autoSpaceDN/>
        <w:bidi w:val="0"/>
        <w:snapToGrid/>
        <w:spacing w:beforeAutospacing="0" w:afterAutospacing="0" w:line="360" w:lineRule="auto"/>
        <w:ind w:left="0" w:leftChars="0" w:firstLine="0" w:firstLineChars="0"/>
        <w:jc w:val="center"/>
        <w:rPr>
          <w:rFonts w:hint="eastAsia" w:ascii="宋体" w:hAnsi="宋体" w:eastAsia="宋体" w:cs="宋体"/>
          <w:b w:val="0"/>
          <w:bCs w:val="0"/>
          <w:color w:val="auto"/>
          <w:sz w:val="24"/>
          <w:szCs w:val="24"/>
          <w:lang w:val="en-US" w:eastAsia="zh-CN"/>
        </w:rPr>
      </w:pPr>
    </w:p>
    <w:p w14:paraId="66F74D81">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46" w:name="_Toc3420"/>
      <w:bookmarkStart w:id="147" w:name="_Toc13307"/>
      <w:r>
        <w:rPr>
          <w:rFonts w:hint="eastAsia" w:ascii="Times New Roman" w:hAnsi="Times New Roman" w:cs="Times New Roman"/>
          <w:color w:val="auto"/>
          <w:sz w:val="24"/>
          <w:szCs w:val="24"/>
          <w:lang w:val="en-US" w:eastAsia="zh-CN"/>
        </w:rPr>
        <w:t>拆卸回转总成</w:t>
      </w:r>
      <w:bookmarkEnd w:id="146"/>
      <w:bookmarkEnd w:id="147"/>
    </w:p>
    <w:p w14:paraId="4AC4F9E2">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t，满足拆除吊装要求。</w:t>
      </w:r>
    </w:p>
    <w:p w14:paraId="1D8B7DFE">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回转总成吊装采用四点吊，以回转总成顶部4个吊耳板作为吊装孔，采用4根16mm6×19+FC1870Mpa的钢丝绳配套GB/T 25854-6-DW5卸扣进行起吊。</w:t>
      </w:r>
    </w:p>
    <w:p w14:paraId="62BE3D9A">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作业人员在地面上先将钢丝绳一端挂在</w:t>
      </w:r>
      <w:r>
        <w:rPr>
          <w:rFonts w:hint="eastAsia" w:ascii="宋体" w:hAnsi="宋体" w:eastAsia="宋体" w:cs="宋体"/>
          <w:color w:val="auto"/>
          <w:kern w:val="0"/>
          <w:sz w:val="24"/>
          <w:szCs w:val="24"/>
          <w:lang w:val="en-US" w:eastAsia="zh-CN" w:bidi="ar"/>
        </w:rPr>
        <w:t>汽车吊</w:t>
      </w:r>
      <w:r>
        <w:rPr>
          <w:rFonts w:hint="default" w:ascii="宋体" w:hAnsi="宋体" w:eastAsia="宋体" w:cs="宋体"/>
          <w:color w:val="auto"/>
          <w:kern w:val="0"/>
          <w:sz w:val="24"/>
          <w:szCs w:val="24"/>
          <w:lang w:val="en-US" w:eastAsia="zh-CN" w:bidi="ar"/>
        </w:rPr>
        <w:t>吊钩上，另一端与卸扣连接，启动</w:t>
      </w:r>
      <w:r>
        <w:rPr>
          <w:rFonts w:hint="eastAsia" w:ascii="宋体" w:hAnsi="宋体" w:eastAsia="宋体" w:cs="宋体"/>
          <w:color w:val="auto"/>
          <w:kern w:val="0"/>
          <w:sz w:val="24"/>
          <w:szCs w:val="24"/>
          <w:lang w:val="en-US" w:eastAsia="zh-CN" w:bidi="ar"/>
        </w:rPr>
        <w:t>汽车吊</w:t>
      </w:r>
      <w:r>
        <w:rPr>
          <w:rFonts w:hint="default" w:ascii="宋体" w:hAnsi="宋体" w:eastAsia="宋体" w:cs="宋体"/>
          <w:color w:val="auto"/>
          <w:kern w:val="0"/>
          <w:sz w:val="24"/>
          <w:szCs w:val="24"/>
          <w:lang w:val="en-US" w:eastAsia="zh-CN" w:bidi="ar"/>
        </w:rPr>
        <w:t>，将卸扣缓慢提升至回转总成上方，作业人员通过爬梯爬至回转总成顶部，将安全带系挂在回转总成平台的栏杆上，位于回转总成平台上。</w:t>
      </w:r>
      <w:r>
        <w:rPr>
          <w:rFonts w:hint="eastAsia" w:ascii="宋体" w:hAnsi="宋体" w:eastAsia="宋体" w:cs="宋体"/>
          <w:color w:val="auto"/>
          <w:kern w:val="0"/>
          <w:sz w:val="24"/>
          <w:szCs w:val="24"/>
          <w:lang w:val="en-US" w:eastAsia="zh-CN" w:bidi="ar"/>
        </w:rPr>
        <w:t>汽车吊</w:t>
      </w:r>
      <w:r>
        <w:rPr>
          <w:rFonts w:hint="default" w:ascii="宋体" w:hAnsi="宋体" w:eastAsia="宋体" w:cs="宋体"/>
          <w:color w:val="auto"/>
          <w:kern w:val="0"/>
          <w:sz w:val="24"/>
          <w:szCs w:val="24"/>
          <w:lang w:val="en-US" w:eastAsia="zh-CN" w:bidi="ar"/>
        </w:rPr>
        <w:t>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w:t>
      </w:r>
      <w:r>
        <w:rPr>
          <w:rFonts w:hint="eastAsia" w:ascii="宋体" w:hAnsi="宋体" w:eastAsia="宋体" w:cs="宋体"/>
          <w:color w:val="auto"/>
          <w:kern w:val="0"/>
          <w:sz w:val="24"/>
          <w:szCs w:val="24"/>
          <w:lang w:val="en-US" w:eastAsia="zh-CN" w:bidi="ar"/>
        </w:rPr>
        <w:t>汽车吊</w:t>
      </w:r>
      <w:r>
        <w:rPr>
          <w:rFonts w:hint="default" w:ascii="宋体" w:hAnsi="宋体" w:eastAsia="宋体" w:cs="宋体"/>
          <w:color w:val="auto"/>
          <w:kern w:val="0"/>
          <w:sz w:val="24"/>
          <w:szCs w:val="24"/>
          <w:lang w:val="en-US" w:eastAsia="zh-CN" w:bidi="ar"/>
        </w:rPr>
        <w:t>起升吊钩，将回转总成提升一定安全高度后，再将回转总成下放至地面，作业人员在地面上解除卸扣与回转总成的连接。</w:t>
      </w:r>
    </w:p>
    <w:tbl>
      <w:tblPr>
        <w:tblStyle w:val="33"/>
        <w:tblpPr w:leftFromText="180" w:rightFromText="180" w:vertAnchor="text" w:horzAnchor="page" w:tblpX="2341" w:tblpY="11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407E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1" w:hRule="atLeast"/>
        </w:trPr>
        <w:tc>
          <w:tcPr>
            <w:tcW w:w="8352" w:type="dxa"/>
          </w:tcPr>
          <w:p w14:paraId="59CF0564">
            <w:pPr>
              <w:pStyle w:val="12"/>
              <w:pageBreakBefore w:val="0"/>
              <w:kinsoku/>
              <w:wordWrap/>
              <w:overflowPunct/>
              <w:topLinePunct w:val="0"/>
              <w:bidi w:val="0"/>
              <w:spacing w:line="360" w:lineRule="auto"/>
              <w:rPr>
                <w:rFonts w:hint="eastAsia" w:ascii="宋体" w:hAnsi="宋体" w:eastAsia="宋体" w:cs="宋体"/>
                <w:b w:val="0"/>
                <w:bCs/>
                <w:lang w:eastAsia="zh-CN"/>
              </w:rPr>
            </w:pPr>
            <w:r>
              <w:drawing>
                <wp:inline distT="0" distB="0" distL="114300" distR="114300">
                  <wp:extent cx="2271395" cy="3081020"/>
                  <wp:effectExtent l="0" t="0" r="14605" b="5080"/>
                  <wp:docPr id="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pic:cNvPicPr>
                            <a:picLocks noChangeAspect="1"/>
                          </pic:cNvPicPr>
                        </pic:nvPicPr>
                        <pic:blipFill>
                          <a:blip r:embed="rId74"/>
                          <a:stretch>
                            <a:fillRect/>
                          </a:stretch>
                        </pic:blipFill>
                        <pic:spPr>
                          <a:xfrm>
                            <a:off x="0" y="0"/>
                            <a:ext cx="2271395" cy="3081020"/>
                          </a:xfrm>
                          <a:prstGeom prst="rect">
                            <a:avLst/>
                          </a:prstGeom>
                          <a:noFill/>
                          <a:ln>
                            <a:noFill/>
                          </a:ln>
                        </pic:spPr>
                      </pic:pic>
                    </a:graphicData>
                  </a:graphic>
                </wp:inline>
              </w:drawing>
            </w:r>
            <w:r>
              <w:drawing>
                <wp:inline distT="0" distB="0" distL="114300" distR="114300">
                  <wp:extent cx="2619375" cy="3383280"/>
                  <wp:effectExtent l="0" t="0" r="9525" b="7620"/>
                  <wp:docPr id="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pic:cNvPicPr>
                            <a:picLocks noChangeAspect="1"/>
                          </pic:cNvPicPr>
                        </pic:nvPicPr>
                        <pic:blipFill>
                          <a:blip r:embed="rId46"/>
                          <a:stretch>
                            <a:fillRect/>
                          </a:stretch>
                        </pic:blipFill>
                        <pic:spPr>
                          <a:xfrm>
                            <a:off x="0" y="0"/>
                            <a:ext cx="2619375" cy="3383280"/>
                          </a:xfrm>
                          <a:prstGeom prst="rect">
                            <a:avLst/>
                          </a:prstGeom>
                          <a:noFill/>
                          <a:ln>
                            <a:noFill/>
                          </a:ln>
                        </pic:spPr>
                      </pic:pic>
                    </a:graphicData>
                  </a:graphic>
                </wp:inline>
              </w:drawing>
            </w:r>
          </w:p>
        </w:tc>
      </w:tr>
      <w:tr w14:paraId="77C3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7DC01121">
            <w:pPr>
              <w:pStyle w:val="12"/>
              <w:pageBreakBefore w:val="0"/>
              <w:kinsoku/>
              <w:wordWrap/>
              <w:overflowPunct/>
              <w:topLinePunct w:val="0"/>
              <w:bidi w:val="0"/>
              <w:spacing w:line="360" w:lineRule="auto"/>
              <w:rPr>
                <w:rFonts w:hint="default"/>
                <w:lang w:val="en-US"/>
              </w:rPr>
            </w:pPr>
            <w:r>
              <w:rPr>
                <w:rFonts w:hint="eastAsia" w:ascii="宋体" w:hAnsi="宋体" w:eastAsia="宋体" w:cs="宋体"/>
                <w:b w:val="0"/>
                <w:bCs/>
                <w:lang w:val="en-US" w:eastAsia="zh-CN"/>
              </w:rPr>
              <w:t>回转总成拆除示意图</w:t>
            </w:r>
          </w:p>
        </w:tc>
      </w:tr>
      <w:tr w14:paraId="3F2E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1BB29A3E">
            <w:pPr>
              <w:pStyle w:val="12"/>
              <w:pageBreakBefore w:val="0"/>
              <w:kinsoku/>
              <w:wordWrap/>
              <w:overflowPunct/>
              <w:topLinePunct w:val="0"/>
              <w:bidi w:val="0"/>
              <w:spacing w:line="360" w:lineRule="auto"/>
              <w:rPr>
                <w:rFonts w:hint="eastAsia"/>
                <w:lang w:val="en-US" w:eastAsia="zh-CN"/>
              </w:rPr>
            </w:pPr>
            <w:r>
              <w:drawing>
                <wp:inline distT="0" distB="0" distL="114300" distR="114300">
                  <wp:extent cx="5010785" cy="2385695"/>
                  <wp:effectExtent l="0" t="0" r="18415" b="1460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6"/>
                          <a:stretch>
                            <a:fillRect/>
                          </a:stretch>
                        </pic:blipFill>
                        <pic:spPr>
                          <a:xfrm>
                            <a:off x="0" y="0"/>
                            <a:ext cx="5010785" cy="2385695"/>
                          </a:xfrm>
                          <a:prstGeom prst="rect">
                            <a:avLst/>
                          </a:prstGeom>
                          <a:noFill/>
                          <a:ln>
                            <a:noFill/>
                          </a:ln>
                        </pic:spPr>
                      </pic:pic>
                    </a:graphicData>
                  </a:graphic>
                </wp:inline>
              </w:drawing>
            </w:r>
          </w:p>
        </w:tc>
      </w:tr>
      <w:tr w14:paraId="707A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2" w:type="dxa"/>
          </w:tcPr>
          <w:p w14:paraId="0574FDEE">
            <w:pPr>
              <w:pStyle w:val="12"/>
              <w:pageBreakBefore w:val="0"/>
              <w:kinsoku/>
              <w:wordWrap/>
              <w:overflowPunct/>
              <w:topLinePunct w:val="0"/>
              <w:bidi w:val="0"/>
              <w:spacing w:line="360" w:lineRule="auto"/>
            </w:pPr>
            <w:r>
              <w:rPr>
                <w:rFonts w:hint="eastAsia" w:ascii="宋体" w:hAnsi="宋体" w:eastAsia="宋体" w:cs="宋体"/>
                <w:b w:val="0"/>
                <w:bCs/>
                <w:lang w:eastAsia="zh-CN"/>
              </w:rPr>
              <w:t>回转总成</w:t>
            </w:r>
            <w:r>
              <w:rPr>
                <w:rFonts w:hint="eastAsia" w:ascii="宋体" w:hAnsi="宋体" w:eastAsia="宋体" w:cs="宋体"/>
                <w:b w:val="0"/>
                <w:bCs/>
                <w:lang w:val="en-US" w:eastAsia="zh-CN"/>
              </w:rPr>
              <w:t>拆除</w:t>
            </w:r>
            <w:r>
              <w:rPr>
                <w:rFonts w:hint="eastAsia" w:ascii="宋体" w:hAnsi="宋体" w:eastAsia="宋体" w:cs="宋体"/>
                <w:b w:val="0"/>
                <w:bCs/>
                <w:lang w:eastAsia="zh-CN"/>
              </w:rPr>
              <w:t>示意图</w:t>
            </w:r>
          </w:p>
        </w:tc>
      </w:tr>
    </w:tbl>
    <w:p w14:paraId="217F5639">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lang w:val="en-US" w:eastAsia="zh-CN"/>
        </w:rPr>
      </w:pPr>
      <w:r>
        <w:rPr>
          <w:rFonts w:hint="eastAsia" w:ascii="宋体" w:hAnsi="宋体" w:eastAsia="宋体" w:cs="宋体"/>
          <w:color w:val="auto"/>
          <w:kern w:val="0"/>
          <w:sz w:val="24"/>
          <w:szCs w:val="24"/>
          <w:lang w:val="en-US" w:eastAsia="zh-CN" w:bidi="ar"/>
        </w:rPr>
        <w:t>塔式起重机回转总成拆除时设置警戒区，起吊安排专人负责指挥，专人操作，严禁无关人员进入起重作业范围内。</w:t>
      </w:r>
    </w:p>
    <w:p w14:paraId="4CEAF688">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48" w:name="_Toc19023"/>
      <w:bookmarkStart w:id="149" w:name="_Toc1525"/>
      <w:bookmarkStart w:id="150" w:name="_Toc528139692"/>
      <w:r>
        <w:rPr>
          <w:rFonts w:hint="eastAsia" w:ascii="Times New Roman" w:hAnsi="Times New Roman" w:cs="Times New Roman"/>
          <w:color w:val="auto"/>
          <w:sz w:val="24"/>
          <w:szCs w:val="24"/>
          <w:lang w:val="en-US" w:eastAsia="zh-CN"/>
        </w:rPr>
        <w:t>拆卸特殊节</w:t>
      </w:r>
      <w:bookmarkEnd w:id="148"/>
      <w:bookmarkEnd w:id="149"/>
    </w:p>
    <w:p w14:paraId="2132D649">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t，满足拆除吊装要求。</w:t>
      </w:r>
    </w:p>
    <w:p w14:paraId="4C5B6A81">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特殊节吊装采用四点吊，以特殊节顶部4个吊耳板作为吊装孔，采用4根16mm6×19+FC1870Mpa的钢丝绳配套GB/T 25854-6-DW5卸扣进行起吊。</w:t>
      </w:r>
    </w:p>
    <w:p w14:paraId="16B17AAA">
      <w:pPr>
        <w:keepNext w:val="0"/>
        <w:keepLines w:val="0"/>
        <w:pageBreakBefore w:val="0"/>
        <w:suppressLineNumbers w:val="0"/>
        <w:kinsoku/>
        <w:wordWrap/>
        <w:overflowPunct/>
        <w:topLinePunct w:val="0"/>
        <w:autoSpaceDE/>
        <w:autoSpaceDN/>
        <w:bidi w:val="0"/>
        <w:snapToGrid/>
        <w:spacing w:beforeAutospacing="0" w:afterAutospacing="0" w:line="360" w:lineRule="auto"/>
        <w:jc w:val="left"/>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作业人员在地面上先将钢丝绳一端挂在</w:t>
      </w:r>
      <w:r>
        <w:rPr>
          <w:rFonts w:hint="eastAsia" w:ascii="宋体" w:hAnsi="宋体" w:eastAsia="宋体" w:cs="宋体"/>
          <w:color w:val="auto"/>
          <w:kern w:val="0"/>
          <w:sz w:val="24"/>
          <w:szCs w:val="24"/>
          <w:lang w:val="en-US" w:eastAsia="zh-CN" w:bidi="ar"/>
        </w:rPr>
        <w:t>汽车吊</w:t>
      </w:r>
      <w:r>
        <w:rPr>
          <w:rFonts w:hint="default" w:ascii="宋体" w:hAnsi="宋体" w:eastAsia="宋体" w:cs="宋体"/>
          <w:color w:val="auto"/>
          <w:kern w:val="0"/>
          <w:sz w:val="24"/>
          <w:szCs w:val="24"/>
          <w:lang w:val="en-US" w:eastAsia="zh-CN" w:bidi="ar"/>
        </w:rPr>
        <w:t>吊钩上，另一端与卸扣连接，启动</w:t>
      </w:r>
      <w:r>
        <w:rPr>
          <w:rFonts w:hint="eastAsia" w:ascii="宋体" w:hAnsi="宋体" w:eastAsia="宋体" w:cs="宋体"/>
          <w:color w:val="auto"/>
          <w:kern w:val="0"/>
          <w:sz w:val="24"/>
          <w:szCs w:val="24"/>
          <w:lang w:val="en-US" w:eastAsia="zh-CN" w:bidi="ar"/>
        </w:rPr>
        <w:t>汽车吊</w:t>
      </w:r>
      <w:r>
        <w:rPr>
          <w:rFonts w:hint="default" w:ascii="宋体" w:hAnsi="宋体" w:eastAsia="宋体" w:cs="宋体"/>
          <w:color w:val="auto"/>
          <w:kern w:val="0"/>
          <w:sz w:val="24"/>
          <w:szCs w:val="24"/>
          <w:lang w:val="en-US" w:eastAsia="zh-CN" w:bidi="ar"/>
        </w:rPr>
        <w:t>，将卸扣缓慢提升至</w:t>
      </w:r>
      <w:r>
        <w:rPr>
          <w:rFonts w:hint="eastAsia" w:ascii="宋体" w:hAnsi="宋体" w:eastAsia="宋体" w:cs="宋体"/>
          <w:color w:val="auto"/>
          <w:kern w:val="0"/>
          <w:sz w:val="24"/>
          <w:szCs w:val="24"/>
          <w:lang w:val="en-US" w:eastAsia="zh-CN" w:bidi="ar"/>
        </w:rPr>
        <w:t>特殊节</w:t>
      </w:r>
      <w:r>
        <w:rPr>
          <w:rFonts w:hint="default" w:ascii="宋体" w:hAnsi="宋体" w:eastAsia="宋体" w:cs="宋体"/>
          <w:color w:val="auto"/>
          <w:kern w:val="0"/>
          <w:sz w:val="24"/>
          <w:szCs w:val="24"/>
          <w:lang w:val="en-US" w:eastAsia="zh-CN" w:bidi="ar"/>
        </w:rPr>
        <w:t>上方，作业人员通过爬梯爬至</w:t>
      </w:r>
      <w:r>
        <w:rPr>
          <w:rFonts w:hint="eastAsia" w:ascii="宋体" w:hAnsi="宋体" w:eastAsia="宋体" w:cs="宋体"/>
          <w:color w:val="auto"/>
          <w:kern w:val="0"/>
          <w:sz w:val="24"/>
          <w:szCs w:val="24"/>
          <w:lang w:val="en-US" w:eastAsia="zh-CN" w:bidi="ar"/>
        </w:rPr>
        <w:t>特殊节顶部</w:t>
      </w:r>
      <w:r>
        <w:rPr>
          <w:rFonts w:hint="default" w:ascii="宋体" w:hAnsi="宋体" w:eastAsia="宋体" w:cs="宋体"/>
          <w:color w:val="auto"/>
          <w:kern w:val="0"/>
          <w:sz w:val="24"/>
          <w:szCs w:val="24"/>
          <w:lang w:val="en-US" w:eastAsia="zh-CN" w:bidi="ar"/>
        </w:rPr>
        <w:t>，将安全带系挂在</w:t>
      </w:r>
      <w:r>
        <w:rPr>
          <w:rFonts w:hint="eastAsia" w:ascii="宋体" w:hAnsi="宋体" w:eastAsia="宋体" w:cs="宋体"/>
          <w:color w:val="auto"/>
          <w:kern w:val="0"/>
          <w:sz w:val="24"/>
          <w:szCs w:val="24"/>
          <w:lang w:val="en-US" w:eastAsia="zh-CN" w:bidi="ar"/>
        </w:rPr>
        <w:t>特殊节顶部横</w:t>
      </w:r>
      <w:r>
        <w:rPr>
          <w:rFonts w:hint="default" w:ascii="宋体" w:hAnsi="宋体" w:eastAsia="宋体" w:cs="宋体"/>
          <w:color w:val="auto"/>
          <w:kern w:val="0"/>
          <w:sz w:val="24"/>
          <w:szCs w:val="24"/>
          <w:lang w:val="en-US" w:eastAsia="zh-CN" w:bidi="ar"/>
        </w:rPr>
        <w:t>杆上，位于</w:t>
      </w:r>
      <w:r>
        <w:rPr>
          <w:rFonts w:hint="eastAsia" w:ascii="宋体" w:hAnsi="宋体" w:eastAsia="宋体" w:cs="宋体"/>
          <w:color w:val="auto"/>
          <w:kern w:val="0"/>
          <w:sz w:val="24"/>
          <w:szCs w:val="24"/>
          <w:lang w:val="en-US" w:eastAsia="zh-CN" w:bidi="ar"/>
        </w:rPr>
        <w:t>特殊节顶部</w:t>
      </w:r>
      <w:r>
        <w:rPr>
          <w:rFonts w:hint="default" w:ascii="宋体" w:hAnsi="宋体" w:eastAsia="宋体" w:cs="宋体"/>
          <w:color w:val="auto"/>
          <w:kern w:val="0"/>
          <w:sz w:val="24"/>
          <w:szCs w:val="24"/>
          <w:lang w:val="en-US" w:eastAsia="zh-CN" w:bidi="ar"/>
        </w:rPr>
        <w:t>平台上。</w:t>
      </w:r>
      <w:r>
        <w:rPr>
          <w:rFonts w:hint="eastAsia" w:ascii="宋体" w:hAnsi="宋体" w:eastAsia="宋体" w:cs="宋体"/>
          <w:color w:val="auto"/>
          <w:kern w:val="0"/>
          <w:sz w:val="24"/>
          <w:szCs w:val="24"/>
          <w:lang w:val="en-US" w:eastAsia="zh-CN" w:bidi="ar"/>
        </w:rPr>
        <w:t>汽车吊</w:t>
      </w:r>
      <w:r>
        <w:rPr>
          <w:rFonts w:hint="default" w:ascii="宋体" w:hAnsi="宋体" w:eastAsia="宋体" w:cs="宋体"/>
          <w:color w:val="auto"/>
          <w:kern w:val="0"/>
          <w:sz w:val="24"/>
          <w:szCs w:val="24"/>
          <w:lang w:val="en-US" w:eastAsia="zh-CN" w:bidi="ar"/>
        </w:rPr>
        <w:t>放松吊钩，作业人员将卸扣与</w:t>
      </w:r>
      <w:r>
        <w:rPr>
          <w:rFonts w:hint="eastAsia" w:ascii="宋体" w:hAnsi="宋体" w:eastAsia="宋体" w:cs="宋体"/>
          <w:color w:val="auto"/>
          <w:kern w:val="0"/>
          <w:sz w:val="24"/>
          <w:szCs w:val="24"/>
          <w:lang w:val="en-US" w:eastAsia="zh-CN" w:bidi="ar"/>
        </w:rPr>
        <w:t>特殊节</w:t>
      </w:r>
      <w:r>
        <w:rPr>
          <w:rFonts w:hint="default" w:ascii="宋体" w:hAnsi="宋体" w:eastAsia="宋体" w:cs="宋体"/>
          <w:color w:val="auto"/>
          <w:kern w:val="0"/>
          <w:sz w:val="24"/>
          <w:szCs w:val="24"/>
          <w:lang w:val="en-US" w:eastAsia="zh-CN" w:bidi="ar"/>
        </w:rPr>
        <w:t>顶部的4个销轴孔用销轴连接，同时在</w:t>
      </w:r>
      <w:r>
        <w:rPr>
          <w:rFonts w:hint="eastAsia" w:ascii="宋体" w:hAnsi="宋体" w:eastAsia="宋体" w:cs="宋体"/>
          <w:color w:val="auto"/>
          <w:kern w:val="0"/>
          <w:sz w:val="24"/>
          <w:szCs w:val="24"/>
          <w:lang w:val="en-US" w:eastAsia="zh-CN" w:bidi="ar"/>
        </w:rPr>
        <w:t>特殊节杆件</w:t>
      </w:r>
      <w:r>
        <w:rPr>
          <w:rFonts w:hint="default" w:ascii="宋体" w:hAnsi="宋体" w:eastAsia="宋体" w:cs="宋体"/>
          <w:color w:val="auto"/>
          <w:kern w:val="0"/>
          <w:sz w:val="24"/>
          <w:szCs w:val="24"/>
          <w:lang w:val="en-US" w:eastAsia="zh-CN" w:bidi="ar"/>
        </w:rPr>
        <w:t>上栓好2根溜绳，作业人员解除安全带，通过爬梯爬至</w:t>
      </w:r>
      <w:r>
        <w:rPr>
          <w:rFonts w:hint="eastAsia" w:ascii="宋体" w:hAnsi="宋体" w:eastAsia="宋体" w:cs="宋体"/>
          <w:color w:val="auto"/>
          <w:kern w:val="0"/>
          <w:sz w:val="24"/>
          <w:szCs w:val="24"/>
          <w:lang w:val="en-US" w:eastAsia="zh-CN" w:bidi="ar"/>
        </w:rPr>
        <w:t>爬升架</w:t>
      </w:r>
      <w:r>
        <w:rPr>
          <w:rFonts w:hint="default" w:ascii="宋体" w:hAnsi="宋体" w:eastAsia="宋体" w:cs="宋体"/>
          <w:color w:val="auto"/>
          <w:kern w:val="0"/>
          <w:sz w:val="24"/>
          <w:szCs w:val="24"/>
          <w:lang w:val="en-US" w:eastAsia="zh-CN" w:bidi="ar"/>
        </w:rPr>
        <w:t>顶部，将安全带系挂在</w:t>
      </w:r>
      <w:r>
        <w:rPr>
          <w:rFonts w:hint="eastAsia" w:ascii="宋体" w:hAnsi="宋体" w:eastAsia="宋体" w:cs="宋体"/>
          <w:color w:val="auto"/>
          <w:kern w:val="0"/>
          <w:sz w:val="24"/>
          <w:szCs w:val="24"/>
          <w:lang w:val="en-US" w:eastAsia="zh-CN" w:bidi="ar"/>
        </w:rPr>
        <w:t>爬升架</w:t>
      </w:r>
      <w:r>
        <w:rPr>
          <w:rFonts w:hint="default" w:ascii="宋体" w:hAnsi="宋体" w:eastAsia="宋体" w:cs="宋体"/>
          <w:color w:val="auto"/>
          <w:kern w:val="0"/>
          <w:sz w:val="24"/>
          <w:szCs w:val="24"/>
          <w:lang w:val="en-US" w:eastAsia="zh-CN" w:bidi="ar"/>
        </w:rPr>
        <w:t>顶部横杆上，站立在</w:t>
      </w:r>
      <w:r>
        <w:rPr>
          <w:rFonts w:hint="eastAsia" w:ascii="宋体" w:hAnsi="宋体" w:eastAsia="宋体" w:cs="宋体"/>
          <w:color w:val="auto"/>
          <w:kern w:val="0"/>
          <w:sz w:val="24"/>
          <w:szCs w:val="24"/>
          <w:lang w:val="en-US" w:eastAsia="zh-CN" w:bidi="ar"/>
        </w:rPr>
        <w:t>爬升架</w:t>
      </w:r>
      <w:r>
        <w:rPr>
          <w:rFonts w:hint="default" w:ascii="宋体" w:hAnsi="宋体" w:eastAsia="宋体" w:cs="宋体"/>
          <w:color w:val="auto"/>
          <w:kern w:val="0"/>
          <w:sz w:val="24"/>
          <w:szCs w:val="24"/>
          <w:lang w:val="en-US" w:eastAsia="zh-CN" w:bidi="ar"/>
        </w:rPr>
        <w:t>顶部的平台上，解除</w:t>
      </w:r>
      <w:r>
        <w:rPr>
          <w:rFonts w:hint="eastAsia" w:ascii="宋体" w:hAnsi="宋体" w:eastAsia="宋体" w:cs="宋体"/>
          <w:color w:val="auto"/>
          <w:kern w:val="0"/>
          <w:sz w:val="24"/>
          <w:szCs w:val="24"/>
          <w:lang w:val="en-US" w:eastAsia="zh-CN" w:bidi="ar"/>
        </w:rPr>
        <w:t>特殊节</w:t>
      </w:r>
      <w:r>
        <w:rPr>
          <w:rFonts w:hint="default" w:ascii="宋体" w:hAnsi="宋体" w:eastAsia="宋体" w:cs="宋体"/>
          <w:color w:val="auto"/>
          <w:kern w:val="0"/>
          <w:sz w:val="24"/>
          <w:szCs w:val="24"/>
          <w:lang w:val="en-US" w:eastAsia="zh-CN" w:bidi="ar"/>
        </w:rPr>
        <w:t>与</w:t>
      </w:r>
      <w:r>
        <w:rPr>
          <w:rFonts w:hint="eastAsia" w:ascii="宋体" w:hAnsi="宋体" w:eastAsia="宋体" w:cs="宋体"/>
          <w:color w:val="auto"/>
          <w:kern w:val="0"/>
          <w:sz w:val="24"/>
          <w:szCs w:val="24"/>
          <w:lang w:val="en-US" w:eastAsia="zh-CN" w:bidi="ar"/>
        </w:rPr>
        <w:t>爬升架</w:t>
      </w:r>
      <w:r>
        <w:rPr>
          <w:rFonts w:hint="default" w:ascii="宋体" w:hAnsi="宋体" w:eastAsia="宋体" w:cs="宋体"/>
          <w:color w:val="auto"/>
          <w:kern w:val="0"/>
          <w:sz w:val="24"/>
          <w:szCs w:val="24"/>
          <w:lang w:val="en-US" w:eastAsia="zh-CN" w:bidi="ar"/>
        </w:rPr>
        <w:t>之间的销轴连接，使</w:t>
      </w:r>
      <w:r>
        <w:rPr>
          <w:rFonts w:hint="eastAsia" w:ascii="宋体" w:hAnsi="宋体" w:eastAsia="宋体" w:cs="宋体"/>
          <w:color w:val="auto"/>
          <w:kern w:val="0"/>
          <w:sz w:val="24"/>
          <w:szCs w:val="24"/>
          <w:lang w:val="en-US" w:eastAsia="zh-CN" w:bidi="ar"/>
        </w:rPr>
        <w:t>特殊节</w:t>
      </w:r>
      <w:r>
        <w:rPr>
          <w:rFonts w:hint="default" w:ascii="宋体" w:hAnsi="宋体" w:eastAsia="宋体" w:cs="宋体"/>
          <w:color w:val="auto"/>
          <w:kern w:val="0"/>
          <w:sz w:val="24"/>
          <w:szCs w:val="24"/>
          <w:lang w:val="en-US" w:eastAsia="zh-CN" w:bidi="ar"/>
        </w:rPr>
        <w:t>与</w:t>
      </w:r>
      <w:r>
        <w:rPr>
          <w:rFonts w:hint="eastAsia" w:ascii="宋体" w:hAnsi="宋体" w:eastAsia="宋体" w:cs="宋体"/>
          <w:color w:val="auto"/>
          <w:kern w:val="0"/>
          <w:sz w:val="24"/>
          <w:szCs w:val="24"/>
          <w:lang w:val="en-US" w:eastAsia="zh-CN" w:bidi="ar"/>
        </w:rPr>
        <w:t>爬升架</w:t>
      </w:r>
      <w:r>
        <w:rPr>
          <w:rFonts w:hint="default" w:ascii="宋体" w:hAnsi="宋体" w:eastAsia="宋体" w:cs="宋体"/>
          <w:color w:val="auto"/>
          <w:kern w:val="0"/>
          <w:sz w:val="24"/>
          <w:szCs w:val="24"/>
          <w:lang w:val="en-US" w:eastAsia="zh-CN" w:bidi="ar"/>
        </w:rPr>
        <w:t>断开。</w:t>
      </w:r>
      <w:r>
        <w:rPr>
          <w:rFonts w:hint="eastAsia" w:ascii="宋体" w:hAnsi="宋体" w:eastAsia="宋体" w:cs="宋体"/>
          <w:color w:val="auto"/>
          <w:kern w:val="0"/>
          <w:sz w:val="24"/>
          <w:szCs w:val="24"/>
          <w:lang w:val="en-US" w:eastAsia="zh-CN" w:bidi="ar"/>
        </w:rPr>
        <w:t>汽车吊</w:t>
      </w:r>
      <w:r>
        <w:rPr>
          <w:rFonts w:hint="default" w:ascii="宋体" w:hAnsi="宋体" w:eastAsia="宋体" w:cs="宋体"/>
          <w:color w:val="auto"/>
          <w:kern w:val="0"/>
          <w:sz w:val="24"/>
          <w:szCs w:val="24"/>
          <w:lang w:val="en-US" w:eastAsia="zh-CN" w:bidi="ar"/>
        </w:rPr>
        <w:t>起升吊钩，将</w:t>
      </w:r>
      <w:r>
        <w:rPr>
          <w:rFonts w:hint="eastAsia" w:ascii="宋体" w:hAnsi="宋体" w:eastAsia="宋体" w:cs="宋体"/>
          <w:color w:val="auto"/>
          <w:kern w:val="0"/>
          <w:sz w:val="24"/>
          <w:szCs w:val="24"/>
          <w:lang w:val="en-US" w:eastAsia="zh-CN" w:bidi="ar"/>
        </w:rPr>
        <w:t>特殊节</w:t>
      </w:r>
      <w:r>
        <w:rPr>
          <w:rFonts w:hint="default" w:ascii="宋体" w:hAnsi="宋体" w:eastAsia="宋体" w:cs="宋体"/>
          <w:color w:val="auto"/>
          <w:kern w:val="0"/>
          <w:sz w:val="24"/>
          <w:szCs w:val="24"/>
          <w:lang w:val="en-US" w:eastAsia="zh-CN" w:bidi="ar"/>
        </w:rPr>
        <w:t>提升一定安全高度后，再将</w:t>
      </w:r>
      <w:r>
        <w:rPr>
          <w:rFonts w:hint="eastAsia" w:ascii="宋体" w:hAnsi="宋体" w:eastAsia="宋体" w:cs="宋体"/>
          <w:color w:val="auto"/>
          <w:kern w:val="0"/>
          <w:sz w:val="24"/>
          <w:szCs w:val="24"/>
          <w:lang w:val="en-US" w:eastAsia="zh-CN" w:bidi="ar"/>
        </w:rPr>
        <w:t>特殊节</w:t>
      </w:r>
      <w:r>
        <w:rPr>
          <w:rFonts w:hint="default" w:ascii="宋体" w:hAnsi="宋体" w:eastAsia="宋体" w:cs="宋体"/>
          <w:color w:val="auto"/>
          <w:kern w:val="0"/>
          <w:sz w:val="24"/>
          <w:szCs w:val="24"/>
          <w:lang w:val="en-US" w:eastAsia="zh-CN" w:bidi="ar"/>
        </w:rPr>
        <w:t>下放至地面，作业人员在地面上解除卸扣与</w:t>
      </w:r>
      <w:r>
        <w:rPr>
          <w:rFonts w:hint="eastAsia" w:ascii="宋体" w:hAnsi="宋体" w:eastAsia="宋体" w:cs="宋体"/>
          <w:color w:val="auto"/>
          <w:kern w:val="0"/>
          <w:sz w:val="24"/>
          <w:szCs w:val="24"/>
          <w:lang w:val="en-US" w:eastAsia="zh-CN" w:bidi="ar"/>
        </w:rPr>
        <w:t>特殊节</w:t>
      </w:r>
      <w:r>
        <w:rPr>
          <w:rFonts w:hint="default" w:ascii="宋体" w:hAnsi="宋体" w:eastAsia="宋体" w:cs="宋体"/>
          <w:color w:val="auto"/>
          <w:kern w:val="0"/>
          <w:sz w:val="24"/>
          <w:szCs w:val="24"/>
          <w:lang w:val="en-US" w:eastAsia="zh-CN" w:bidi="ar"/>
        </w:rPr>
        <w:t>的连接。</w:t>
      </w:r>
    </w:p>
    <w:p w14:paraId="742ED46C">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塔式起重机特殊节拆除时设置警戒区，起吊安排专人负责指挥，专人操作，严禁无关人员进入起重作业范围内。</w:t>
      </w:r>
    </w:p>
    <w:p w14:paraId="5D176220">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0" w:firstLineChars="0"/>
        <w:jc w:val="center"/>
        <w:rPr>
          <w:rFonts w:hint="eastAsia" w:ascii="宋体" w:hAnsi="宋体" w:eastAsia="宋体" w:cs="宋体"/>
          <w:b w:val="0"/>
          <w:bCs w:val="0"/>
          <w:color w:val="auto"/>
          <w:sz w:val="24"/>
          <w:szCs w:val="24"/>
          <w:lang w:eastAsia="zh-CN"/>
        </w:rPr>
      </w:pPr>
      <w:r>
        <w:rPr>
          <w:rFonts w:hint="eastAsia"/>
          <w:lang w:val="en-US" w:eastAsia="zh-CN"/>
        </w:rPr>
        <w:t xml:space="preserve"> </w:t>
      </w:r>
    </w:p>
    <w:bookmarkEnd w:id="150"/>
    <w:tbl>
      <w:tblPr>
        <w:tblStyle w:val="33"/>
        <w:tblpPr w:leftFromText="180" w:rightFromText="180" w:vertAnchor="text" w:horzAnchor="page" w:tblpX="2371" w:tblpY="-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1368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1F57ECFB">
            <w:pPr>
              <w:pStyle w:val="12"/>
              <w:pageBreakBefore w:val="0"/>
              <w:kinsoku/>
              <w:wordWrap/>
              <w:overflowPunct/>
              <w:topLinePunct w:val="0"/>
              <w:bidi w:val="0"/>
              <w:spacing w:line="360" w:lineRule="auto"/>
              <w:rPr>
                <w:rFonts w:hint="eastAsia" w:ascii="宋体" w:hAnsi="宋体" w:eastAsia="宋体" w:cs="宋体"/>
                <w:b w:val="0"/>
                <w:bCs/>
                <w:lang w:eastAsia="zh-CN"/>
              </w:rPr>
            </w:pPr>
            <w:bookmarkStart w:id="151" w:name="_Toc25977"/>
            <w:r>
              <w:drawing>
                <wp:inline distT="0" distB="0" distL="114300" distR="114300">
                  <wp:extent cx="1635760" cy="3659505"/>
                  <wp:effectExtent l="0" t="0" r="2540" b="17145"/>
                  <wp:docPr id="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pic:cNvPicPr>
                            <a:picLocks noChangeAspect="1"/>
                          </pic:cNvPicPr>
                        </pic:nvPicPr>
                        <pic:blipFill>
                          <a:blip r:embed="rId43"/>
                          <a:stretch>
                            <a:fillRect/>
                          </a:stretch>
                        </pic:blipFill>
                        <pic:spPr>
                          <a:xfrm>
                            <a:off x="0" y="0"/>
                            <a:ext cx="1635760" cy="3659505"/>
                          </a:xfrm>
                          <a:prstGeom prst="rect">
                            <a:avLst/>
                          </a:prstGeom>
                          <a:noFill/>
                          <a:ln>
                            <a:noFill/>
                          </a:ln>
                        </pic:spPr>
                      </pic:pic>
                    </a:graphicData>
                  </a:graphic>
                </wp:inline>
              </w:drawing>
            </w:r>
            <w:r>
              <w:drawing>
                <wp:inline distT="0" distB="0" distL="114300" distR="114300">
                  <wp:extent cx="2589530" cy="3441700"/>
                  <wp:effectExtent l="0" t="0" r="1270" b="6350"/>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pic:cNvPicPr>
                            <a:picLocks noChangeAspect="1"/>
                          </pic:cNvPicPr>
                        </pic:nvPicPr>
                        <pic:blipFill>
                          <a:blip r:embed="rId44"/>
                          <a:stretch>
                            <a:fillRect/>
                          </a:stretch>
                        </pic:blipFill>
                        <pic:spPr>
                          <a:xfrm>
                            <a:off x="0" y="0"/>
                            <a:ext cx="2589530" cy="3441700"/>
                          </a:xfrm>
                          <a:prstGeom prst="rect">
                            <a:avLst/>
                          </a:prstGeom>
                          <a:noFill/>
                          <a:ln>
                            <a:noFill/>
                          </a:ln>
                        </pic:spPr>
                      </pic:pic>
                    </a:graphicData>
                  </a:graphic>
                </wp:inline>
              </w:drawing>
            </w:r>
            <w:r>
              <w:drawing>
                <wp:inline distT="0" distB="0" distL="114300" distR="114300">
                  <wp:extent cx="5010785" cy="2385695"/>
                  <wp:effectExtent l="0" t="0" r="18415" b="1460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6"/>
                          <a:stretch>
                            <a:fillRect/>
                          </a:stretch>
                        </pic:blipFill>
                        <pic:spPr>
                          <a:xfrm>
                            <a:off x="0" y="0"/>
                            <a:ext cx="5010785" cy="2385695"/>
                          </a:xfrm>
                          <a:prstGeom prst="rect">
                            <a:avLst/>
                          </a:prstGeom>
                          <a:noFill/>
                          <a:ln>
                            <a:noFill/>
                          </a:ln>
                        </pic:spPr>
                      </pic:pic>
                    </a:graphicData>
                  </a:graphic>
                </wp:inline>
              </w:drawing>
            </w:r>
          </w:p>
        </w:tc>
      </w:tr>
      <w:tr w14:paraId="4CEA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6BC900C9">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0" w:firstLineChars="0"/>
              <w:jc w:val="center"/>
            </w:pPr>
            <w:r>
              <w:rPr>
                <w:rFonts w:hint="eastAsia" w:ascii="宋体" w:hAnsi="宋体" w:eastAsia="宋体" w:cs="宋体"/>
                <w:lang w:val="en-US" w:eastAsia="zh-CN"/>
              </w:rPr>
              <w:t>特殊节拆卸示意图</w:t>
            </w:r>
          </w:p>
        </w:tc>
      </w:tr>
    </w:tbl>
    <w:p w14:paraId="54BAC5C3">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52" w:name="_Toc32211"/>
      <w:r>
        <w:rPr>
          <w:rFonts w:hint="eastAsia" w:ascii="Times New Roman" w:hAnsi="Times New Roman" w:cs="Times New Roman"/>
          <w:color w:val="auto"/>
          <w:sz w:val="24"/>
          <w:szCs w:val="24"/>
          <w:lang w:val="en-US" w:eastAsia="zh-CN"/>
        </w:rPr>
        <w:t>拆卸爬升架</w:t>
      </w:r>
      <w:bookmarkEnd w:id="151"/>
      <w:bookmarkEnd w:id="152"/>
    </w:p>
    <w:p w14:paraId="67AECEDC">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t，满足拆除吊装要求。</w:t>
      </w:r>
    </w:p>
    <w:p w14:paraId="719C7F72">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爬升架吊装采用四点吊，以爬升架顶部4个吊耳板作为吊装孔，采用4根16mm6×19+FC1870Mpa的钢丝绳配套GB/T 25854-6-DW5卸扣进行起吊。</w:t>
      </w:r>
    </w:p>
    <w:p w14:paraId="32824F75">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default" w:ascii="宋体" w:hAnsi="宋体" w:eastAsia="宋体" w:cs="宋体"/>
          <w:b w:val="0"/>
          <w:bCs w:val="0"/>
          <w:color w:val="auto"/>
          <w:kern w:val="0"/>
          <w:sz w:val="24"/>
          <w:szCs w:val="24"/>
          <w:lang w:val="en-US" w:eastAsia="zh-CN" w:bidi="ar"/>
        </w:rPr>
      </w:pPr>
      <w:r>
        <w:rPr>
          <w:rFonts w:hint="default" w:ascii="宋体" w:hAnsi="宋体" w:eastAsia="宋体" w:cs="宋体"/>
          <w:b w:val="0"/>
          <w:bCs w:val="0"/>
          <w:color w:val="auto"/>
          <w:kern w:val="0"/>
          <w:sz w:val="24"/>
          <w:szCs w:val="24"/>
          <w:lang w:val="en-US" w:eastAsia="zh-CN" w:bidi="ar"/>
        </w:rPr>
        <w:t>作业人员在地面上先将钢丝绳一端挂在</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吊钩上，另一端与卸扣连接，启动</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，将卸扣缓慢提升至爬升架上方，作业人员通过爬梯爬至爬升架顶部，将安全带系挂在爬升架顶部平台的栏杆上，位于爬升架顶部的平台上。</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放松吊钩，作业人员将卸扣与爬升架连接，同时在爬升架杆件上栓好2根溜绳，作业人员解除安全带，作业人员通过爬梯爬至</w:t>
      </w:r>
      <w:r>
        <w:rPr>
          <w:rFonts w:hint="eastAsia" w:ascii="宋体" w:hAnsi="宋体" w:eastAsia="宋体" w:cs="宋体"/>
          <w:b w:val="0"/>
          <w:bCs w:val="0"/>
          <w:color w:val="auto"/>
          <w:kern w:val="0"/>
          <w:sz w:val="24"/>
          <w:szCs w:val="24"/>
          <w:lang w:val="en-US" w:eastAsia="zh-CN" w:bidi="ar"/>
        </w:rPr>
        <w:t>标准节</w:t>
      </w:r>
      <w:r>
        <w:rPr>
          <w:rFonts w:hint="default" w:ascii="宋体" w:hAnsi="宋体" w:eastAsia="宋体" w:cs="宋体"/>
          <w:b w:val="0"/>
          <w:bCs w:val="0"/>
          <w:color w:val="auto"/>
          <w:kern w:val="0"/>
          <w:sz w:val="24"/>
          <w:szCs w:val="24"/>
          <w:lang w:val="en-US" w:eastAsia="zh-CN" w:bidi="ar"/>
        </w:rPr>
        <w:t>对应的爬升架爬爪处，将安全带系挂在</w:t>
      </w:r>
      <w:r>
        <w:rPr>
          <w:rFonts w:hint="eastAsia" w:ascii="宋体" w:hAnsi="宋体" w:eastAsia="宋体" w:cs="宋体"/>
          <w:b w:val="0"/>
          <w:bCs w:val="0"/>
          <w:color w:val="auto"/>
          <w:kern w:val="0"/>
          <w:sz w:val="24"/>
          <w:szCs w:val="24"/>
          <w:lang w:val="en-US" w:eastAsia="zh-CN" w:bidi="ar"/>
        </w:rPr>
        <w:t>标准节</w:t>
      </w:r>
      <w:r>
        <w:rPr>
          <w:rFonts w:hint="default" w:ascii="宋体" w:hAnsi="宋体" w:eastAsia="宋体" w:cs="宋体"/>
          <w:b w:val="0"/>
          <w:bCs w:val="0"/>
          <w:color w:val="auto"/>
          <w:kern w:val="0"/>
          <w:sz w:val="24"/>
          <w:szCs w:val="24"/>
          <w:lang w:val="en-US" w:eastAsia="zh-CN" w:bidi="ar"/>
        </w:rPr>
        <w:t>横杆上，解除爬升架与</w:t>
      </w:r>
      <w:r>
        <w:rPr>
          <w:rFonts w:hint="eastAsia" w:ascii="宋体" w:hAnsi="宋体" w:eastAsia="宋体" w:cs="宋体"/>
          <w:b w:val="0"/>
          <w:bCs w:val="0"/>
          <w:color w:val="auto"/>
          <w:kern w:val="0"/>
          <w:sz w:val="24"/>
          <w:szCs w:val="24"/>
          <w:lang w:val="en-US" w:eastAsia="zh-CN" w:bidi="ar"/>
        </w:rPr>
        <w:t>标准节</w:t>
      </w:r>
      <w:r>
        <w:rPr>
          <w:rFonts w:hint="default" w:ascii="宋体" w:hAnsi="宋体" w:eastAsia="宋体" w:cs="宋体"/>
          <w:b w:val="0"/>
          <w:bCs w:val="0"/>
          <w:color w:val="auto"/>
          <w:kern w:val="0"/>
          <w:sz w:val="24"/>
          <w:szCs w:val="24"/>
          <w:lang w:val="en-US" w:eastAsia="zh-CN" w:bidi="ar"/>
        </w:rPr>
        <w:t>之间的约束。</w:t>
      </w:r>
      <w:r>
        <w:rPr>
          <w:rFonts w:hint="eastAsia" w:ascii="宋体" w:hAnsi="宋体" w:eastAsia="宋体" w:cs="宋体"/>
          <w:b w:val="0"/>
          <w:bCs w:val="0"/>
          <w:color w:val="auto"/>
          <w:kern w:val="0"/>
          <w:sz w:val="24"/>
          <w:szCs w:val="24"/>
          <w:lang w:val="en-US" w:eastAsia="zh-CN" w:bidi="ar"/>
        </w:rPr>
        <w:t>汽车吊</w:t>
      </w:r>
      <w:r>
        <w:rPr>
          <w:rFonts w:hint="default" w:ascii="宋体" w:hAnsi="宋体" w:eastAsia="宋体" w:cs="宋体"/>
          <w:b w:val="0"/>
          <w:bCs w:val="0"/>
          <w:color w:val="auto"/>
          <w:kern w:val="0"/>
          <w:sz w:val="24"/>
          <w:szCs w:val="24"/>
          <w:lang w:val="en-US" w:eastAsia="zh-CN" w:bidi="ar"/>
        </w:rPr>
        <w:t>起升吊钩，将爬升架提升一定安全高度后，再将爬升架下放至地面，作业人员在地面上解除卸扣与爬升架的连接。</w:t>
      </w:r>
    </w:p>
    <w:tbl>
      <w:tblPr>
        <w:tblStyle w:val="33"/>
        <w:tblpPr w:leftFromText="180" w:rightFromText="180" w:vertAnchor="text" w:horzAnchor="page" w:tblpX="1885" w:tblpY="27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5A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522" w:type="dxa"/>
          </w:tcPr>
          <w:p w14:paraId="2C1EBEEA">
            <w:pPr>
              <w:keepNext w:val="0"/>
              <w:keepLines w:val="0"/>
              <w:pageBreakBefore w:val="0"/>
              <w:kinsoku/>
              <w:wordWrap/>
              <w:overflowPunct/>
              <w:topLinePunct w:val="0"/>
              <w:autoSpaceDE/>
              <w:autoSpaceDN/>
              <w:bidi w:val="0"/>
              <w:snapToGrid/>
              <w:spacing w:line="360" w:lineRule="auto"/>
              <w:jc w:val="center"/>
            </w:pPr>
            <w:r>
              <w:drawing>
                <wp:inline distT="0" distB="0" distL="114300" distR="114300">
                  <wp:extent cx="1688465" cy="2286635"/>
                  <wp:effectExtent l="0" t="0" r="6985" b="18415"/>
                  <wp:docPr id="6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2"/>
                          <pic:cNvPicPr>
                            <a:picLocks noChangeAspect="1"/>
                          </pic:cNvPicPr>
                        </pic:nvPicPr>
                        <pic:blipFill>
                          <a:blip r:embed="rId41"/>
                          <a:stretch>
                            <a:fillRect/>
                          </a:stretch>
                        </pic:blipFill>
                        <pic:spPr>
                          <a:xfrm>
                            <a:off x="0" y="0"/>
                            <a:ext cx="1688465" cy="2286635"/>
                          </a:xfrm>
                          <a:prstGeom prst="rect">
                            <a:avLst/>
                          </a:prstGeom>
                          <a:noFill/>
                          <a:ln>
                            <a:noFill/>
                          </a:ln>
                        </pic:spPr>
                      </pic:pic>
                    </a:graphicData>
                  </a:graphic>
                </wp:inline>
              </w:drawing>
            </w:r>
            <w:r>
              <w:drawing>
                <wp:inline distT="0" distB="0" distL="114300" distR="114300">
                  <wp:extent cx="1732915" cy="2308860"/>
                  <wp:effectExtent l="0" t="0" r="635" b="15240"/>
                  <wp:docPr id="6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3"/>
                          <pic:cNvPicPr>
                            <a:picLocks noChangeAspect="1"/>
                          </pic:cNvPicPr>
                        </pic:nvPicPr>
                        <pic:blipFill>
                          <a:blip r:embed="rId42"/>
                          <a:srcRect t="626" r="9282"/>
                          <a:stretch>
                            <a:fillRect/>
                          </a:stretch>
                        </pic:blipFill>
                        <pic:spPr>
                          <a:xfrm>
                            <a:off x="0" y="0"/>
                            <a:ext cx="1732915" cy="2308860"/>
                          </a:xfrm>
                          <a:prstGeom prst="rect">
                            <a:avLst/>
                          </a:prstGeom>
                          <a:noFill/>
                          <a:ln>
                            <a:noFill/>
                          </a:ln>
                        </pic:spPr>
                      </pic:pic>
                    </a:graphicData>
                  </a:graphic>
                </wp:inline>
              </w:drawing>
            </w:r>
            <w:r>
              <w:drawing>
                <wp:inline distT="0" distB="0" distL="114300" distR="114300">
                  <wp:extent cx="5010785" cy="2385695"/>
                  <wp:effectExtent l="0" t="0" r="18415" b="1460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6"/>
                          <a:stretch>
                            <a:fillRect/>
                          </a:stretch>
                        </pic:blipFill>
                        <pic:spPr>
                          <a:xfrm>
                            <a:off x="0" y="0"/>
                            <a:ext cx="5010785" cy="2385695"/>
                          </a:xfrm>
                          <a:prstGeom prst="rect">
                            <a:avLst/>
                          </a:prstGeom>
                          <a:noFill/>
                          <a:ln>
                            <a:noFill/>
                          </a:ln>
                        </pic:spPr>
                      </pic:pic>
                    </a:graphicData>
                  </a:graphic>
                </wp:inline>
              </w:drawing>
            </w:r>
          </w:p>
        </w:tc>
      </w:tr>
      <w:tr w14:paraId="6985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522" w:type="dxa"/>
          </w:tcPr>
          <w:p w14:paraId="71EB3A8F">
            <w:pPr>
              <w:pStyle w:val="12"/>
              <w:pageBreakBefore w:val="0"/>
              <w:kinsoku/>
              <w:wordWrap/>
              <w:overflowPunct/>
              <w:topLinePunct w:val="0"/>
              <w:bidi w:val="0"/>
              <w:spacing w:line="360" w:lineRule="auto"/>
            </w:pPr>
            <w:r>
              <w:rPr>
                <w:rFonts w:hint="eastAsia" w:ascii="宋体" w:hAnsi="宋体" w:eastAsia="宋体" w:cs="宋体"/>
                <w:b w:val="0"/>
                <w:bCs/>
                <w:lang w:eastAsia="zh-CN"/>
              </w:rPr>
              <w:t>顶升套架</w:t>
            </w:r>
            <w:r>
              <w:rPr>
                <w:rFonts w:hint="eastAsia" w:ascii="宋体" w:hAnsi="宋体" w:eastAsia="宋体" w:cs="宋体"/>
                <w:b w:val="0"/>
                <w:bCs/>
                <w:lang w:val="en-US" w:eastAsia="zh-CN"/>
              </w:rPr>
              <w:t>拆除</w:t>
            </w:r>
            <w:r>
              <w:rPr>
                <w:rFonts w:hint="eastAsia" w:ascii="宋体" w:hAnsi="宋体" w:eastAsia="宋体" w:cs="宋体"/>
                <w:b w:val="0"/>
                <w:bCs/>
                <w:lang w:eastAsia="zh-CN"/>
              </w:rPr>
              <w:t>示意图</w:t>
            </w:r>
          </w:p>
        </w:tc>
      </w:tr>
    </w:tbl>
    <w:p w14:paraId="40CAFBEA">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塔式起重机爬升架拆除时设置警戒区，起吊安排专人负责指挥，专人操作，严禁无关人员进入起重作业范围内。</w:t>
      </w:r>
    </w:p>
    <w:p w14:paraId="52916C1E">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53" w:name="_Toc25945"/>
      <w:bookmarkEnd w:id="153"/>
      <w:bookmarkStart w:id="154" w:name="_Toc13897"/>
      <w:bookmarkEnd w:id="154"/>
      <w:bookmarkStart w:id="155" w:name="_Toc31469"/>
      <w:bookmarkEnd w:id="155"/>
      <w:bookmarkStart w:id="156" w:name="_Toc15233"/>
      <w:bookmarkEnd w:id="156"/>
      <w:bookmarkStart w:id="157" w:name="_Toc17260"/>
      <w:bookmarkStart w:id="158" w:name="_Toc23941"/>
      <w:r>
        <w:rPr>
          <w:rFonts w:hint="eastAsia" w:ascii="Times New Roman" w:hAnsi="Times New Roman" w:cs="Times New Roman"/>
          <w:color w:val="auto"/>
          <w:sz w:val="24"/>
          <w:szCs w:val="24"/>
          <w:lang w:val="en-US" w:eastAsia="zh-CN"/>
        </w:rPr>
        <w:t>拆卸标准节及基础节</w:t>
      </w:r>
      <w:bookmarkEnd w:id="157"/>
      <w:bookmarkEnd w:id="158"/>
      <w:r>
        <w:rPr>
          <w:rFonts w:hint="eastAsia" w:ascii="Times New Roman" w:hAnsi="Times New Roman" w:cs="Times New Roman"/>
          <w:color w:val="auto"/>
          <w:sz w:val="24"/>
          <w:szCs w:val="24"/>
          <w:lang w:val="en-US" w:eastAsia="zh-CN"/>
        </w:rPr>
        <w:t xml:space="preserve"> </w:t>
      </w:r>
    </w:p>
    <w:p w14:paraId="5F54DE63">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t，满足拆除吊装要求。</w:t>
      </w:r>
    </w:p>
    <w:p w14:paraId="5DC08C35">
      <w:pPr>
        <w:keepNext w:val="0"/>
        <w:keepLines w:val="0"/>
        <w:pageBreakBefore w:val="0"/>
        <w:kinsoku/>
        <w:wordWrap/>
        <w:overflowPunct/>
        <w:topLinePunct w:val="0"/>
        <w:autoSpaceDE/>
        <w:autoSpaceDN/>
        <w:bidi w:val="0"/>
        <w:snapToGrid/>
        <w:spacing w:line="360" w:lineRule="auto"/>
        <w:ind w:firstLine="420" w:firstLineChars="0"/>
        <w:rPr>
          <w:rFonts w:hint="default"/>
          <w:lang w:val="en-US" w:eastAsia="zh-CN"/>
        </w:rPr>
      </w:pPr>
      <w:r>
        <w:rPr>
          <w:rFonts w:hint="eastAsia" w:ascii="Times New Roman" w:hAnsi="Times New Roman" w:eastAsia="宋体" w:cs="Times New Roman"/>
          <w:lang w:val="en-US" w:eastAsia="zh-CN"/>
        </w:rPr>
        <w:t>标准节吊装采用四点吊，以标准节顶部4个吊耳板作为吊装孔，采用4根</w:t>
      </w:r>
      <w:r>
        <w:rPr>
          <w:rFonts w:hint="eastAsia" w:cs="Times New Roman"/>
          <w:lang w:val="en-US" w:eastAsia="zh-CN"/>
        </w:rPr>
        <w:t>16mm6×19+FC1870Mpa</w:t>
      </w:r>
      <w:r>
        <w:rPr>
          <w:rFonts w:hint="eastAsia" w:ascii="Times New Roman" w:hAnsi="Times New Roman" w:eastAsia="宋体" w:cs="Times New Roman"/>
          <w:lang w:val="en-US" w:eastAsia="zh-CN"/>
        </w:rPr>
        <w:t>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2128E80E">
      <w:pPr>
        <w:keepNext w:val="0"/>
        <w:keepLines w:val="0"/>
        <w:pageBreakBefore w:val="0"/>
        <w:kinsoku/>
        <w:wordWrap/>
        <w:overflowPunct/>
        <w:topLinePunct w:val="0"/>
        <w:autoSpaceDE/>
        <w:autoSpaceDN/>
        <w:bidi w:val="0"/>
        <w:snapToGrid/>
        <w:spacing w:line="360" w:lineRule="auto"/>
        <w:rPr>
          <w:rFonts w:hint="default"/>
          <w:lang w:val="en-US" w:eastAsia="zh-CN"/>
        </w:rPr>
      </w:pPr>
      <w:r>
        <w:rPr>
          <w:rFonts w:hint="default"/>
          <w:lang w:val="en-US" w:eastAsia="zh-CN"/>
        </w:rPr>
        <w:t>作业人员在地面上先将钢丝绳一端挂在</w:t>
      </w:r>
      <w:r>
        <w:rPr>
          <w:rFonts w:hint="eastAsia"/>
          <w:lang w:val="en-US" w:eastAsia="zh-CN"/>
        </w:rPr>
        <w:t>汽车吊</w:t>
      </w:r>
      <w:r>
        <w:rPr>
          <w:rFonts w:hint="default"/>
          <w:lang w:val="en-US" w:eastAsia="zh-CN"/>
        </w:rPr>
        <w:t>吊钩上，另一端与卸扣连接，启动</w:t>
      </w:r>
      <w:r>
        <w:rPr>
          <w:rFonts w:hint="eastAsia"/>
          <w:lang w:val="en-US" w:eastAsia="zh-CN"/>
        </w:rPr>
        <w:t>汽车吊</w:t>
      </w:r>
      <w:r>
        <w:rPr>
          <w:rFonts w:hint="default"/>
          <w:lang w:val="en-US" w:eastAsia="zh-CN"/>
        </w:rPr>
        <w:t>，将卸扣缓慢提升至</w:t>
      </w:r>
      <w:r>
        <w:rPr>
          <w:rFonts w:hint="eastAsia" w:ascii="Times New Roman" w:hAnsi="Times New Roman" w:eastAsia="宋体" w:cs="Times New Roman"/>
          <w:lang w:val="en-US" w:eastAsia="zh-CN"/>
        </w:rPr>
        <w:t>标准节</w:t>
      </w:r>
      <w:r>
        <w:rPr>
          <w:rFonts w:hint="default"/>
          <w:lang w:val="en-US" w:eastAsia="zh-CN"/>
        </w:rPr>
        <w:t>上方，作业人员通过爬梯爬至</w:t>
      </w:r>
      <w:r>
        <w:rPr>
          <w:rFonts w:hint="eastAsia" w:ascii="Times New Roman" w:hAnsi="Times New Roman" w:eastAsia="宋体" w:cs="Times New Roman"/>
          <w:lang w:val="en-US" w:eastAsia="zh-CN"/>
        </w:rPr>
        <w:t>标准节</w:t>
      </w:r>
      <w:r>
        <w:rPr>
          <w:rFonts w:hint="default"/>
          <w:lang w:val="en-US" w:eastAsia="zh-CN"/>
        </w:rPr>
        <w:t>顶部，将安全带系挂在</w:t>
      </w:r>
      <w:r>
        <w:rPr>
          <w:rFonts w:hint="eastAsia" w:ascii="Times New Roman" w:hAnsi="Times New Roman" w:eastAsia="宋体" w:cs="Times New Roman"/>
          <w:lang w:val="en-US" w:eastAsia="zh-CN"/>
        </w:rPr>
        <w:t>标准节</w:t>
      </w:r>
      <w:r>
        <w:rPr>
          <w:rFonts w:hint="default"/>
          <w:lang w:val="en-US" w:eastAsia="zh-CN"/>
        </w:rPr>
        <w:t>顶部。</w:t>
      </w:r>
      <w:r>
        <w:rPr>
          <w:rFonts w:hint="eastAsia"/>
          <w:lang w:val="en-US" w:eastAsia="zh-CN"/>
        </w:rPr>
        <w:t>汽车吊</w:t>
      </w:r>
      <w:r>
        <w:rPr>
          <w:rFonts w:hint="default"/>
          <w:lang w:val="en-US" w:eastAsia="zh-CN"/>
        </w:rPr>
        <w:t>放松吊钩，作业人员将卸扣与</w:t>
      </w:r>
      <w:r>
        <w:rPr>
          <w:rFonts w:hint="eastAsia" w:ascii="Times New Roman" w:hAnsi="Times New Roman" w:eastAsia="宋体" w:cs="Times New Roman"/>
          <w:lang w:val="en-US" w:eastAsia="zh-CN"/>
        </w:rPr>
        <w:t>标准节</w:t>
      </w:r>
      <w:r>
        <w:rPr>
          <w:rFonts w:hint="default"/>
          <w:lang w:val="en-US" w:eastAsia="zh-CN"/>
        </w:rPr>
        <w:t>连接，同时在</w:t>
      </w:r>
      <w:r>
        <w:rPr>
          <w:rFonts w:hint="eastAsia" w:ascii="Times New Roman" w:hAnsi="Times New Roman" w:eastAsia="宋体" w:cs="Times New Roman"/>
          <w:lang w:val="en-US" w:eastAsia="zh-CN"/>
        </w:rPr>
        <w:t>标准节</w:t>
      </w:r>
      <w:r>
        <w:rPr>
          <w:rFonts w:hint="default"/>
          <w:lang w:val="en-US" w:eastAsia="zh-CN"/>
        </w:rPr>
        <w:t>杆件上栓好2根溜绳，作业人员解除安全带，作业人员通过爬梯爬至</w:t>
      </w:r>
      <w:r>
        <w:rPr>
          <w:rFonts w:hint="eastAsia" w:ascii="Times New Roman" w:hAnsi="Times New Roman" w:eastAsia="宋体" w:cs="Times New Roman"/>
          <w:lang w:val="en-US" w:eastAsia="zh-CN"/>
        </w:rPr>
        <w:t>基础节</w:t>
      </w:r>
      <w:r>
        <w:rPr>
          <w:rFonts w:hint="default"/>
          <w:lang w:val="en-US" w:eastAsia="zh-CN"/>
        </w:rPr>
        <w:t>对应的爬升架爬爪处，将安全带系挂在基础节横杆上，解除</w:t>
      </w:r>
      <w:r>
        <w:rPr>
          <w:rFonts w:hint="eastAsia" w:ascii="Times New Roman" w:hAnsi="Times New Roman" w:eastAsia="宋体" w:cs="Times New Roman"/>
          <w:lang w:val="en-US" w:eastAsia="zh-CN"/>
        </w:rPr>
        <w:t>标准节</w:t>
      </w:r>
      <w:r>
        <w:rPr>
          <w:rFonts w:hint="default"/>
          <w:lang w:val="en-US" w:eastAsia="zh-CN"/>
        </w:rPr>
        <w:t>与基础节之间的约束。</w:t>
      </w:r>
      <w:r>
        <w:rPr>
          <w:rFonts w:hint="eastAsia"/>
          <w:lang w:val="en-US" w:eastAsia="zh-CN"/>
        </w:rPr>
        <w:t>汽车吊</w:t>
      </w:r>
      <w:r>
        <w:rPr>
          <w:rFonts w:hint="default"/>
          <w:lang w:val="en-US" w:eastAsia="zh-CN"/>
        </w:rPr>
        <w:t>起升吊钩，将</w:t>
      </w:r>
      <w:r>
        <w:rPr>
          <w:rFonts w:hint="eastAsia" w:ascii="Times New Roman" w:hAnsi="Times New Roman" w:eastAsia="宋体" w:cs="Times New Roman"/>
          <w:lang w:val="en-US" w:eastAsia="zh-CN"/>
        </w:rPr>
        <w:t>标准节</w:t>
      </w:r>
      <w:r>
        <w:rPr>
          <w:rFonts w:hint="default"/>
          <w:lang w:val="en-US" w:eastAsia="zh-CN"/>
        </w:rPr>
        <w:t>提升一定安全高度后，再将</w:t>
      </w:r>
      <w:r>
        <w:rPr>
          <w:rFonts w:hint="eastAsia" w:ascii="Times New Roman" w:hAnsi="Times New Roman" w:eastAsia="宋体" w:cs="Times New Roman"/>
          <w:lang w:val="en-US" w:eastAsia="zh-CN"/>
        </w:rPr>
        <w:t>标准节</w:t>
      </w:r>
      <w:r>
        <w:rPr>
          <w:rFonts w:hint="default"/>
          <w:lang w:val="en-US" w:eastAsia="zh-CN"/>
        </w:rPr>
        <w:t>下放至地面，作业人员在地面上解除卸扣与</w:t>
      </w:r>
      <w:r>
        <w:rPr>
          <w:rFonts w:hint="eastAsia" w:ascii="Times New Roman" w:hAnsi="Times New Roman" w:eastAsia="宋体" w:cs="Times New Roman"/>
          <w:lang w:val="en-US" w:eastAsia="zh-CN"/>
        </w:rPr>
        <w:t>标准节</w:t>
      </w:r>
      <w:r>
        <w:rPr>
          <w:rFonts w:hint="default"/>
          <w:lang w:val="en-US" w:eastAsia="zh-CN"/>
        </w:rPr>
        <w:t>的连接。</w:t>
      </w:r>
    </w:p>
    <w:p w14:paraId="370C511D">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pPr>
      <w:r>
        <w:rPr>
          <w:rFonts w:hint="eastAsia"/>
        </w:rPr>
        <w:t>塔式起重机</w:t>
      </w:r>
      <w:r>
        <w:rPr>
          <w:rFonts w:hint="eastAsia" w:ascii="Times New Roman" w:hAnsi="Times New Roman" w:eastAsia="宋体" w:cs="Times New Roman"/>
          <w:lang w:val="en-US" w:eastAsia="zh-CN"/>
        </w:rPr>
        <w:t>标准节</w:t>
      </w:r>
      <w:r>
        <w:t>拆除时设置警戒区，起吊安排专人负责指挥，专人操作，严禁无关人员进入起重作业范围内。</w:t>
      </w:r>
    </w:p>
    <w:tbl>
      <w:tblPr>
        <w:tblStyle w:val="33"/>
        <w:tblpPr w:leftFromText="180" w:rightFromText="180" w:vertAnchor="text" w:horzAnchor="page" w:tblpX="2309" w:tblpY="8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4DBC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3DA9B987">
            <w:pPr>
              <w:keepNext w:val="0"/>
              <w:keepLines w:val="0"/>
              <w:pageBreakBefore w:val="0"/>
              <w:kinsoku/>
              <w:wordWrap/>
              <w:overflowPunct/>
              <w:topLinePunct w:val="0"/>
              <w:autoSpaceDE/>
              <w:autoSpaceDN/>
              <w:bidi w:val="0"/>
              <w:snapToGrid/>
              <w:spacing w:line="360" w:lineRule="auto"/>
              <w:jc w:val="center"/>
            </w:pPr>
            <w:r>
              <w:drawing>
                <wp:inline distT="0" distB="0" distL="114300" distR="114300">
                  <wp:extent cx="5010785" cy="2385695"/>
                  <wp:effectExtent l="0" t="0" r="18415" b="1460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6"/>
                          <a:stretch>
                            <a:fillRect/>
                          </a:stretch>
                        </pic:blipFill>
                        <pic:spPr>
                          <a:xfrm>
                            <a:off x="0" y="0"/>
                            <a:ext cx="5010785" cy="2385695"/>
                          </a:xfrm>
                          <a:prstGeom prst="rect">
                            <a:avLst/>
                          </a:prstGeom>
                          <a:noFill/>
                          <a:ln>
                            <a:noFill/>
                          </a:ln>
                        </pic:spPr>
                      </pic:pic>
                    </a:graphicData>
                  </a:graphic>
                </wp:inline>
              </w:drawing>
            </w:r>
          </w:p>
        </w:tc>
      </w:tr>
      <w:tr w14:paraId="48C2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67DBB576">
            <w:pPr>
              <w:keepNext w:val="0"/>
              <w:keepLines w:val="0"/>
              <w:pageBreakBefore w:val="0"/>
              <w:kinsoku/>
              <w:wordWrap/>
              <w:overflowPunct/>
              <w:topLinePunct w:val="0"/>
              <w:autoSpaceDE/>
              <w:autoSpaceDN/>
              <w:bidi w:val="0"/>
              <w:snapToGrid/>
              <w:spacing w:line="360" w:lineRule="auto"/>
              <w:ind w:firstLine="480"/>
              <w:jc w:val="center"/>
            </w:pPr>
            <w:r>
              <w:rPr>
                <w:rFonts w:hint="eastAsia" w:ascii="宋体" w:hAnsi="宋体" w:cs="宋体"/>
                <w:sz w:val="21"/>
                <w:szCs w:val="22"/>
                <w:lang w:val="en-US" w:eastAsia="zh-CN"/>
              </w:rPr>
              <w:t>安装基础节与标准节</w:t>
            </w:r>
            <w:r>
              <w:rPr>
                <w:rFonts w:hint="eastAsia" w:ascii="宋体" w:hAnsi="宋体" w:cs="宋体"/>
                <w:sz w:val="21"/>
                <w:szCs w:val="22"/>
              </w:rPr>
              <w:t>平面示意图</w:t>
            </w:r>
          </w:p>
        </w:tc>
      </w:tr>
      <w:tr w14:paraId="41C7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69761CCE">
            <w:pPr>
              <w:keepNext w:val="0"/>
              <w:keepLines w:val="0"/>
              <w:pageBreakBefore w:val="0"/>
              <w:kinsoku/>
              <w:wordWrap/>
              <w:overflowPunct/>
              <w:topLinePunct w:val="0"/>
              <w:autoSpaceDE/>
              <w:autoSpaceDN/>
              <w:bidi w:val="0"/>
              <w:snapToGrid/>
              <w:spacing w:line="360" w:lineRule="auto"/>
              <w:jc w:val="both"/>
            </w:pPr>
            <w:r>
              <w:drawing>
                <wp:inline distT="0" distB="0" distL="114300" distR="114300">
                  <wp:extent cx="4504690" cy="3428365"/>
                  <wp:effectExtent l="0" t="0" r="10160" b="635"/>
                  <wp:docPr id="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1"/>
                          </pic:cNvPicPr>
                        </pic:nvPicPr>
                        <pic:blipFill>
                          <a:blip r:embed="rId37"/>
                          <a:stretch>
                            <a:fillRect/>
                          </a:stretch>
                        </pic:blipFill>
                        <pic:spPr>
                          <a:xfrm>
                            <a:off x="0" y="0"/>
                            <a:ext cx="4504690" cy="3428365"/>
                          </a:xfrm>
                          <a:prstGeom prst="rect">
                            <a:avLst/>
                          </a:prstGeom>
                          <a:noFill/>
                          <a:ln>
                            <a:noFill/>
                          </a:ln>
                        </pic:spPr>
                      </pic:pic>
                    </a:graphicData>
                  </a:graphic>
                </wp:inline>
              </w:drawing>
            </w:r>
            <w:r>
              <w:drawing>
                <wp:inline distT="0" distB="0" distL="114300" distR="114300">
                  <wp:extent cx="2459355" cy="3182620"/>
                  <wp:effectExtent l="0" t="0" r="17145" b="17780"/>
                  <wp:docPr id="7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0"/>
                          <pic:cNvPicPr>
                            <a:picLocks noChangeAspect="1"/>
                          </pic:cNvPicPr>
                        </pic:nvPicPr>
                        <pic:blipFill>
                          <a:blip r:embed="rId38"/>
                          <a:stretch>
                            <a:fillRect/>
                          </a:stretch>
                        </pic:blipFill>
                        <pic:spPr>
                          <a:xfrm>
                            <a:off x="0" y="0"/>
                            <a:ext cx="2459355" cy="3182620"/>
                          </a:xfrm>
                          <a:prstGeom prst="rect">
                            <a:avLst/>
                          </a:prstGeom>
                          <a:noFill/>
                          <a:ln>
                            <a:noFill/>
                          </a:ln>
                        </pic:spPr>
                      </pic:pic>
                    </a:graphicData>
                  </a:graphic>
                </wp:inline>
              </w:drawing>
            </w:r>
            <w:r>
              <w:drawing>
                <wp:inline distT="0" distB="0" distL="114300" distR="114300">
                  <wp:extent cx="2341880" cy="3240405"/>
                  <wp:effectExtent l="0" t="0" r="1270" b="17145"/>
                  <wp:docPr id="7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9"/>
                          <pic:cNvPicPr>
                            <a:picLocks noChangeAspect="1"/>
                          </pic:cNvPicPr>
                        </pic:nvPicPr>
                        <pic:blipFill>
                          <a:blip r:embed="rId39"/>
                          <a:stretch>
                            <a:fillRect/>
                          </a:stretch>
                        </pic:blipFill>
                        <pic:spPr>
                          <a:xfrm>
                            <a:off x="0" y="0"/>
                            <a:ext cx="2341880" cy="3240405"/>
                          </a:xfrm>
                          <a:prstGeom prst="rect">
                            <a:avLst/>
                          </a:prstGeom>
                          <a:noFill/>
                          <a:ln>
                            <a:noFill/>
                          </a:ln>
                        </pic:spPr>
                      </pic:pic>
                    </a:graphicData>
                  </a:graphic>
                </wp:inline>
              </w:drawing>
            </w:r>
          </w:p>
        </w:tc>
      </w:tr>
      <w:tr w14:paraId="1F71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8352" w:type="dxa"/>
          </w:tcPr>
          <w:p w14:paraId="1A3ACFB1">
            <w:pPr>
              <w:keepNext w:val="0"/>
              <w:keepLines w:val="0"/>
              <w:pageBreakBefore w:val="0"/>
              <w:kinsoku/>
              <w:wordWrap/>
              <w:overflowPunct/>
              <w:topLinePunct w:val="0"/>
              <w:autoSpaceDE/>
              <w:autoSpaceDN/>
              <w:bidi w:val="0"/>
              <w:snapToGrid/>
              <w:spacing w:line="360" w:lineRule="auto"/>
              <w:ind w:firstLine="480"/>
              <w:jc w:val="center"/>
            </w:pPr>
            <w:r>
              <w:rPr>
                <w:rFonts w:hint="eastAsia" w:ascii="宋体" w:hAnsi="宋体" w:cs="宋体"/>
                <w:sz w:val="21"/>
                <w:szCs w:val="22"/>
                <w:lang w:val="en-US" w:eastAsia="zh-CN"/>
              </w:rPr>
              <w:t>安装基础节立</w:t>
            </w:r>
            <w:r>
              <w:rPr>
                <w:rFonts w:hint="eastAsia" w:ascii="宋体" w:hAnsi="宋体" w:cs="宋体"/>
                <w:sz w:val="21"/>
                <w:szCs w:val="22"/>
              </w:rPr>
              <w:t>面示意图</w:t>
            </w:r>
          </w:p>
        </w:tc>
      </w:tr>
    </w:tbl>
    <w:p w14:paraId="57DF47DE">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w:t>
      </w:r>
      <w:r>
        <w:rPr>
          <w:rFonts w:hint="eastAsia" w:ascii="宋体" w:hAnsi="宋体" w:cs="宋体"/>
          <w:lang w:val="en-US" w:eastAsia="zh-CN"/>
        </w:rPr>
        <w:t>5.3.2-9标准节</w:t>
      </w:r>
      <w:r>
        <w:rPr>
          <w:rFonts w:hint="eastAsia" w:ascii="宋体" w:hAnsi="宋体" w:eastAsia="宋体" w:cs="宋体"/>
          <w:lang w:val="en-US" w:eastAsia="zh-CN"/>
        </w:rPr>
        <w:t>拆卸示意图</w:t>
      </w:r>
    </w:p>
    <w:p w14:paraId="1D452ADD">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35t汽车吊主臂长</w:t>
      </w:r>
      <w:r>
        <w:rPr>
          <w:rFonts w:hint="eastAsia" w:ascii="宋体" w:hAnsi="宋体" w:cs="宋体"/>
          <w:lang w:val="en-US" w:eastAsia="zh-CN"/>
        </w:rPr>
        <w:t>25.6</w:t>
      </w:r>
      <w:r>
        <w:rPr>
          <w:rFonts w:hint="eastAsia" w:ascii="宋体" w:hAnsi="宋体" w:eastAsia="宋体" w:cs="宋体"/>
          <w:lang w:val="en-US" w:eastAsia="zh-CN"/>
        </w:rPr>
        <w:t>m，吊装作业半径12m，额定起重量为</w:t>
      </w:r>
      <w:r>
        <w:rPr>
          <w:rFonts w:hint="eastAsia" w:ascii="宋体" w:hAnsi="宋体" w:cs="宋体"/>
          <w:lang w:val="en-US" w:eastAsia="zh-CN"/>
        </w:rPr>
        <w:t>11.3</w:t>
      </w:r>
      <w:r>
        <w:rPr>
          <w:rFonts w:hint="eastAsia" w:ascii="宋体" w:hAnsi="宋体" w:eastAsia="宋体" w:cs="宋体"/>
          <w:lang w:val="en-US" w:eastAsia="zh-CN"/>
        </w:rPr>
        <w:t>t，满足拆除吊装要求。</w:t>
      </w:r>
    </w:p>
    <w:p w14:paraId="61A80180">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default" w:ascii="宋体" w:hAnsi="宋体" w:eastAsia="宋体" w:cs="宋体"/>
          <w:lang w:val="en-US" w:eastAsia="zh-CN"/>
        </w:rPr>
      </w:pPr>
      <w:r>
        <w:rPr>
          <w:rFonts w:hint="eastAsia" w:ascii="宋体" w:hAnsi="宋体" w:eastAsia="宋体" w:cs="宋体"/>
          <w:lang w:val="en-US" w:eastAsia="zh-CN"/>
        </w:rPr>
        <w:t>基础节吊装采用四点吊，以基础节顶部4个吊耳板作为吊装孔，采用4根16mm6×19+FC1870Mpa的钢丝绳配套GB/T 25854-6-DW5卸扣进行起吊。</w:t>
      </w:r>
    </w:p>
    <w:p w14:paraId="73FC12C2">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default" w:ascii="宋体" w:hAnsi="宋体" w:eastAsia="宋体" w:cs="宋体"/>
          <w:lang w:val="en-US" w:eastAsia="zh-CN"/>
        </w:rPr>
      </w:pPr>
      <w:r>
        <w:rPr>
          <w:rFonts w:hint="default" w:ascii="宋体" w:hAnsi="宋体" w:eastAsia="宋体" w:cs="宋体"/>
          <w:lang w:val="en-US" w:eastAsia="zh-CN"/>
        </w:rPr>
        <w:t>作业人员在地面上先将钢丝绳一端挂在</w:t>
      </w:r>
      <w:r>
        <w:rPr>
          <w:rFonts w:hint="eastAsia" w:ascii="宋体" w:hAnsi="宋体" w:eastAsia="宋体" w:cs="宋体"/>
          <w:lang w:val="en-US" w:eastAsia="zh-CN"/>
        </w:rPr>
        <w:t>汽车吊</w:t>
      </w:r>
      <w:r>
        <w:rPr>
          <w:rFonts w:hint="default" w:ascii="宋体" w:hAnsi="宋体" w:eastAsia="宋体" w:cs="宋体"/>
          <w:lang w:val="en-US" w:eastAsia="zh-CN"/>
        </w:rPr>
        <w:t>吊钩上，另一端与卸扣连接，启动</w:t>
      </w:r>
      <w:r>
        <w:rPr>
          <w:rFonts w:hint="eastAsia" w:ascii="宋体" w:hAnsi="宋体" w:eastAsia="宋体" w:cs="宋体"/>
          <w:lang w:val="en-US" w:eastAsia="zh-CN"/>
        </w:rPr>
        <w:t>汽车吊</w:t>
      </w:r>
      <w:r>
        <w:rPr>
          <w:rFonts w:hint="default" w:ascii="宋体" w:hAnsi="宋体" w:eastAsia="宋体" w:cs="宋体"/>
          <w:lang w:val="en-US" w:eastAsia="zh-CN"/>
        </w:rPr>
        <w:t>，将卸扣缓慢提升至</w:t>
      </w:r>
      <w:r>
        <w:rPr>
          <w:rFonts w:hint="eastAsia" w:ascii="宋体" w:hAnsi="宋体" w:eastAsia="宋体" w:cs="宋体"/>
          <w:lang w:val="en-US" w:eastAsia="zh-CN"/>
        </w:rPr>
        <w:t>基础节</w:t>
      </w:r>
      <w:r>
        <w:rPr>
          <w:rFonts w:hint="default" w:ascii="宋体" w:hAnsi="宋体" w:eastAsia="宋体" w:cs="宋体"/>
          <w:lang w:val="en-US" w:eastAsia="zh-CN"/>
        </w:rPr>
        <w:t>上方，作业人员通过爬梯爬至</w:t>
      </w:r>
      <w:r>
        <w:rPr>
          <w:rFonts w:hint="eastAsia" w:ascii="宋体" w:hAnsi="宋体" w:eastAsia="宋体" w:cs="宋体"/>
          <w:lang w:val="en-US" w:eastAsia="zh-CN"/>
        </w:rPr>
        <w:t>基础节</w:t>
      </w:r>
      <w:r>
        <w:rPr>
          <w:rFonts w:hint="default" w:ascii="宋体" w:hAnsi="宋体" w:eastAsia="宋体" w:cs="宋体"/>
          <w:lang w:val="en-US" w:eastAsia="zh-CN"/>
        </w:rPr>
        <w:t>顶部，将安全带系挂在</w:t>
      </w:r>
      <w:r>
        <w:rPr>
          <w:rFonts w:hint="eastAsia" w:ascii="宋体" w:hAnsi="宋体" w:eastAsia="宋体" w:cs="宋体"/>
          <w:lang w:val="en-US" w:eastAsia="zh-CN"/>
        </w:rPr>
        <w:t>基础节</w:t>
      </w:r>
      <w:r>
        <w:rPr>
          <w:rFonts w:hint="default" w:ascii="宋体" w:hAnsi="宋体" w:eastAsia="宋体" w:cs="宋体"/>
          <w:lang w:val="en-US" w:eastAsia="zh-CN"/>
        </w:rPr>
        <w:t>顶部。</w:t>
      </w:r>
      <w:r>
        <w:rPr>
          <w:rFonts w:hint="eastAsia" w:ascii="宋体" w:hAnsi="宋体" w:eastAsia="宋体" w:cs="宋体"/>
          <w:lang w:val="en-US" w:eastAsia="zh-CN"/>
        </w:rPr>
        <w:t>汽车吊</w:t>
      </w:r>
      <w:r>
        <w:rPr>
          <w:rFonts w:hint="default" w:ascii="宋体" w:hAnsi="宋体" w:eastAsia="宋体" w:cs="宋体"/>
          <w:lang w:val="en-US" w:eastAsia="zh-CN"/>
        </w:rPr>
        <w:t>放松吊钩，作业人员将卸扣与</w:t>
      </w:r>
      <w:r>
        <w:rPr>
          <w:rFonts w:hint="eastAsia" w:ascii="宋体" w:hAnsi="宋体" w:eastAsia="宋体" w:cs="宋体"/>
          <w:lang w:val="en-US" w:eastAsia="zh-CN"/>
        </w:rPr>
        <w:t>基础节</w:t>
      </w:r>
      <w:r>
        <w:rPr>
          <w:rFonts w:hint="default" w:ascii="宋体" w:hAnsi="宋体" w:eastAsia="宋体" w:cs="宋体"/>
          <w:lang w:val="en-US" w:eastAsia="zh-CN"/>
        </w:rPr>
        <w:t>连接，同时在</w:t>
      </w:r>
      <w:r>
        <w:rPr>
          <w:rFonts w:hint="eastAsia" w:ascii="宋体" w:hAnsi="宋体" w:eastAsia="宋体" w:cs="宋体"/>
          <w:lang w:val="en-US" w:eastAsia="zh-CN"/>
        </w:rPr>
        <w:t>基础节</w:t>
      </w:r>
      <w:r>
        <w:rPr>
          <w:rFonts w:hint="default" w:ascii="宋体" w:hAnsi="宋体" w:eastAsia="宋体" w:cs="宋体"/>
          <w:lang w:val="en-US" w:eastAsia="zh-CN"/>
        </w:rPr>
        <w:t>杆件上栓好2根溜绳，作业人员解除安全带，</w:t>
      </w:r>
      <w:r>
        <w:rPr>
          <w:rFonts w:hint="eastAsia" w:ascii="宋体" w:hAnsi="宋体" w:eastAsia="宋体" w:cs="宋体"/>
          <w:lang w:val="en-US" w:eastAsia="zh-CN"/>
        </w:rPr>
        <w:t>返回地面。</w:t>
      </w:r>
      <w:r>
        <w:rPr>
          <w:rFonts w:hint="default" w:ascii="宋体" w:hAnsi="宋体" w:eastAsia="宋体" w:cs="宋体"/>
          <w:lang w:val="en-US" w:eastAsia="zh-CN"/>
        </w:rPr>
        <w:t>解除</w:t>
      </w:r>
      <w:r>
        <w:rPr>
          <w:rFonts w:hint="eastAsia" w:ascii="宋体" w:hAnsi="宋体" w:eastAsia="宋体" w:cs="宋体"/>
          <w:lang w:val="en-US" w:eastAsia="zh-CN"/>
        </w:rPr>
        <w:t>基础节</w:t>
      </w:r>
      <w:r>
        <w:rPr>
          <w:rFonts w:hint="default" w:ascii="宋体" w:hAnsi="宋体" w:eastAsia="宋体" w:cs="宋体"/>
          <w:lang w:val="en-US" w:eastAsia="zh-CN"/>
        </w:rPr>
        <w:t>与</w:t>
      </w:r>
      <w:r>
        <w:rPr>
          <w:rFonts w:hint="eastAsia" w:ascii="宋体" w:hAnsi="宋体" w:eastAsia="宋体" w:cs="宋体"/>
          <w:lang w:val="en-US" w:eastAsia="zh-CN"/>
        </w:rPr>
        <w:t>基础塔吊</w:t>
      </w:r>
      <w:r>
        <w:rPr>
          <w:rFonts w:hint="default" w:ascii="宋体" w:hAnsi="宋体" w:eastAsia="宋体" w:cs="宋体"/>
          <w:lang w:val="en-US" w:eastAsia="zh-CN"/>
        </w:rPr>
        <w:t>之间的约束。</w:t>
      </w:r>
      <w:r>
        <w:rPr>
          <w:rFonts w:hint="eastAsia" w:ascii="宋体" w:hAnsi="宋体" w:eastAsia="宋体" w:cs="宋体"/>
          <w:lang w:val="en-US" w:eastAsia="zh-CN"/>
        </w:rPr>
        <w:t>汽车吊</w:t>
      </w:r>
      <w:r>
        <w:rPr>
          <w:rFonts w:hint="default" w:ascii="宋体" w:hAnsi="宋体" w:eastAsia="宋体" w:cs="宋体"/>
          <w:lang w:val="en-US" w:eastAsia="zh-CN"/>
        </w:rPr>
        <w:t>起升吊钩，将</w:t>
      </w:r>
      <w:r>
        <w:rPr>
          <w:rFonts w:hint="eastAsia" w:ascii="宋体" w:hAnsi="宋体" w:eastAsia="宋体" w:cs="宋体"/>
          <w:lang w:val="en-US" w:eastAsia="zh-CN"/>
        </w:rPr>
        <w:t>基础节</w:t>
      </w:r>
      <w:r>
        <w:rPr>
          <w:rFonts w:hint="default" w:ascii="宋体" w:hAnsi="宋体" w:eastAsia="宋体" w:cs="宋体"/>
          <w:lang w:val="en-US" w:eastAsia="zh-CN"/>
        </w:rPr>
        <w:t>提升一定安全高度后，再将</w:t>
      </w:r>
      <w:r>
        <w:rPr>
          <w:rFonts w:hint="eastAsia" w:ascii="宋体" w:hAnsi="宋体" w:eastAsia="宋体" w:cs="宋体"/>
          <w:lang w:val="en-US" w:eastAsia="zh-CN"/>
        </w:rPr>
        <w:t>基础节</w:t>
      </w:r>
      <w:r>
        <w:rPr>
          <w:rFonts w:hint="default" w:ascii="宋体" w:hAnsi="宋体" w:eastAsia="宋体" w:cs="宋体"/>
          <w:lang w:val="en-US" w:eastAsia="zh-CN"/>
        </w:rPr>
        <w:t>下放至地面，作业人员在地面上解除卸扣与</w:t>
      </w:r>
      <w:r>
        <w:rPr>
          <w:rFonts w:hint="eastAsia" w:ascii="宋体" w:hAnsi="宋体" w:eastAsia="宋体" w:cs="宋体"/>
          <w:lang w:val="en-US" w:eastAsia="zh-CN"/>
        </w:rPr>
        <w:t>基础节</w:t>
      </w:r>
      <w:r>
        <w:rPr>
          <w:rFonts w:hint="default" w:ascii="宋体" w:hAnsi="宋体" w:eastAsia="宋体" w:cs="宋体"/>
          <w:lang w:val="en-US" w:eastAsia="zh-CN"/>
        </w:rPr>
        <w:t>的连接。</w:t>
      </w:r>
    </w:p>
    <w:p w14:paraId="3A5EC961">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20" w:firstLineChars="0"/>
        <w:jc w:val="left"/>
        <w:rPr>
          <w:rFonts w:hint="eastAsia" w:ascii="宋体" w:hAnsi="宋体" w:eastAsia="宋体" w:cs="宋体"/>
          <w:lang w:val="en-US" w:eastAsia="zh-CN"/>
        </w:rPr>
      </w:pPr>
      <w:r>
        <w:rPr>
          <w:rFonts w:hint="eastAsia" w:ascii="宋体" w:hAnsi="宋体" w:eastAsia="宋体" w:cs="宋体"/>
          <w:lang w:val="en-US" w:eastAsia="zh-CN"/>
        </w:rPr>
        <w:t>塔式起重机基础节拆除时设置警戒区，起吊安排专人负责指挥，专人操作，严禁无关人员进入起重作业范围内。</w:t>
      </w:r>
    </w:p>
    <w:p w14:paraId="3CBB5736">
      <w:pPr>
        <w:numPr>
          <w:ilvl w:val="2"/>
          <w:numId w:val="6"/>
        </w:numPr>
        <w:bidi w:val="0"/>
        <w:ind w:left="709" w:leftChars="0" w:hanging="709" w:firstLineChars="0"/>
        <w:rPr>
          <w:rFonts w:hint="eastAsia"/>
          <w:lang w:val="en-US" w:eastAsia="zh-CN"/>
        </w:rPr>
      </w:pPr>
      <w:bookmarkStart w:id="159" w:name="_Toc30871"/>
      <w:bookmarkEnd w:id="159"/>
      <w:bookmarkStart w:id="160" w:name="_Toc22585"/>
      <w:bookmarkEnd w:id="160"/>
      <w:bookmarkStart w:id="161" w:name="_Toc26854"/>
      <w:bookmarkEnd w:id="161"/>
      <w:bookmarkStart w:id="162" w:name="_Toc794"/>
      <w:bookmarkEnd w:id="162"/>
      <w:bookmarkStart w:id="163" w:name="_Toc27989"/>
      <w:r>
        <w:rPr>
          <w:rFonts w:hint="eastAsia"/>
          <w:lang w:val="en-US" w:eastAsia="zh-CN"/>
        </w:rPr>
        <w:t>塔机拆除注意事项</w:t>
      </w:r>
      <w:bookmarkEnd w:id="163"/>
    </w:p>
    <w:p w14:paraId="5F5B9AF0">
      <w:pPr>
        <w:keepNext w:val="0"/>
        <w:keepLines w:val="0"/>
        <w:pageBreakBefore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1）拆卸作业前，总负责人应组织全体拆卸人员学习安全技术措施，进行技术交底落实每项工作。</w:t>
      </w:r>
    </w:p>
    <w:p w14:paraId="5084EB51">
      <w:pPr>
        <w:keepNext w:val="0"/>
        <w:keepLines w:val="0"/>
        <w:pageBreakBefore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2）拆卸作业人员职责分工明确，坚守岗位，必须全神贯注地投入工作，并观察塔机上部下降动态，做到遇情况立即停机检查，故障未排除不得继续拆卸。</w:t>
      </w:r>
    </w:p>
    <w:p w14:paraId="7AA5E45D">
      <w:pPr>
        <w:keepNext w:val="0"/>
        <w:keepLines w:val="0"/>
        <w:pageBreakBefore w:val="0"/>
        <w:kinsoku/>
        <w:wordWrap/>
        <w:overflowPunct/>
        <w:topLinePunct w:val="0"/>
        <w:autoSpaceDE/>
        <w:autoSpaceDN/>
        <w:bidi w:val="0"/>
        <w:snapToGrid/>
        <w:spacing w:beforeAutospacing="0" w:afterAutospacing="0" w:line="360" w:lineRule="auto"/>
        <w:ind w:firstLine="480" w:firstLineChars="200"/>
        <w:outlineLvl w:val="9"/>
        <w:rPr>
          <w:rFonts w:hint="eastAsia" w:ascii="宋体" w:hAnsi="宋体" w:eastAsia="宋体" w:cs="宋体"/>
          <w:color w:val="auto"/>
          <w:kern w:val="0"/>
          <w:sz w:val="24"/>
          <w:szCs w:val="24"/>
          <w:lang w:val="en-US" w:eastAsia="zh-CN" w:bidi="ar"/>
        </w:rPr>
      </w:pPr>
      <w:bookmarkStart w:id="164" w:name="_Toc14223"/>
      <w:r>
        <w:rPr>
          <w:rFonts w:hint="eastAsia" w:ascii="宋体" w:hAnsi="宋体" w:eastAsia="宋体" w:cs="宋体"/>
          <w:color w:val="auto"/>
          <w:lang w:val="en-US" w:eastAsia="zh-CN"/>
        </w:rPr>
        <w:t>3）高空作业人员必须系好安全带，着防滑鞋，戴安全帽。</w:t>
      </w:r>
      <w:bookmarkEnd w:id="164"/>
    </w:p>
    <w:p w14:paraId="167B8FE9">
      <w:pPr>
        <w:keepNext w:val="0"/>
        <w:keepLines w:val="0"/>
        <w:pageBreakBefore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4）塔机在拆前的试运转过程中，应有目的地对各安全装置、各制动器等进行认真检查，确保灵敏可靠。</w:t>
      </w:r>
    </w:p>
    <w:p w14:paraId="0C20DA8B">
      <w:pPr>
        <w:keepNext w:val="0"/>
        <w:keepLines w:val="0"/>
        <w:pageBreakBefore w:val="0"/>
        <w:kinsoku/>
        <w:wordWrap/>
        <w:overflowPunct/>
        <w:topLinePunct w:val="0"/>
        <w:autoSpaceDE/>
        <w:autoSpaceDN/>
        <w:bidi w:val="0"/>
        <w:snapToGrid/>
        <w:spacing w:beforeAutospacing="0" w:afterAutospacing="0" w:line="360" w:lineRule="auto"/>
        <w:ind w:firstLine="480" w:firstLineChars="200"/>
        <w:outlineLvl w:val="9"/>
        <w:rPr>
          <w:rFonts w:hint="eastAsia" w:ascii="宋体" w:hAnsi="宋体" w:eastAsia="宋体" w:cs="宋体"/>
          <w:color w:val="auto"/>
          <w:kern w:val="0"/>
          <w:sz w:val="24"/>
          <w:szCs w:val="24"/>
          <w:lang w:val="en-US" w:eastAsia="zh-CN" w:bidi="ar"/>
        </w:rPr>
      </w:pPr>
      <w:bookmarkStart w:id="165" w:name="_Toc28658"/>
      <w:r>
        <w:rPr>
          <w:rFonts w:hint="eastAsia" w:ascii="宋体" w:hAnsi="宋体" w:eastAsia="宋体" w:cs="宋体"/>
          <w:color w:val="auto"/>
          <w:kern w:val="0"/>
          <w:sz w:val="24"/>
          <w:szCs w:val="24"/>
          <w:lang w:val="en-US" w:eastAsia="zh-CN" w:bidi="ar"/>
        </w:rPr>
        <w:t>5）拆卸进行前，应将起重臂回转至爬升架引进标准节一侧。</w:t>
      </w:r>
      <w:bookmarkEnd w:id="165"/>
    </w:p>
    <w:p w14:paraId="51B8C13A">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6）对于拆卸的部件，如起重臂、平衡臂等必须遵守规章，以防止当拆卸某一部件时，其余部分有失去平衡的危险。 </w:t>
      </w:r>
    </w:p>
    <w:p w14:paraId="610937C7">
      <w:pPr>
        <w:keepNext w:val="0"/>
        <w:keepLines w:val="0"/>
        <w:pageBreakBefore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rPr>
      </w:pPr>
      <w:r>
        <w:rPr>
          <w:rFonts w:hint="eastAsia" w:ascii="宋体" w:hAnsi="宋体" w:eastAsia="宋体" w:cs="宋体"/>
          <w:color w:val="auto"/>
          <w:lang w:val="en-US" w:eastAsia="zh-CN"/>
        </w:rPr>
        <w:t>7）对主要受力的结构件应检查金属疲劳、焊缝裂纹、结构变形等情况，检查塔机各零部件是否有损坏或碰伤等。</w:t>
      </w:r>
    </w:p>
    <w:p w14:paraId="5DC4E6A0">
      <w:pPr>
        <w:keepNext w:val="0"/>
        <w:keepLines w:val="0"/>
        <w:pageBreakBefore w:val="0"/>
        <w:suppressLineNumbers w:val="0"/>
        <w:kinsoku/>
        <w:wordWrap/>
        <w:overflowPunct/>
        <w:topLinePunct w:val="0"/>
        <w:autoSpaceDE/>
        <w:autoSpaceDN/>
        <w:bidi w:val="0"/>
        <w:snapToGrid/>
        <w:spacing w:beforeAutospacing="0" w:afterAutospacing="0" w:line="360" w:lineRule="auto"/>
        <w:ind w:firstLine="480" w:firstLineChars="200"/>
        <w:jc w:val="left"/>
        <w:rPr>
          <w:rFonts w:hint="eastAsia" w:ascii="宋体" w:hAnsi="宋体" w:eastAsia="宋体" w:cs="宋体"/>
          <w:color w:val="auto"/>
          <w:lang w:val="en-US" w:eastAsia="zh-CN"/>
        </w:rPr>
      </w:pPr>
      <w:r>
        <w:rPr>
          <w:rFonts w:hint="eastAsia" w:ascii="宋体" w:hAnsi="宋体" w:eastAsia="宋体" w:cs="宋体"/>
          <w:color w:val="auto"/>
          <w:kern w:val="0"/>
          <w:sz w:val="24"/>
          <w:szCs w:val="24"/>
          <w:lang w:val="en-US" w:eastAsia="zh-CN" w:bidi="ar"/>
        </w:rPr>
        <w:t xml:space="preserve">8）在拆塔过程中，吊运钢丝绳的选择要合理，物件捆绑必须牢固。 </w:t>
      </w:r>
    </w:p>
    <w:p w14:paraId="4FB8CE69">
      <w:pPr>
        <w:keepNext w:val="0"/>
        <w:keepLines w:val="0"/>
        <w:pageBreakBefore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rPr>
      </w:pPr>
      <w:r>
        <w:rPr>
          <w:rFonts w:hint="eastAsia" w:ascii="宋体" w:hAnsi="宋体" w:eastAsia="宋体" w:cs="宋体"/>
          <w:color w:val="auto"/>
          <w:lang w:val="en-US" w:eastAsia="zh-CN"/>
        </w:rPr>
        <w:t>9）在塔机标准节已拆出，但下支座与塔身还没有用销轴连接好之前，严禁使用回转机构、牵引机构和起升机构。</w:t>
      </w:r>
    </w:p>
    <w:p w14:paraId="7F51D69C">
      <w:pPr>
        <w:keepNext w:val="0"/>
        <w:keepLines w:val="0"/>
        <w:pageBreakBefore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rPr>
      </w:pPr>
      <w:r>
        <w:rPr>
          <w:rFonts w:hint="eastAsia" w:ascii="宋体" w:hAnsi="宋体" w:eastAsia="宋体" w:cs="宋体"/>
          <w:color w:val="auto"/>
          <w:lang w:val="en-US" w:eastAsia="zh-CN"/>
        </w:rPr>
        <w:t>10）</w:t>
      </w:r>
      <w:r>
        <w:rPr>
          <w:rFonts w:hint="eastAsia" w:ascii="宋体" w:hAnsi="宋体" w:eastAsia="宋体" w:cs="宋体"/>
          <w:color w:val="auto"/>
        </w:rPr>
        <w:t>拆卸时最高处风速应低于</w:t>
      </w:r>
      <w:r>
        <w:rPr>
          <w:rFonts w:hint="eastAsia" w:ascii="宋体" w:hAnsi="宋体" w:cs="宋体"/>
          <w:color w:val="auto"/>
          <w:highlight w:val="none"/>
          <w:lang w:val="en-US" w:eastAsia="zh-CN"/>
        </w:rPr>
        <w:t>12</w:t>
      </w:r>
      <w:r>
        <w:rPr>
          <w:rFonts w:hint="eastAsia" w:ascii="宋体" w:hAnsi="宋体" w:eastAsia="宋体" w:cs="宋体"/>
          <w:color w:val="auto"/>
        </w:rPr>
        <w:t>m/s。</w:t>
      </w:r>
    </w:p>
    <w:p w14:paraId="3B639ABB">
      <w:pPr>
        <w:keepNext w:val="0"/>
        <w:keepLines w:val="0"/>
        <w:pageBreakBefore w:val="0"/>
        <w:kinsoku/>
        <w:wordWrap/>
        <w:overflowPunct/>
        <w:topLinePunct w:val="0"/>
        <w:autoSpaceDE/>
        <w:autoSpaceDN/>
        <w:bidi w:val="0"/>
        <w:snapToGrid/>
        <w:spacing w:beforeAutospacing="0" w:afterAutospacing="0" w:line="360" w:lineRule="auto"/>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11）塔身拆卸未降到规定高度，不得先拆附墙装置。</w:t>
      </w:r>
    </w:p>
    <w:p w14:paraId="1B6C5428">
      <w:pPr>
        <w:pStyle w:val="5"/>
        <w:pageBreakBefore w:val="0"/>
        <w:numPr>
          <w:ilvl w:val="1"/>
          <w:numId w:val="6"/>
        </w:numPr>
        <w:kinsoku/>
        <w:wordWrap/>
        <w:overflowPunct/>
        <w:topLinePunct w:val="0"/>
        <w:bidi w:val="0"/>
        <w:spacing w:line="360" w:lineRule="auto"/>
        <w:ind w:left="567" w:leftChars="0" w:hanging="567" w:firstLineChars="0"/>
        <w:rPr>
          <w:rFonts w:hint="eastAsia" w:ascii="Times New Roman" w:hAnsi="Times New Roman" w:cs="Times New Roman"/>
          <w:color w:val="auto"/>
          <w:sz w:val="24"/>
          <w:szCs w:val="24"/>
          <w:lang w:val="en-US" w:eastAsia="zh-CN"/>
        </w:rPr>
      </w:pPr>
      <w:bookmarkStart w:id="166" w:name="_Toc26797"/>
      <w:bookmarkEnd w:id="166"/>
      <w:bookmarkStart w:id="167" w:name="_Toc24123"/>
      <w:bookmarkEnd w:id="167"/>
      <w:bookmarkStart w:id="168" w:name="_Toc18814"/>
      <w:bookmarkEnd w:id="168"/>
      <w:bookmarkStart w:id="169" w:name="_Toc27578"/>
      <w:bookmarkEnd w:id="169"/>
      <w:bookmarkStart w:id="170" w:name="_Toc4803"/>
      <w:bookmarkStart w:id="171" w:name="_Toc30334"/>
      <w:r>
        <w:rPr>
          <w:rFonts w:hint="eastAsia" w:ascii="Times New Roman" w:hAnsi="Times New Roman" w:cs="Times New Roman"/>
          <w:color w:val="auto"/>
          <w:sz w:val="24"/>
          <w:szCs w:val="24"/>
          <w:lang w:val="en-US" w:eastAsia="zh-CN"/>
        </w:rPr>
        <w:t>塔机拆除后注意</w:t>
      </w:r>
      <w:bookmarkEnd w:id="170"/>
      <w:bookmarkEnd w:id="171"/>
    </w:p>
    <w:bookmarkEnd w:id="134"/>
    <w:bookmarkEnd w:id="135"/>
    <w:p w14:paraId="41DE346F">
      <w:pPr>
        <w:keepNext w:val="0"/>
        <w:keepLines w:val="0"/>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lang w:val="en-US" w:eastAsia="zh-CN"/>
        </w:rPr>
      </w:pPr>
      <w:r>
        <w:rPr>
          <w:rFonts w:hint="eastAsia" w:ascii="宋体" w:hAnsi="宋体" w:eastAsia="宋体" w:cs="宋体"/>
          <w:b w:val="0"/>
          <w:bCs w:val="0"/>
          <w:color w:val="auto"/>
          <w:kern w:val="0"/>
          <w:sz w:val="24"/>
          <w:szCs w:val="24"/>
          <w:lang w:bidi="ar"/>
        </w:rPr>
        <w:t>塔机拆卸后由工程技术人员和专业维修人员进行检查。对主要受力的结构件应检查金属疲劳、焊缝裂纹、结构变形等情况，检查塔机各零部件是否有损坏或碰伤等。检查完毕后，对缺陷、隐患进行修复后，再进行防锈、刷漆处理。当有《塔式起重机安全规程（GB5144-94）》所列的状况时应报废。</w:t>
      </w:r>
      <w:bookmarkStart w:id="172" w:name="_Toc25993"/>
      <w:bookmarkEnd w:id="172"/>
      <w:bookmarkStart w:id="173" w:name="_Toc9703"/>
      <w:bookmarkEnd w:id="173"/>
      <w:bookmarkStart w:id="174" w:name="_Toc8096"/>
      <w:bookmarkEnd w:id="174"/>
      <w:bookmarkStart w:id="175" w:name="_Toc13819"/>
      <w:bookmarkEnd w:id="175"/>
      <w:bookmarkStart w:id="176" w:name="_Toc14791"/>
      <w:bookmarkEnd w:id="176"/>
      <w:bookmarkStart w:id="177" w:name="_Toc25094"/>
      <w:bookmarkEnd w:id="177"/>
      <w:bookmarkStart w:id="178" w:name="_Toc25259"/>
      <w:bookmarkEnd w:id="178"/>
    </w:p>
    <w:p w14:paraId="15EE298B">
      <w:pPr>
        <w:rPr>
          <w:rFonts w:cs="Times New Roman"/>
        </w:rPr>
      </w:pPr>
      <w:r>
        <w:rPr>
          <w:rFonts w:cs="Times New Roman"/>
        </w:rPr>
        <w:br w:type="page"/>
      </w:r>
    </w:p>
    <w:p w14:paraId="02CC26F1">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179" w:name="_Toc6548"/>
      <w:r>
        <w:rPr>
          <w:rFonts w:cs="Times New Roman"/>
        </w:rPr>
        <w:t>重大危险源和安全技术措施</w:t>
      </w:r>
      <w:bookmarkEnd w:id="179"/>
    </w:p>
    <w:p w14:paraId="1C78E980">
      <w:pPr>
        <w:pStyle w:val="5"/>
        <w:numPr>
          <w:ilvl w:val="0"/>
          <w:numId w:val="45"/>
        </w:numPr>
        <w:ind w:left="425" w:leftChars="0" w:hanging="425" w:firstLineChars="0"/>
        <w:rPr>
          <w:rFonts w:cs="Times New Roman"/>
          <w:highlight w:val="none"/>
        </w:rPr>
      </w:pPr>
      <w:bookmarkStart w:id="180" w:name="_Toc25537"/>
      <w:bookmarkStart w:id="181" w:name="_Toc29268"/>
      <w:r>
        <w:rPr>
          <w:rFonts w:hint="eastAsia" w:cs="Times New Roman"/>
          <w:highlight w:val="none"/>
          <w:lang w:val="en-US" w:eastAsia="zh-CN"/>
        </w:rPr>
        <w:t>风险源辨识及分析</w:t>
      </w:r>
      <w:bookmarkEnd w:id="180"/>
    </w:p>
    <w:p w14:paraId="128A3BE6">
      <w:pPr>
        <w:pStyle w:val="6"/>
        <w:numPr>
          <w:ilvl w:val="0"/>
          <w:numId w:val="46"/>
        </w:numPr>
        <w:tabs>
          <w:tab w:val="left" w:pos="0"/>
        </w:tabs>
        <w:ind w:left="425" w:leftChars="0" w:hanging="425" w:firstLineChars="0"/>
        <w:rPr>
          <w:highlight w:val="yellow"/>
        </w:rPr>
      </w:pPr>
      <w:r>
        <w:rPr>
          <w:highlight w:val="yellow"/>
        </w:rPr>
        <w:t>LEC辨识方法简介</w:t>
      </w:r>
    </w:p>
    <w:p w14:paraId="24AD789C">
      <w:pPr>
        <w:ind w:firstLine="480"/>
        <w:rPr>
          <w:highlight w:val="yellow"/>
        </w:rPr>
      </w:pPr>
      <w:r>
        <w:rPr>
          <w:rFonts w:hint="eastAsia"/>
          <w:highlight w:val="yellow"/>
        </w:rPr>
        <w:t>本项目施工风险评估采用“作业条件危险性评价法（LEC）”，其考虑的风险因素有三个：发生事故或危险事件的可能性，危险作业出现频率和事故的后果。主要是评估人员根据实际经验，对评估对象的现状情况进行分析，然后根据公式计算其风险分数值，再按经验将风险分数值划分风险程度等级表。</w:t>
      </w:r>
    </w:p>
    <w:p w14:paraId="30F5363D">
      <w:pPr>
        <w:ind w:firstLine="480"/>
        <w:rPr>
          <w:highlight w:val="yellow"/>
        </w:rPr>
      </w:pPr>
      <w:r>
        <w:rPr>
          <w:rFonts w:hint="eastAsia"/>
          <w:highlight w:val="yellow"/>
        </w:rPr>
        <w:t>“作业条件危险性评价法（LEC）”事故风险大小计算公式为：D=L×E×C</w:t>
      </w:r>
    </w:p>
    <w:p w14:paraId="0AE0C86C">
      <w:pPr>
        <w:ind w:firstLine="480"/>
        <w:rPr>
          <w:highlight w:val="yellow"/>
        </w:rPr>
      </w:pPr>
      <w:r>
        <w:rPr>
          <w:rFonts w:hint="eastAsia"/>
          <w:highlight w:val="yellow"/>
        </w:rPr>
        <w:t>式中：D——事故风险大小</w:t>
      </w:r>
    </w:p>
    <w:p w14:paraId="5E5EFA5B">
      <w:pPr>
        <w:ind w:firstLine="1200" w:firstLineChars="500"/>
        <w:rPr>
          <w:highlight w:val="yellow"/>
        </w:rPr>
      </w:pPr>
      <w:r>
        <w:rPr>
          <w:rFonts w:hint="eastAsia"/>
          <w:highlight w:val="yellow"/>
        </w:rPr>
        <w:t>L——事故发生的可能性</w:t>
      </w:r>
    </w:p>
    <w:p w14:paraId="5FC541C5">
      <w:pPr>
        <w:ind w:firstLine="1200" w:firstLineChars="500"/>
        <w:rPr>
          <w:highlight w:val="yellow"/>
        </w:rPr>
      </w:pPr>
      <w:r>
        <w:rPr>
          <w:rFonts w:hint="eastAsia"/>
          <w:highlight w:val="yellow"/>
        </w:rPr>
        <w:t>E——暴露于风险环境的频率</w:t>
      </w:r>
    </w:p>
    <w:p w14:paraId="71EF8D7C">
      <w:pPr>
        <w:ind w:firstLine="1200" w:firstLineChars="500"/>
        <w:rPr>
          <w:highlight w:val="yellow"/>
        </w:rPr>
      </w:pPr>
      <w:r>
        <w:rPr>
          <w:rFonts w:hint="eastAsia"/>
          <w:highlight w:val="yellow"/>
        </w:rPr>
        <w:t>C——发生事故的可能后果</w:t>
      </w:r>
    </w:p>
    <w:p w14:paraId="7B9675D3">
      <w:pPr>
        <w:ind w:firstLine="480"/>
        <w:rPr>
          <w:highlight w:val="yellow"/>
        </w:rPr>
      </w:pPr>
      <w:r>
        <w:rPr>
          <w:highlight w:val="yellow"/>
        </w:rPr>
        <w:t>根据公式</w:t>
      </w:r>
      <w:r>
        <w:rPr>
          <w:rFonts w:hint="eastAsia"/>
          <w:highlight w:val="yellow"/>
        </w:rPr>
        <w:t>D=L×E×C</w:t>
      </w:r>
      <w:r>
        <w:rPr>
          <w:highlight w:val="yellow"/>
        </w:rPr>
        <w:t>，求出风险值D。</w:t>
      </w:r>
      <w:r>
        <w:rPr>
          <w:rFonts w:hint="eastAsia"/>
          <w:highlight w:val="yellow"/>
        </w:rPr>
        <w:t>按照该方法风险等级划分原则，</w:t>
      </w:r>
      <w:r>
        <w:rPr>
          <w:highlight w:val="yellow"/>
        </w:rPr>
        <w:t>规定D值在</w:t>
      </w:r>
      <w:r>
        <w:rPr>
          <w:rFonts w:hint="eastAsia"/>
          <w:highlight w:val="yellow"/>
        </w:rPr>
        <w:t>70</w:t>
      </w:r>
      <w:r>
        <w:rPr>
          <w:highlight w:val="yellow"/>
        </w:rPr>
        <w:t>以下时为</w:t>
      </w:r>
      <w:r>
        <w:rPr>
          <w:rFonts w:hint="eastAsia"/>
          <w:highlight w:val="yellow"/>
        </w:rPr>
        <w:t>Ⅰ</w:t>
      </w:r>
      <w:r>
        <w:rPr>
          <w:highlight w:val="yellow"/>
        </w:rPr>
        <w:t>级风险；在70~160之间为</w:t>
      </w:r>
      <w:r>
        <w:rPr>
          <w:rFonts w:hint="eastAsia"/>
          <w:highlight w:val="yellow"/>
        </w:rPr>
        <w:t>Ⅱ</w:t>
      </w:r>
      <w:r>
        <w:rPr>
          <w:highlight w:val="yellow"/>
        </w:rPr>
        <w:t>级风险；在160~320之间为</w:t>
      </w:r>
      <w:r>
        <w:rPr>
          <w:rFonts w:hint="eastAsia"/>
          <w:highlight w:val="yellow"/>
        </w:rPr>
        <w:t>Ⅲ</w:t>
      </w:r>
      <w:r>
        <w:rPr>
          <w:highlight w:val="yellow"/>
        </w:rPr>
        <w:t>级风险；D值大于320时为</w:t>
      </w:r>
      <w:r>
        <w:rPr>
          <w:rFonts w:hint="eastAsia"/>
          <w:highlight w:val="yellow"/>
        </w:rPr>
        <w:t>Ⅳ</w:t>
      </w:r>
      <w:r>
        <w:rPr>
          <w:highlight w:val="yellow"/>
        </w:rPr>
        <w:t>级风险。风险等级划分见</w:t>
      </w:r>
      <w:r>
        <w:rPr>
          <w:rFonts w:hint="eastAsia"/>
          <w:highlight w:val="yellow"/>
        </w:rPr>
        <w:t>下表</w:t>
      </w:r>
      <w:r>
        <w:rPr>
          <w:highlight w:val="yellow"/>
        </w:rPr>
        <w:t>。</w:t>
      </w:r>
    </w:p>
    <w:p w14:paraId="10C44365">
      <w:pPr>
        <w:ind w:firstLine="480" w:firstLineChars="0"/>
        <w:jc w:val="center"/>
        <w:rPr>
          <w:rFonts w:cstheme="majorBidi"/>
          <w:b/>
          <w:sz w:val="21"/>
          <w:szCs w:val="20"/>
          <w:highlight w:val="yellow"/>
        </w:rPr>
      </w:pPr>
      <w:bookmarkStart w:id="182" w:name="_Ref59526525"/>
      <w:r>
        <w:rPr>
          <w:rFonts w:hint="eastAsia" w:cstheme="majorBidi"/>
          <w:b/>
          <w:sz w:val="21"/>
          <w:szCs w:val="20"/>
          <w:highlight w:val="yellow"/>
        </w:rPr>
        <w:t>表</w:t>
      </w:r>
      <w:r>
        <w:rPr>
          <w:rFonts w:cstheme="majorBidi"/>
          <w:b/>
          <w:sz w:val="21"/>
          <w:szCs w:val="20"/>
          <w:highlight w:val="yellow"/>
        </w:rPr>
        <w:fldChar w:fldCharType="begin"/>
      </w:r>
      <w:r>
        <w:rPr>
          <w:rFonts w:cstheme="majorBidi"/>
          <w:b/>
          <w:sz w:val="21"/>
          <w:szCs w:val="20"/>
          <w:highlight w:val="yellow"/>
        </w:rPr>
        <w:instrText xml:space="preserve"> </w:instrText>
      </w:r>
      <w:r>
        <w:rPr>
          <w:rFonts w:hint="eastAsia" w:cstheme="majorBidi"/>
          <w:b/>
          <w:sz w:val="21"/>
          <w:szCs w:val="20"/>
          <w:highlight w:val="yellow"/>
        </w:rPr>
        <w:instrText xml:space="preserve">STYLEREF 2 \s</w:instrText>
      </w:r>
      <w:r>
        <w:rPr>
          <w:rFonts w:cstheme="majorBidi"/>
          <w:b/>
          <w:sz w:val="21"/>
          <w:szCs w:val="20"/>
          <w:highlight w:val="yellow"/>
        </w:rPr>
        <w:instrText xml:space="preserve"> </w:instrText>
      </w:r>
      <w:r>
        <w:rPr>
          <w:rFonts w:cstheme="majorBidi"/>
          <w:b/>
          <w:sz w:val="21"/>
          <w:szCs w:val="20"/>
          <w:highlight w:val="yellow"/>
        </w:rPr>
        <w:fldChar w:fldCharType="separate"/>
      </w:r>
      <w:r>
        <w:rPr>
          <w:rFonts w:hint="eastAsia" w:cstheme="majorBidi"/>
          <w:b/>
          <w:sz w:val="21"/>
          <w:szCs w:val="20"/>
          <w:highlight w:val="yellow"/>
          <w:lang w:val="en-US" w:eastAsia="zh-CN"/>
        </w:rPr>
        <w:t>10</w:t>
      </w:r>
      <w:r>
        <w:rPr>
          <w:rFonts w:hint="eastAsia" w:cstheme="majorBidi"/>
          <w:b/>
          <w:sz w:val="21"/>
          <w:szCs w:val="20"/>
          <w:highlight w:val="yellow"/>
        </w:rPr>
        <w:t>.1</w:t>
      </w:r>
      <w:r>
        <w:rPr>
          <w:rFonts w:cstheme="majorBidi"/>
          <w:b/>
          <w:sz w:val="21"/>
          <w:szCs w:val="20"/>
          <w:highlight w:val="yellow"/>
        </w:rPr>
        <w:fldChar w:fldCharType="end"/>
      </w:r>
      <w:r>
        <w:rPr>
          <w:rFonts w:cstheme="majorBidi"/>
          <w:b/>
          <w:sz w:val="21"/>
          <w:szCs w:val="20"/>
          <w:highlight w:val="yellow"/>
        </w:rPr>
        <w:t>.1</w:t>
      </w:r>
      <w:r>
        <w:rPr>
          <w:rFonts w:cstheme="majorBidi"/>
          <w:b/>
          <w:sz w:val="21"/>
          <w:szCs w:val="20"/>
          <w:highlight w:val="yellow"/>
        </w:rPr>
        <w:noBreakHyphen/>
      </w:r>
      <w:bookmarkEnd w:id="182"/>
      <w:r>
        <w:rPr>
          <w:rFonts w:hint="eastAsia" w:cstheme="majorBidi"/>
          <w:b/>
          <w:sz w:val="21"/>
          <w:szCs w:val="20"/>
          <w:highlight w:val="yellow"/>
        </w:rPr>
        <w:t>1</w:t>
      </w:r>
      <w:r>
        <w:rPr>
          <w:rFonts w:cstheme="majorBidi"/>
          <w:b/>
          <w:sz w:val="21"/>
          <w:szCs w:val="20"/>
          <w:highlight w:val="yellow"/>
        </w:rPr>
        <w:t xml:space="preserve"> </w:t>
      </w:r>
      <w:r>
        <w:rPr>
          <w:rFonts w:hint="eastAsia" w:cstheme="majorBidi"/>
          <w:b/>
          <w:sz w:val="21"/>
          <w:szCs w:val="20"/>
          <w:highlight w:val="yellow"/>
        </w:rPr>
        <w:t>LEC法评估结果分级</w:t>
      </w:r>
    </w:p>
    <w:tbl>
      <w:tblPr>
        <w:tblStyle w:val="8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2268"/>
        <w:gridCol w:w="4535"/>
      </w:tblGrid>
      <w:tr w14:paraId="7B3C8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701" w:type="dxa"/>
            <w:vAlign w:val="center"/>
          </w:tcPr>
          <w:p w14:paraId="70B2A77F">
            <w:pPr>
              <w:spacing w:line="240" w:lineRule="auto"/>
              <w:ind w:firstLine="0" w:firstLineChars="0"/>
              <w:jc w:val="center"/>
              <w:rPr>
                <w:rFonts w:cs="宋体"/>
                <w:b/>
                <w:bCs/>
                <w:kern w:val="0"/>
                <w:sz w:val="21"/>
                <w:highlight w:val="yellow"/>
              </w:rPr>
            </w:pPr>
            <w:r>
              <w:rPr>
                <w:rFonts w:cs="宋体"/>
                <w:b/>
                <w:bCs/>
                <w:kern w:val="0"/>
                <w:sz w:val="21"/>
                <w:highlight w:val="yellow"/>
              </w:rPr>
              <w:t>风险等级</w:t>
            </w:r>
          </w:p>
        </w:tc>
        <w:tc>
          <w:tcPr>
            <w:tcW w:w="2268" w:type="dxa"/>
            <w:vAlign w:val="center"/>
          </w:tcPr>
          <w:p w14:paraId="68634BBB">
            <w:pPr>
              <w:spacing w:line="240" w:lineRule="auto"/>
              <w:ind w:firstLine="0" w:firstLineChars="0"/>
              <w:jc w:val="center"/>
              <w:rPr>
                <w:rFonts w:cs="宋体"/>
                <w:b/>
                <w:bCs/>
                <w:kern w:val="0"/>
                <w:sz w:val="21"/>
                <w:highlight w:val="yellow"/>
              </w:rPr>
            </w:pPr>
            <w:r>
              <w:rPr>
                <w:rFonts w:cs="宋体"/>
                <w:b/>
                <w:bCs/>
                <w:kern w:val="0"/>
                <w:sz w:val="21"/>
                <w:highlight w:val="yellow"/>
              </w:rPr>
              <w:t>D值</w:t>
            </w:r>
          </w:p>
        </w:tc>
        <w:tc>
          <w:tcPr>
            <w:tcW w:w="4535" w:type="dxa"/>
            <w:vAlign w:val="center"/>
          </w:tcPr>
          <w:p w14:paraId="02E2FA70">
            <w:pPr>
              <w:spacing w:line="240" w:lineRule="auto"/>
              <w:ind w:firstLine="0" w:firstLineChars="0"/>
              <w:jc w:val="center"/>
              <w:rPr>
                <w:rFonts w:cs="宋体"/>
                <w:b/>
                <w:bCs/>
                <w:kern w:val="0"/>
                <w:sz w:val="21"/>
                <w:highlight w:val="yellow"/>
              </w:rPr>
            </w:pPr>
            <w:r>
              <w:rPr>
                <w:rFonts w:hint="eastAsia" w:cs="宋体"/>
                <w:b/>
                <w:bCs/>
                <w:kern w:val="0"/>
                <w:sz w:val="21"/>
                <w:highlight w:val="yellow"/>
              </w:rPr>
              <w:t>风险</w:t>
            </w:r>
            <w:r>
              <w:rPr>
                <w:rFonts w:cs="宋体"/>
                <w:b/>
                <w:bCs/>
                <w:kern w:val="0"/>
                <w:sz w:val="21"/>
                <w:highlight w:val="yellow"/>
              </w:rPr>
              <w:t>程度</w:t>
            </w:r>
          </w:p>
        </w:tc>
      </w:tr>
      <w:tr w14:paraId="23C932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2D124C2C">
            <w:pPr>
              <w:spacing w:line="240" w:lineRule="auto"/>
              <w:ind w:firstLine="0" w:firstLineChars="0"/>
              <w:jc w:val="center"/>
              <w:rPr>
                <w:highlight w:val="yellow"/>
              </w:rPr>
            </w:pPr>
            <w:r>
              <w:rPr>
                <w:rFonts w:hint="eastAsia"/>
                <w:highlight w:val="yellow"/>
              </w:rPr>
              <w:t>Ⅳ</w:t>
            </w:r>
          </w:p>
        </w:tc>
        <w:tc>
          <w:tcPr>
            <w:tcW w:w="2268" w:type="dxa"/>
            <w:vAlign w:val="center"/>
          </w:tcPr>
          <w:p w14:paraId="25668751">
            <w:pPr>
              <w:spacing w:line="240" w:lineRule="auto"/>
              <w:ind w:firstLine="0" w:firstLineChars="0"/>
              <w:jc w:val="center"/>
              <w:rPr>
                <w:rFonts w:cs="宋体"/>
                <w:kern w:val="0"/>
                <w:sz w:val="21"/>
                <w:highlight w:val="yellow"/>
              </w:rPr>
            </w:pPr>
            <w:r>
              <w:rPr>
                <w:rFonts w:hint="eastAsia" w:cs="宋体"/>
                <w:kern w:val="0"/>
                <w:sz w:val="21"/>
                <w:highlight w:val="yellow"/>
              </w:rPr>
              <w:t>D</w:t>
            </w:r>
            <w:r>
              <w:rPr>
                <w:rFonts w:cs="宋体"/>
                <w:kern w:val="0"/>
                <w:sz w:val="21"/>
                <w:highlight w:val="yellow"/>
              </w:rPr>
              <w:t>＞320</w:t>
            </w:r>
          </w:p>
        </w:tc>
        <w:tc>
          <w:tcPr>
            <w:tcW w:w="4535" w:type="dxa"/>
            <w:vAlign w:val="center"/>
          </w:tcPr>
          <w:p w14:paraId="680E5139">
            <w:pPr>
              <w:spacing w:line="240" w:lineRule="auto"/>
              <w:ind w:firstLine="0" w:firstLineChars="0"/>
              <w:jc w:val="center"/>
              <w:rPr>
                <w:rFonts w:cs="宋体"/>
                <w:kern w:val="0"/>
                <w:sz w:val="21"/>
                <w:highlight w:val="yellow"/>
              </w:rPr>
            </w:pPr>
            <w:r>
              <w:rPr>
                <w:rFonts w:hint="eastAsia" w:cs="宋体"/>
                <w:kern w:val="0"/>
                <w:sz w:val="21"/>
                <w:highlight w:val="yellow"/>
              </w:rPr>
              <w:t>重大风险</w:t>
            </w:r>
          </w:p>
        </w:tc>
      </w:tr>
      <w:tr w14:paraId="0CFDA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0366E710">
            <w:pPr>
              <w:spacing w:line="240" w:lineRule="auto"/>
              <w:ind w:firstLine="0" w:firstLineChars="0"/>
              <w:jc w:val="center"/>
              <w:rPr>
                <w:highlight w:val="yellow"/>
              </w:rPr>
            </w:pPr>
            <w:r>
              <w:rPr>
                <w:rFonts w:hint="eastAsia"/>
                <w:highlight w:val="yellow"/>
              </w:rPr>
              <w:t>Ⅲ</w:t>
            </w:r>
          </w:p>
        </w:tc>
        <w:tc>
          <w:tcPr>
            <w:tcW w:w="2268" w:type="dxa"/>
            <w:vAlign w:val="center"/>
          </w:tcPr>
          <w:p w14:paraId="1DD13A78">
            <w:pPr>
              <w:spacing w:line="240" w:lineRule="auto"/>
              <w:ind w:firstLine="0" w:firstLineChars="0"/>
              <w:jc w:val="center"/>
              <w:rPr>
                <w:rFonts w:cs="宋体"/>
                <w:kern w:val="0"/>
                <w:sz w:val="21"/>
                <w:highlight w:val="yellow"/>
              </w:rPr>
            </w:pPr>
            <w:r>
              <w:rPr>
                <w:rFonts w:hint="eastAsia" w:cs="宋体"/>
                <w:kern w:val="0"/>
                <w:sz w:val="21"/>
                <w:highlight w:val="yellow"/>
              </w:rPr>
              <w:t>160&lt;D≤320</w:t>
            </w:r>
          </w:p>
        </w:tc>
        <w:tc>
          <w:tcPr>
            <w:tcW w:w="4535" w:type="dxa"/>
            <w:vAlign w:val="center"/>
          </w:tcPr>
          <w:p w14:paraId="0B63EA7C">
            <w:pPr>
              <w:spacing w:line="240" w:lineRule="auto"/>
              <w:ind w:firstLine="0" w:firstLineChars="0"/>
              <w:jc w:val="center"/>
              <w:rPr>
                <w:rFonts w:cs="宋体"/>
                <w:kern w:val="0"/>
                <w:sz w:val="21"/>
                <w:highlight w:val="yellow"/>
              </w:rPr>
            </w:pPr>
            <w:r>
              <w:rPr>
                <w:rFonts w:hint="eastAsia" w:cs="宋体"/>
                <w:kern w:val="0"/>
                <w:sz w:val="21"/>
                <w:highlight w:val="yellow"/>
              </w:rPr>
              <w:t>较大风险</w:t>
            </w:r>
          </w:p>
        </w:tc>
      </w:tr>
      <w:tr w14:paraId="6D918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7264CC8D">
            <w:pPr>
              <w:spacing w:line="240" w:lineRule="auto"/>
              <w:ind w:firstLine="0" w:firstLineChars="0"/>
              <w:jc w:val="center"/>
              <w:rPr>
                <w:highlight w:val="yellow"/>
              </w:rPr>
            </w:pPr>
            <w:r>
              <w:rPr>
                <w:rFonts w:hint="eastAsia"/>
                <w:highlight w:val="yellow"/>
              </w:rPr>
              <w:t>Ⅱ</w:t>
            </w:r>
          </w:p>
        </w:tc>
        <w:tc>
          <w:tcPr>
            <w:tcW w:w="2268" w:type="dxa"/>
            <w:vAlign w:val="center"/>
          </w:tcPr>
          <w:p w14:paraId="050F96B3">
            <w:pPr>
              <w:spacing w:line="240" w:lineRule="auto"/>
              <w:ind w:firstLine="0" w:firstLineChars="0"/>
              <w:jc w:val="center"/>
              <w:rPr>
                <w:rFonts w:cs="宋体"/>
                <w:kern w:val="0"/>
                <w:sz w:val="21"/>
                <w:highlight w:val="yellow"/>
              </w:rPr>
            </w:pPr>
            <w:r>
              <w:rPr>
                <w:rFonts w:hint="eastAsia" w:cs="宋体"/>
                <w:kern w:val="0"/>
                <w:sz w:val="21"/>
                <w:highlight w:val="yellow"/>
              </w:rPr>
              <w:t>70&lt;D≤160</w:t>
            </w:r>
          </w:p>
        </w:tc>
        <w:tc>
          <w:tcPr>
            <w:tcW w:w="4535" w:type="dxa"/>
            <w:vAlign w:val="center"/>
          </w:tcPr>
          <w:p w14:paraId="22A5EF08">
            <w:pPr>
              <w:spacing w:line="240" w:lineRule="auto"/>
              <w:ind w:firstLine="0" w:firstLineChars="0"/>
              <w:jc w:val="center"/>
              <w:rPr>
                <w:rFonts w:cs="宋体"/>
                <w:kern w:val="0"/>
                <w:sz w:val="21"/>
                <w:highlight w:val="yellow"/>
              </w:rPr>
            </w:pPr>
            <w:r>
              <w:rPr>
                <w:rFonts w:hint="eastAsia" w:cs="宋体"/>
                <w:kern w:val="0"/>
                <w:sz w:val="21"/>
                <w:highlight w:val="yellow"/>
              </w:rPr>
              <w:t>一般风险</w:t>
            </w:r>
          </w:p>
        </w:tc>
      </w:tr>
      <w:tr w14:paraId="501CB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62E91159">
            <w:pPr>
              <w:spacing w:line="240" w:lineRule="auto"/>
              <w:ind w:firstLine="0" w:firstLineChars="0"/>
              <w:jc w:val="center"/>
              <w:rPr>
                <w:highlight w:val="yellow"/>
              </w:rPr>
            </w:pPr>
            <w:r>
              <w:rPr>
                <w:rFonts w:hint="eastAsia"/>
                <w:highlight w:val="yellow"/>
              </w:rPr>
              <w:t>Ⅰ</w:t>
            </w:r>
          </w:p>
        </w:tc>
        <w:tc>
          <w:tcPr>
            <w:tcW w:w="2268" w:type="dxa"/>
            <w:vAlign w:val="center"/>
          </w:tcPr>
          <w:p w14:paraId="4F9F3C53">
            <w:pPr>
              <w:spacing w:line="240" w:lineRule="auto"/>
              <w:ind w:firstLine="0" w:firstLineChars="0"/>
              <w:jc w:val="center"/>
              <w:rPr>
                <w:rFonts w:cs="宋体"/>
                <w:kern w:val="0"/>
                <w:sz w:val="21"/>
                <w:highlight w:val="yellow"/>
              </w:rPr>
            </w:pPr>
            <w:r>
              <w:rPr>
                <w:rFonts w:hint="eastAsia" w:cs="宋体"/>
                <w:kern w:val="0"/>
                <w:sz w:val="21"/>
                <w:highlight w:val="yellow"/>
              </w:rPr>
              <w:t>D≤</w:t>
            </w:r>
            <w:r>
              <w:rPr>
                <w:rFonts w:cs="宋体"/>
                <w:kern w:val="0"/>
                <w:sz w:val="21"/>
                <w:highlight w:val="yellow"/>
              </w:rPr>
              <w:t>70</w:t>
            </w:r>
          </w:p>
        </w:tc>
        <w:tc>
          <w:tcPr>
            <w:tcW w:w="4535" w:type="dxa"/>
            <w:vAlign w:val="center"/>
          </w:tcPr>
          <w:p w14:paraId="7D448390">
            <w:pPr>
              <w:spacing w:line="240" w:lineRule="auto"/>
              <w:ind w:firstLine="0" w:firstLineChars="0"/>
              <w:jc w:val="center"/>
              <w:rPr>
                <w:rFonts w:cs="宋体"/>
                <w:kern w:val="0"/>
                <w:sz w:val="21"/>
                <w:highlight w:val="yellow"/>
              </w:rPr>
            </w:pPr>
            <w:r>
              <w:rPr>
                <w:rFonts w:hint="eastAsia" w:cs="宋体"/>
                <w:kern w:val="0"/>
                <w:sz w:val="21"/>
                <w:highlight w:val="yellow"/>
              </w:rPr>
              <w:t>较小风险</w:t>
            </w:r>
          </w:p>
        </w:tc>
      </w:tr>
    </w:tbl>
    <w:p w14:paraId="316A45AF">
      <w:pPr>
        <w:ind w:firstLine="480"/>
        <w:rPr>
          <w:highlight w:val="yellow"/>
        </w:rPr>
      </w:pPr>
      <w:r>
        <w:rPr>
          <w:rFonts w:hint="eastAsia"/>
          <w:highlight w:val="yellow"/>
        </w:rPr>
        <w:t>风险程度说明和分级管控要求：</w:t>
      </w:r>
    </w:p>
    <w:p w14:paraId="57071000">
      <w:pPr>
        <w:ind w:firstLine="480"/>
        <w:rPr>
          <w:highlight w:val="yellow"/>
        </w:rPr>
      </w:pPr>
      <w:r>
        <w:rPr>
          <w:rFonts w:hint="eastAsia"/>
          <w:highlight w:val="yellow"/>
        </w:rPr>
        <w:t>Ⅰ级：较小风险，发生风险事件概率、危害程度均为小，或者风险事件概率为中、危害程度为小，或者风险事件概率为小、危害程度为中；由班组管控；</w:t>
      </w:r>
    </w:p>
    <w:p w14:paraId="75482066">
      <w:pPr>
        <w:ind w:firstLine="480"/>
        <w:rPr>
          <w:highlight w:val="yellow"/>
        </w:rPr>
      </w:pPr>
      <w:r>
        <w:rPr>
          <w:rFonts w:hint="eastAsia"/>
          <w:highlight w:val="yellow"/>
        </w:rPr>
        <w:t>Ⅱ级：一般</w:t>
      </w:r>
      <w:r>
        <w:rPr>
          <w:rFonts w:hint="eastAsia" w:asciiTheme="minorHAnsi" w:eastAsiaTheme="minorEastAsia"/>
          <w:highlight w:val="yellow"/>
        </w:rPr>
        <w:t>风险</w:t>
      </w:r>
      <w:r>
        <w:rPr>
          <w:rFonts w:hint="eastAsia"/>
          <w:highlight w:val="yellow"/>
        </w:rPr>
        <w:t>，发生风险事件概率、危害程度均为中，或者风险事件概率为大、危害程度为小，或者风险事件概率为小、危害程度为大；由项目部管控；</w:t>
      </w:r>
    </w:p>
    <w:p w14:paraId="3D3460E1">
      <w:pPr>
        <w:ind w:firstLine="480"/>
        <w:rPr>
          <w:highlight w:val="yellow"/>
        </w:rPr>
      </w:pPr>
      <w:r>
        <w:rPr>
          <w:rFonts w:hint="eastAsia"/>
          <w:highlight w:val="yellow"/>
        </w:rPr>
        <w:t>Ⅲ级：较大风险，发生风险事件概率为大、危害程度为中，或危害程度为大、发生风险事件概率为中；由分子公司组织项目部共同管控，分子公司重点监督检查；</w:t>
      </w:r>
    </w:p>
    <w:p w14:paraId="203A718C">
      <w:pPr>
        <w:ind w:firstLine="480"/>
        <w:rPr>
          <w:highlight w:val="yellow"/>
        </w:rPr>
      </w:pPr>
      <w:r>
        <w:rPr>
          <w:rFonts w:hint="eastAsia"/>
          <w:highlight w:val="yellow"/>
        </w:rPr>
        <w:t>Ⅳ级：重大风险，发生风险事件概率、危害程度均为大；由公司组织分子公司、项目部共同管控，公司重点监督检查。</w:t>
      </w:r>
    </w:p>
    <w:p w14:paraId="17058C8E">
      <w:pPr>
        <w:pStyle w:val="6"/>
        <w:numPr>
          <w:ilvl w:val="0"/>
          <w:numId w:val="46"/>
        </w:numPr>
        <w:tabs>
          <w:tab w:val="left" w:pos="0"/>
        </w:tabs>
        <w:ind w:left="425" w:leftChars="0" w:hanging="425" w:firstLineChars="0"/>
        <w:rPr>
          <w:highlight w:val="yellow"/>
        </w:rPr>
      </w:pPr>
      <w:r>
        <w:rPr>
          <w:rFonts w:hint="eastAsia"/>
          <w:highlight w:val="yellow"/>
        </w:rPr>
        <w:t>风险源</w:t>
      </w:r>
      <w:r>
        <w:rPr>
          <w:highlight w:val="yellow"/>
        </w:rPr>
        <w:t>辨识与评价</w:t>
      </w:r>
    </w:p>
    <w:p w14:paraId="629CF3A4">
      <w:pPr>
        <w:ind w:firstLine="480"/>
        <w:rPr>
          <w:highlight w:val="yellow"/>
        </w:rPr>
      </w:pPr>
      <w:r>
        <w:rPr>
          <w:rFonts w:hint="eastAsia"/>
          <w:highlight w:val="yellow"/>
        </w:rPr>
        <w:t>危险有害因素辨识及评价一览表</w:t>
      </w:r>
      <w:r>
        <w:rPr>
          <w:highlight w:val="yellow"/>
        </w:rPr>
        <w:t>见表</w:t>
      </w:r>
      <w:r>
        <w:rPr>
          <w:rFonts w:hint="eastAsia"/>
          <w:highlight w:val="yellow"/>
          <w:lang w:val="en-US" w:eastAsia="zh-CN"/>
        </w:rPr>
        <w:t>10</w:t>
      </w:r>
      <w:r>
        <w:rPr>
          <w:highlight w:val="yellow"/>
        </w:rPr>
        <w:t>.1.2-1所示。</w:t>
      </w:r>
    </w:p>
    <w:p w14:paraId="5D72CCDE">
      <w:pPr>
        <w:spacing w:line="240" w:lineRule="auto"/>
        <w:ind w:firstLine="482" w:firstLineChars="0"/>
        <w:jc w:val="center"/>
        <w:rPr>
          <w:b/>
          <w:bCs/>
          <w:sz w:val="21"/>
          <w:highlight w:val="yellow"/>
        </w:rPr>
      </w:pPr>
      <w:r>
        <w:rPr>
          <w:b/>
          <w:bCs/>
          <w:sz w:val="21"/>
          <w:highlight w:val="yellow"/>
        </w:rPr>
        <w:t>表</w:t>
      </w:r>
      <w:r>
        <w:rPr>
          <w:rFonts w:hint="eastAsia"/>
          <w:b/>
          <w:bCs/>
          <w:sz w:val="21"/>
          <w:highlight w:val="yellow"/>
          <w:lang w:val="en-US" w:eastAsia="zh-CN"/>
        </w:rPr>
        <w:t>10</w:t>
      </w:r>
      <w:r>
        <w:rPr>
          <w:b/>
          <w:bCs/>
          <w:sz w:val="21"/>
          <w:highlight w:val="yellow"/>
        </w:rPr>
        <w:t>.1.2-1</w:t>
      </w:r>
      <w:r>
        <w:rPr>
          <w:rFonts w:hint="eastAsia"/>
          <w:b/>
          <w:bCs/>
          <w:sz w:val="21"/>
          <w:highlight w:val="yellow"/>
        </w:rPr>
        <w:t>危险有害因素辨识及评价一览表</w:t>
      </w:r>
    </w:p>
    <w:tbl>
      <w:tblPr>
        <w:tblStyle w:val="33"/>
        <w:tblW w:w="89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995"/>
        <w:gridCol w:w="3604"/>
        <w:gridCol w:w="1149"/>
        <w:gridCol w:w="550"/>
        <w:gridCol w:w="540"/>
        <w:gridCol w:w="540"/>
        <w:gridCol w:w="590"/>
        <w:gridCol w:w="560"/>
      </w:tblGrid>
      <w:tr w14:paraId="5F9A1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restart"/>
            <w:tcBorders>
              <w:tl2br w:val="nil"/>
              <w:tr2bl w:val="nil"/>
            </w:tcBorders>
            <w:vAlign w:val="center"/>
          </w:tcPr>
          <w:p w14:paraId="61AFDAA7">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bookmarkStart w:id="183" w:name="_Hlk114688103"/>
            <w:r>
              <w:rPr>
                <w:rFonts w:hint="eastAsia" w:ascii="宋体" w:hAnsi="宋体" w:cs="宋体"/>
                <w:b/>
                <w:bCs/>
                <w:color w:val="000000" w:themeColor="text1"/>
                <w:sz w:val="21"/>
                <w:highlight w:val="yellow"/>
                <w14:textFill>
                  <w14:solidFill>
                    <w14:schemeClr w14:val="tx1"/>
                  </w14:solidFill>
                </w14:textFill>
              </w:rPr>
              <w:t>序号</w:t>
            </w:r>
          </w:p>
        </w:tc>
        <w:tc>
          <w:tcPr>
            <w:tcW w:w="995" w:type="dxa"/>
            <w:vMerge w:val="restart"/>
            <w:tcBorders>
              <w:tl2br w:val="nil"/>
              <w:tr2bl w:val="nil"/>
            </w:tcBorders>
            <w:vAlign w:val="center"/>
          </w:tcPr>
          <w:p w14:paraId="0095DE14">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活动</w:t>
            </w:r>
          </w:p>
          <w:p w14:paraId="72ED7714">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内容</w:t>
            </w:r>
          </w:p>
        </w:tc>
        <w:tc>
          <w:tcPr>
            <w:tcW w:w="3604" w:type="dxa"/>
            <w:vMerge w:val="restart"/>
            <w:tcBorders>
              <w:tl2br w:val="nil"/>
              <w:tr2bl w:val="nil"/>
            </w:tcBorders>
            <w:vAlign w:val="center"/>
          </w:tcPr>
          <w:p w14:paraId="2955DF73">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危害因素</w:t>
            </w:r>
          </w:p>
        </w:tc>
        <w:tc>
          <w:tcPr>
            <w:tcW w:w="1149" w:type="dxa"/>
            <w:vMerge w:val="restart"/>
            <w:tcBorders>
              <w:tl2br w:val="nil"/>
              <w:tr2bl w:val="nil"/>
            </w:tcBorders>
            <w:vAlign w:val="center"/>
          </w:tcPr>
          <w:p w14:paraId="7E01EFB2">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潜在事故</w:t>
            </w:r>
          </w:p>
          <w:p w14:paraId="2F7C2286">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类型</w:t>
            </w:r>
          </w:p>
        </w:tc>
        <w:tc>
          <w:tcPr>
            <w:tcW w:w="2220" w:type="dxa"/>
            <w:gridSpan w:val="4"/>
            <w:tcBorders>
              <w:tl2br w:val="nil"/>
              <w:tr2bl w:val="nil"/>
            </w:tcBorders>
            <w:vAlign w:val="center"/>
          </w:tcPr>
          <w:p w14:paraId="27E3E22A">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kern w:val="0"/>
                <w:sz w:val="21"/>
                <w:highlight w:val="yellow"/>
              </w:rPr>
              <w:t>危险有害因素评价</w:t>
            </w:r>
          </w:p>
        </w:tc>
        <w:tc>
          <w:tcPr>
            <w:tcW w:w="560" w:type="dxa"/>
            <w:vMerge w:val="restart"/>
            <w:tcBorders>
              <w:tl2br w:val="nil"/>
              <w:tr2bl w:val="nil"/>
            </w:tcBorders>
            <w:vAlign w:val="center"/>
          </w:tcPr>
          <w:p w14:paraId="04A6B42A">
            <w:pPr>
              <w:widowControl/>
              <w:spacing w:line="240" w:lineRule="auto"/>
              <w:ind w:firstLine="0" w:firstLineChars="0"/>
              <w:jc w:val="center"/>
              <w:textAlignment w:val="center"/>
              <w:rPr>
                <w:rFonts w:ascii="宋体" w:hAnsi="宋体" w:cs="宋体"/>
                <w:b/>
                <w:kern w:val="0"/>
                <w:sz w:val="21"/>
                <w:highlight w:val="yellow"/>
                <w:lang w:bidi="ar"/>
              </w:rPr>
            </w:pPr>
            <w:r>
              <w:rPr>
                <w:rFonts w:hint="eastAsia" w:ascii="宋体" w:hAnsi="宋体" w:cs="宋体"/>
                <w:b/>
                <w:kern w:val="0"/>
                <w:sz w:val="21"/>
                <w:highlight w:val="yellow"/>
                <w:lang w:bidi="ar"/>
              </w:rPr>
              <w:t>风险</w:t>
            </w:r>
          </w:p>
          <w:p w14:paraId="3083F9FD">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级别</w:t>
            </w:r>
          </w:p>
        </w:tc>
      </w:tr>
      <w:tr w14:paraId="30B02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334D42C8">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3B8BEF0C">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c>
          <w:tcPr>
            <w:tcW w:w="3604" w:type="dxa"/>
            <w:vMerge w:val="continue"/>
            <w:tcBorders>
              <w:tl2br w:val="nil"/>
              <w:tr2bl w:val="nil"/>
            </w:tcBorders>
            <w:vAlign w:val="center"/>
          </w:tcPr>
          <w:p w14:paraId="6E979CAE">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c>
          <w:tcPr>
            <w:tcW w:w="1149" w:type="dxa"/>
            <w:vMerge w:val="continue"/>
            <w:tcBorders>
              <w:tl2br w:val="nil"/>
              <w:tr2bl w:val="nil"/>
            </w:tcBorders>
            <w:vAlign w:val="center"/>
          </w:tcPr>
          <w:p w14:paraId="7C1940C1">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c>
          <w:tcPr>
            <w:tcW w:w="2220" w:type="dxa"/>
            <w:gridSpan w:val="4"/>
            <w:tcBorders>
              <w:tl2br w:val="nil"/>
              <w:tr2bl w:val="nil"/>
            </w:tcBorders>
            <w:vAlign w:val="center"/>
          </w:tcPr>
          <w:p w14:paraId="57DE1BBF">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D＝LEC</w:t>
            </w:r>
          </w:p>
        </w:tc>
        <w:tc>
          <w:tcPr>
            <w:tcW w:w="560" w:type="dxa"/>
            <w:vMerge w:val="continue"/>
            <w:tcBorders>
              <w:tl2br w:val="nil"/>
              <w:tr2bl w:val="nil"/>
            </w:tcBorders>
            <w:vAlign w:val="center"/>
          </w:tcPr>
          <w:p w14:paraId="0B556052">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r>
      <w:tr w14:paraId="78AEC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7358D079">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289D2342">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c>
          <w:tcPr>
            <w:tcW w:w="3604" w:type="dxa"/>
            <w:vMerge w:val="continue"/>
            <w:tcBorders>
              <w:tl2br w:val="nil"/>
              <w:tr2bl w:val="nil"/>
            </w:tcBorders>
            <w:vAlign w:val="center"/>
          </w:tcPr>
          <w:p w14:paraId="48429221">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c>
          <w:tcPr>
            <w:tcW w:w="1149" w:type="dxa"/>
            <w:vMerge w:val="continue"/>
            <w:tcBorders>
              <w:tl2br w:val="nil"/>
              <w:tr2bl w:val="nil"/>
            </w:tcBorders>
            <w:vAlign w:val="center"/>
          </w:tcPr>
          <w:p w14:paraId="23B5262A">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c>
          <w:tcPr>
            <w:tcW w:w="550" w:type="dxa"/>
            <w:tcBorders>
              <w:tl2br w:val="nil"/>
              <w:tr2bl w:val="nil"/>
            </w:tcBorders>
            <w:vAlign w:val="center"/>
          </w:tcPr>
          <w:p w14:paraId="1FDBBDA7">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L</w:t>
            </w:r>
          </w:p>
        </w:tc>
        <w:tc>
          <w:tcPr>
            <w:tcW w:w="540" w:type="dxa"/>
            <w:tcBorders>
              <w:tl2br w:val="nil"/>
              <w:tr2bl w:val="nil"/>
            </w:tcBorders>
            <w:vAlign w:val="center"/>
          </w:tcPr>
          <w:p w14:paraId="4DEA7CE7">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E</w:t>
            </w:r>
          </w:p>
        </w:tc>
        <w:tc>
          <w:tcPr>
            <w:tcW w:w="540" w:type="dxa"/>
            <w:tcBorders>
              <w:tl2br w:val="nil"/>
              <w:tr2bl w:val="nil"/>
            </w:tcBorders>
            <w:vAlign w:val="center"/>
          </w:tcPr>
          <w:p w14:paraId="7D315DA6">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C</w:t>
            </w:r>
          </w:p>
        </w:tc>
        <w:tc>
          <w:tcPr>
            <w:tcW w:w="590" w:type="dxa"/>
            <w:tcBorders>
              <w:tl2br w:val="nil"/>
              <w:tr2bl w:val="nil"/>
            </w:tcBorders>
            <w:vAlign w:val="center"/>
          </w:tcPr>
          <w:p w14:paraId="59E88667">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r>
              <w:rPr>
                <w:rFonts w:hint="eastAsia" w:ascii="宋体" w:hAnsi="宋体" w:cs="宋体"/>
                <w:b/>
                <w:bCs/>
                <w:color w:val="000000" w:themeColor="text1"/>
                <w:sz w:val="21"/>
                <w:highlight w:val="yellow"/>
                <w14:textFill>
                  <w14:solidFill>
                    <w14:schemeClr w14:val="tx1"/>
                  </w14:solidFill>
                </w14:textFill>
              </w:rPr>
              <w:t>D</w:t>
            </w:r>
          </w:p>
        </w:tc>
        <w:tc>
          <w:tcPr>
            <w:tcW w:w="560" w:type="dxa"/>
            <w:vMerge w:val="continue"/>
            <w:tcBorders>
              <w:tl2br w:val="nil"/>
              <w:tr2bl w:val="nil"/>
            </w:tcBorders>
            <w:vAlign w:val="center"/>
          </w:tcPr>
          <w:p w14:paraId="33516537">
            <w:pPr>
              <w:spacing w:line="280" w:lineRule="exact"/>
              <w:ind w:firstLine="0" w:firstLineChars="0"/>
              <w:jc w:val="center"/>
              <w:rPr>
                <w:rFonts w:ascii="宋体" w:hAnsi="宋体" w:cs="宋体"/>
                <w:b/>
                <w:bCs/>
                <w:color w:val="000000" w:themeColor="text1"/>
                <w:sz w:val="21"/>
                <w:highlight w:val="yellow"/>
                <w14:textFill>
                  <w14:solidFill>
                    <w14:schemeClr w14:val="tx1"/>
                  </w14:solidFill>
                </w14:textFill>
              </w:rPr>
            </w:pPr>
          </w:p>
        </w:tc>
      </w:tr>
      <w:tr w14:paraId="41D93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028C89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4477E6D9">
            <w:pPr>
              <w:spacing w:line="27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安装前准备</w:t>
            </w:r>
          </w:p>
        </w:tc>
        <w:tc>
          <w:tcPr>
            <w:tcW w:w="3604" w:type="dxa"/>
            <w:tcBorders>
              <w:tl2br w:val="nil"/>
              <w:tr2bl w:val="nil"/>
            </w:tcBorders>
            <w:vAlign w:val="center"/>
          </w:tcPr>
          <w:p w14:paraId="63F2C95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设备安装前没有进行全面的检查，并确认合格。</w:t>
            </w:r>
          </w:p>
        </w:tc>
        <w:tc>
          <w:tcPr>
            <w:tcW w:w="1149" w:type="dxa"/>
            <w:tcBorders>
              <w:tl2br w:val="nil"/>
              <w:tr2bl w:val="nil"/>
            </w:tcBorders>
            <w:vAlign w:val="center"/>
          </w:tcPr>
          <w:p w14:paraId="6DD6E0FB">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035F712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0.5</w:t>
            </w:r>
          </w:p>
        </w:tc>
        <w:tc>
          <w:tcPr>
            <w:tcW w:w="540" w:type="dxa"/>
            <w:tcBorders>
              <w:tl2br w:val="nil"/>
              <w:tr2bl w:val="nil"/>
            </w:tcBorders>
            <w:vAlign w:val="center"/>
          </w:tcPr>
          <w:p w14:paraId="66EC28E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50C003B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2CAF72E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20</w:t>
            </w:r>
          </w:p>
        </w:tc>
        <w:tc>
          <w:tcPr>
            <w:tcW w:w="560" w:type="dxa"/>
            <w:tcBorders>
              <w:tl2br w:val="nil"/>
              <w:tr2bl w:val="nil"/>
            </w:tcBorders>
            <w:vAlign w:val="center"/>
          </w:tcPr>
          <w:p w14:paraId="43E545A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7DA92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D096DF0">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8D3C5CC">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44C9C37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安装前没有对基础进行验收。基础周围没有排水设施、积水未及时清理。影响施工的地下地面管线未改迁。</w:t>
            </w:r>
          </w:p>
        </w:tc>
        <w:tc>
          <w:tcPr>
            <w:tcW w:w="1149" w:type="dxa"/>
            <w:tcBorders>
              <w:tl2br w:val="nil"/>
              <w:tr2bl w:val="nil"/>
            </w:tcBorders>
            <w:vAlign w:val="center"/>
          </w:tcPr>
          <w:p w14:paraId="2BF37577">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坍塌</w:t>
            </w:r>
          </w:p>
        </w:tc>
        <w:tc>
          <w:tcPr>
            <w:tcW w:w="550" w:type="dxa"/>
            <w:tcBorders>
              <w:tl2br w:val="nil"/>
              <w:tr2bl w:val="nil"/>
            </w:tcBorders>
            <w:vAlign w:val="center"/>
          </w:tcPr>
          <w:p w14:paraId="6115259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02ED90B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37D7F5A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1E62AE0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120</w:t>
            </w:r>
          </w:p>
        </w:tc>
        <w:tc>
          <w:tcPr>
            <w:tcW w:w="560" w:type="dxa"/>
            <w:tcBorders>
              <w:tl2br w:val="nil"/>
              <w:tr2bl w:val="nil"/>
            </w:tcBorders>
            <w:vAlign w:val="center"/>
          </w:tcPr>
          <w:p w14:paraId="5DB5C8F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44345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2A9125A">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0F19D56">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0EE48CB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没有对建筑承载结构进行验算。</w:t>
            </w:r>
          </w:p>
        </w:tc>
        <w:tc>
          <w:tcPr>
            <w:tcW w:w="1149" w:type="dxa"/>
            <w:tcBorders>
              <w:tl2br w:val="nil"/>
              <w:tr2bl w:val="nil"/>
            </w:tcBorders>
            <w:vAlign w:val="center"/>
          </w:tcPr>
          <w:p w14:paraId="2EDB3720">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1909014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0.5</w:t>
            </w:r>
          </w:p>
        </w:tc>
        <w:tc>
          <w:tcPr>
            <w:tcW w:w="540" w:type="dxa"/>
            <w:tcBorders>
              <w:tl2br w:val="nil"/>
              <w:tr2bl w:val="nil"/>
            </w:tcBorders>
            <w:vAlign w:val="center"/>
          </w:tcPr>
          <w:p w14:paraId="4BD9738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w:t>
            </w:r>
          </w:p>
        </w:tc>
        <w:tc>
          <w:tcPr>
            <w:tcW w:w="540" w:type="dxa"/>
            <w:tcBorders>
              <w:tl2br w:val="nil"/>
              <w:tr2bl w:val="nil"/>
            </w:tcBorders>
            <w:vAlign w:val="center"/>
          </w:tcPr>
          <w:p w14:paraId="388BE1C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4141D27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35</w:t>
            </w:r>
          </w:p>
        </w:tc>
        <w:tc>
          <w:tcPr>
            <w:tcW w:w="560" w:type="dxa"/>
            <w:tcBorders>
              <w:tl2br w:val="nil"/>
              <w:tr2bl w:val="nil"/>
            </w:tcBorders>
            <w:vAlign w:val="center"/>
          </w:tcPr>
          <w:p w14:paraId="47690A4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4EFB6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8A96C51">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662625BA">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5324684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安装作业未按照专项方案要求实施。安装前未对安装作业人员进行安全技术交底。</w:t>
            </w:r>
          </w:p>
        </w:tc>
        <w:tc>
          <w:tcPr>
            <w:tcW w:w="1149" w:type="dxa"/>
            <w:tcBorders>
              <w:tl2br w:val="nil"/>
              <w:tr2bl w:val="nil"/>
            </w:tcBorders>
            <w:vAlign w:val="center"/>
          </w:tcPr>
          <w:p w14:paraId="67EA5757">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08E8ED8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F68174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75272DF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4518D7C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120</w:t>
            </w:r>
          </w:p>
        </w:tc>
        <w:tc>
          <w:tcPr>
            <w:tcW w:w="560" w:type="dxa"/>
            <w:tcBorders>
              <w:tl2br w:val="nil"/>
              <w:tr2bl w:val="nil"/>
            </w:tcBorders>
            <w:vAlign w:val="center"/>
          </w:tcPr>
          <w:p w14:paraId="524BEAD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6191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1150F9A">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30A0BA94">
            <w:pPr>
              <w:spacing w:line="27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77A504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雨雪、浓雾天气没有停止安装作业。</w:t>
            </w:r>
          </w:p>
        </w:tc>
        <w:tc>
          <w:tcPr>
            <w:tcW w:w="1149" w:type="dxa"/>
            <w:tcBorders>
              <w:tl2br w:val="nil"/>
              <w:tr2bl w:val="nil"/>
            </w:tcBorders>
            <w:vAlign w:val="center"/>
          </w:tcPr>
          <w:p w14:paraId="42BA9FA4">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0659711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5F21A28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3199EDC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4B3E0C0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120</w:t>
            </w:r>
          </w:p>
        </w:tc>
        <w:tc>
          <w:tcPr>
            <w:tcW w:w="560" w:type="dxa"/>
            <w:tcBorders>
              <w:tl2br w:val="nil"/>
              <w:tr2bl w:val="nil"/>
            </w:tcBorders>
            <w:vAlign w:val="center"/>
          </w:tcPr>
          <w:p w14:paraId="5CB36F0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535AA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981F1FD">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02E4C340">
            <w:pPr>
              <w:spacing w:line="27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03C6759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当需要在夜间进行</w:t>
            </w:r>
            <w:r>
              <w:rPr>
                <w:rFonts w:hint="eastAsia" w:ascii="宋体" w:hAnsi="宋体" w:eastAsia="宋体" w:cs="宋体"/>
                <w:color w:val="000000" w:themeColor="text1"/>
                <w:sz w:val="21"/>
                <w:highlight w:val="yellow"/>
                <w:lang w:eastAsia="zh-CN"/>
                <w14:textFill>
                  <w14:solidFill>
                    <w14:schemeClr w14:val="tx1"/>
                  </w14:solidFill>
                </w14:textFill>
              </w:rPr>
              <w:t>安装</w:t>
            </w:r>
            <w:r>
              <w:rPr>
                <w:rFonts w:hint="eastAsia" w:ascii="宋体" w:hAnsi="宋体" w:eastAsia="宋体" w:cs="宋体"/>
                <w:color w:val="000000" w:themeColor="text1"/>
                <w:sz w:val="21"/>
                <w:highlight w:val="yellow"/>
                <w14:textFill>
                  <w14:solidFill>
                    <w14:schemeClr w14:val="tx1"/>
                  </w14:solidFill>
                </w14:textFill>
              </w:rPr>
              <w:t>作业时，没有保证提供足够的照明。</w:t>
            </w:r>
          </w:p>
        </w:tc>
        <w:tc>
          <w:tcPr>
            <w:tcW w:w="1149" w:type="dxa"/>
            <w:tcBorders>
              <w:tl2br w:val="nil"/>
              <w:tr2bl w:val="nil"/>
            </w:tcBorders>
            <w:vAlign w:val="center"/>
          </w:tcPr>
          <w:p w14:paraId="76AD25F0">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13353D7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7A1F583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26F78F1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0B8A223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60" w:type="dxa"/>
            <w:tcBorders>
              <w:tl2br w:val="nil"/>
              <w:tr2bl w:val="nil"/>
            </w:tcBorders>
            <w:vAlign w:val="center"/>
          </w:tcPr>
          <w:p w14:paraId="212CDA5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1F1F5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15C9EEB">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1FBB2DA6">
            <w:pPr>
              <w:spacing w:line="27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778C90C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起重吊装设备的进场验收</w:t>
            </w:r>
          </w:p>
        </w:tc>
        <w:tc>
          <w:tcPr>
            <w:tcW w:w="1149" w:type="dxa"/>
            <w:tcBorders>
              <w:tl2br w:val="nil"/>
              <w:tr2bl w:val="nil"/>
            </w:tcBorders>
            <w:vAlign w:val="center"/>
          </w:tcPr>
          <w:p w14:paraId="3A8F4F1F">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099EA1F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5D5A11A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3FBFB17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0CB239E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21</w:t>
            </w:r>
          </w:p>
        </w:tc>
        <w:tc>
          <w:tcPr>
            <w:tcW w:w="560" w:type="dxa"/>
            <w:tcBorders>
              <w:tl2br w:val="nil"/>
              <w:tr2bl w:val="nil"/>
            </w:tcBorders>
            <w:vAlign w:val="center"/>
          </w:tcPr>
          <w:p w14:paraId="7E99206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2B3C1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3A656D8">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6C399B8">
            <w:pPr>
              <w:spacing w:line="27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2FBD2DF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与建筑物、高压线安全距离不足。</w:t>
            </w:r>
          </w:p>
        </w:tc>
        <w:tc>
          <w:tcPr>
            <w:tcW w:w="1149" w:type="dxa"/>
            <w:tcBorders>
              <w:tl2br w:val="nil"/>
              <w:tr2bl w:val="nil"/>
            </w:tcBorders>
            <w:vAlign w:val="center"/>
          </w:tcPr>
          <w:p w14:paraId="5211EB9E">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触电、起重伤害</w:t>
            </w:r>
          </w:p>
        </w:tc>
        <w:tc>
          <w:tcPr>
            <w:tcW w:w="550" w:type="dxa"/>
            <w:tcBorders>
              <w:tl2br w:val="nil"/>
              <w:tr2bl w:val="nil"/>
            </w:tcBorders>
            <w:vAlign w:val="center"/>
          </w:tcPr>
          <w:p w14:paraId="00ABDB6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3F9CD8E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2A801F7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6D88B7C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0D5A115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6875D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399FB08">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240AA1F2">
            <w:pPr>
              <w:spacing w:line="27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39B7FA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作业场地未封闭、警戒区域未设置。</w:t>
            </w:r>
          </w:p>
        </w:tc>
        <w:tc>
          <w:tcPr>
            <w:tcW w:w="1149" w:type="dxa"/>
            <w:tcBorders>
              <w:tl2br w:val="nil"/>
              <w:tr2bl w:val="nil"/>
            </w:tcBorders>
            <w:vAlign w:val="center"/>
          </w:tcPr>
          <w:p w14:paraId="55FCF6A0">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50B8BF8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FD6166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5C6ACC1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5150D2D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63</w:t>
            </w:r>
          </w:p>
        </w:tc>
        <w:tc>
          <w:tcPr>
            <w:tcW w:w="560" w:type="dxa"/>
            <w:tcBorders>
              <w:tl2br w:val="nil"/>
              <w:tr2bl w:val="nil"/>
            </w:tcBorders>
            <w:vAlign w:val="center"/>
          </w:tcPr>
          <w:p w14:paraId="53DEA15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60272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B01B878">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0A310F37">
            <w:pPr>
              <w:spacing w:line="27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617160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当遇特殊情况安装作业不能连续进行时，没有将已安装的部位固定牢靠并达到安全状态。</w:t>
            </w:r>
          </w:p>
        </w:tc>
        <w:tc>
          <w:tcPr>
            <w:tcW w:w="1149" w:type="dxa"/>
            <w:tcBorders>
              <w:tl2br w:val="nil"/>
              <w:tr2bl w:val="nil"/>
            </w:tcBorders>
            <w:vAlign w:val="center"/>
          </w:tcPr>
          <w:p w14:paraId="43B168A2">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物体打击</w:t>
            </w:r>
          </w:p>
        </w:tc>
        <w:tc>
          <w:tcPr>
            <w:tcW w:w="550" w:type="dxa"/>
            <w:tcBorders>
              <w:tl2br w:val="nil"/>
              <w:tr2bl w:val="nil"/>
            </w:tcBorders>
            <w:vAlign w:val="center"/>
          </w:tcPr>
          <w:p w14:paraId="618469E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26CA0D4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5EB2A62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658C2D1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60" w:type="dxa"/>
            <w:tcBorders>
              <w:tl2br w:val="nil"/>
              <w:tr2bl w:val="nil"/>
            </w:tcBorders>
            <w:vAlign w:val="center"/>
          </w:tcPr>
          <w:p w14:paraId="58F0972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179C4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3BCA622">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5462A417">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1644AB7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安全装置不齐全，未进行防雷接地没有按程序进行调试合格。</w:t>
            </w:r>
          </w:p>
        </w:tc>
        <w:tc>
          <w:tcPr>
            <w:tcW w:w="1149" w:type="dxa"/>
            <w:tcBorders>
              <w:tl2br w:val="nil"/>
              <w:tr2bl w:val="nil"/>
            </w:tcBorders>
            <w:vAlign w:val="center"/>
          </w:tcPr>
          <w:p w14:paraId="20C1B1F5">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4865BEA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7BB1816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w:t>
            </w:r>
          </w:p>
        </w:tc>
        <w:tc>
          <w:tcPr>
            <w:tcW w:w="540" w:type="dxa"/>
            <w:tcBorders>
              <w:tl2br w:val="nil"/>
              <w:tr2bl w:val="nil"/>
            </w:tcBorders>
            <w:vAlign w:val="center"/>
          </w:tcPr>
          <w:p w14:paraId="5B4764E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1D7E3FE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150</w:t>
            </w:r>
          </w:p>
        </w:tc>
        <w:tc>
          <w:tcPr>
            <w:tcW w:w="560" w:type="dxa"/>
            <w:tcBorders>
              <w:tl2br w:val="nil"/>
              <w:tr2bl w:val="nil"/>
            </w:tcBorders>
            <w:vAlign w:val="center"/>
          </w:tcPr>
          <w:p w14:paraId="342106A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15036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F359137">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tcBorders>
              <w:tl2br w:val="nil"/>
              <w:tr2bl w:val="nil"/>
            </w:tcBorders>
            <w:vAlign w:val="center"/>
          </w:tcPr>
          <w:p w14:paraId="7F480614">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风速要求</w:t>
            </w:r>
          </w:p>
        </w:tc>
        <w:tc>
          <w:tcPr>
            <w:tcW w:w="3604" w:type="dxa"/>
            <w:tcBorders>
              <w:tl2br w:val="nil"/>
              <w:tr2bl w:val="nil"/>
            </w:tcBorders>
            <w:vAlign w:val="center"/>
          </w:tcPr>
          <w:p w14:paraId="53036B7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安装时塔机最高处的风速不符合使用说明书的要求，或者大于12m/s。顶升作业时风速超过四级风。</w:t>
            </w:r>
          </w:p>
        </w:tc>
        <w:tc>
          <w:tcPr>
            <w:tcW w:w="1149" w:type="dxa"/>
            <w:tcBorders>
              <w:tl2br w:val="nil"/>
              <w:tr2bl w:val="nil"/>
            </w:tcBorders>
            <w:vAlign w:val="center"/>
          </w:tcPr>
          <w:p w14:paraId="7FC09BC2">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78082C9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4647FB0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69CBB11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6A49E11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60" w:type="dxa"/>
            <w:tcBorders>
              <w:tl2br w:val="nil"/>
              <w:tr2bl w:val="nil"/>
            </w:tcBorders>
            <w:vAlign w:val="center"/>
          </w:tcPr>
          <w:p w14:paraId="635846F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6B04A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F838A5C">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tcBorders>
              <w:tl2br w:val="nil"/>
              <w:tr2bl w:val="nil"/>
            </w:tcBorders>
            <w:vAlign w:val="center"/>
          </w:tcPr>
          <w:p w14:paraId="73C56D3E">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连接要求</w:t>
            </w:r>
          </w:p>
        </w:tc>
        <w:tc>
          <w:tcPr>
            <w:tcW w:w="3604" w:type="dxa"/>
            <w:tcBorders>
              <w:tl2br w:val="nil"/>
              <w:tr2bl w:val="nil"/>
            </w:tcBorders>
            <w:vAlign w:val="center"/>
          </w:tcPr>
          <w:p w14:paraId="115DB79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开口销未两边张开，夹角未达到90°以上，螺栓与螺母未连接牢固</w:t>
            </w:r>
          </w:p>
        </w:tc>
        <w:tc>
          <w:tcPr>
            <w:tcW w:w="1149" w:type="dxa"/>
            <w:tcBorders>
              <w:tl2br w:val="nil"/>
              <w:tr2bl w:val="nil"/>
            </w:tcBorders>
            <w:vAlign w:val="center"/>
          </w:tcPr>
          <w:p w14:paraId="451D7E1E">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22BA522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417B22C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w:t>
            </w:r>
          </w:p>
        </w:tc>
        <w:tc>
          <w:tcPr>
            <w:tcW w:w="540" w:type="dxa"/>
            <w:tcBorders>
              <w:tl2br w:val="nil"/>
              <w:tr2bl w:val="nil"/>
            </w:tcBorders>
            <w:vAlign w:val="center"/>
          </w:tcPr>
          <w:p w14:paraId="27E7102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546556D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240</w:t>
            </w:r>
          </w:p>
        </w:tc>
        <w:tc>
          <w:tcPr>
            <w:tcW w:w="560" w:type="dxa"/>
            <w:tcBorders>
              <w:tl2br w:val="nil"/>
              <w:tr2bl w:val="nil"/>
            </w:tcBorders>
            <w:vAlign w:val="center"/>
          </w:tcPr>
          <w:p w14:paraId="4623B52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4CA8C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9C20AC2">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707E4DDA">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安装塔身基础节</w:t>
            </w:r>
          </w:p>
        </w:tc>
        <w:tc>
          <w:tcPr>
            <w:tcW w:w="3604" w:type="dxa"/>
            <w:tcBorders>
              <w:tl2br w:val="nil"/>
              <w:tr2bl w:val="nil"/>
            </w:tcBorders>
            <w:vAlign w:val="center"/>
          </w:tcPr>
          <w:p w14:paraId="38C416F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塔身基础节吊至预埋塔架上方，未对好方向。塔身基础节连接底板与地脚螺栓未正确就位</w:t>
            </w:r>
          </w:p>
        </w:tc>
        <w:tc>
          <w:tcPr>
            <w:tcW w:w="1149" w:type="dxa"/>
            <w:tcBorders>
              <w:tl2br w:val="nil"/>
              <w:tr2bl w:val="nil"/>
            </w:tcBorders>
            <w:vAlign w:val="center"/>
          </w:tcPr>
          <w:p w14:paraId="5C61F36E">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3D64B73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7484E06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AFEB4A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74B0D30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3A8AA7F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78C74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DB0327C">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017E0DC3">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CE4A84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基础节四块连接底板未在同一水平面上，误差大于1/1000</w:t>
            </w:r>
          </w:p>
        </w:tc>
        <w:tc>
          <w:tcPr>
            <w:tcW w:w="1149" w:type="dxa"/>
            <w:tcBorders>
              <w:tl2br w:val="nil"/>
              <w:tr2bl w:val="nil"/>
            </w:tcBorders>
            <w:vAlign w:val="center"/>
          </w:tcPr>
          <w:p w14:paraId="7F54D2F0">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70E08C2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698444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6130B2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560D448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4C13089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12118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005F2A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2988D4AA">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4F41A99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塔身基础节未使用双螺母与地脚螺栓相连</w:t>
            </w:r>
          </w:p>
        </w:tc>
        <w:tc>
          <w:tcPr>
            <w:tcW w:w="1149" w:type="dxa"/>
            <w:tcBorders>
              <w:tl2br w:val="nil"/>
              <w:tr2bl w:val="nil"/>
            </w:tcBorders>
            <w:vAlign w:val="center"/>
          </w:tcPr>
          <w:p w14:paraId="09515046">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7A21E84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56A511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5CC1EC5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62AA339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7236089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5F195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B9C3B87">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2EC79253">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安装塔身</w:t>
            </w:r>
          </w:p>
        </w:tc>
        <w:tc>
          <w:tcPr>
            <w:tcW w:w="3604" w:type="dxa"/>
            <w:tcBorders>
              <w:tl2br w:val="nil"/>
              <w:tr2bl w:val="nil"/>
            </w:tcBorders>
            <w:vAlign w:val="center"/>
          </w:tcPr>
          <w:p w14:paraId="786ABB8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安装下塔身加强节未使用特制的高强度螺栓、未拧紧双螺母</w:t>
            </w:r>
          </w:p>
        </w:tc>
        <w:tc>
          <w:tcPr>
            <w:tcW w:w="1149" w:type="dxa"/>
            <w:tcBorders>
              <w:tl2br w:val="nil"/>
              <w:tr2bl w:val="nil"/>
            </w:tcBorders>
            <w:vAlign w:val="center"/>
          </w:tcPr>
          <w:p w14:paraId="1863B435">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6C72B05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3BD7BC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36E3ED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5848E0E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1FA1AB8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6CBCE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8BC7490">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69383F6">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6ED917F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套架上未安装操作平台</w:t>
            </w:r>
          </w:p>
        </w:tc>
        <w:tc>
          <w:tcPr>
            <w:tcW w:w="1149" w:type="dxa"/>
            <w:tcBorders>
              <w:tl2br w:val="nil"/>
              <w:tr2bl w:val="nil"/>
            </w:tcBorders>
            <w:vAlign w:val="center"/>
          </w:tcPr>
          <w:p w14:paraId="4E95D5FB">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07CBCD5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20119A0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48B47A5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5C2B5E6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45</w:t>
            </w:r>
          </w:p>
        </w:tc>
        <w:tc>
          <w:tcPr>
            <w:tcW w:w="560" w:type="dxa"/>
            <w:tcBorders>
              <w:tl2br w:val="nil"/>
              <w:tr2bl w:val="nil"/>
            </w:tcBorders>
            <w:vAlign w:val="center"/>
          </w:tcPr>
          <w:p w14:paraId="0660DAE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7A80B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2BEB91D">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26ADBC10">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0D2A5AC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下支座下端主弦杆与标准节主弦杆未使用高强度螺栓将其相连，未紧固好双螺母</w:t>
            </w:r>
          </w:p>
        </w:tc>
        <w:tc>
          <w:tcPr>
            <w:tcW w:w="1149" w:type="dxa"/>
            <w:tcBorders>
              <w:tl2br w:val="nil"/>
              <w:tr2bl w:val="nil"/>
            </w:tcBorders>
            <w:vAlign w:val="center"/>
          </w:tcPr>
          <w:p w14:paraId="4E48367A">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476202C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2B1FA44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277ED58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4FB219F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1352B7D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9076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B55E990">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3405DDAA">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254341D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标准节的爬梯、背圈、爬梯平台未同步安装</w:t>
            </w:r>
          </w:p>
        </w:tc>
        <w:tc>
          <w:tcPr>
            <w:tcW w:w="1149" w:type="dxa"/>
            <w:tcBorders>
              <w:tl2br w:val="nil"/>
              <w:tr2bl w:val="nil"/>
            </w:tcBorders>
            <w:vAlign w:val="center"/>
          </w:tcPr>
          <w:p w14:paraId="0B69BE42">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66153D7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71F4CEF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5BC1FB4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375B4E0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21F0261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3D2D7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9379670">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179229CD">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265F5E0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未安装塔顶平台、栏杆、滑轮、过度拉板</w:t>
            </w:r>
          </w:p>
        </w:tc>
        <w:tc>
          <w:tcPr>
            <w:tcW w:w="1149" w:type="dxa"/>
            <w:tcBorders>
              <w:tl2br w:val="nil"/>
              <w:tr2bl w:val="nil"/>
            </w:tcBorders>
            <w:vAlign w:val="center"/>
          </w:tcPr>
          <w:p w14:paraId="0911BA64">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2E66482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5DB992C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78A659F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54B062C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5AA1B79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44D90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7DEA71A">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60D7DA21">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安装起重臂、平衡臂</w:t>
            </w:r>
          </w:p>
        </w:tc>
        <w:tc>
          <w:tcPr>
            <w:tcW w:w="3604" w:type="dxa"/>
            <w:tcBorders>
              <w:tl2br w:val="nil"/>
              <w:tr2bl w:val="nil"/>
            </w:tcBorders>
            <w:vAlign w:val="center"/>
          </w:tcPr>
          <w:p w14:paraId="3B7AA04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平衡臂未安装平台、栏杆</w:t>
            </w:r>
          </w:p>
        </w:tc>
        <w:tc>
          <w:tcPr>
            <w:tcW w:w="1149" w:type="dxa"/>
            <w:tcBorders>
              <w:tl2br w:val="nil"/>
              <w:tr2bl w:val="nil"/>
            </w:tcBorders>
            <w:vAlign w:val="center"/>
          </w:tcPr>
          <w:p w14:paraId="2002828A">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66469ED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F3D951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77A6528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18BC286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7A93F91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318C3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9B2041C">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733BE7FA">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5659301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平衡重未安装在后部规定位置，未使用专用钢销将平衡重支持在平衡臂上</w:t>
            </w:r>
          </w:p>
        </w:tc>
        <w:tc>
          <w:tcPr>
            <w:tcW w:w="1149" w:type="dxa"/>
            <w:tcBorders>
              <w:tl2br w:val="nil"/>
              <w:tr2bl w:val="nil"/>
            </w:tcBorders>
            <w:vAlign w:val="center"/>
          </w:tcPr>
          <w:p w14:paraId="1350C421">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77833B5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BFE18E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47AB039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6CA9F0C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0CB13E9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3F134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62ED77C">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3F57BE3C">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6F8B635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未在变幅小车上安装检修平台</w:t>
            </w:r>
          </w:p>
        </w:tc>
        <w:tc>
          <w:tcPr>
            <w:tcW w:w="1149" w:type="dxa"/>
            <w:tcBorders>
              <w:tl2br w:val="nil"/>
              <w:tr2bl w:val="nil"/>
            </w:tcBorders>
            <w:vAlign w:val="center"/>
          </w:tcPr>
          <w:p w14:paraId="6A22AD9D">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363D550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718813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430C3AE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08F9AE5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7909369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1472B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D7A37F8">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2CE5E6A3">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06FB4EA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未用特制销轴将起重臂与回转塔身耳板铰接好、并未穿好开口销</w:t>
            </w:r>
          </w:p>
        </w:tc>
        <w:tc>
          <w:tcPr>
            <w:tcW w:w="1149" w:type="dxa"/>
            <w:tcBorders>
              <w:tl2br w:val="nil"/>
              <w:tr2bl w:val="nil"/>
            </w:tcBorders>
            <w:vAlign w:val="center"/>
          </w:tcPr>
          <w:p w14:paraId="21D1D4ED">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513229C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533E446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7CF93E4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70AFBA5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50EAC70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79C7F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AFC71F6">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53BDEB1B">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196C588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配重重量与大臂长度不匹配</w:t>
            </w:r>
          </w:p>
        </w:tc>
        <w:tc>
          <w:tcPr>
            <w:tcW w:w="1149" w:type="dxa"/>
            <w:tcBorders>
              <w:tl2br w:val="nil"/>
              <w:tr2bl w:val="nil"/>
            </w:tcBorders>
            <w:vAlign w:val="center"/>
          </w:tcPr>
          <w:p w14:paraId="35ACA484">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78945F6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4161602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2ED2400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72CDCA4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4F131D9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514E6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65353EA">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50A45CA9">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63BB4FA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未使用链条葫芦或未利用起升钢丝绳提升起重臂拉杆</w:t>
            </w:r>
          </w:p>
        </w:tc>
        <w:tc>
          <w:tcPr>
            <w:tcW w:w="1149" w:type="dxa"/>
            <w:tcBorders>
              <w:tl2br w:val="nil"/>
              <w:tr2bl w:val="nil"/>
            </w:tcBorders>
            <w:vAlign w:val="center"/>
          </w:tcPr>
          <w:p w14:paraId="4DA6370B">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151ED6A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3592BBB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3D4071C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0D148A7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2832542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258BE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D10F52E">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58D723FD">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顶升加节</w:t>
            </w:r>
          </w:p>
        </w:tc>
        <w:tc>
          <w:tcPr>
            <w:tcW w:w="3604" w:type="dxa"/>
            <w:tcBorders>
              <w:tl2br w:val="nil"/>
              <w:tr2bl w:val="nil"/>
            </w:tcBorders>
            <w:vAlign w:val="center"/>
          </w:tcPr>
          <w:p w14:paraId="69DC5E0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顶升加节前未检查顶升系统、结构部件是否完好</w:t>
            </w:r>
          </w:p>
        </w:tc>
        <w:tc>
          <w:tcPr>
            <w:tcW w:w="1149" w:type="dxa"/>
            <w:tcBorders>
              <w:tl2br w:val="nil"/>
              <w:tr2bl w:val="nil"/>
            </w:tcBorders>
            <w:vAlign w:val="center"/>
          </w:tcPr>
          <w:p w14:paraId="096D4BAA">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3CCD3EB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364FA23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w:t>
            </w:r>
          </w:p>
        </w:tc>
        <w:tc>
          <w:tcPr>
            <w:tcW w:w="540" w:type="dxa"/>
            <w:tcBorders>
              <w:tl2br w:val="nil"/>
              <w:tr2bl w:val="nil"/>
            </w:tcBorders>
            <w:vAlign w:val="center"/>
          </w:tcPr>
          <w:p w14:paraId="14B24D2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3760860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240</w:t>
            </w:r>
          </w:p>
        </w:tc>
        <w:tc>
          <w:tcPr>
            <w:tcW w:w="560" w:type="dxa"/>
            <w:tcBorders>
              <w:tl2br w:val="nil"/>
              <w:tr2bl w:val="nil"/>
            </w:tcBorders>
            <w:vAlign w:val="center"/>
          </w:tcPr>
          <w:p w14:paraId="5480F89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4CB2D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A692893">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12316DA8">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4970611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顶升前，塔机下支座与顶升套架未可靠连接</w:t>
            </w:r>
          </w:p>
        </w:tc>
        <w:tc>
          <w:tcPr>
            <w:tcW w:w="1149" w:type="dxa"/>
            <w:tcBorders>
              <w:tl2br w:val="nil"/>
              <w:tr2bl w:val="nil"/>
            </w:tcBorders>
            <w:vAlign w:val="center"/>
          </w:tcPr>
          <w:p w14:paraId="4B66E6FE">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45D2C25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458427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w:t>
            </w:r>
          </w:p>
        </w:tc>
        <w:tc>
          <w:tcPr>
            <w:tcW w:w="540" w:type="dxa"/>
            <w:tcBorders>
              <w:tl2br w:val="nil"/>
              <w:tr2bl w:val="nil"/>
            </w:tcBorders>
            <w:vAlign w:val="center"/>
          </w:tcPr>
          <w:p w14:paraId="02D80CA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6708792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240</w:t>
            </w:r>
          </w:p>
        </w:tc>
        <w:tc>
          <w:tcPr>
            <w:tcW w:w="560" w:type="dxa"/>
            <w:tcBorders>
              <w:tl2br w:val="nil"/>
              <w:tr2bl w:val="nil"/>
            </w:tcBorders>
            <w:vAlign w:val="center"/>
          </w:tcPr>
          <w:p w14:paraId="5E3C589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1E870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19D6F98">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33036C1">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5100D13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顶升前，未保持顶升横梁搁置正确</w:t>
            </w:r>
          </w:p>
        </w:tc>
        <w:tc>
          <w:tcPr>
            <w:tcW w:w="1149" w:type="dxa"/>
            <w:tcBorders>
              <w:tl2br w:val="nil"/>
              <w:tr2bl w:val="nil"/>
            </w:tcBorders>
            <w:vAlign w:val="center"/>
          </w:tcPr>
          <w:p w14:paraId="71764C41">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61CA954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76714C6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w:t>
            </w:r>
          </w:p>
        </w:tc>
        <w:tc>
          <w:tcPr>
            <w:tcW w:w="540" w:type="dxa"/>
            <w:tcBorders>
              <w:tl2br w:val="nil"/>
              <w:tr2bl w:val="nil"/>
            </w:tcBorders>
            <w:vAlign w:val="center"/>
          </w:tcPr>
          <w:p w14:paraId="14B6731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2A5ED92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240</w:t>
            </w:r>
          </w:p>
        </w:tc>
        <w:tc>
          <w:tcPr>
            <w:tcW w:w="560" w:type="dxa"/>
            <w:tcBorders>
              <w:tl2br w:val="nil"/>
              <w:tr2bl w:val="nil"/>
            </w:tcBorders>
            <w:vAlign w:val="center"/>
          </w:tcPr>
          <w:p w14:paraId="530D8E1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0F852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6CFE7DE">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7B69E2A4">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018F535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顶升前，未将塔机配平。顶升过程中未确保塔机的平衡</w:t>
            </w:r>
          </w:p>
        </w:tc>
        <w:tc>
          <w:tcPr>
            <w:tcW w:w="1149" w:type="dxa"/>
            <w:tcBorders>
              <w:tl2br w:val="nil"/>
              <w:tr2bl w:val="nil"/>
            </w:tcBorders>
            <w:vAlign w:val="center"/>
          </w:tcPr>
          <w:p w14:paraId="0B9CDAE4">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620DDCF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315318B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w:t>
            </w:r>
          </w:p>
        </w:tc>
        <w:tc>
          <w:tcPr>
            <w:tcW w:w="540" w:type="dxa"/>
            <w:tcBorders>
              <w:tl2br w:val="nil"/>
              <w:tr2bl w:val="nil"/>
            </w:tcBorders>
            <w:vAlign w:val="center"/>
          </w:tcPr>
          <w:p w14:paraId="1F68F68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597CC0C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240</w:t>
            </w:r>
          </w:p>
        </w:tc>
        <w:tc>
          <w:tcPr>
            <w:tcW w:w="560" w:type="dxa"/>
            <w:tcBorders>
              <w:tl2br w:val="nil"/>
              <w:tr2bl w:val="nil"/>
            </w:tcBorders>
            <w:vAlign w:val="center"/>
          </w:tcPr>
          <w:p w14:paraId="1D05FA7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2FD55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BEB6587">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50B4C43">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236EA56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顶升加节的顺序，未符合使用说明书的规定</w:t>
            </w:r>
          </w:p>
        </w:tc>
        <w:tc>
          <w:tcPr>
            <w:tcW w:w="1149" w:type="dxa"/>
            <w:tcBorders>
              <w:tl2br w:val="nil"/>
              <w:tr2bl w:val="nil"/>
            </w:tcBorders>
            <w:vAlign w:val="center"/>
          </w:tcPr>
          <w:p w14:paraId="535AE908">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1400C96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28E383D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w:t>
            </w:r>
          </w:p>
        </w:tc>
        <w:tc>
          <w:tcPr>
            <w:tcW w:w="540" w:type="dxa"/>
            <w:tcBorders>
              <w:tl2br w:val="nil"/>
              <w:tr2bl w:val="nil"/>
            </w:tcBorders>
            <w:vAlign w:val="center"/>
          </w:tcPr>
          <w:p w14:paraId="2272A36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1C56D45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240</w:t>
            </w:r>
          </w:p>
        </w:tc>
        <w:tc>
          <w:tcPr>
            <w:tcW w:w="560" w:type="dxa"/>
            <w:tcBorders>
              <w:tl2br w:val="nil"/>
              <w:tr2bl w:val="nil"/>
            </w:tcBorders>
            <w:vAlign w:val="center"/>
          </w:tcPr>
          <w:p w14:paraId="7A35ABA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4639B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B64381A">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1F319A24">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490EACB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顶升过程中，进行起升、回转、变幅等动作</w:t>
            </w:r>
          </w:p>
        </w:tc>
        <w:tc>
          <w:tcPr>
            <w:tcW w:w="1149" w:type="dxa"/>
            <w:tcBorders>
              <w:tl2br w:val="nil"/>
              <w:tr2bl w:val="nil"/>
            </w:tcBorders>
            <w:vAlign w:val="center"/>
          </w:tcPr>
          <w:p w14:paraId="0FC5A863">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2F7F812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839D24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w:t>
            </w:r>
          </w:p>
        </w:tc>
        <w:tc>
          <w:tcPr>
            <w:tcW w:w="540" w:type="dxa"/>
            <w:tcBorders>
              <w:tl2br w:val="nil"/>
              <w:tr2bl w:val="nil"/>
            </w:tcBorders>
            <w:vAlign w:val="center"/>
          </w:tcPr>
          <w:p w14:paraId="7731A3F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44DAB59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240</w:t>
            </w:r>
          </w:p>
        </w:tc>
        <w:tc>
          <w:tcPr>
            <w:tcW w:w="560" w:type="dxa"/>
            <w:tcBorders>
              <w:tl2br w:val="nil"/>
              <w:tr2bl w:val="nil"/>
            </w:tcBorders>
            <w:vAlign w:val="center"/>
          </w:tcPr>
          <w:p w14:paraId="54867C4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5A6D1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A2CE63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24556A1F">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E42606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顶升结束后，未将标准节与回转下支座可靠连接</w:t>
            </w:r>
          </w:p>
        </w:tc>
        <w:tc>
          <w:tcPr>
            <w:tcW w:w="1149" w:type="dxa"/>
            <w:tcBorders>
              <w:tl2br w:val="nil"/>
              <w:tr2bl w:val="nil"/>
            </w:tcBorders>
            <w:vAlign w:val="center"/>
          </w:tcPr>
          <w:p w14:paraId="4647329E">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4035492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CC3EC3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w:t>
            </w:r>
          </w:p>
        </w:tc>
        <w:tc>
          <w:tcPr>
            <w:tcW w:w="540" w:type="dxa"/>
            <w:tcBorders>
              <w:tl2br w:val="nil"/>
              <w:tr2bl w:val="nil"/>
            </w:tcBorders>
            <w:vAlign w:val="center"/>
          </w:tcPr>
          <w:p w14:paraId="2796873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7429598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240</w:t>
            </w:r>
          </w:p>
        </w:tc>
        <w:tc>
          <w:tcPr>
            <w:tcW w:w="560" w:type="dxa"/>
            <w:tcBorders>
              <w:tl2br w:val="nil"/>
              <w:tr2bl w:val="nil"/>
            </w:tcBorders>
            <w:vAlign w:val="center"/>
          </w:tcPr>
          <w:p w14:paraId="764C593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7D621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24E7419">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1C60F030">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19071C3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塔机加节后需附着的，未按照先安装附着装置、后顶升加节的顺序进行，附着装置的位置和支撑点的强度未符合要求。</w:t>
            </w:r>
          </w:p>
        </w:tc>
        <w:tc>
          <w:tcPr>
            <w:tcW w:w="1149" w:type="dxa"/>
            <w:tcBorders>
              <w:tl2br w:val="nil"/>
              <w:tr2bl w:val="nil"/>
            </w:tcBorders>
            <w:vAlign w:val="center"/>
          </w:tcPr>
          <w:p w14:paraId="5FD1089F">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4A4F5F5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87AB85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w:t>
            </w:r>
          </w:p>
        </w:tc>
        <w:tc>
          <w:tcPr>
            <w:tcW w:w="540" w:type="dxa"/>
            <w:tcBorders>
              <w:tl2br w:val="nil"/>
              <w:tr2bl w:val="nil"/>
            </w:tcBorders>
            <w:vAlign w:val="center"/>
          </w:tcPr>
          <w:p w14:paraId="6666C20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67B49CF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240</w:t>
            </w:r>
          </w:p>
        </w:tc>
        <w:tc>
          <w:tcPr>
            <w:tcW w:w="560" w:type="dxa"/>
            <w:tcBorders>
              <w:tl2br w:val="nil"/>
              <w:tr2bl w:val="nil"/>
            </w:tcBorders>
            <w:vAlign w:val="center"/>
          </w:tcPr>
          <w:p w14:paraId="47BEBE9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5DBE5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9A5C5E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3330EC89">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安装后检验</w:t>
            </w:r>
          </w:p>
        </w:tc>
        <w:tc>
          <w:tcPr>
            <w:tcW w:w="3604" w:type="dxa"/>
            <w:tcBorders>
              <w:tl2br w:val="nil"/>
              <w:tr2bl w:val="nil"/>
            </w:tcBorders>
            <w:vAlign w:val="center"/>
          </w:tcPr>
          <w:p w14:paraId="001D540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安装完成未组织人员验收与试吊</w:t>
            </w:r>
          </w:p>
        </w:tc>
        <w:tc>
          <w:tcPr>
            <w:tcW w:w="1149" w:type="dxa"/>
            <w:tcBorders>
              <w:tl2br w:val="nil"/>
              <w:tr2bl w:val="nil"/>
            </w:tcBorders>
            <w:vAlign w:val="center"/>
          </w:tcPr>
          <w:p w14:paraId="4FB919D7">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17D4B9F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1D548E1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6077535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2EFA0F9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60" w:type="dxa"/>
            <w:tcBorders>
              <w:tl2br w:val="nil"/>
              <w:tr2bl w:val="nil"/>
            </w:tcBorders>
            <w:vAlign w:val="center"/>
          </w:tcPr>
          <w:p w14:paraId="0E02F24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0FE2B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2C3AADB">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378AF28C">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63A6E4F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安装单位自检合格后，没有上报有关部门检测合格。</w:t>
            </w:r>
          </w:p>
        </w:tc>
        <w:tc>
          <w:tcPr>
            <w:tcW w:w="1149" w:type="dxa"/>
            <w:tcBorders>
              <w:tl2br w:val="nil"/>
              <w:tr2bl w:val="nil"/>
            </w:tcBorders>
            <w:vAlign w:val="center"/>
          </w:tcPr>
          <w:p w14:paraId="61217E10">
            <w:pPr>
              <w:spacing w:line="280" w:lineRule="exact"/>
              <w:ind w:firstLine="0" w:firstLineChars="0"/>
              <w:jc w:val="center"/>
              <w:rPr>
                <w:rFonts w:ascii="宋体" w:hAnsi="宋体" w:cs="宋体"/>
                <w:color w:val="000000" w:themeColor="text1"/>
                <w:sz w:val="21"/>
                <w:highlight w:val="yellow"/>
                <w14:textFill>
                  <w14:solidFill>
                    <w14:schemeClr w14:val="tx1"/>
                  </w14:solidFill>
                </w14:textFill>
              </w:rPr>
            </w:pPr>
            <w:r>
              <w:rPr>
                <w:rFonts w:hint="eastAsia" w:ascii="宋体" w:hAnsi="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6C0F654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6277705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43DA287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265E43C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60" w:type="dxa"/>
            <w:tcBorders>
              <w:tl2br w:val="nil"/>
              <w:tr2bl w:val="nil"/>
            </w:tcBorders>
            <w:vAlign w:val="center"/>
          </w:tcPr>
          <w:p w14:paraId="2CCF568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4A487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95F7CE3">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tcBorders>
              <w:tl2br w:val="nil"/>
              <w:tr2bl w:val="nil"/>
            </w:tcBorders>
            <w:vAlign w:val="center"/>
          </w:tcPr>
          <w:p w14:paraId="75F4CBBB">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设备部件及构配件</w:t>
            </w:r>
          </w:p>
        </w:tc>
        <w:tc>
          <w:tcPr>
            <w:tcW w:w="3604" w:type="dxa"/>
            <w:tcBorders>
              <w:tl2br w:val="nil"/>
              <w:tr2bl w:val="nil"/>
            </w:tcBorders>
            <w:vAlign w:val="center"/>
          </w:tcPr>
          <w:p w14:paraId="1B18C98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施工所用设备部件及构配件使用前，未进行质量检查验收及安全评估，材料混用</w:t>
            </w:r>
          </w:p>
        </w:tc>
        <w:tc>
          <w:tcPr>
            <w:tcW w:w="1149" w:type="dxa"/>
            <w:tcBorders>
              <w:tl2br w:val="nil"/>
              <w:tr2bl w:val="nil"/>
            </w:tcBorders>
            <w:vAlign w:val="center"/>
          </w:tcPr>
          <w:p w14:paraId="3096B52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坍塌</w:t>
            </w:r>
          </w:p>
        </w:tc>
        <w:tc>
          <w:tcPr>
            <w:tcW w:w="550" w:type="dxa"/>
            <w:tcBorders>
              <w:tl2br w:val="nil"/>
              <w:tr2bl w:val="nil"/>
            </w:tcBorders>
            <w:vAlign w:val="center"/>
          </w:tcPr>
          <w:p w14:paraId="712F68D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71AAC4C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2BA766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40</w:t>
            </w:r>
          </w:p>
        </w:tc>
        <w:tc>
          <w:tcPr>
            <w:tcW w:w="590" w:type="dxa"/>
            <w:tcBorders>
              <w:tl2br w:val="nil"/>
              <w:tr2bl w:val="nil"/>
            </w:tcBorders>
            <w:vAlign w:val="center"/>
          </w:tcPr>
          <w:p w14:paraId="6A895DE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120</w:t>
            </w:r>
          </w:p>
        </w:tc>
        <w:tc>
          <w:tcPr>
            <w:tcW w:w="560" w:type="dxa"/>
            <w:tcBorders>
              <w:tl2br w:val="nil"/>
              <w:tr2bl w:val="nil"/>
            </w:tcBorders>
            <w:vAlign w:val="center"/>
          </w:tcPr>
          <w:p w14:paraId="292F7A2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8A79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9408EED">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34C8C0D5">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吊索具</w:t>
            </w:r>
          </w:p>
        </w:tc>
        <w:tc>
          <w:tcPr>
            <w:tcW w:w="3604" w:type="dxa"/>
            <w:tcBorders>
              <w:tl2br w:val="nil"/>
              <w:tr2bl w:val="nil"/>
            </w:tcBorders>
            <w:vAlign w:val="center"/>
          </w:tcPr>
          <w:p w14:paraId="0280832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吊具与索具系结物品，及其连接在起重机械上的方法不可靠</w:t>
            </w:r>
          </w:p>
        </w:tc>
        <w:tc>
          <w:tcPr>
            <w:tcW w:w="1149" w:type="dxa"/>
            <w:tcBorders>
              <w:tl2br w:val="nil"/>
              <w:tr2bl w:val="nil"/>
            </w:tcBorders>
            <w:vAlign w:val="center"/>
          </w:tcPr>
          <w:p w14:paraId="22A82AB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5275CD3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58F8E4B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1D7A9BA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1DE2C95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63</w:t>
            </w:r>
          </w:p>
        </w:tc>
        <w:tc>
          <w:tcPr>
            <w:tcW w:w="560" w:type="dxa"/>
            <w:tcBorders>
              <w:tl2br w:val="nil"/>
              <w:tr2bl w:val="nil"/>
            </w:tcBorders>
            <w:vAlign w:val="center"/>
          </w:tcPr>
          <w:p w14:paraId="42E9DDB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550AC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324C67">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76F74E97">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61BE039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未按照规定设置防脱钩装置，或者防脱钩装置失效。</w:t>
            </w:r>
          </w:p>
        </w:tc>
        <w:tc>
          <w:tcPr>
            <w:tcW w:w="1149" w:type="dxa"/>
            <w:tcBorders>
              <w:tl2br w:val="nil"/>
              <w:tr2bl w:val="nil"/>
            </w:tcBorders>
            <w:vAlign w:val="center"/>
          </w:tcPr>
          <w:p w14:paraId="2695BCE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64FDEE2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7226A71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0AB4591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40DBDE0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126</w:t>
            </w:r>
          </w:p>
        </w:tc>
        <w:tc>
          <w:tcPr>
            <w:tcW w:w="560" w:type="dxa"/>
            <w:tcBorders>
              <w:tl2br w:val="nil"/>
              <w:tr2bl w:val="nil"/>
            </w:tcBorders>
            <w:vAlign w:val="center"/>
          </w:tcPr>
          <w:p w14:paraId="5D7BAFD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10EFE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6BF142C">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A9D58D5">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992814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吊具悬挂不牢固可靠。</w:t>
            </w:r>
          </w:p>
        </w:tc>
        <w:tc>
          <w:tcPr>
            <w:tcW w:w="1149" w:type="dxa"/>
            <w:tcBorders>
              <w:tl2br w:val="nil"/>
              <w:tr2bl w:val="nil"/>
            </w:tcBorders>
            <w:vAlign w:val="center"/>
          </w:tcPr>
          <w:p w14:paraId="5131A60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596CD0F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1B5F474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0687A3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0B0BB42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48A1893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3C7A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1D4E607">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2427F3DE">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04E5DA8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吊耳、耳轴或耳轴套，磨损减少原尺寸5％。</w:t>
            </w:r>
          </w:p>
        </w:tc>
        <w:tc>
          <w:tcPr>
            <w:tcW w:w="1149" w:type="dxa"/>
            <w:tcBorders>
              <w:tl2br w:val="nil"/>
              <w:tr2bl w:val="nil"/>
            </w:tcBorders>
            <w:vAlign w:val="center"/>
          </w:tcPr>
          <w:p w14:paraId="6E6F26B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27FE04C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B762A6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4D46AD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2118037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63</w:t>
            </w:r>
          </w:p>
        </w:tc>
        <w:tc>
          <w:tcPr>
            <w:tcW w:w="560" w:type="dxa"/>
            <w:tcBorders>
              <w:tl2br w:val="nil"/>
              <w:tr2bl w:val="nil"/>
            </w:tcBorders>
            <w:vAlign w:val="center"/>
          </w:tcPr>
          <w:p w14:paraId="0F1084E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17546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6CC2AED">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7E72EE25">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操作错误，忽视安全，忽视警告</w:t>
            </w:r>
          </w:p>
        </w:tc>
        <w:tc>
          <w:tcPr>
            <w:tcW w:w="3604" w:type="dxa"/>
            <w:tcBorders>
              <w:tl2br w:val="nil"/>
              <w:tr2bl w:val="nil"/>
            </w:tcBorders>
            <w:vAlign w:val="center"/>
          </w:tcPr>
          <w:p w14:paraId="5C19872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未经许可开动、关停、移动机器</w:t>
            </w:r>
          </w:p>
        </w:tc>
        <w:tc>
          <w:tcPr>
            <w:tcW w:w="1149" w:type="dxa"/>
            <w:tcBorders>
              <w:tl2br w:val="nil"/>
              <w:tr2bl w:val="nil"/>
            </w:tcBorders>
            <w:vAlign w:val="center"/>
          </w:tcPr>
          <w:p w14:paraId="573453E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机械伤害</w:t>
            </w:r>
          </w:p>
        </w:tc>
        <w:tc>
          <w:tcPr>
            <w:tcW w:w="550" w:type="dxa"/>
            <w:tcBorders>
              <w:tl2br w:val="nil"/>
              <w:tr2bl w:val="nil"/>
            </w:tcBorders>
            <w:vAlign w:val="center"/>
          </w:tcPr>
          <w:p w14:paraId="628EF82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067CA2A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0F433DF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5454800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126</w:t>
            </w:r>
          </w:p>
        </w:tc>
        <w:tc>
          <w:tcPr>
            <w:tcW w:w="560" w:type="dxa"/>
            <w:tcBorders>
              <w:tl2br w:val="nil"/>
              <w:tr2bl w:val="nil"/>
            </w:tcBorders>
            <w:vAlign w:val="center"/>
          </w:tcPr>
          <w:p w14:paraId="014628E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5D710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214448E">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1786D5CE">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1B34B46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开动、关停机器时未给信号</w:t>
            </w:r>
          </w:p>
        </w:tc>
        <w:tc>
          <w:tcPr>
            <w:tcW w:w="1149" w:type="dxa"/>
            <w:tcBorders>
              <w:tl2br w:val="nil"/>
              <w:tr2bl w:val="nil"/>
            </w:tcBorders>
            <w:vAlign w:val="center"/>
          </w:tcPr>
          <w:p w14:paraId="3EC992F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机械伤害</w:t>
            </w:r>
          </w:p>
        </w:tc>
        <w:tc>
          <w:tcPr>
            <w:tcW w:w="550" w:type="dxa"/>
            <w:tcBorders>
              <w:tl2br w:val="nil"/>
              <w:tr2bl w:val="nil"/>
            </w:tcBorders>
            <w:vAlign w:val="center"/>
          </w:tcPr>
          <w:p w14:paraId="3252030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47A0E1F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1D264CA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5EF8FDF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126</w:t>
            </w:r>
          </w:p>
        </w:tc>
        <w:tc>
          <w:tcPr>
            <w:tcW w:w="560" w:type="dxa"/>
            <w:tcBorders>
              <w:tl2br w:val="nil"/>
              <w:tr2bl w:val="nil"/>
            </w:tcBorders>
            <w:vAlign w:val="center"/>
          </w:tcPr>
          <w:p w14:paraId="6DAB226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68250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F89211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1CA17793">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572799E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操作错误（指按钮、阀门、搬手、把柄等的操作）</w:t>
            </w:r>
          </w:p>
        </w:tc>
        <w:tc>
          <w:tcPr>
            <w:tcW w:w="1149" w:type="dxa"/>
            <w:tcBorders>
              <w:tl2br w:val="nil"/>
              <w:tr2bl w:val="nil"/>
            </w:tcBorders>
            <w:vAlign w:val="center"/>
          </w:tcPr>
          <w:p w14:paraId="1F83FA1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机械伤害</w:t>
            </w:r>
          </w:p>
        </w:tc>
        <w:tc>
          <w:tcPr>
            <w:tcW w:w="550" w:type="dxa"/>
            <w:tcBorders>
              <w:tl2br w:val="nil"/>
              <w:tr2bl w:val="nil"/>
            </w:tcBorders>
            <w:vAlign w:val="center"/>
          </w:tcPr>
          <w:p w14:paraId="4F6D820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26F77EC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4E765C3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4262060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126</w:t>
            </w:r>
          </w:p>
        </w:tc>
        <w:tc>
          <w:tcPr>
            <w:tcW w:w="560" w:type="dxa"/>
            <w:tcBorders>
              <w:tl2br w:val="nil"/>
              <w:tr2bl w:val="nil"/>
            </w:tcBorders>
            <w:vAlign w:val="center"/>
          </w:tcPr>
          <w:p w14:paraId="5252837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350D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9EE4013">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63C989C2">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作业现场环境</w:t>
            </w:r>
          </w:p>
        </w:tc>
        <w:tc>
          <w:tcPr>
            <w:tcW w:w="3604" w:type="dxa"/>
            <w:tcBorders>
              <w:tl2br w:val="nil"/>
              <w:tr2bl w:val="nil"/>
            </w:tcBorders>
            <w:vAlign w:val="center"/>
          </w:tcPr>
          <w:p w14:paraId="45769D3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起重机械运动部分与建筑物、设施、输电线的安全距离不够。</w:t>
            </w:r>
          </w:p>
        </w:tc>
        <w:tc>
          <w:tcPr>
            <w:tcW w:w="1149" w:type="dxa"/>
            <w:tcBorders>
              <w:tl2br w:val="nil"/>
              <w:tr2bl w:val="nil"/>
            </w:tcBorders>
            <w:vAlign w:val="center"/>
          </w:tcPr>
          <w:p w14:paraId="110BF87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24EB515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3E6F8BD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4BF5A0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02B17DA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0EA7B56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39E97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0AE0B8C">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3DC4603">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32E8B6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作业前，未检查起重吊装所使用的起重机滑轮、吊索、卡环和地锚等。</w:t>
            </w:r>
          </w:p>
        </w:tc>
        <w:tc>
          <w:tcPr>
            <w:tcW w:w="1149" w:type="dxa"/>
            <w:tcBorders>
              <w:tl2br w:val="nil"/>
              <w:tr2bl w:val="nil"/>
            </w:tcBorders>
            <w:vAlign w:val="center"/>
          </w:tcPr>
          <w:p w14:paraId="2370ABA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7DD0A4F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443C429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64123E2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02BAC96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108</w:t>
            </w:r>
          </w:p>
        </w:tc>
        <w:tc>
          <w:tcPr>
            <w:tcW w:w="560" w:type="dxa"/>
            <w:tcBorders>
              <w:tl2br w:val="nil"/>
              <w:tr2bl w:val="nil"/>
            </w:tcBorders>
            <w:vAlign w:val="center"/>
          </w:tcPr>
          <w:p w14:paraId="57FC571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43BFD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F890431">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31411137">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1ED602A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吊装业作区四周未设置明显标志或警戒区；夜间施工没有足够的照明。</w:t>
            </w:r>
          </w:p>
        </w:tc>
        <w:tc>
          <w:tcPr>
            <w:tcW w:w="1149" w:type="dxa"/>
            <w:tcBorders>
              <w:tl2br w:val="nil"/>
              <w:tr2bl w:val="nil"/>
            </w:tcBorders>
            <w:vAlign w:val="center"/>
          </w:tcPr>
          <w:p w14:paraId="48C101D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4542F16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2C1B45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1C5EE1C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5871260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108</w:t>
            </w:r>
          </w:p>
        </w:tc>
        <w:tc>
          <w:tcPr>
            <w:tcW w:w="560" w:type="dxa"/>
            <w:tcBorders>
              <w:tl2br w:val="nil"/>
              <w:tr2bl w:val="nil"/>
            </w:tcBorders>
            <w:vAlign w:val="center"/>
          </w:tcPr>
          <w:p w14:paraId="34FD6A7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D9AB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EDD2F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E81F621">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2772A75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起重设备通行道路不平整、坚实</w:t>
            </w:r>
          </w:p>
        </w:tc>
        <w:tc>
          <w:tcPr>
            <w:tcW w:w="1149" w:type="dxa"/>
            <w:tcBorders>
              <w:tl2br w:val="nil"/>
              <w:tr2bl w:val="nil"/>
            </w:tcBorders>
            <w:vAlign w:val="center"/>
          </w:tcPr>
          <w:p w14:paraId="33485C1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机械伤害</w:t>
            </w:r>
          </w:p>
        </w:tc>
        <w:tc>
          <w:tcPr>
            <w:tcW w:w="550" w:type="dxa"/>
            <w:tcBorders>
              <w:tl2br w:val="nil"/>
              <w:tr2bl w:val="nil"/>
            </w:tcBorders>
            <w:vAlign w:val="center"/>
          </w:tcPr>
          <w:p w14:paraId="395F800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1520BD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2FE3FF4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90" w:type="dxa"/>
            <w:tcBorders>
              <w:tl2br w:val="nil"/>
              <w:tr2bl w:val="nil"/>
            </w:tcBorders>
            <w:vAlign w:val="center"/>
          </w:tcPr>
          <w:p w14:paraId="7CD7840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36</w:t>
            </w:r>
          </w:p>
        </w:tc>
        <w:tc>
          <w:tcPr>
            <w:tcW w:w="560" w:type="dxa"/>
            <w:tcBorders>
              <w:tl2br w:val="nil"/>
              <w:tr2bl w:val="nil"/>
            </w:tcBorders>
            <w:vAlign w:val="center"/>
          </w:tcPr>
          <w:p w14:paraId="59B1E6B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254CB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6E0E9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393281A6">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起重作业</w:t>
            </w:r>
          </w:p>
        </w:tc>
        <w:tc>
          <w:tcPr>
            <w:tcW w:w="3604" w:type="dxa"/>
            <w:tcBorders>
              <w:tl2br w:val="nil"/>
              <w:tr2bl w:val="nil"/>
            </w:tcBorders>
            <w:vAlign w:val="center"/>
          </w:tcPr>
          <w:p w14:paraId="1932998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吊装长大物件时，没有于物件两端绑扎溜绳，并且由操作人员控制物件的平衡和稳定</w:t>
            </w:r>
          </w:p>
        </w:tc>
        <w:tc>
          <w:tcPr>
            <w:tcW w:w="1149" w:type="dxa"/>
            <w:tcBorders>
              <w:tl2br w:val="nil"/>
              <w:tr2bl w:val="nil"/>
            </w:tcBorders>
            <w:vAlign w:val="center"/>
          </w:tcPr>
          <w:p w14:paraId="2EEC195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4938438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6115464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4649D65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90" w:type="dxa"/>
            <w:tcBorders>
              <w:tl2br w:val="nil"/>
              <w:tr2bl w:val="nil"/>
            </w:tcBorders>
            <w:vAlign w:val="center"/>
          </w:tcPr>
          <w:p w14:paraId="5C0ABF6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36</w:t>
            </w:r>
          </w:p>
        </w:tc>
        <w:tc>
          <w:tcPr>
            <w:tcW w:w="560" w:type="dxa"/>
            <w:tcBorders>
              <w:tl2br w:val="nil"/>
              <w:tr2bl w:val="nil"/>
            </w:tcBorders>
            <w:vAlign w:val="center"/>
          </w:tcPr>
          <w:p w14:paraId="7940C88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6B14A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CEE9DC">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7B7E78A7">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1FF485C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构件吊装和翻身扶直时的吊点不符合设计规定，构件起吊不平稳。</w:t>
            </w:r>
          </w:p>
        </w:tc>
        <w:tc>
          <w:tcPr>
            <w:tcW w:w="1149" w:type="dxa"/>
            <w:tcBorders>
              <w:tl2br w:val="nil"/>
              <w:tr2bl w:val="nil"/>
            </w:tcBorders>
            <w:vAlign w:val="center"/>
          </w:tcPr>
          <w:p w14:paraId="15057FB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0DC5DD7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12F3498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779583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5BD1296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108</w:t>
            </w:r>
          </w:p>
        </w:tc>
        <w:tc>
          <w:tcPr>
            <w:tcW w:w="560" w:type="dxa"/>
            <w:tcBorders>
              <w:tl2br w:val="nil"/>
              <w:tr2bl w:val="nil"/>
            </w:tcBorders>
            <w:vAlign w:val="center"/>
          </w:tcPr>
          <w:p w14:paraId="69E3DC3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6D45B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A6F9320">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6F4D4794">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645015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吊装大、重构件和采用新的吊装工艺时，未进行试吊。</w:t>
            </w:r>
          </w:p>
        </w:tc>
        <w:tc>
          <w:tcPr>
            <w:tcW w:w="1149" w:type="dxa"/>
            <w:tcBorders>
              <w:tl2br w:val="nil"/>
              <w:tr2bl w:val="nil"/>
            </w:tcBorders>
            <w:vAlign w:val="center"/>
          </w:tcPr>
          <w:p w14:paraId="148CA92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0B9D6E3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62A0BAA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4531AD5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1219D2C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108</w:t>
            </w:r>
          </w:p>
        </w:tc>
        <w:tc>
          <w:tcPr>
            <w:tcW w:w="560" w:type="dxa"/>
            <w:tcBorders>
              <w:tl2br w:val="nil"/>
              <w:tr2bl w:val="nil"/>
            </w:tcBorders>
            <w:vAlign w:val="center"/>
          </w:tcPr>
          <w:p w14:paraId="495073E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3F2F7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454586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6D7AEE91">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272F55F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大雨、雾、大雪及六级以上大风等恶劣天气进行吊装作业。</w:t>
            </w:r>
          </w:p>
        </w:tc>
        <w:tc>
          <w:tcPr>
            <w:tcW w:w="1149" w:type="dxa"/>
            <w:tcBorders>
              <w:tl2br w:val="nil"/>
              <w:tr2bl w:val="nil"/>
            </w:tcBorders>
            <w:vAlign w:val="center"/>
          </w:tcPr>
          <w:p w14:paraId="49FFDC7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70AEDA1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5B326FC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3E2A801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4FC1B46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45</w:t>
            </w:r>
          </w:p>
        </w:tc>
        <w:tc>
          <w:tcPr>
            <w:tcW w:w="560" w:type="dxa"/>
            <w:tcBorders>
              <w:tl2br w:val="nil"/>
              <w:tr2bl w:val="nil"/>
            </w:tcBorders>
            <w:vAlign w:val="center"/>
          </w:tcPr>
          <w:p w14:paraId="7D17726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1C233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510F3BD">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0C24F3EA">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02B19FA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采用了斜拉、斜吊，或者起吊埋于地下或粘结在地面上的构件。</w:t>
            </w:r>
          </w:p>
        </w:tc>
        <w:tc>
          <w:tcPr>
            <w:tcW w:w="1149" w:type="dxa"/>
            <w:tcBorders>
              <w:tl2br w:val="nil"/>
              <w:tr2bl w:val="nil"/>
            </w:tcBorders>
            <w:vAlign w:val="center"/>
          </w:tcPr>
          <w:p w14:paraId="66726A3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32876E9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04147B3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4FFB0CD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2DDE900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108</w:t>
            </w:r>
          </w:p>
        </w:tc>
        <w:tc>
          <w:tcPr>
            <w:tcW w:w="560" w:type="dxa"/>
            <w:tcBorders>
              <w:tl2br w:val="nil"/>
              <w:tr2bl w:val="nil"/>
            </w:tcBorders>
            <w:vAlign w:val="center"/>
          </w:tcPr>
          <w:p w14:paraId="55B2843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1F2F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0649DCE">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57B02E2A">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9C088B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超载吊装和起吊重量不明的重大构件和设备</w:t>
            </w:r>
          </w:p>
        </w:tc>
        <w:tc>
          <w:tcPr>
            <w:tcW w:w="1149" w:type="dxa"/>
            <w:tcBorders>
              <w:tl2br w:val="nil"/>
              <w:tr2bl w:val="nil"/>
            </w:tcBorders>
            <w:vAlign w:val="center"/>
          </w:tcPr>
          <w:p w14:paraId="2B5BA7A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169B1E9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5E4361B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4050363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1CDF568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270</w:t>
            </w:r>
          </w:p>
        </w:tc>
        <w:tc>
          <w:tcPr>
            <w:tcW w:w="560" w:type="dxa"/>
            <w:tcBorders>
              <w:tl2br w:val="nil"/>
              <w:tr2bl w:val="nil"/>
            </w:tcBorders>
            <w:vAlign w:val="center"/>
          </w:tcPr>
          <w:p w14:paraId="1E90A69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7B239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665D059">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7222FC9C">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55CC80E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在吊起的构件上行走或站立，或者用起重机载运人员、在构件上堆放或悬挂零星物件。</w:t>
            </w:r>
          </w:p>
        </w:tc>
        <w:tc>
          <w:tcPr>
            <w:tcW w:w="1149" w:type="dxa"/>
            <w:tcBorders>
              <w:tl2br w:val="nil"/>
              <w:tr2bl w:val="nil"/>
            </w:tcBorders>
            <w:vAlign w:val="center"/>
          </w:tcPr>
          <w:p w14:paraId="0C3CD00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起重伤害</w:t>
            </w:r>
          </w:p>
        </w:tc>
        <w:tc>
          <w:tcPr>
            <w:tcW w:w="550" w:type="dxa"/>
            <w:tcBorders>
              <w:tl2br w:val="nil"/>
              <w:tr2bl w:val="nil"/>
            </w:tcBorders>
            <w:vAlign w:val="center"/>
          </w:tcPr>
          <w:p w14:paraId="2F6D76F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7389F51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082DA4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2B379F9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135</w:t>
            </w:r>
          </w:p>
        </w:tc>
        <w:tc>
          <w:tcPr>
            <w:tcW w:w="560" w:type="dxa"/>
            <w:tcBorders>
              <w:tl2br w:val="nil"/>
              <w:tr2bl w:val="nil"/>
            </w:tcBorders>
            <w:vAlign w:val="center"/>
          </w:tcPr>
          <w:p w14:paraId="7DD6773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FB22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75" w:type="dxa"/>
            <w:tcBorders>
              <w:tl2br w:val="nil"/>
              <w:tr2bl w:val="nil"/>
            </w:tcBorders>
            <w:vAlign w:val="center"/>
          </w:tcPr>
          <w:p w14:paraId="757B4FC2">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1FF04394">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作业前安全条件确认</w:t>
            </w:r>
          </w:p>
        </w:tc>
        <w:tc>
          <w:tcPr>
            <w:tcW w:w="3604" w:type="dxa"/>
            <w:tcBorders>
              <w:tl2br w:val="nil"/>
              <w:tr2bl w:val="nil"/>
            </w:tcBorders>
            <w:vAlign w:val="center"/>
          </w:tcPr>
          <w:p w14:paraId="39FA86D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高处作业前，没有对安全防护设施进行检查、验收</w:t>
            </w:r>
          </w:p>
        </w:tc>
        <w:tc>
          <w:tcPr>
            <w:tcW w:w="1149" w:type="dxa"/>
            <w:tcBorders>
              <w:tl2br w:val="nil"/>
              <w:tr2bl w:val="nil"/>
            </w:tcBorders>
            <w:vAlign w:val="center"/>
          </w:tcPr>
          <w:p w14:paraId="4B56A7A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高处坠落</w:t>
            </w:r>
          </w:p>
        </w:tc>
        <w:tc>
          <w:tcPr>
            <w:tcW w:w="550" w:type="dxa"/>
            <w:tcBorders>
              <w:tl2br w:val="nil"/>
              <w:tr2bl w:val="nil"/>
            </w:tcBorders>
            <w:vAlign w:val="center"/>
          </w:tcPr>
          <w:p w14:paraId="614CB7D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3583339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6D39BC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15</w:t>
            </w:r>
          </w:p>
        </w:tc>
        <w:tc>
          <w:tcPr>
            <w:tcW w:w="590" w:type="dxa"/>
            <w:tcBorders>
              <w:tl2br w:val="nil"/>
              <w:tr2bl w:val="nil"/>
            </w:tcBorders>
            <w:vAlign w:val="center"/>
          </w:tcPr>
          <w:p w14:paraId="1487DE2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90</w:t>
            </w:r>
          </w:p>
        </w:tc>
        <w:tc>
          <w:tcPr>
            <w:tcW w:w="560" w:type="dxa"/>
            <w:tcBorders>
              <w:tl2br w:val="nil"/>
              <w:tr2bl w:val="nil"/>
            </w:tcBorders>
            <w:vAlign w:val="center"/>
          </w:tcPr>
          <w:p w14:paraId="06C3E85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40396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B98DC29">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51A5F89A">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5017D8D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高处作业施工没有对作业人员进行安全教育和交底</w:t>
            </w:r>
          </w:p>
        </w:tc>
        <w:tc>
          <w:tcPr>
            <w:tcW w:w="1149" w:type="dxa"/>
            <w:tcBorders>
              <w:tl2br w:val="nil"/>
              <w:tr2bl w:val="nil"/>
            </w:tcBorders>
            <w:vAlign w:val="center"/>
          </w:tcPr>
          <w:p w14:paraId="32BAD84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高处坠落</w:t>
            </w:r>
          </w:p>
        </w:tc>
        <w:tc>
          <w:tcPr>
            <w:tcW w:w="550" w:type="dxa"/>
            <w:tcBorders>
              <w:tl2br w:val="nil"/>
              <w:tr2bl w:val="nil"/>
            </w:tcBorders>
            <w:vAlign w:val="center"/>
          </w:tcPr>
          <w:p w14:paraId="67F2D6F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381B5BD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w:t>
            </w:r>
          </w:p>
        </w:tc>
        <w:tc>
          <w:tcPr>
            <w:tcW w:w="540" w:type="dxa"/>
            <w:tcBorders>
              <w:tl2br w:val="nil"/>
              <w:tr2bl w:val="nil"/>
            </w:tcBorders>
            <w:vAlign w:val="center"/>
          </w:tcPr>
          <w:p w14:paraId="329E88B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5EC848C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70</w:t>
            </w:r>
          </w:p>
        </w:tc>
        <w:tc>
          <w:tcPr>
            <w:tcW w:w="560" w:type="dxa"/>
            <w:tcBorders>
              <w:tl2br w:val="nil"/>
              <w:tr2bl w:val="nil"/>
            </w:tcBorders>
            <w:vAlign w:val="center"/>
          </w:tcPr>
          <w:p w14:paraId="4E5C424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46580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ED651E2">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2B86277D">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攀登作业</w:t>
            </w:r>
          </w:p>
        </w:tc>
        <w:tc>
          <w:tcPr>
            <w:tcW w:w="3604" w:type="dxa"/>
            <w:tcBorders>
              <w:tl2br w:val="nil"/>
              <w:tr2bl w:val="nil"/>
            </w:tcBorders>
            <w:vAlign w:val="center"/>
          </w:tcPr>
          <w:p w14:paraId="0D202B8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人员登高无施工通道、梯子及其它攀登设施和用具</w:t>
            </w:r>
          </w:p>
        </w:tc>
        <w:tc>
          <w:tcPr>
            <w:tcW w:w="1149" w:type="dxa"/>
            <w:tcBorders>
              <w:tl2br w:val="nil"/>
              <w:tr2bl w:val="nil"/>
            </w:tcBorders>
            <w:vAlign w:val="center"/>
          </w:tcPr>
          <w:p w14:paraId="306A317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高处坠落</w:t>
            </w:r>
          </w:p>
        </w:tc>
        <w:tc>
          <w:tcPr>
            <w:tcW w:w="550" w:type="dxa"/>
            <w:tcBorders>
              <w:tl2br w:val="nil"/>
              <w:tr2bl w:val="nil"/>
            </w:tcBorders>
            <w:vAlign w:val="center"/>
          </w:tcPr>
          <w:p w14:paraId="3F2AA70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2FA74DD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37CC5C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3638B02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126</w:t>
            </w:r>
          </w:p>
        </w:tc>
        <w:tc>
          <w:tcPr>
            <w:tcW w:w="560" w:type="dxa"/>
            <w:tcBorders>
              <w:tl2br w:val="nil"/>
              <w:tr2bl w:val="nil"/>
            </w:tcBorders>
            <w:vAlign w:val="center"/>
          </w:tcPr>
          <w:p w14:paraId="54E8A6C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6E97F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480DC92">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621410E1">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4C2E0E9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高处作业人员正确佩戴安全带，未高挂低用</w:t>
            </w:r>
          </w:p>
        </w:tc>
        <w:tc>
          <w:tcPr>
            <w:tcW w:w="1149" w:type="dxa"/>
            <w:tcBorders>
              <w:tl2br w:val="nil"/>
              <w:tr2bl w:val="nil"/>
            </w:tcBorders>
            <w:vAlign w:val="center"/>
          </w:tcPr>
          <w:p w14:paraId="2EB6AD8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高处坠落</w:t>
            </w:r>
          </w:p>
        </w:tc>
        <w:tc>
          <w:tcPr>
            <w:tcW w:w="550" w:type="dxa"/>
            <w:tcBorders>
              <w:tl2br w:val="nil"/>
              <w:tr2bl w:val="nil"/>
            </w:tcBorders>
            <w:vAlign w:val="center"/>
          </w:tcPr>
          <w:p w14:paraId="2FAA2B1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493C2B6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2E0EF6D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3A81767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126</w:t>
            </w:r>
          </w:p>
        </w:tc>
        <w:tc>
          <w:tcPr>
            <w:tcW w:w="560" w:type="dxa"/>
            <w:tcBorders>
              <w:tl2br w:val="nil"/>
              <w:tr2bl w:val="nil"/>
            </w:tcBorders>
            <w:vAlign w:val="center"/>
          </w:tcPr>
          <w:p w14:paraId="1F6E419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3C182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7BB1377">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9D0526A">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32DFBE4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工具（扳手、手锤等）未系安全绳或未放专用工具背包</w:t>
            </w:r>
          </w:p>
        </w:tc>
        <w:tc>
          <w:tcPr>
            <w:tcW w:w="1149" w:type="dxa"/>
            <w:tcBorders>
              <w:tl2br w:val="nil"/>
              <w:tr2bl w:val="nil"/>
            </w:tcBorders>
            <w:vAlign w:val="center"/>
          </w:tcPr>
          <w:p w14:paraId="048ECC6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物体打击</w:t>
            </w:r>
          </w:p>
        </w:tc>
        <w:tc>
          <w:tcPr>
            <w:tcW w:w="550" w:type="dxa"/>
            <w:tcBorders>
              <w:tl2br w:val="nil"/>
              <w:tr2bl w:val="nil"/>
            </w:tcBorders>
            <w:vAlign w:val="center"/>
          </w:tcPr>
          <w:p w14:paraId="020D051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3827610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3550F86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2E26F88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108</w:t>
            </w:r>
          </w:p>
        </w:tc>
        <w:tc>
          <w:tcPr>
            <w:tcW w:w="560" w:type="dxa"/>
            <w:tcBorders>
              <w:tl2br w:val="nil"/>
              <w:tr2bl w:val="nil"/>
            </w:tcBorders>
            <w:vAlign w:val="center"/>
          </w:tcPr>
          <w:p w14:paraId="7038AAA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42690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15AFBC7">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2058E90D">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1CAE022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攀登作业所用设施和用具的结构构造不牢固可靠</w:t>
            </w:r>
          </w:p>
        </w:tc>
        <w:tc>
          <w:tcPr>
            <w:tcW w:w="1149" w:type="dxa"/>
            <w:tcBorders>
              <w:tl2br w:val="nil"/>
              <w:tr2bl w:val="nil"/>
            </w:tcBorders>
            <w:vAlign w:val="center"/>
          </w:tcPr>
          <w:p w14:paraId="37B51E9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高处坠落</w:t>
            </w:r>
          </w:p>
        </w:tc>
        <w:tc>
          <w:tcPr>
            <w:tcW w:w="550" w:type="dxa"/>
            <w:tcBorders>
              <w:tl2br w:val="nil"/>
              <w:tr2bl w:val="nil"/>
            </w:tcBorders>
            <w:vAlign w:val="center"/>
          </w:tcPr>
          <w:p w14:paraId="1FBF604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440158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316FCE2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2F0F63A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126</w:t>
            </w:r>
          </w:p>
        </w:tc>
        <w:tc>
          <w:tcPr>
            <w:tcW w:w="560" w:type="dxa"/>
            <w:tcBorders>
              <w:tl2br w:val="nil"/>
              <w:tr2bl w:val="nil"/>
            </w:tcBorders>
            <w:vAlign w:val="center"/>
          </w:tcPr>
          <w:p w14:paraId="57C63AF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70D5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F99FA83">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tcBorders>
              <w:tl2br w:val="nil"/>
              <w:tr2bl w:val="nil"/>
            </w:tcBorders>
            <w:vAlign w:val="center"/>
          </w:tcPr>
          <w:p w14:paraId="7500412A">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保护接零</w:t>
            </w:r>
          </w:p>
        </w:tc>
        <w:tc>
          <w:tcPr>
            <w:tcW w:w="3604" w:type="dxa"/>
            <w:tcBorders>
              <w:tl2br w:val="nil"/>
              <w:tr2bl w:val="nil"/>
            </w:tcBorders>
            <w:vAlign w:val="center"/>
          </w:tcPr>
          <w:p w14:paraId="4831BAA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防雷接地装置损坏或不合规，或者未进行接地电阻值的检测</w:t>
            </w:r>
          </w:p>
        </w:tc>
        <w:tc>
          <w:tcPr>
            <w:tcW w:w="1149" w:type="dxa"/>
            <w:tcBorders>
              <w:tl2br w:val="nil"/>
              <w:tr2bl w:val="nil"/>
            </w:tcBorders>
            <w:vAlign w:val="center"/>
          </w:tcPr>
          <w:p w14:paraId="63473F6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触电</w:t>
            </w:r>
          </w:p>
        </w:tc>
        <w:tc>
          <w:tcPr>
            <w:tcW w:w="550" w:type="dxa"/>
            <w:tcBorders>
              <w:tl2br w:val="nil"/>
              <w:tr2bl w:val="nil"/>
            </w:tcBorders>
            <w:vAlign w:val="center"/>
          </w:tcPr>
          <w:p w14:paraId="2A637B4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3E18DC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7C95899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5149105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108</w:t>
            </w:r>
          </w:p>
        </w:tc>
        <w:tc>
          <w:tcPr>
            <w:tcW w:w="560" w:type="dxa"/>
            <w:tcBorders>
              <w:tl2br w:val="nil"/>
              <w:tr2bl w:val="nil"/>
            </w:tcBorders>
            <w:vAlign w:val="center"/>
          </w:tcPr>
          <w:p w14:paraId="758E844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4F91B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83C74D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tcBorders>
              <w:tl2br w:val="nil"/>
              <w:tr2bl w:val="nil"/>
            </w:tcBorders>
            <w:vAlign w:val="center"/>
          </w:tcPr>
          <w:p w14:paraId="77B44006">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其他</w:t>
            </w:r>
          </w:p>
        </w:tc>
        <w:tc>
          <w:tcPr>
            <w:tcW w:w="3604" w:type="dxa"/>
            <w:tcBorders>
              <w:tl2br w:val="nil"/>
              <w:tr2bl w:val="nil"/>
            </w:tcBorders>
            <w:vAlign w:val="center"/>
          </w:tcPr>
          <w:p w14:paraId="4A2F80E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塔身的电缆线未固定牢固，塔式起重机开关箱未单独设置或离塔身大于3米</w:t>
            </w:r>
          </w:p>
        </w:tc>
        <w:tc>
          <w:tcPr>
            <w:tcW w:w="1149" w:type="dxa"/>
            <w:tcBorders>
              <w:tl2br w:val="nil"/>
              <w:tr2bl w:val="nil"/>
            </w:tcBorders>
            <w:vAlign w:val="center"/>
          </w:tcPr>
          <w:p w14:paraId="68FD4E8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触电</w:t>
            </w:r>
          </w:p>
        </w:tc>
        <w:tc>
          <w:tcPr>
            <w:tcW w:w="550" w:type="dxa"/>
            <w:tcBorders>
              <w:tl2br w:val="nil"/>
              <w:tr2bl w:val="nil"/>
            </w:tcBorders>
            <w:vAlign w:val="center"/>
          </w:tcPr>
          <w:p w14:paraId="26B5BB5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4E10E17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4481413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3019E60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108</w:t>
            </w:r>
          </w:p>
        </w:tc>
        <w:tc>
          <w:tcPr>
            <w:tcW w:w="560" w:type="dxa"/>
            <w:tcBorders>
              <w:tl2br w:val="nil"/>
              <w:tr2bl w:val="nil"/>
            </w:tcBorders>
            <w:vAlign w:val="center"/>
          </w:tcPr>
          <w:p w14:paraId="39F14FA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02D0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5359828">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tcBorders>
              <w:tl2br w:val="nil"/>
              <w:tr2bl w:val="nil"/>
            </w:tcBorders>
            <w:vAlign w:val="center"/>
          </w:tcPr>
          <w:p w14:paraId="74606C13">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绝缘保护</w:t>
            </w:r>
          </w:p>
        </w:tc>
        <w:tc>
          <w:tcPr>
            <w:tcW w:w="3604" w:type="dxa"/>
            <w:tcBorders>
              <w:tl2br w:val="nil"/>
              <w:tr2bl w:val="nil"/>
            </w:tcBorders>
            <w:vAlign w:val="center"/>
          </w:tcPr>
          <w:p w14:paraId="3829E81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外露线路未进行绝缘保护</w:t>
            </w:r>
          </w:p>
        </w:tc>
        <w:tc>
          <w:tcPr>
            <w:tcW w:w="1149" w:type="dxa"/>
            <w:tcBorders>
              <w:tl2br w:val="nil"/>
              <w:tr2bl w:val="nil"/>
            </w:tcBorders>
            <w:vAlign w:val="center"/>
          </w:tcPr>
          <w:p w14:paraId="3B8CD41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触电</w:t>
            </w:r>
          </w:p>
        </w:tc>
        <w:tc>
          <w:tcPr>
            <w:tcW w:w="550" w:type="dxa"/>
            <w:tcBorders>
              <w:tl2br w:val="nil"/>
              <w:tr2bl w:val="nil"/>
            </w:tcBorders>
            <w:vAlign w:val="center"/>
          </w:tcPr>
          <w:p w14:paraId="38338AB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7291DF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53591D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25AEED5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108</w:t>
            </w:r>
          </w:p>
        </w:tc>
        <w:tc>
          <w:tcPr>
            <w:tcW w:w="560" w:type="dxa"/>
            <w:tcBorders>
              <w:tl2br w:val="nil"/>
              <w:tr2bl w:val="nil"/>
            </w:tcBorders>
            <w:vAlign w:val="center"/>
          </w:tcPr>
          <w:p w14:paraId="286326F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390FD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17992E0">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restart"/>
            <w:tcBorders>
              <w:tl2br w:val="nil"/>
              <w:tr2bl w:val="nil"/>
            </w:tcBorders>
            <w:vAlign w:val="center"/>
          </w:tcPr>
          <w:p w14:paraId="45EE0127">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焊接切割</w:t>
            </w:r>
          </w:p>
        </w:tc>
        <w:tc>
          <w:tcPr>
            <w:tcW w:w="3604" w:type="dxa"/>
            <w:tcBorders>
              <w:tl2br w:val="nil"/>
              <w:tr2bl w:val="nil"/>
            </w:tcBorders>
            <w:vAlign w:val="center"/>
          </w:tcPr>
          <w:p w14:paraId="42EDB55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焊接和切割未采用不可燃或耐火屏板(或屏罩)加以隔离保护</w:t>
            </w:r>
          </w:p>
        </w:tc>
        <w:tc>
          <w:tcPr>
            <w:tcW w:w="1149" w:type="dxa"/>
            <w:tcBorders>
              <w:tl2br w:val="nil"/>
              <w:tr2bl w:val="nil"/>
            </w:tcBorders>
            <w:vAlign w:val="center"/>
          </w:tcPr>
          <w:p w14:paraId="0FE5982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火灾</w:t>
            </w:r>
          </w:p>
        </w:tc>
        <w:tc>
          <w:tcPr>
            <w:tcW w:w="550" w:type="dxa"/>
            <w:tcBorders>
              <w:tl2br w:val="nil"/>
              <w:tr2bl w:val="nil"/>
            </w:tcBorders>
            <w:vAlign w:val="center"/>
          </w:tcPr>
          <w:p w14:paraId="030D2EC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56A82E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14C57FB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90" w:type="dxa"/>
            <w:tcBorders>
              <w:tl2br w:val="nil"/>
              <w:tr2bl w:val="nil"/>
            </w:tcBorders>
            <w:vAlign w:val="center"/>
          </w:tcPr>
          <w:p w14:paraId="351A1E6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36</w:t>
            </w:r>
          </w:p>
        </w:tc>
        <w:tc>
          <w:tcPr>
            <w:tcW w:w="560" w:type="dxa"/>
            <w:tcBorders>
              <w:tl2br w:val="nil"/>
              <w:tr2bl w:val="nil"/>
            </w:tcBorders>
            <w:vAlign w:val="center"/>
          </w:tcPr>
          <w:p w14:paraId="55C3D36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55B58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E8448E5">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1F26B196">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6F81386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电焊机未配置防触电保护器，外壳未接零或接地保护</w:t>
            </w:r>
          </w:p>
        </w:tc>
        <w:tc>
          <w:tcPr>
            <w:tcW w:w="1149" w:type="dxa"/>
            <w:tcBorders>
              <w:tl2br w:val="nil"/>
              <w:tr2bl w:val="nil"/>
            </w:tcBorders>
            <w:vAlign w:val="center"/>
          </w:tcPr>
          <w:p w14:paraId="066866B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触电</w:t>
            </w:r>
          </w:p>
        </w:tc>
        <w:tc>
          <w:tcPr>
            <w:tcW w:w="550" w:type="dxa"/>
            <w:tcBorders>
              <w:tl2br w:val="nil"/>
              <w:tr2bl w:val="nil"/>
            </w:tcBorders>
            <w:vAlign w:val="center"/>
          </w:tcPr>
          <w:p w14:paraId="3F16CC7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0CE1E7E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7B05AA3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4F2B2C9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42</w:t>
            </w:r>
          </w:p>
        </w:tc>
        <w:tc>
          <w:tcPr>
            <w:tcW w:w="560" w:type="dxa"/>
            <w:tcBorders>
              <w:tl2br w:val="nil"/>
              <w:tr2bl w:val="nil"/>
            </w:tcBorders>
            <w:vAlign w:val="center"/>
          </w:tcPr>
          <w:p w14:paraId="63E47A6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5C9A4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82F6332">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65548E53">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00D1E1C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焊接作业场地周围未清除易燃易爆物品或未进行覆盖、隔离</w:t>
            </w:r>
          </w:p>
        </w:tc>
        <w:tc>
          <w:tcPr>
            <w:tcW w:w="1149" w:type="dxa"/>
            <w:tcBorders>
              <w:tl2br w:val="nil"/>
              <w:tr2bl w:val="nil"/>
            </w:tcBorders>
            <w:vAlign w:val="center"/>
          </w:tcPr>
          <w:p w14:paraId="12AF04A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触电</w:t>
            </w:r>
          </w:p>
        </w:tc>
        <w:tc>
          <w:tcPr>
            <w:tcW w:w="550" w:type="dxa"/>
            <w:tcBorders>
              <w:tl2br w:val="nil"/>
              <w:tr2bl w:val="nil"/>
            </w:tcBorders>
            <w:vAlign w:val="center"/>
          </w:tcPr>
          <w:p w14:paraId="6D74909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1C1FF0C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51FA35C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1EBE2A6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42</w:t>
            </w:r>
          </w:p>
        </w:tc>
        <w:tc>
          <w:tcPr>
            <w:tcW w:w="560" w:type="dxa"/>
            <w:tcBorders>
              <w:tl2br w:val="nil"/>
              <w:tr2bl w:val="nil"/>
            </w:tcBorders>
            <w:vAlign w:val="center"/>
          </w:tcPr>
          <w:p w14:paraId="7986137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7A791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7DCBA75">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17992C15">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2BEC891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电焊机未按照“一机一闸”的原则设置开关箱</w:t>
            </w:r>
          </w:p>
        </w:tc>
        <w:tc>
          <w:tcPr>
            <w:tcW w:w="1149" w:type="dxa"/>
            <w:tcBorders>
              <w:tl2br w:val="nil"/>
              <w:tr2bl w:val="nil"/>
            </w:tcBorders>
            <w:vAlign w:val="center"/>
          </w:tcPr>
          <w:p w14:paraId="4B0DD35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触电</w:t>
            </w:r>
          </w:p>
        </w:tc>
        <w:tc>
          <w:tcPr>
            <w:tcW w:w="550" w:type="dxa"/>
            <w:tcBorders>
              <w:tl2br w:val="nil"/>
              <w:tr2bl w:val="nil"/>
            </w:tcBorders>
            <w:vAlign w:val="center"/>
          </w:tcPr>
          <w:p w14:paraId="4F64304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500452F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3F3F673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782048B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42</w:t>
            </w:r>
          </w:p>
        </w:tc>
        <w:tc>
          <w:tcPr>
            <w:tcW w:w="560" w:type="dxa"/>
            <w:tcBorders>
              <w:tl2br w:val="nil"/>
              <w:tr2bl w:val="nil"/>
            </w:tcBorders>
            <w:vAlign w:val="center"/>
          </w:tcPr>
          <w:p w14:paraId="04928F5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26565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F16F494">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09BCC536">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53395484">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氧气瓶、气瓶阀、接头、减压阀、软管及设备没有与油、脂及其它可燃物或爆炸物相隔离</w:t>
            </w:r>
          </w:p>
        </w:tc>
        <w:tc>
          <w:tcPr>
            <w:tcW w:w="1149" w:type="dxa"/>
            <w:tcBorders>
              <w:tl2br w:val="nil"/>
              <w:tr2bl w:val="nil"/>
            </w:tcBorders>
            <w:vAlign w:val="center"/>
          </w:tcPr>
          <w:p w14:paraId="5B22EC9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火灾等</w:t>
            </w:r>
          </w:p>
        </w:tc>
        <w:tc>
          <w:tcPr>
            <w:tcW w:w="550" w:type="dxa"/>
            <w:tcBorders>
              <w:tl2br w:val="nil"/>
              <w:tr2bl w:val="nil"/>
            </w:tcBorders>
            <w:vAlign w:val="center"/>
          </w:tcPr>
          <w:p w14:paraId="62D7AFF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w:t>
            </w:r>
          </w:p>
        </w:tc>
        <w:tc>
          <w:tcPr>
            <w:tcW w:w="540" w:type="dxa"/>
            <w:tcBorders>
              <w:tl2br w:val="nil"/>
              <w:tr2bl w:val="nil"/>
            </w:tcBorders>
            <w:vAlign w:val="center"/>
          </w:tcPr>
          <w:p w14:paraId="7F63BD1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w:t>
            </w:r>
          </w:p>
        </w:tc>
        <w:tc>
          <w:tcPr>
            <w:tcW w:w="540" w:type="dxa"/>
            <w:tcBorders>
              <w:tl2br w:val="nil"/>
              <w:tr2bl w:val="nil"/>
            </w:tcBorders>
            <w:vAlign w:val="center"/>
          </w:tcPr>
          <w:p w14:paraId="5346F46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w:t>
            </w:r>
          </w:p>
        </w:tc>
        <w:tc>
          <w:tcPr>
            <w:tcW w:w="590" w:type="dxa"/>
            <w:tcBorders>
              <w:tl2br w:val="nil"/>
              <w:tr2bl w:val="nil"/>
            </w:tcBorders>
            <w:vAlign w:val="center"/>
          </w:tcPr>
          <w:p w14:paraId="4D8ACE5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70</w:t>
            </w:r>
          </w:p>
        </w:tc>
        <w:tc>
          <w:tcPr>
            <w:tcW w:w="560" w:type="dxa"/>
            <w:tcBorders>
              <w:tl2br w:val="nil"/>
              <w:tr2bl w:val="nil"/>
            </w:tcBorders>
            <w:vAlign w:val="center"/>
          </w:tcPr>
          <w:p w14:paraId="44AF066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Ⅱ</w:t>
            </w:r>
          </w:p>
        </w:tc>
      </w:tr>
      <w:tr w14:paraId="0FC9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36C21B2">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498A7B79">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751BA9C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气瓶未直立安放牢固（乙炔瓶禁止卧放或倾倒）。</w:t>
            </w:r>
          </w:p>
        </w:tc>
        <w:tc>
          <w:tcPr>
            <w:tcW w:w="1149" w:type="dxa"/>
            <w:tcBorders>
              <w:tl2br w:val="nil"/>
              <w:tr2bl w:val="nil"/>
            </w:tcBorders>
            <w:vAlign w:val="center"/>
          </w:tcPr>
          <w:p w14:paraId="346CEBB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容器爆炸</w:t>
            </w:r>
          </w:p>
        </w:tc>
        <w:tc>
          <w:tcPr>
            <w:tcW w:w="550" w:type="dxa"/>
            <w:tcBorders>
              <w:tl2br w:val="nil"/>
              <w:tr2bl w:val="nil"/>
            </w:tcBorders>
            <w:vAlign w:val="center"/>
          </w:tcPr>
          <w:p w14:paraId="2A70477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w:t>
            </w:r>
          </w:p>
        </w:tc>
        <w:tc>
          <w:tcPr>
            <w:tcW w:w="540" w:type="dxa"/>
            <w:tcBorders>
              <w:tl2br w:val="nil"/>
              <w:tr2bl w:val="nil"/>
            </w:tcBorders>
            <w:vAlign w:val="center"/>
          </w:tcPr>
          <w:p w14:paraId="37865D1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36E6E0A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1842E92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180</w:t>
            </w:r>
          </w:p>
        </w:tc>
        <w:tc>
          <w:tcPr>
            <w:tcW w:w="560" w:type="dxa"/>
            <w:tcBorders>
              <w:tl2br w:val="nil"/>
              <w:tr2bl w:val="nil"/>
            </w:tcBorders>
            <w:vAlign w:val="center"/>
          </w:tcPr>
          <w:p w14:paraId="12BE327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63647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0CBA629">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05C7001C">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4D951D0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氧气瓶、乙炔瓶未分开存放</w:t>
            </w:r>
          </w:p>
        </w:tc>
        <w:tc>
          <w:tcPr>
            <w:tcW w:w="1149" w:type="dxa"/>
            <w:tcBorders>
              <w:tl2br w:val="nil"/>
              <w:tr2bl w:val="nil"/>
            </w:tcBorders>
            <w:vAlign w:val="center"/>
          </w:tcPr>
          <w:p w14:paraId="452A443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火灾</w:t>
            </w:r>
          </w:p>
        </w:tc>
        <w:tc>
          <w:tcPr>
            <w:tcW w:w="550" w:type="dxa"/>
            <w:tcBorders>
              <w:tl2br w:val="nil"/>
              <w:tr2bl w:val="nil"/>
            </w:tcBorders>
            <w:vAlign w:val="center"/>
          </w:tcPr>
          <w:p w14:paraId="719041B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w:t>
            </w:r>
          </w:p>
        </w:tc>
        <w:tc>
          <w:tcPr>
            <w:tcW w:w="540" w:type="dxa"/>
            <w:tcBorders>
              <w:tl2br w:val="nil"/>
              <w:tr2bl w:val="nil"/>
            </w:tcBorders>
            <w:vAlign w:val="center"/>
          </w:tcPr>
          <w:p w14:paraId="27C370F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622A5EB0">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2AC90C1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180</w:t>
            </w:r>
          </w:p>
        </w:tc>
        <w:tc>
          <w:tcPr>
            <w:tcW w:w="560" w:type="dxa"/>
            <w:tcBorders>
              <w:tl2br w:val="nil"/>
              <w:tr2bl w:val="nil"/>
            </w:tcBorders>
            <w:vAlign w:val="center"/>
          </w:tcPr>
          <w:p w14:paraId="05A9A50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2E058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54117C6">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vMerge w:val="continue"/>
            <w:tcBorders>
              <w:tl2br w:val="nil"/>
              <w:tr2bl w:val="nil"/>
            </w:tcBorders>
            <w:vAlign w:val="center"/>
          </w:tcPr>
          <w:p w14:paraId="0C84C535">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p>
        </w:tc>
        <w:tc>
          <w:tcPr>
            <w:tcW w:w="3604" w:type="dxa"/>
            <w:tcBorders>
              <w:tl2br w:val="nil"/>
              <w:tr2bl w:val="nil"/>
            </w:tcBorders>
            <w:vAlign w:val="center"/>
          </w:tcPr>
          <w:p w14:paraId="43BB90A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氧气瓶、乙炔瓶存放处无禁火标志，未配备消防器材。</w:t>
            </w:r>
          </w:p>
        </w:tc>
        <w:tc>
          <w:tcPr>
            <w:tcW w:w="1149" w:type="dxa"/>
            <w:tcBorders>
              <w:tl2br w:val="nil"/>
              <w:tr2bl w:val="nil"/>
            </w:tcBorders>
            <w:vAlign w:val="center"/>
          </w:tcPr>
          <w:p w14:paraId="06C9E15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火灾</w:t>
            </w:r>
          </w:p>
        </w:tc>
        <w:tc>
          <w:tcPr>
            <w:tcW w:w="550" w:type="dxa"/>
            <w:tcBorders>
              <w:tl2br w:val="nil"/>
              <w:tr2bl w:val="nil"/>
            </w:tcBorders>
            <w:vAlign w:val="center"/>
          </w:tcPr>
          <w:p w14:paraId="3738878C">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288BCB8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10</w:t>
            </w:r>
          </w:p>
        </w:tc>
        <w:tc>
          <w:tcPr>
            <w:tcW w:w="540" w:type="dxa"/>
            <w:tcBorders>
              <w:tl2br w:val="nil"/>
              <w:tr2bl w:val="nil"/>
            </w:tcBorders>
            <w:vAlign w:val="center"/>
          </w:tcPr>
          <w:p w14:paraId="6176DEB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1F82C36D">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180</w:t>
            </w:r>
          </w:p>
        </w:tc>
        <w:tc>
          <w:tcPr>
            <w:tcW w:w="560" w:type="dxa"/>
            <w:tcBorders>
              <w:tl2br w:val="nil"/>
              <w:tr2bl w:val="nil"/>
            </w:tcBorders>
            <w:vAlign w:val="center"/>
          </w:tcPr>
          <w:p w14:paraId="2986DDB1">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Ⅲ</w:t>
            </w:r>
          </w:p>
        </w:tc>
      </w:tr>
      <w:tr w14:paraId="35855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0F63779">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tcBorders>
              <w:tl2br w:val="nil"/>
              <w:tr2bl w:val="nil"/>
            </w:tcBorders>
            <w:vAlign w:val="center"/>
          </w:tcPr>
          <w:p w14:paraId="34CCCBA3">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电焊</w:t>
            </w:r>
          </w:p>
        </w:tc>
        <w:tc>
          <w:tcPr>
            <w:tcW w:w="3604" w:type="dxa"/>
            <w:tcBorders>
              <w:tl2br w:val="nil"/>
              <w:tr2bl w:val="nil"/>
            </w:tcBorders>
            <w:vAlign w:val="center"/>
          </w:tcPr>
          <w:p w14:paraId="0AA800F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未佩戴面罩或护目镜</w:t>
            </w:r>
          </w:p>
        </w:tc>
        <w:tc>
          <w:tcPr>
            <w:tcW w:w="1149" w:type="dxa"/>
            <w:tcBorders>
              <w:tl2br w:val="nil"/>
              <w:tr2bl w:val="nil"/>
            </w:tcBorders>
            <w:vAlign w:val="center"/>
          </w:tcPr>
          <w:p w14:paraId="4C38D23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其他</w:t>
            </w:r>
          </w:p>
        </w:tc>
        <w:tc>
          <w:tcPr>
            <w:tcW w:w="550" w:type="dxa"/>
            <w:tcBorders>
              <w:tl2br w:val="nil"/>
              <w:tr2bl w:val="nil"/>
            </w:tcBorders>
            <w:vAlign w:val="center"/>
          </w:tcPr>
          <w:p w14:paraId="121A770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74026A69">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75DCEDD3">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1524A8BE">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54</w:t>
            </w:r>
          </w:p>
        </w:tc>
        <w:tc>
          <w:tcPr>
            <w:tcW w:w="560" w:type="dxa"/>
            <w:tcBorders>
              <w:tl2br w:val="nil"/>
              <w:tr2bl w:val="nil"/>
            </w:tcBorders>
            <w:vAlign w:val="center"/>
          </w:tcPr>
          <w:p w14:paraId="0FA748B8">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tr w14:paraId="68D99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8003B23">
            <w:pPr>
              <w:numPr>
                <w:ilvl w:val="0"/>
                <w:numId w:val="47"/>
              </w:numPr>
              <w:spacing w:line="0" w:lineRule="atLeast"/>
              <w:ind w:firstLineChars="0"/>
              <w:jc w:val="center"/>
              <w:rPr>
                <w:rFonts w:ascii="宋体" w:hAnsi="宋体" w:cs="宋体"/>
                <w:color w:val="000000" w:themeColor="text1"/>
                <w:sz w:val="21"/>
                <w:highlight w:val="yellow"/>
                <w14:textFill>
                  <w14:solidFill>
                    <w14:schemeClr w14:val="tx1"/>
                  </w14:solidFill>
                </w14:textFill>
              </w:rPr>
            </w:pPr>
          </w:p>
        </w:tc>
        <w:tc>
          <w:tcPr>
            <w:tcW w:w="995" w:type="dxa"/>
            <w:tcBorders>
              <w:tl2br w:val="nil"/>
              <w:tr2bl w:val="nil"/>
            </w:tcBorders>
            <w:vAlign w:val="center"/>
          </w:tcPr>
          <w:p w14:paraId="67DFF837">
            <w:pPr>
              <w:spacing w:line="27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劳保</w:t>
            </w:r>
          </w:p>
        </w:tc>
        <w:tc>
          <w:tcPr>
            <w:tcW w:w="3604" w:type="dxa"/>
            <w:tcBorders>
              <w:tl2br w:val="nil"/>
              <w:tr2bl w:val="nil"/>
            </w:tcBorders>
            <w:vAlign w:val="center"/>
          </w:tcPr>
          <w:p w14:paraId="5B33945B">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攀登作业未穿防滑鞋</w:t>
            </w:r>
          </w:p>
        </w:tc>
        <w:tc>
          <w:tcPr>
            <w:tcW w:w="1149" w:type="dxa"/>
            <w:tcBorders>
              <w:tl2br w:val="nil"/>
              <w:tr2bl w:val="nil"/>
            </w:tcBorders>
            <w:vAlign w:val="center"/>
          </w:tcPr>
          <w:p w14:paraId="35040DC7">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其他</w:t>
            </w:r>
          </w:p>
        </w:tc>
        <w:tc>
          <w:tcPr>
            <w:tcW w:w="550" w:type="dxa"/>
            <w:tcBorders>
              <w:tl2br w:val="nil"/>
              <w:tr2bl w:val="nil"/>
            </w:tcBorders>
            <w:vAlign w:val="center"/>
          </w:tcPr>
          <w:p w14:paraId="79E8A2E5">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6</w:t>
            </w:r>
          </w:p>
        </w:tc>
        <w:tc>
          <w:tcPr>
            <w:tcW w:w="540" w:type="dxa"/>
            <w:tcBorders>
              <w:tl2br w:val="nil"/>
              <w:tr2bl w:val="nil"/>
            </w:tcBorders>
            <w:vAlign w:val="center"/>
          </w:tcPr>
          <w:p w14:paraId="648B196F">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40" w:type="dxa"/>
            <w:tcBorders>
              <w:tl2br w:val="nil"/>
              <w:tr2bl w:val="nil"/>
            </w:tcBorders>
            <w:vAlign w:val="center"/>
          </w:tcPr>
          <w:p w14:paraId="61C55886">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3</w:t>
            </w:r>
          </w:p>
        </w:tc>
        <w:tc>
          <w:tcPr>
            <w:tcW w:w="590" w:type="dxa"/>
            <w:tcBorders>
              <w:tl2br w:val="nil"/>
              <w:tr2bl w:val="nil"/>
            </w:tcBorders>
            <w:vAlign w:val="center"/>
          </w:tcPr>
          <w:p w14:paraId="25A9DF7A">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54</w:t>
            </w:r>
          </w:p>
        </w:tc>
        <w:tc>
          <w:tcPr>
            <w:tcW w:w="560" w:type="dxa"/>
            <w:tcBorders>
              <w:tl2br w:val="nil"/>
              <w:tr2bl w:val="nil"/>
            </w:tcBorders>
            <w:vAlign w:val="center"/>
          </w:tcPr>
          <w:p w14:paraId="341A80D2">
            <w:pPr>
              <w:spacing w:line="280" w:lineRule="exact"/>
              <w:ind w:firstLine="0" w:firstLineChars="0"/>
              <w:jc w:val="center"/>
              <w:rPr>
                <w:rFonts w:hint="eastAsia" w:ascii="宋体" w:hAnsi="宋体" w:eastAsia="宋体" w:cs="宋体"/>
                <w:color w:val="000000" w:themeColor="text1"/>
                <w:sz w:val="21"/>
                <w:highlight w:val="yellow"/>
                <w14:textFill>
                  <w14:solidFill>
                    <w14:schemeClr w14:val="tx1"/>
                  </w14:solidFill>
                </w14:textFill>
              </w:rPr>
            </w:pPr>
            <w:r>
              <w:rPr>
                <w:rFonts w:hint="eastAsia" w:ascii="宋体" w:hAnsi="宋体" w:eastAsia="宋体" w:cs="宋体"/>
                <w:color w:val="000000" w:themeColor="text1"/>
                <w:sz w:val="21"/>
                <w:highlight w:val="yellow"/>
                <w14:textFill>
                  <w14:solidFill>
                    <w14:schemeClr w14:val="tx1"/>
                  </w14:solidFill>
                </w14:textFill>
              </w:rPr>
              <w:t>Ⅰ</w:t>
            </w:r>
          </w:p>
        </w:tc>
      </w:tr>
      <w:bookmarkEnd w:id="183"/>
    </w:tbl>
    <w:p w14:paraId="03D89E34">
      <w:pPr>
        <w:pStyle w:val="6"/>
        <w:numPr>
          <w:ilvl w:val="0"/>
          <w:numId w:val="46"/>
        </w:numPr>
        <w:tabs>
          <w:tab w:val="left" w:pos="0"/>
        </w:tabs>
        <w:ind w:left="425" w:leftChars="0" w:hanging="425" w:firstLineChars="0"/>
        <w:rPr>
          <w:highlight w:val="yellow"/>
        </w:rPr>
      </w:pPr>
      <w:r>
        <w:rPr>
          <w:highlight w:val="yellow"/>
        </w:rPr>
        <w:t>风险分析结论</w:t>
      </w:r>
    </w:p>
    <w:p w14:paraId="4D4F3BED">
      <w:pPr>
        <w:ind w:firstLine="480"/>
      </w:pPr>
      <w:r>
        <w:rPr>
          <w:highlight w:val="yellow"/>
        </w:rPr>
        <w:t>根据施工作业风险LEC法评估结果表，</w:t>
      </w:r>
      <w:bookmarkStart w:id="184" w:name="_Hlk114688223"/>
      <w:r>
        <w:rPr>
          <w:highlight w:val="yellow"/>
        </w:rPr>
        <w:t>显著危险的有</w:t>
      </w:r>
      <w:r>
        <w:rPr>
          <w:rFonts w:hint="eastAsia"/>
          <w:highlight w:val="yellow"/>
          <w:lang w:val="en-US" w:eastAsia="zh-CN"/>
        </w:rPr>
        <w:t>75</w:t>
      </w:r>
      <w:r>
        <w:rPr>
          <w:highlight w:val="yellow"/>
        </w:rPr>
        <w:t>项：包括高处坠落、起重伤害、物体打击、触电、机械伤害、火灾、坍塌，需要制定针对性安全措施，具体措施详见</w:t>
      </w:r>
      <w:r>
        <w:rPr>
          <w:rFonts w:hint="eastAsia"/>
          <w:highlight w:val="yellow"/>
          <w:lang w:val="en-US" w:eastAsia="zh-CN"/>
        </w:rPr>
        <w:t>7章</w:t>
      </w:r>
      <w:r>
        <w:rPr>
          <w:highlight w:val="yellow"/>
        </w:rPr>
        <w:t>节</w:t>
      </w:r>
      <w:bookmarkEnd w:id="184"/>
      <w:r>
        <w:rPr>
          <w:highlight w:val="yellow"/>
        </w:rPr>
        <w:t>。</w:t>
      </w:r>
      <w:bookmarkEnd w:id="181"/>
    </w:p>
    <w:p w14:paraId="2E180B0E">
      <w:pPr>
        <w:pStyle w:val="5"/>
        <w:pageBreakBefore w:val="0"/>
        <w:widowControl w:val="0"/>
        <w:numPr>
          <w:ilvl w:val="1"/>
          <w:numId w:val="6"/>
        </w:numPr>
        <w:kinsoku/>
        <w:wordWrap/>
        <w:overflowPunct/>
        <w:topLinePunct w:val="0"/>
        <w:autoSpaceDE/>
        <w:autoSpaceDN/>
        <w:bidi w:val="0"/>
        <w:adjustRightInd/>
        <w:snapToGrid/>
        <w:spacing w:line="240" w:lineRule="auto"/>
        <w:ind w:left="567" w:leftChars="0" w:hanging="567" w:firstLineChars="0"/>
        <w:textAlignment w:val="auto"/>
        <w:rPr>
          <w:rFonts w:cs="Times New Roman"/>
        </w:rPr>
      </w:pPr>
      <w:bookmarkStart w:id="185" w:name="_Toc12960"/>
      <w:r>
        <w:rPr>
          <w:rFonts w:cs="Times New Roman"/>
        </w:rPr>
        <w:t>质量、环保、安全管理措施</w:t>
      </w:r>
      <w:bookmarkEnd w:id="185"/>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033"/>
        <w:gridCol w:w="4017"/>
        <w:gridCol w:w="1169"/>
        <w:gridCol w:w="1141"/>
      </w:tblGrid>
      <w:tr w14:paraId="71DD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Align w:val="center"/>
          </w:tcPr>
          <w:p w14:paraId="7F3163CF">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管理内容</w:t>
            </w:r>
          </w:p>
        </w:tc>
        <w:tc>
          <w:tcPr>
            <w:tcW w:w="2963" w:type="pct"/>
            <w:gridSpan w:val="2"/>
            <w:vAlign w:val="center"/>
          </w:tcPr>
          <w:p w14:paraId="09FB3724">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控制措施</w:t>
            </w:r>
          </w:p>
        </w:tc>
        <w:tc>
          <w:tcPr>
            <w:tcW w:w="686" w:type="pct"/>
            <w:vAlign w:val="center"/>
          </w:tcPr>
          <w:p w14:paraId="7DF2FA71">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责任人</w:t>
            </w:r>
          </w:p>
        </w:tc>
        <w:tc>
          <w:tcPr>
            <w:tcW w:w="669" w:type="pct"/>
            <w:vAlign w:val="center"/>
          </w:tcPr>
          <w:p w14:paraId="27D6F686">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时间要求</w:t>
            </w:r>
          </w:p>
        </w:tc>
      </w:tr>
      <w:tr w14:paraId="643D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restart"/>
            <w:vAlign w:val="center"/>
          </w:tcPr>
          <w:p w14:paraId="5EC6EF04">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质量控制</w:t>
            </w:r>
          </w:p>
        </w:tc>
        <w:tc>
          <w:tcPr>
            <w:tcW w:w="2963" w:type="pct"/>
            <w:gridSpan w:val="2"/>
            <w:vAlign w:val="center"/>
          </w:tcPr>
          <w:p w14:paraId="0A40BA1A">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技术人员编制出的拆除施工方案，必须履行审批手续，经主管工程师审核、总工程师批准后实施。</w:t>
            </w:r>
          </w:p>
        </w:tc>
        <w:tc>
          <w:tcPr>
            <w:tcW w:w="686" w:type="pct"/>
            <w:vAlign w:val="center"/>
          </w:tcPr>
          <w:p w14:paraId="29DD8107">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技术人员</w:t>
            </w:r>
          </w:p>
        </w:tc>
        <w:tc>
          <w:tcPr>
            <w:tcW w:w="669" w:type="pct"/>
            <w:vAlign w:val="center"/>
          </w:tcPr>
          <w:p w14:paraId="79DF704C">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前</w:t>
            </w:r>
          </w:p>
        </w:tc>
      </w:tr>
      <w:tr w14:paraId="024E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6F839C4">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963" w:type="pct"/>
            <w:gridSpan w:val="2"/>
            <w:vAlign w:val="center"/>
          </w:tcPr>
          <w:p w14:paraId="722A45D9">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安拆工长负责执行每道作业程序，确保施工工艺执行率100%；</w:t>
            </w:r>
          </w:p>
        </w:tc>
        <w:tc>
          <w:tcPr>
            <w:tcW w:w="686" w:type="pct"/>
            <w:vAlign w:val="center"/>
          </w:tcPr>
          <w:p w14:paraId="5C4DD0DF">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tc>
        <w:tc>
          <w:tcPr>
            <w:tcW w:w="669" w:type="pct"/>
            <w:vAlign w:val="center"/>
          </w:tcPr>
          <w:p w14:paraId="17CA8815">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05C1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74D31448">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963" w:type="pct"/>
            <w:gridSpan w:val="2"/>
            <w:vAlign w:val="center"/>
          </w:tcPr>
          <w:p w14:paraId="6CDB7D4C">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实施对施工设备、工具、索具每日安全检查、维护保养，确保设备安全无故障运行；</w:t>
            </w:r>
          </w:p>
        </w:tc>
        <w:tc>
          <w:tcPr>
            <w:tcW w:w="686" w:type="pct"/>
            <w:vAlign w:val="center"/>
          </w:tcPr>
          <w:p w14:paraId="040EBA52">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塔吊司机</w:t>
            </w:r>
          </w:p>
        </w:tc>
        <w:tc>
          <w:tcPr>
            <w:tcW w:w="669" w:type="pct"/>
            <w:vAlign w:val="center"/>
          </w:tcPr>
          <w:p w14:paraId="43E2BEC1">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前</w:t>
            </w:r>
          </w:p>
        </w:tc>
      </w:tr>
      <w:tr w14:paraId="22C6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6FD0AC00">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963" w:type="pct"/>
            <w:gridSpan w:val="2"/>
            <w:vAlign w:val="center"/>
          </w:tcPr>
          <w:p w14:paraId="0E1556D5">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施工服务及维修人员严格执行劳动纪律，保持良好的服务态度，虚心听取建设单位意见，确保服务质量满足客户要求。</w:t>
            </w:r>
          </w:p>
        </w:tc>
        <w:tc>
          <w:tcPr>
            <w:tcW w:w="686" w:type="pct"/>
            <w:vAlign w:val="center"/>
          </w:tcPr>
          <w:p w14:paraId="2EDF2AAE">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安装班组</w:t>
            </w:r>
          </w:p>
        </w:tc>
        <w:tc>
          <w:tcPr>
            <w:tcW w:w="669" w:type="pct"/>
            <w:vAlign w:val="center"/>
          </w:tcPr>
          <w:p w14:paraId="59D1DA33">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1D7E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restart"/>
            <w:vAlign w:val="center"/>
          </w:tcPr>
          <w:p w14:paraId="29E4766A">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重要环境因素控制</w:t>
            </w:r>
          </w:p>
        </w:tc>
        <w:tc>
          <w:tcPr>
            <w:tcW w:w="606" w:type="pct"/>
            <w:vAlign w:val="center"/>
          </w:tcPr>
          <w:p w14:paraId="21D9E773">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危险废弃物</w:t>
            </w:r>
          </w:p>
        </w:tc>
        <w:tc>
          <w:tcPr>
            <w:tcW w:w="2357" w:type="pct"/>
            <w:vAlign w:val="center"/>
          </w:tcPr>
          <w:p w14:paraId="118CEDA9">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含油棉纱、手套、废机油应集中收集，按规定统一处置；严格控制设备漏油，防止污染。</w:t>
            </w:r>
          </w:p>
        </w:tc>
        <w:tc>
          <w:tcPr>
            <w:tcW w:w="686" w:type="pct"/>
            <w:vAlign w:val="center"/>
          </w:tcPr>
          <w:p w14:paraId="733106C5">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tc>
        <w:tc>
          <w:tcPr>
            <w:tcW w:w="669" w:type="pct"/>
            <w:vAlign w:val="center"/>
          </w:tcPr>
          <w:p w14:paraId="567C4D3D">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65D0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2A7CDF7B">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Align w:val="center"/>
          </w:tcPr>
          <w:p w14:paraId="0146AD38">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火灾</w:t>
            </w:r>
          </w:p>
        </w:tc>
        <w:tc>
          <w:tcPr>
            <w:tcW w:w="2357" w:type="pct"/>
            <w:vAlign w:val="center"/>
          </w:tcPr>
          <w:p w14:paraId="22543F9C">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对氧气和乙炔气体的使用，应确保安全可靠，符合安全间距，按安全规程操作，配备消防器材；</w:t>
            </w:r>
          </w:p>
        </w:tc>
        <w:tc>
          <w:tcPr>
            <w:tcW w:w="686" w:type="pct"/>
            <w:vAlign w:val="center"/>
          </w:tcPr>
          <w:p w14:paraId="033ECD40">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安全员</w:t>
            </w:r>
          </w:p>
          <w:p w14:paraId="062B4904">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施工单位</w:t>
            </w:r>
          </w:p>
        </w:tc>
        <w:tc>
          <w:tcPr>
            <w:tcW w:w="669" w:type="pct"/>
            <w:vAlign w:val="center"/>
          </w:tcPr>
          <w:p w14:paraId="0422516C">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78FF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77FA9241">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Align w:val="center"/>
          </w:tcPr>
          <w:p w14:paraId="3A0109F2">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施工噪声</w:t>
            </w:r>
          </w:p>
        </w:tc>
        <w:tc>
          <w:tcPr>
            <w:tcW w:w="2357" w:type="pct"/>
            <w:vAlign w:val="center"/>
          </w:tcPr>
          <w:p w14:paraId="73C2840D">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严格按施工作息时间要求施工，防止噪声扰民；</w:t>
            </w:r>
          </w:p>
        </w:tc>
        <w:tc>
          <w:tcPr>
            <w:tcW w:w="686" w:type="pct"/>
            <w:vAlign w:val="center"/>
          </w:tcPr>
          <w:p w14:paraId="1650F92F">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tc>
        <w:tc>
          <w:tcPr>
            <w:tcW w:w="669" w:type="pct"/>
            <w:vAlign w:val="center"/>
          </w:tcPr>
          <w:p w14:paraId="08EB7099">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3BA5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restart"/>
            <w:vAlign w:val="center"/>
          </w:tcPr>
          <w:p w14:paraId="6206EFC9">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重要危险源的控制</w:t>
            </w:r>
          </w:p>
        </w:tc>
        <w:tc>
          <w:tcPr>
            <w:tcW w:w="606" w:type="pct"/>
            <w:vMerge w:val="restart"/>
            <w:vAlign w:val="center"/>
          </w:tcPr>
          <w:p w14:paraId="22DEF6CD">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p w14:paraId="016A656B">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p w14:paraId="61A1A5C7">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p w14:paraId="4564F819">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p w14:paraId="55B9CAFF">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p w14:paraId="748CB10B">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违章作业</w:t>
            </w:r>
          </w:p>
          <w:p w14:paraId="5129258E">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违章指挥</w:t>
            </w:r>
          </w:p>
          <w:p w14:paraId="1872F0C8">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p w14:paraId="55527261">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p w14:paraId="5C4B9AF2">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p w14:paraId="74047340">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p w14:paraId="229A2FFA">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357" w:type="pct"/>
            <w:vAlign w:val="center"/>
          </w:tcPr>
          <w:p w14:paraId="5FDBB6A8">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塔吊</w:t>
            </w:r>
            <w:r>
              <w:rPr>
                <w:rFonts w:hint="eastAsia" w:hAnsi="宋体" w:cs="Times New Roman"/>
                <w:szCs w:val="21"/>
                <w:lang w:eastAsia="zh-CN"/>
              </w:rPr>
              <w:t>安拆</w:t>
            </w:r>
            <w:r>
              <w:rPr>
                <w:rFonts w:hAnsi="宋体" w:cs="Times New Roman"/>
                <w:szCs w:val="21"/>
              </w:rPr>
              <w:t>操作和指挥人员必须经过技术和安全培训，每一个作业人员必须熟悉说明书，熟知施工程序和塔机基本性能。</w:t>
            </w:r>
          </w:p>
        </w:tc>
        <w:tc>
          <w:tcPr>
            <w:tcW w:w="686" w:type="pct"/>
            <w:vAlign w:val="center"/>
          </w:tcPr>
          <w:p w14:paraId="433491F0">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安全员</w:t>
            </w:r>
          </w:p>
          <w:p w14:paraId="6F149277">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技术员</w:t>
            </w:r>
          </w:p>
        </w:tc>
        <w:tc>
          <w:tcPr>
            <w:tcW w:w="669" w:type="pct"/>
            <w:vAlign w:val="center"/>
          </w:tcPr>
          <w:p w14:paraId="27489160">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4227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2AC1D5F6">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Merge w:val="continue"/>
            <w:vAlign w:val="center"/>
          </w:tcPr>
          <w:p w14:paraId="74176BDE">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357" w:type="pct"/>
            <w:vAlign w:val="center"/>
          </w:tcPr>
          <w:p w14:paraId="408546A1">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所有参加作业人员（包括汽车吊司机、指挥人员）必须遵守各项安全规定和本工种安全操作规程。</w:t>
            </w:r>
          </w:p>
        </w:tc>
        <w:tc>
          <w:tcPr>
            <w:tcW w:w="686" w:type="pct"/>
            <w:vAlign w:val="center"/>
          </w:tcPr>
          <w:p w14:paraId="1052897A">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安全员</w:t>
            </w:r>
          </w:p>
          <w:p w14:paraId="757A0A8B">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施工单位</w:t>
            </w:r>
          </w:p>
        </w:tc>
        <w:tc>
          <w:tcPr>
            <w:tcW w:w="669" w:type="pct"/>
            <w:vAlign w:val="center"/>
          </w:tcPr>
          <w:p w14:paraId="6973BAA4">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0C04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E3A5C13">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Merge w:val="continue"/>
            <w:vAlign w:val="center"/>
          </w:tcPr>
          <w:p w14:paraId="19647991">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357" w:type="pct"/>
            <w:vAlign w:val="center"/>
          </w:tcPr>
          <w:p w14:paraId="20908167">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现场作业人员必须持省市劳动部门颁发的有效特殊工种上岗操作证，确保100%持证上岗。</w:t>
            </w:r>
          </w:p>
        </w:tc>
        <w:tc>
          <w:tcPr>
            <w:tcW w:w="686" w:type="pct"/>
            <w:vAlign w:val="center"/>
          </w:tcPr>
          <w:p w14:paraId="0012300C">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项目经理</w:t>
            </w:r>
          </w:p>
        </w:tc>
        <w:tc>
          <w:tcPr>
            <w:tcW w:w="669" w:type="pct"/>
            <w:vAlign w:val="center"/>
          </w:tcPr>
          <w:p w14:paraId="53C54FB6">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前</w:t>
            </w:r>
          </w:p>
        </w:tc>
      </w:tr>
      <w:tr w14:paraId="1082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5BEA171E">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Merge w:val="continue"/>
            <w:vAlign w:val="center"/>
          </w:tcPr>
          <w:p w14:paraId="37A92CD0">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357" w:type="pct"/>
            <w:vAlign w:val="center"/>
          </w:tcPr>
          <w:p w14:paraId="27F58E8C">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所有作业人员在作业前，必须接受安全技术交底工作，明确分工，确定指挥信号及统一口令。</w:t>
            </w:r>
          </w:p>
        </w:tc>
        <w:tc>
          <w:tcPr>
            <w:tcW w:w="686" w:type="pct"/>
            <w:vAlign w:val="center"/>
          </w:tcPr>
          <w:p w14:paraId="10015EA8">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p w14:paraId="63E6127E">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安全员</w:t>
            </w:r>
          </w:p>
        </w:tc>
        <w:tc>
          <w:tcPr>
            <w:tcW w:w="669" w:type="pct"/>
            <w:vAlign w:val="center"/>
          </w:tcPr>
          <w:p w14:paraId="3AF955CC">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50AF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A2C4455">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Merge w:val="continue"/>
            <w:vAlign w:val="center"/>
          </w:tcPr>
          <w:p w14:paraId="49D26908">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357" w:type="pct"/>
            <w:vAlign w:val="center"/>
          </w:tcPr>
          <w:p w14:paraId="18BAB14F">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作业前，明确分工，指定专人统一指挥，并在作业范围设明显的安全标志及警戒线，派专人看护，严禁非塔吊装拆工作人员进入施工区。</w:t>
            </w:r>
          </w:p>
        </w:tc>
        <w:tc>
          <w:tcPr>
            <w:tcW w:w="686" w:type="pct"/>
            <w:vAlign w:val="center"/>
          </w:tcPr>
          <w:p w14:paraId="13F81F37">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p w14:paraId="044E24A2">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安全员</w:t>
            </w:r>
          </w:p>
        </w:tc>
        <w:tc>
          <w:tcPr>
            <w:tcW w:w="669" w:type="pct"/>
            <w:vAlign w:val="center"/>
          </w:tcPr>
          <w:p w14:paraId="70C9557E">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46B7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D97200E">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Merge w:val="restart"/>
            <w:vAlign w:val="center"/>
          </w:tcPr>
          <w:p w14:paraId="5424520E">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高空坠落</w:t>
            </w:r>
          </w:p>
        </w:tc>
        <w:tc>
          <w:tcPr>
            <w:tcW w:w="2357" w:type="pct"/>
            <w:vAlign w:val="center"/>
          </w:tcPr>
          <w:p w14:paraId="51524ACF">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凡高空作业人员必须身体健康，精神饱满，严禁酒后作业、疲劳作业。</w:t>
            </w:r>
          </w:p>
        </w:tc>
        <w:tc>
          <w:tcPr>
            <w:tcW w:w="686" w:type="pct"/>
            <w:vAlign w:val="center"/>
          </w:tcPr>
          <w:p w14:paraId="3A475BC6">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tc>
        <w:tc>
          <w:tcPr>
            <w:tcW w:w="669" w:type="pct"/>
            <w:vAlign w:val="center"/>
          </w:tcPr>
          <w:p w14:paraId="25D1D34D">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31F0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F21B045">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Merge w:val="continue"/>
            <w:vAlign w:val="center"/>
          </w:tcPr>
          <w:p w14:paraId="4889E326">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357" w:type="pct"/>
            <w:vAlign w:val="center"/>
          </w:tcPr>
          <w:p w14:paraId="57FA9704">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安拆人员必须正确使用规定的安全防护用具（安全帽、安全带、劳保鞋），并正确佩带。</w:t>
            </w:r>
          </w:p>
        </w:tc>
        <w:tc>
          <w:tcPr>
            <w:tcW w:w="686" w:type="pct"/>
            <w:vAlign w:val="center"/>
          </w:tcPr>
          <w:p w14:paraId="272FE7C0">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安全员</w:t>
            </w:r>
          </w:p>
        </w:tc>
        <w:tc>
          <w:tcPr>
            <w:tcW w:w="669" w:type="pct"/>
            <w:vAlign w:val="center"/>
          </w:tcPr>
          <w:p w14:paraId="6EABA145">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2C9E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6A0AFC3F">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Merge w:val="restart"/>
            <w:vAlign w:val="center"/>
          </w:tcPr>
          <w:p w14:paraId="0D6593B7">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高空落物</w:t>
            </w:r>
          </w:p>
        </w:tc>
        <w:tc>
          <w:tcPr>
            <w:tcW w:w="2357" w:type="pct"/>
            <w:vAlign w:val="center"/>
          </w:tcPr>
          <w:p w14:paraId="0B8BB746">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作业时所有工具和连接件须系挂在身上或放到工具袋内，严防物品坠落，严禁向下抛掷</w:t>
            </w:r>
          </w:p>
        </w:tc>
        <w:tc>
          <w:tcPr>
            <w:tcW w:w="686" w:type="pct"/>
            <w:vAlign w:val="center"/>
          </w:tcPr>
          <w:p w14:paraId="78E2BDAA">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tc>
        <w:tc>
          <w:tcPr>
            <w:tcW w:w="669" w:type="pct"/>
            <w:vAlign w:val="center"/>
          </w:tcPr>
          <w:p w14:paraId="76DE0F9A">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06A9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5EF33F2C">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Merge w:val="continue"/>
            <w:vAlign w:val="center"/>
          </w:tcPr>
          <w:p w14:paraId="2F34108B">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357" w:type="pct"/>
            <w:vAlign w:val="center"/>
          </w:tcPr>
          <w:p w14:paraId="631211B5">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配备常用救急药箱</w:t>
            </w:r>
          </w:p>
        </w:tc>
        <w:tc>
          <w:tcPr>
            <w:tcW w:w="686" w:type="pct"/>
            <w:vAlign w:val="center"/>
          </w:tcPr>
          <w:p w14:paraId="424A405E">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tc>
        <w:tc>
          <w:tcPr>
            <w:tcW w:w="669" w:type="pct"/>
            <w:vAlign w:val="center"/>
          </w:tcPr>
          <w:p w14:paraId="06515409">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1D85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46DAC219">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Align w:val="center"/>
          </w:tcPr>
          <w:p w14:paraId="0A793E7F">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物体打击、机械伤害</w:t>
            </w:r>
          </w:p>
        </w:tc>
        <w:tc>
          <w:tcPr>
            <w:tcW w:w="2357" w:type="pct"/>
            <w:vAlign w:val="center"/>
          </w:tcPr>
          <w:p w14:paraId="0E2520D6">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施工负责人对</w:t>
            </w:r>
            <w:r>
              <w:rPr>
                <w:rFonts w:hint="eastAsia" w:hAnsi="宋体" w:cs="Times New Roman"/>
                <w:szCs w:val="21"/>
                <w:lang w:eastAsia="zh-CN"/>
              </w:rPr>
              <w:t>安拆</w:t>
            </w:r>
            <w:r>
              <w:rPr>
                <w:rFonts w:hAnsi="宋体" w:cs="Times New Roman"/>
                <w:szCs w:val="21"/>
              </w:rPr>
              <w:t>过程进行检查，及时制止并纠正违章操作行为，防止事故发生。</w:t>
            </w:r>
          </w:p>
        </w:tc>
        <w:tc>
          <w:tcPr>
            <w:tcW w:w="686" w:type="pct"/>
            <w:vAlign w:val="center"/>
          </w:tcPr>
          <w:p w14:paraId="4BFC5802">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p w14:paraId="05C4A081">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安全员</w:t>
            </w:r>
          </w:p>
        </w:tc>
        <w:tc>
          <w:tcPr>
            <w:tcW w:w="669" w:type="pct"/>
            <w:vAlign w:val="center"/>
          </w:tcPr>
          <w:p w14:paraId="63C24C81">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r w14:paraId="04DD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68DB0114">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Align w:val="center"/>
          </w:tcPr>
          <w:p w14:paraId="413CE56F">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2357" w:type="pct"/>
            <w:vAlign w:val="center"/>
          </w:tcPr>
          <w:p w14:paraId="0A106FC3">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4级大风以上禁止</w:t>
            </w:r>
            <w:r>
              <w:rPr>
                <w:rFonts w:hint="eastAsia" w:hAnsi="宋体" w:cs="Times New Roman"/>
                <w:szCs w:val="21"/>
                <w:lang w:eastAsia="zh-CN"/>
              </w:rPr>
              <w:t>安拆</w:t>
            </w:r>
            <w:r>
              <w:rPr>
                <w:rFonts w:hAnsi="宋体" w:cs="Times New Roman"/>
                <w:szCs w:val="21"/>
              </w:rPr>
              <w:t>作业；</w:t>
            </w:r>
          </w:p>
        </w:tc>
        <w:tc>
          <w:tcPr>
            <w:tcW w:w="686" w:type="pct"/>
            <w:vAlign w:val="center"/>
          </w:tcPr>
          <w:p w14:paraId="429C21C7">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项目经理</w:t>
            </w:r>
          </w:p>
        </w:tc>
        <w:tc>
          <w:tcPr>
            <w:tcW w:w="669" w:type="pct"/>
            <w:vAlign w:val="center"/>
          </w:tcPr>
          <w:p w14:paraId="4C3E4D34">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前</w:t>
            </w:r>
          </w:p>
        </w:tc>
      </w:tr>
      <w:tr w14:paraId="0DC0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65B363E4">
            <w:pPr>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p>
        </w:tc>
        <w:tc>
          <w:tcPr>
            <w:tcW w:w="606" w:type="pct"/>
            <w:vAlign w:val="center"/>
          </w:tcPr>
          <w:p w14:paraId="28110CBF">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火灾</w:t>
            </w:r>
          </w:p>
        </w:tc>
        <w:tc>
          <w:tcPr>
            <w:tcW w:w="2357" w:type="pct"/>
            <w:vAlign w:val="center"/>
          </w:tcPr>
          <w:p w14:paraId="54AFF25F">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驾驶室配备灭火器、对讲机</w:t>
            </w:r>
          </w:p>
        </w:tc>
        <w:tc>
          <w:tcPr>
            <w:tcW w:w="686" w:type="pct"/>
            <w:vAlign w:val="center"/>
          </w:tcPr>
          <w:p w14:paraId="331D377A">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Ansi="宋体" w:cs="Times New Roman"/>
                <w:szCs w:val="21"/>
              </w:rPr>
              <w:t>施工工长</w:t>
            </w:r>
          </w:p>
        </w:tc>
        <w:tc>
          <w:tcPr>
            <w:tcW w:w="669" w:type="pct"/>
            <w:vAlign w:val="center"/>
          </w:tcPr>
          <w:p w14:paraId="186ABFB9">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szCs w:val="21"/>
              </w:rPr>
            </w:pPr>
            <w:r>
              <w:rPr>
                <w:rFonts w:hint="eastAsia" w:hAnsi="宋体" w:cs="Times New Roman"/>
                <w:szCs w:val="21"/>
                <w:lang w:eastAsia="zh-CN"/>
              </w:rPr>
              <w:t>安拆</w:t>
            </w:r>
            <w:r>
              <w:rPr>
                <w:rFonts w:hAnsi="宋体" w:cs="Times New Roman"/>
                <w:szCs w:val="21"/>
              </w:rPr>
              <w:t>期间</w:t>
            </w:r>
          </w:p>
        </w:tc>
      </w:tr>
    </w:tbl>
    <w:p w14:paraId="11653F8B">
      <w:pPr>
        <w:pStyle w:val="5"/>
        <w:pageBreakBefore w:val="0"/>
        <w:numPr>
          <w:ilvl w:val="1"/>
          <w:numId w:val="6"/>
        </w:numPr>
        <w:kinsoku/>
        <w:wordWrap/>
        <w:overflowPunct/>
        <w:topLinePunct w:val="0"/>
        <w:bidi w:val="0"/>
        <w:spacing w:line="360" w:lineRule="auto"/>
        <w:ind w:left="567" w:leftChars="0" w:hanging="567" w:firstLineChars="0"/>
        <w:rPr>
          <w:rFonts w:cs="Times New Roman"/>
        </w:rPr>
      </w:pPr>
      <w:bookmarkStart w:id="186" w:name="_Toc9922"/>
      <w:r>
        <w:rPr>
          <w:rFonts w:cs="Times New Roman"/>
        </w:rPr>
        <w:t>安全规程</w:t>
      </w:r>
      <w:bookmarkEnd w:id="186"/>
    </w:p>
    <w:p w14:paraId="43C33F71">
      <w:pPr>
        <w:keepNext w:val="0"/>
        <w:keepLines w:val="0"/>
        <w:pageBreakBefore w:val="0"/>
        <w:kinsoku/>
        <w:wordWrap/>
        <w:overflowPunct/>
        <w:topLinePunct w:val="0"/>
        <w:autoSpaceDE/>
        <w:autoSpaceDN/>
        <w:bidi w:val="0"/>
        <w:snapToGrid/>
        <w:spacing w:line="360" w:lineRule="auto"/>
        <w:ind w:left="17" w:leftChars="7" w:right="-105" w:firstLine="549" w:firstLineChars="229"/>
        <w:rPr>
          <w:rFonts w:cs="Times New Roman"/>
          <w:szCs w:val="28"/>
        </w:rPr>
      </w:pPr>
      <w:r>
        <w:rPr>
          <w:rFonts w:cs="Times New Roman"/>
          <w:szCs w:val="28"/>
        </w:rPr>
        <w:t>在作业前，必须将塔吊</w:t>
      </w:r>
      <w:r>
        <w:rPr>
          <w:rFonts w:hint="eastAsia" w:cs="Times New Roman"/>
          <w:szCs w:val="28"/>
          <w:lang w:val="en-US" w:eastAsia="zh-CN"/>
        </w:rPr>
        <w:t>安拆</w:t>
      </w:r>
      <w:r>
        <w:rPr>
          <w:rFonts w:cs="Times New Roman"/>
          <w:szCs w:val="28"/>
        </w:rPr>
        <w:t>技术交底落实到位，确保项目管理人员、现场班组长、劳务人员都对整个塔吊</w:t>
      </w:r>
      <w:r>
        <w:rPr>
          <w:rFonts w:hint="eastAsia" w:cs="Times New Roman"/>
          <w:szCs w:val="28"/>
          <w:lang w:val="en-US" w:eastAsia="zh-CN"/>
        </w:rPr>
        <w:t>安拆</w:t>
      </w:r>
      <w:r>
        <w:rPr>
          <w:rFonts w:cs="Times New Roman"/>
          <w:szCs w:val="28"/>
        </w:rPr>
        <w:t>的流程掌握；</w:t>
      </w:r>
    </w:p>
    <w:p w14:paraId="361754E5">
      <w:pPr>
        <w:keepNext w:val="0"/>
        <w:keepLines w:val="0"/>
        <w:pageBreakBefore w:val="0"/>
        <w:kinsoku/>
        <w:wordWrap/>
        <w:overflowPunct/>
        <w:topLinePunct w:val="0"/>
        <w:autoSpaceDE/>
        <w:autoSpaceDN/>
        <w:bidi w:val="0"/>
        <w:snapToGrid/>
        <w:spacing w:line="360" w:lineRule="auto"/>
        <w:ind w:left="17" w:leftChars="7" w:right="-105" w:firstLine="549" w:firstLineChars="229"/>
        <w:rPr>
          <w:rFonts w:cs="Times New Roman"/>
          <w:szCs w:val="28"/>
        </w:rPr>
      </w:pPr>
      <w:r>
        <w:rPr>
          <w:rFonts w:cs="Times New Roman"/>
        </w:rPr>
        <w:t>施工前应对吊装绳索、吊装工具、机械、钢丝绳等作全面检查</w:t>
      </w:r>
    </w:p>
    <w:p w14:paraId="69528EA4">
      <w:pPr>
        <w:keepNext w:val="0"/>
        <w:keepLines w:val="0"/>
        <w:pageBreakBefore w:val="0"/>
        <w:kinsoku/>
        <w:wordWrap/>
        <w:overflowPunct/>
        <w:topLinePunct w:val="0"/>
        <w:autoSpaceDE/>
        <w:autoSpaceDN/>
        <w:bidi w:val="0"/>
        <w:snapToGrid/>
        <w:spacing w:line="360" w:lineRule="auto"/>
        <w:ind w:left="17" w:leftChars="7" w:right="-105" w:firstLine="549" w:firstLineChars="229"/>
        <w:rPr>
          <w:rFonts w:cs="Times New Roman"/>
          <w:szCs w:val="28"/>
        </w:rPr>
      </w:pPr>
      <w:r>
        <w:rPr>
          <w:rFonts w:cs="Times New Roman"/>
          <w:szCs w:val="28"/>
        </w:rPr>
        <w:t>所有参加作业人员都必须遵守现场施工的各项安全规范及本工种安全操作规程。</w:t>
      </w:r>
    </w:p>
    <w:p w14:paraId="30A4892A">
      <w:pPr>
        <w:keepNext w:val="0"/>
        <w:keepLines w:val="0"/>
        <w:pageBreakBefore w:val="0"/>
        <w:kinsoku/>
        <w:wordWrap/>
        <w:overflowPunct/>
        <w:topLinePunct w:val="0"/>
        <w:autoSpaceDE/>
        <w:autoSpaceDN/>
        <w:bidi w:val="0"/>
        <w:snapToGrid/>
        <w:spacing w:line="360" w:lineRule="auto"/>
        <w:ind w:left="17" w:leftChars="7" w:right="-105" w:firstLine="549" w:firstLineChars="229"/>
        <w:rPr>
          <w:rFonts w:cs="Times New Roman"/>
          <w:szCs w:val="28"/>
        </w:rPr>
      </w:pPr>
      <w:r>
        <w:rPr>
          <w:rFonts w:cs="Times New Roman"/>
          <w:szCs w:val="28"/>
        </w:rPr>
        <w:t>拆装单位必须指定一名熟悉该类型塔吊、经验丰富的工长现场指挥。塔吊</w:t>
      </w:r>
      <w:r>
        <w:rPr>
          <w:rFonts w:hint="eastAsia" w:cs="Times New Roman"/>
          <w:szCs w:val="28"/>
          <w:lang w:eastAsia="zh-CN"/>
        </w:rPr>
        <w:t>安拆</w:t>
      </w:r>
      <w:r>
        <w:rPr>
          <w:rFonts w:cs="Times New Roman"/>
          <w:szCs w:val="28"/>
        </w:rPr>
        <w:t>前，必须先熟悉现场。</w:t>
      </w:r>
    </w:p>
    <w:p w14:paraId="7F6D5150">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szCs w:val="28"/>
        </w:rPr>
        <w:t>塔吊司机、塔吊拆装人员以及塔吊指挥都必须持有当地市级劳动部门签发的特殊工种操作证。</w:t>
      </w:r>
    </w:p>
    <w:p w14:paraId="11A86432">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szCs w:val="28"/>
        </w:rPr>
        <w:t>严禁高空落物，严禁在高空抛接工具。</w:t>
      </w:r>
    </w:p>
    <w:p w14:paraId="62388AC9">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szCs w:val="28"/>
        </w:rPr>
        <w:t>及时了解天气情况，以便根据当日的天气情况决定是否进行塔吊</w:t>
      </w:r>
      <w:r>
        <w:rPr>
          <w:rFonts w:hint="eastAsia" w:cs="Times New Roman"/>
          <w:szCs w:val="28"/>
          <w:lang w:eastAsia="zh-CN"/>
        </w:rPr>
        <w:t>安拆</w:t>
      </w:r>
      <w:r>
        <w:rPr>
          <w:rFonts w:cs="Times New Roman"/>
          <w:szCs w:val="28"/>
        </w:rPr>
        <w:t>作业。</w:t>
      </w:r>
      <w:r>
        <w:rPr>
          <w:rFonts w:cs="Times New Roman"/>
        </w:rPr>
        <w:t>顶升作业时，风力不大于四级，在作业中风力突然增大达至四级时，必须立即停止，并紧固上、下塔身各连接螺栓。如遇4级和以上风力或下雨等 恶劣天气应停止高空作业。风雨过后，应对机械重新检查试吊，确认制动器灵敏、可靠后方能恢复作业。</w:t>
      </w:r>
    </w:p>
    <w:p w14:paraId="7F2D1272">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rPr>
        <w:t>塔吊</w:t>
      </w:r>
      <w:r>
        <w:rPr>
          <w:rFonts w:hint="eastAsia" w:cs="Times New Roman"/>
          <w:lang w:eastAsia="zh-CN"/>
        </w:rPr>
        <w:t>安拆</w:t>
      </w:r>
      <w:r>
        <w:rPr>
          <w:rFonts w:cs="Times New Roman"/>
        </w:rPr>
        <w:t>作业区布好警戒线，挂起警告牌。</w:t>
      </w:r>
      <w:r>
        <w:rPr>
          <w:rFonts w:cs="Times New Roman"/>
          <w:szCs w:val="28"/>
        </w:rPr>
        <w:t>作业现场必须设置足够大的安全作业区（20米×20米），非塔吊</w:t>
      </w:r>
      <w:r>
        <w:rPr>
          <w:rFonts w:hint="eastAsia" w:cs="Times New Roman"/>
          <w:szCs w:val="28"/>
          <w:lang w:eastAsia="zh-CN"/>
        </w:rPr>
        <w:t>安拆</w:t>
      </w:r>
      <w:r>
        <w:rPr>
          <w:rFonts w:cs="Times New Roman"/>
          <w:szCs w:val="28"/>
        </w:rPr>
        <w:t>人员严禁入内。</w:t>
      </w:r>
    </w:p>
    <w:p w14:paraId="77F2D173">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rPr>
        <w:t>塔吊</w:t>
      </w:r>
      <w:r>
        <w:rPr>
          <w:rFonts w:hint="eastAsia" w:cs="Times New Roman"/>
          <w:lang w:eastAsia="zh-CN"/>
        </w:rPr>
        <w:t>安拆</w:t>
      </w:r>
      <w:r>
        <w:rPr>
          <w:rFonts w:cs="Times New Roman"/>
        </w:rPr>
        <w:t>期间，严禁超载起吊，吊物下禁止站人，以防落物伤人</w:t>
      </w:r>
    </w:p>
    <w:p w14:paraId="79856FC3">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szCs w:val="28"/>
        </w:rPr>
        <w:t>操作工人进入施工现场必须统一着装，佩带齐全的安全防护用品，登高作业必须系好安全带。</w:t>
      </w:r>
    </w:p>
    <w:p w14:paraId="37D350DF">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szCs w:val="28"/>
        </w:rPr>
        <w:t>塔吊在拆卸过程中严禁塔吊与建筑物间发生碰撞。</w:t>
      </w:r>
    </w:p>
    <w:p w14:paraId="5200E2E3">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rPr>
      </w:pPr>
      <w:r>
        <w:rPr>
          <w:rFonts w:cs="Times New Roman"/>
        </w:rPr>
        <w:t>不应进行夜间作业。如确需夜间作业的，必须有充足的照明和制订相应的安全作业措施。</w:t>
      </w:r>
    </w:p>
    <w:p w14:paraId="4BE11106">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szCs w:val="28"/>
        </w:rPr>
        <w:t>从统一指挥，禁止高空抛物。</w:t>
      </w:r>
    </w:p>
    <w:p w14:paraId="624417F8">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szCs w:val="28"/>
        </w:rPr>
        <w:t>注意周围环境、地面承载力的，确保拆装安全。</w:t>
      </w:r>
    </w:p>
    <w:p w14:paraId="1B4E42C9">
      <w:pPr>
        <w:keepNext w:val="0"/>
        <w:keepLines w:val="0"/>
        <w:pageBreakBefore w:val="0"/>
        <w:kinsoku/>
        <w:wordWrap/>
        <w:overflowPunct/>
        <w:topLinePunct w:val="0"/>
        <w:autoSpaceDE/>
        <w:autoSpaceDN/>
        <w:bidi w:val="0"/>
        <w:snapToGrid/>
        <w:spacing w:line="360" w:lineRule="auto"/>
        <w:ind w:left="17" w:leftChars="7" w:right="-105" w:firstLine="480"/>
        <w:rPr>
          <w:rFonts w:cs="Times New Roman"/>
          <w:szCs w:val="28"/>
        </w:rPr>
      </w:pPr>
      <w:r>
        <w:rPr>
          <w:rFonts w:cs="Times New Roman"/>
          <w:szCs w:val="28"/>
        </w:rPr>
        <w:t>安装拆卸塔机派专门人员警戒，严禁无关人员在作业区内穿行。</w:t>
      </w:r>
    </w:p>
    <w:p w14:paraId="686B3FAF">
      <w:pPr>
        <w:pStyle w:val="5"/>
        <w:pageBreakBefore w:val="0"/>
        <w:numPr>
          <w:ilvl w:val="1"/>
          <w:numId w:val="6"/>
        </w:numPr>
        <w:kinsoku/>
        <w:wordWrap/>
        <w:overflowPunct/>
        <w:topLinePunct w:val="0"/>
        <w:bidi w:val="0"/>
        <w:spacing w:line="360" w:lineRule="auto"/>
        <w:ind w:left="567" w:leftChars="0" w:hanging="567" w:firstLineChars="0"/>
        <w:rPr>
          <w:rFonts w:cs="Times New Roman"/>
        </w:rPr>
      </w:pPr>
      <w:bookmarkStart w:id="187" w:name="_Toc11597"/>
      <w:r>
        <w:rPr>
          <w:rFonts w:cs="Times New Roman"/>
        </w:rPr>
        <w:t>吊装钢丝绳的使用</w:t>
      </w:r>
      <w:bookmarkEnd w:id="187"/>
    </w:p>
    <w:p w14:paraId="6653296D">
      <w:pPr>
        <w:keepNext w:val="0"/>
        <w:keepLines w:val="0"/>
        <w:pageBreakBefore w:val="0"/>
        <w:kinsoku/>
        <w:wordWrap/>
        <w:overflowPunct/>
        <w:topLinePunct w:val="0"/>
        <w:autoSpaceDE/>
        <w:autoSpaceDN/>
        <w:bidi w:val="0"/>
        <w:snapToGrid/>
        <w:spacing w:line="360" w:lineRule="auto"/>
        <w:ind w:firstLine="420" w:firstLineChars="0"/>
        <w:rPr>
          <w:rFonts w:hint="eastAsia" w:asciiTheme="minorEastAsia" w:hAnsiTheme="minorEastAsia" w:cstheme="minorEastAsia"/>
          <w:szCs w:val="24"/>
          <w:lang w:val="en-US" w:eastAsia="zh-CN"/>
        </w:rPr>
      </w:pPr>
      <w:r>
        <w:rPr>
          <w:rFonts w:hint="eastAsia" w:asciiTheme="minorEastAsia" w:hAnsiTheme="minorEastAsia" w:cstheme="minorEastAsia"/>
          <w:szCs w:val="24"/>
          <w:lang w:val="en-US" w:eastAsia="zh-CN"/>
        </w:rPr>
        <w:t>钢丝绳不得超负荷使用,不能在冲击载荷下工作,工作时速度应平稳。</w:t>
      </w:r>
    </w:p>
    <w:p w14:paraId="229D839F">
      <w:pPr>
        <w:keepNext w:val="0"/>
        <w:keepLines w:val="0"/>
        <w:pageBreakBefore w:val="0"/>
        <w:kinsoku/>
        <w:wordWrap/>
        <w:overflowPunct/>
        <w:topLinePunct w:val="0"/>
        <w:autoSpaceDE/>
        <w:autoSpaceDN/>
        <w:bidi w:val="0"/>
        <w:snapToGrid/>
        <w:spacing w:line="360" w:lineRule="auto"/>
        <w:ind w:firstLine="420" w:firstLineChars="0"/>
        <w:rPr>
          <w:rFonts w:hint="eastAsia" w:asciiTheme="minorEastAsia" w:hAnsiTheme="minorEastAsia" w:cstheme="minorEastAsia"/>
          <w:szCs w:val="24"/>
          <w:lang w:val="en-US" w:eastAsia="zh-CN"/>
        </w:rPr>
      </w:pPr>
      <w:r>
        <w:rPr>
          <w:rFonts w:hint="eastAsia" w:asciiTheme="minorEastAsia" w:hAnsiTheme="minorEastAsia" w:cstheme="minorEastAsia"/>
          <w:szCs w:val="24"/>
          <w:lang w:val="en-US" w:eastAsia="zh-CN"/>
        </w:rPr>
        <w:t>在捆绑或吊运物件时,钢丝绳应避免和物体的尖角棱边直接接触,应在接触处垫以木块、麻布或其他衬垫物。</w:t>
      </w:r>
    </w:p>
    <w:p w14:paraId="05ABD6E9">
      <w:pPr>
        <w:keepNext w:val="0"/>
        <w:keepLines w:val="0"/>
        <w:pageBreakBefore w:val="0"/>
        <w:kinsoku/>
        <w:wordWrap/>
        <w:overflowPunct/>
        <w:topLinePunct w:val="0"/>
        <w:autoSpaceDE/>
        <w:autoSpaceDN/>
        <w:bidi w:val="0"/>
        <w:snapToGrid/>
        <w:spacing w:line="360" w:lineRule="auto"/>
        <w:ind w:firstLine="420" w:firstLineChars="0"/>
        <w:rPr>
          <w:rFonts w:hint="eastAsia" w:asciiTheme="minorEastAsia" w:hAnsiTheme="minorEastAsia" w:cstheme="minorEastAsia"/>
          <w:szCs w:val="24"/>
          <w:lang w:val="en-US" w:eastAsia="zh-CN"/>
        </w:rPr>
      </w:pPr>
      <w:r>
        <w:rPr>
          <w:rFonts w:hint="eastAsia" w:asciiTheme="minorEastAsia" w:hAnsiTheme="minorEastAsia" w:cstheme="minorEastAsia"/>
          <w:szCs w:val="24"/>
          <w:lang w:val="en-US" w:eastAsia="zh-CN"/>
        </w:rPr>
        <w:t>严禁钢丝绳与电线接触,以免被打坏或发生触电。靠近高温物体时,要采取隔热措施。</w:t>
      </w:r>
    </w:p>
    <w:p w14:paraId="0B968D8B">
      <w:pPr>
        <w:keepNext w:val="0"/>
        <w:keepLines w:val="0"/>
        <w:pageBreakBefore w:val="0"/>
        <w:kinsoku/>
        <w:wordWrap/>
        <w:overflowPunct/>
        <w:topLinePunct w:val="0"/>
        <w:autoSpaceDE/>
        <w:autoSpaceDN/>
        <w:bidi w:val="0"/>
        <w:snapToGrid/>
        <w:spacing w:line="360" w:lineRule="auto"/>
        <w:ind w:firstLine="420" w:firstLineChars="0"/>
        <w:rPr>
          <w:rFonts w:hint="eastAsia" w:asciiTheme="minorEastAsia" w:hAnsiTheme="minorEastAsia" w:cstheme="minorEastAsia"/>
          <w:szCs w:val="24"/>
          <w:lang w:val="en-US" w:eastAsia="zh-CN"/>
        </w:rPr>
      </w:pPr>
      <w:r>
        <w:rPr>
          <w:rFonts w:hint="eastAsia" w:asciiTheme="minorEastAsia" w:hAnsiTheme="minorEastAsia" w:cstheme="minorEastAsia"/>
          <w:szCs w:val="24"/>
          <w:lang w:val="en-US" w:eastAsia="zh-CN"/>
        </w:rPr>
        <w:t>钢丝绳在使用中应避免扭结,一旦扭结，应立即抖直。使用中应尽量减少弯折次数,并尽量避免反向弯折。</w:t>
      </w:r>
    </w:p>
    <w:p w14:paraId="77826CCF">
      <w:pPr>
        <w:keepNext w:val="0"/>
        <w:keepLines w:val="0"/>
        <w:pageBreakBefore w:val="0"/>
        <w:kinsoku/>
        <w:wordWrap/>
        <w:overflowPunct/>
        <w:topLinePunct w:val="0"/>
        <w:autoSpaceDE/>
        <w:autoSpaceDN/>
        <w:bidi w:val="0"/>
        <w:snapToGrid/>
        <w:spacing w:line="360" w:lineRule="auto"/>
        <w:ind w:firstLine="420" w:firstLineChars="0"/>
        <w:rPr>
          <w:rFonts w:hint="eastAsia" w:asciiTheme="minorEastAsia" w:hAnsiTheme="minorEastAsia" w:cstheme="minorEastAsia"/>
          <w:szCs w:val="24"/>
          <w:lang w:val="en-US" w:eastAsia="zh-CN"/>
        </w:rPr>
      </w:pPr>
      <w:r>
        <w:rPr>
          <w:rFonts w:hint="eastAsia" w:asciiTheme="minorEastAsia" w:hAnsiTheme="minorEastAsia" w:cstheme="minorEastAsia"/>
          <w:szCs w:val="24"/>
          <w:lang w:val="en-US" w:eastAsia="zh-CN"/>
        </w:rPr>
        <w:t>钢丝绳应防止磨损、腐蚀或其他物理条件、化学条件造成的性能降低。</w:t>
      </w:r>
    </w:p>
    <w:p w14:paraId="7B23A3CC">
      <w:pPr>
        <w:keepNext w:val="0"/>
        <w:keepLines w:val="0"/>
        <w:pageBreakBefore w:val="0"/>
        <w:kinsoku/>
        <w:wordWrap/>
        <w:overflowPunct/>
        <w:topLinePunct w:val="0"/>
        <w:autoSpaceDE/>
        <w:autoSpaceDN/>
        <w:bidi w:val="0"/>
        <w:snapToGrid/>
        <w:spacing w:line="360" w:lineRule="auto"/>
        <w:ind w:firstLine="420" w:firstLineChars="0"/>
        <w:rPr>
          <w:rFonts w:hint="eastAsia" w:asciiTheme="minorEastAsia" w:hAnsiTheme="minorEastAsia" w:cstheme="minorEastAsia"/>
          <w:szCs w:val="24"/>
          <w:lang w:val="en-US" w:eastAsia="zh-CN"/>
        </w:rPr>
      </w:pPr>
      <w:r>
        <w:rPr>
          <w:rFonts w:hint="eastAsia" w:asciiTheme="minorEastAsia" w:hAnsiTheme="minorEastAsia" w:cstheme="minorEastAsia"/>
          <w:szCs w:val="24"/>
          <w:lang w:val="en-US" w:eastAsia="zh-CN"/>
        </w:rPr>
        <w:t>使用前要根据使用情况选择合适直径的钢丝绳；在使用过程中，要经常检查其负荷能力及破损情况；使用后及时保养，正确存放。</w:t>
      </w:r>
    </w:p>
    <w:p w14:paraId="1C91D274">
      <w:pPr>
        <w:keepNext w:val="0"/>
        <w:keepLines w:val="0"/>
        <w:pageBreakBefore w:val="0"/>
        <w:kinsoku/>
        <w:wordWrap/>
        <w:overflowPunct/>
        <w:topLinePunct w:val="0"/>
        <w:autoSpaceDE/>
        <w:autoSpaceDN/>
        <w:bidi w:val="0"/>
        <w:snapToGrid/>
        <w:spacing w:line="360" w:lineRule="auto"/>
        <w:ind w:firstLine="420" w:firstLineChars="0"/>
        <w:rPr>
          <w:rFonts w:hint="eastAsia" w:asciiTheme="minorEastAsia" w:hAnsiTheme="minorEastAsia" w:cstheme="minorEastAsia"/>
          <w:szCs w:val="24"/>
          <w:lang w:val="en-US" w:eastAsia="zh-CN"/>
        </w:rPr>
      </w:pPr>
      <w:r>
        <w:rPr>
          <w:rFonts w:hint="eastAsia" w:asciiTheme="minorEastAsia" w:hAnsiTheme="minorEastAsia" w:cstheme="minorEastAsia"/>
          <w:szCs w:val="24"/>
          <w:lang w:val="en-US" w:eastAsia="zh-CN"/>
        </w:rPr>
        <w:t>钢丝绳应均匀地涂敷防锈、润滑油脂。钢丝绳表面不应有未涂上油脂的地方。</w:t>
      </w:r>
    </w:p>
    <w:p w14:paraId="6D4522EC">
      <w:pPr>
        <w:rPr>
          <w:rFonts w:hint="eastAsia" w:cs="Times New Roman"/>
        </w:rPr>
      </w:pPr>
      <w:r>
        <w:rPr>
          <w:rFonts w:hint="eastAsia" w:cs="Times New Roman"/>
        </w:rPr>
        <w:br w:type="page"/>
      </w:r>
    </w:p>
    <w:p w14:paraId="07CAADC0">
      <w:pPr>
        <w:pStyle w:val="4"/>
        <w:pageBreakBefore w:val="0"/>
        <w:numPr>
          <w:ilvl w:val="0"/>
          <w:numId w:val="6"/>
        </w:numPr>
        <w:tabs>
          <w:tab w:val="left" w:pos="-1843"/>
          <w:tab w:val="left" w:pos="0"/>
        </w:tabs>
        <w:kinsoku/>
        <w:wordWrap/>
        <w:overflowPunct/>
        <w:topLinePunct w:val="0"/>
        <w:bidi w:val="0"/>
        <w:spacing w:line="360" w:lineRule="auto"/>
        <w:ind w:left="425" w:leftChars="0" w:hanging="425" w:firstLineChars="0"/>
        <w:rPr>
          <w:rFonts w:hint="eastAsia" w:cs="Times New Roman"/>
        </w:rPr>
      </w:pPr>
      <w:bookmarkStart w:id="188" w:name="_Toc8519"/>
      <w:r>
        <w:rPr>
          <w:rFonts w:hint="eastAsia" w:cs="Times New Roman"/>
        </w:rPr>
        <w:t>监测监控</w:t>
      </w:r>
      <w:r>
        <w:rPr>
          <w:rFonts w:cs="Times New Roman"/>
        </w:rPr>
        <w:t>措施</w:t>
      </w:r>
      <w:r>
        <w:rPr>
          <w:rFonts w:hint="eastAsia" w:cs="Times New Roman"/>
          <w:lang w:val="en-US" w:eastAsia="zh-CN"/>
        </w:rPr>
        <w:t>与验收要求</w:t>
      </w:r>
      <w:bookmarkEnd w:id="188"/>
    </w:p>
    <w:p w14:paraId="2DE31121">
      <w:pPr>
        <w:pStyle w:val="5"/>
        <w:keepLines w:val="0"/>
        <w:pageBreakBefore w:val="0"/>
        <w:widowControl/>
        <w:numPr>
          <w:ilvl w:val="1"/>
          <w:numId w:val="6"/>
        </w:numPr>
        <w:kinsoku/>
        <w:wordWrap/>
        <w:overflowPunct/>
        <w:topLinePunct w:val="0"/>
        <w:bidi w:val="0"/>
        <w:spacing w:line="360" w:lineRule="auto"/>
        <w:ind w:left="567" w:leftChars="0" w:hanging="567" w:firstLineChars="0"/>
        <w:rPr>
          <w:rFonts w:hint="eastAsia" w:cs="Times New Roman"/>
        </w:rPr>
      </w:pPr>
      <w:bookmarkStart w:id="189" w:name="_Toc23863"/>
      <w:bookmarkStart w:id="190" w:name="_Toc176686629"/>
      <w:r>
        <w:rPr>
          <w:rFonts w:hint="eastAsia" w:cs="Times New Roman"/>
        </w:rPr>
        <w:t>监测点的设置</w:t>
      </w:r>
      <w:bookmarkEnd w:id="189"/>
      <w:bookmarkEnd w:id="190"/>
    </w:p>
    <w:p w14:paraId="424B6BB6">
      <w:pPr>
        <w:pStyle w:val="78"/>
        <w:pageBreakBefore w:val="0"/>
        <w:numPr>
          <w:ilvl w:val="0"/>
          <w:numId w:val="0"/>
        </w:numPr>
        <w:kinsoku/>
        <w:wordWrap/>
        <w:overflowPunct/>
        <w:topLinePunct w:val="0"/>
        <w:bidi w:val="0"/>
        <w:spacing w:line="360" w:lineRule="auto"/>
        <w:ind w:firstLine="420" w:firstLineChars="0"/>
        <w:rPr>
          <w:rFonts w:hint="eastAsia"/>
          <w:color w:val="auto"/>
          <w:lang w:val="en-US"/>
        </w:rPr>
      </w:pPr>
      <w:r>
        <w:rPr>
          <w:rFonts w:hint="eastAsia"/>
          <w:color w:val="auto"/>
          <w:lang w:val="en-US"/>
        </w:rPr>
        <w:t>塔机拆卸过程监测内容：观测塔机安装辅助吊装汽车吊支腿沉降，监测塔机拆卸过程中支腿以及周边承台基础混凝土变化。</w:t>
      </w:r>
    </w:p>
    <w:p w14:paraId="075F4F3C">
      <w:pPr>
        <w:pStyle w:val="5"/>
        <w:keepLines w:val="0"/>
        <w:pageBreakBefore w:val="0"/>
        <w:widowControl/>
        <w:numPr>
          <w:ilvl w:val="1"/>
          <w:numId w:val="6"/>
        </w:numPr>
        <w:kinsoku/>
        <w:wordWrap/>
        <w:overflowPunct/>
        <w:topLinePunct w:val="0"/>
        <w:bidi w:val="0"/>
        <w:spacing w:line="360" w:lineRule="auto"/>
        <w:ind w:left="567" w:leftChars="0" w:hanging="567" w:firstLineChars="0"/>
        <w:rPr>
          <w:rFonts w:hint="eastAsia" w:cs="Times New Roman"/>
        </w:rPr>
      </w:pPr>
      <w:bookmarkStart w:id="191" w:name="_Toc176686630"/>
      <w:bookmarkStart w:id="192" w:name="_Toc5570"/>
      <w:r>
        <w:rPr>
          <w:rFonts w:hint="eastAsia" w:cs="Times New Roman"/>
        </w:rPr>
        <w:t>监测仪器、设备和人员的配备</w:t>
      </w:r>
      <w:bookmarkEnd w:id="191"/>
      <w:bookmarkEnd w:id="192"/>
    </w:p>
    <w:p w14:paraId="7CD5F61A">
      <w:pPr>
        <w:pStyle w:val="78"/>
        <w:pageBreakBefore w:val="0"/>
        <w:numPr>
          <w:ilvl w:val="0"/>
          <w:numId w:val="0"/>
        </w:numPr>
        <w:kinsoku/>
        <w:wordWrap/>
        <w:overflowPunct/>
        <w:topLinePunct w:val="0"/>
        <w:bidi w:val="0"/>
        <w:spacing w:line="360" w:lineRule="auto"/>
        <w:ind w:firstLine="420" w:firstLineChars="0"/>
        <w:rPr>
          <w:rFonts w:hint="eastAsia"/>
          <w:color w:val="auto"/>
          <w:lang w:val="en-US"/>
        </w:rPr>
      </w:pPr>
      <w:r>
        <w:rPr>
          <w:rFonts w:hint="eastAsia"/>
          <w:color w:val="auto"/>
          <w:lang w:val="en-US"/>
        </w:rPr>
        <w:t>塔机拆卸过程监测时应配置水准仪和标尺，由拆卸单位现场负责人以及专职安全员进行观测。</w:t>
      </w:r>
    </w:p>
    <w:p w14:paraId="3CDC835C">
      <w:pPr>
        <w:pStyle w:val="5"/>
        <w:keepLines w:val="0"/>
        <w:pageBreakBefore w:val="0"/>
        <w:widowControl/>
        <w:numPr>
          <w:ilvl w:val="1"/>
          <w:numId w:val="6"/>
        </w:numPr>
        <w:kinsoku/>
        <w:wordWrap/>
        <w:overflowPunct/>
        <w:topLinePunct w:val="0"/>
        <w:bidi w:val="0"/>
        <w:spacing w:line="360" w:lineRule="auto"/>
        <w:ind w:left="567" w:leftChars="0" w:hanging="567" w:firstLineChars="0"/>
        <w:rPr>
          <w:rFonts w:hint="eastAsia" w:cs="Times New Roman"/>
        </w:rPr>
      </w:pPr>
      <w:bookmarkStart w:id="193" w:name="_Toc176686631"/>
      <w:bookmarkStart w:id="194" w:name="_Toc19262"/>
      <w:r>
        <w:rPr>
          <w:rFonts w:hint="eastAsia" w:cs="Times New Roman"/>
        </w:rPr>
        <w:t>监测方式、方法、频率、信息反馈</w:t>
      </w:r>
      <w:bookmarkEnd w:id="193"/>
      <w:bookmarkEnd w:id="194"/>
    </w:p>
    <w:p w14:paraId="6F124BE1">
      <w:pPr>
        <w:pStyle w:val="78"/>
        <w:pageBreakBefore w:val="0"/>
        <w:numPr>
          <w:ilvl w:val="0"/>
          <w:numId w:val="0"/>
        </w:numPr>
        <w:kinsoku/>
        <w:wordWrap/>
        <w:overflowPunct/>
        <w:topLinePunct w:val="0"/>
        <w:bidi w:val="0"/>
        <w:spacing w:line="360" w:lineRule="auto"/>
        <w:ind w:firstLine="420" w:firstLineChars="0"/>
        <w:rPr>
          <w:rFonts w:hint="eastAsia"/>
          <w:color w:val="auto"/>
          <w:lang w:val="en-US"/>
        </w:rPr>
      </w:pPr>
      <w:r>
        <w:rPr>
          <w:rFonts w:hint="eastAsia"/>
          <w:color w:val="auto"/>
          <w:lang w:val="en-US"/>
        </w:rPr>
        <w:t>塔机拆卸过程监测：在汽车吊支腿垫板处树立标尺，监测支腿垫板变化，</w:t>
      </w:r>
      <w:r>
        <w:rPr>
          <w:rFonts w:hint="eastAsia"/>
          <w:color w:val="auto"/>
        </w:rPr>
        <w:t>汽车吊起重臂下方支腿下降5mm、后方支腿无变化、吊物未离地时，需提示现场负责人，并持续观察是否继续加剧下沉；当下方支腿达到8mm时，后方支腿无变化、吊物未离地时，需提示现场负责人注意警戒；当下方支腿达到15mm时，后方支腿无变化、吊物未离地时，需警示现场负责人停止作业，补强地基承载力；当后方支腿有上升值、吊物未离地时，需警示现场负责人停止作业</w:t>
      </w:r>
      <w:r>
        <w:rPr>
          <w:rFonts w:hint="eastAsia"/>
          <w:color w:val="auto"/>
          <w:lang w:val="en-US"/>
        </w:rPr>
        <w:t>。</w:t>
      </w:r>
    </w:p>
    <w:p w14:paraId="67770E3A">
      <w:pPr>
        <w:pStyle w:val="5"/>
        <w:keepLines w:val="0"/>
        <w:pageBreakBefore w:val="0"/>
        <w:widowControl/>
        <w:numPr>
          <w:ilvl w:val="1"/>
          <w:numId w:val="6"/>
        </w:numPr>
        <w:kinsoku/>
        <w:wordWrap/>
        <w:overflowPunct/>
        <w:topLinePunct w:val="0"/>
        <w:bidi w:val="0"/>
        <w:spacing w:line="360" w:lineRule="auto"/>
        <w:ind w:left="567" w:leftChars="0" w:hanging="567" w:firstLineChars="0"/>
        <w:rPr>
          <w:rFonts w:hint="default" w:cs="Times New Roman" w:eastAsiaTheme="majorEastAsia"/>
          <w:lang w:val="en-US" w:eastAsia="zh-CN"/>
        </w:rPr>
      </w:pPr>
      <w:bookmarkStart w:id="195" w:name="_Toc24801"/>
      <w:r>
        <w:rPr>
          <w:rFonts w:hint="eastAsia" w:cs="Times New Roman"/>
          <w:lang w:val="en-US" w:eastAsia="zh-CN"/>
        </w:rPr>
        <w:t>验收表格</w:t>
      </w:r>
      <w:bookmarkEnd w:id="195"/>
    </w:p>
    <w:tbl>
      <w:tblPr>
        <w:tblStyle w:val="33"/>
        <w:tblpPr w:leftFromText="180" w:rightFromText="180" w:vertAnchor="text" w:horzAnchor="page" w:tblpX="1821" w:tblpY="621"/>
        <w:tblOverlap w:val="never"/>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503"/>
        <w:gridCol w:w="4134"/>
        <w:gridCol w:w="852"/>
        <w:gridCol w:w="1885"/>
      </w:tblGrid>
      <w:tr w14:paraId="3A4F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tblCellSpacing w:w="15" w:type="dxa"/>
        </w:trPr>
        <w:tc>
          <w:tcPr>
            <w:tcW w:w="1458" w:type="dxa"/>
            <w:tcBorders>
              <w:tl2br w:val="nil"/>
              <w:tr2bl w:val="nil"/>
            </w:tcBorders>
            <w:shd w:val="clear" w:color="auto" w:fill="auto"/>
            <w:vAlign w:val="center"/>
          </w:tcPr>
          <w:p w14:paraId="44BEC289">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检查项目</w:t>
            </w:r>
          </w:p>
        </w:tc>
        <w:tc>
          <w:tcPr>
            <w:tcW w:w="4104" w:type="dxa"/>
            <w:tcBorders>
              <w:tl2br w:val="nil"/>
              <w:tr2bl w:val="nil"/>
            </w:tcBorders>
            <w:shd w:val="clear" w:color="auto" w:fill="auto"/>
            <w:vAlign w:val="center"/>
          </w:tcPr>
          <w:p w14:paraId="2448B77A">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验收要求</w:t>
            </w:r>
          </w:p>
        </w:tc>
        <w:tc>
          <w:tcPr>
            <w:tcW w:w="822" w:type="dxa"/>
            <w:tcBorders>
              <w:tl2br w:val="nil"/>
              <w:tr2bl w:val="nil"/>
            </w:tcBorders>
            <w:shd w:val="clear" w:color="auto" w:fill="auto"/>
            <w:vAlign w:val="center"/>
          </w:tcPr>
          <w:p w14:paraId="49B44808">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结果（√/×）</w:t>
            </w:r>
          </w:p>
        </w:tc>
        <w:tc>
          <w:tcPr>
            <w:tcW w:w="1840" w:type="dxa"/>
            <w:tcBorders>
              <w:tl2br w:val="nil"/>
              <w:tr2bl w:val="nil"/>
            </w:tcBorders>
            <w:shd w:val="clear" w:color="auto" w:fill="auto"/>
            <w:vAlign w:val="center"/>
          </w:tcPr>
          <w:p w14:paraId="70C5387E">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备注</w:t>
            </w:r>
          </w:p>
        </w:tc>
      </w:tr>
      <w:tr w14:paraId="5314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1458" w:type="dxa"/>
            <w:tcBorders>
              <w:tl2br w:val="nil"/>
              <w:tr2bl w:val="nil"/>
            </w:tcBorders>
            <w:shd w:val="clear" w:color="auto" w:fill="auto"/>
            <w:vAlign w:val="center"/>
          </w:tcPr>
          <w:p w14:paraId="4686B310">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1.作业环境</w:t>
            </w:r>
          </w:p>
        </w:tc>
        <w:tc>
          <w:tcPr>
            <w:tcW w:w="4104" w:type="dxa"/>
            <w:tcBorders>
              <w:tl2br w:val="nil"/>
              <w:tr2bl w:val="nil"/>
            </w:tcBorders>
            <w:shd w:val="clear" w:color="auto" w:fill="auto"/>
            <w:vAlign w:val="center"/>
          </w:tcPr>
          <w:p w14:paraId="45E73BCF">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风速≤12m/s（5级风），无雨雪、大雾等恶劣天气；夜间作业照明充足（≥50lux）</w:t>
            </w:r>
          </w:p>
        </w:tc>
        <w:tc>
          <w:tcPr>
            <w:tcW w:w="822" w:type="dxa"/>
            <w:tcBorders>
              <w:tl2br w:val="nil"/>
              <w:tr2bl w:val="nil"/>
            </w:tcBorders>
            <w:shd w:val="clear" w:color="auto" w:fill="auto"/>
            <w:vAlign w:val="center"/>
          </w:tcPr>
          <w:p w14:paraId="4B81A485">
            <w:pPr>
              <w:pStyle w:val="65"/>
              <w:pageBreakBefore w:val="0"/>
              <w:kinsoku/>
              <w:wordWrap/>
              <w:overflowPunct/>
              <w:topLinePunct w:val="0"/>
              <w:bidi w:val="0"/>
              <w:spacing w:line="360" w:lineRule="auto"/>
              <w:rPr>
                <w:rFonts w:hint="eastAsia" w:ascii="Times New Roman" w:hAnsi="Times New Roman"/>
                <w:sz w:val="24"/>
                <w:szCs w:val="24"/>
              </w:rPr>
            </w:pPr>
          </w:p>
        </w:tc>
        <w:tc>
          <w:tcPr>
            <w:tcW w:w="1840" w:type="dxa"/>
            <w:tcBorders>
              <w:tl2br w:val="nil"/>
              <w:tr2bl w:val="nil"/>
            </w:tcBorders>
            <w:shd w:val="clear" w:color="auto" w:fill="auto"/>
            <w:vAlign w:val="center"/>
          </w:tcPr>
          <w:p w14:paraId="461D76B7">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实测风速：___m/s，时间：___</w:t>
            </w:r>
          </w:p>
        </w:tc>
      </w:tr>
      <w:tr w14:paraId="047F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458" w:type="dxa"/>
            <w:tcBorders>
              <w:tl2br w:val="nil"/>
              <w:tr2bl w:val="nil"/>
            </w:tcBorders>
            <w:shd w:val="clear" w:color="auto" w:fill="auto"/>
            <w:vAlign w:val="center"/>
          </w:tcPr>
          <w:p w14:paraId="58FD700F">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2.顶升系统</w:t>
            </w:r>
          </w:p>
        </w:tc>
        <w:tc>
          <w:tcPr>
            <w:tcW w:w="4104" w:type="dxa"/>
            <w:tcBorders>
              <w:tl2br w:val="nil"/>
              <w:tr2bl w:val="nil"/>
            </w:tcBorders>
            <w:shd w:val="clear" w:color="auto" w:fill="auto"/>
            <w:vAlign w:val="center"/>
          </w:tcPr>
          <w:p w14:paraId="6A5C7D65">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液压系统油压≤21MPa，油路无泄漏；顶升速度≤0.4m/min，备用液压泵站功能正常</w:t>
            </w:r>
          </w:p>
        </w:tc>
        <w:tc>
          <w:tcPr>
            <w:tcW w:w="822" w:type="dxa"/>
            <w:tcBorders>
              <w:tl2br w:val="nil"/>
              <w:tr2bl w:val="nil"/>
            </w:tcBorders>
            <w:shd w:val="clear" w:color="auto" w:fill="auto"/>
            <w:vAlign w:val="center"/>
          </w:tcPr>
          <w:p w14:paraId="6F0DD2BC">
            <w:pPr>
              <w:pStyle w:val="65"/>
              <w:pageBreakBefore w:val="0"/>
              <w:kinsoku/>
              <w:wordWrap/>
              <w:overflowPunct/>
              <w:topLinePunct w:val="0"/>
              <w:bidi w:val="0"/>
              <w:spacing w:line="360" w:lineRule="auto"/>
              <w:rPr>
                <w:rFonts w:hint="eastAsia" w:ascii="Times New Roman" w:hAnsi="Times New Roman"/>
                <w:sz w:val="24"/>
                <w:szCs w:val="24"/>
              </w:rPr>
            </w:pPr>
          </w:p>
        </w:tc>
        <w:tc>
          <w:tcPr>
            <w:tcW w:w="1840" w:type="dxa"/>
            <w:tcBorders>
              <w:tl2br w:val="nil"/>
              <w:tr2bl w:val="nil"/>
            </w:tcBorders>
            <w:shd w:val="clear" w:color="auto" w:fill="auto"/>
            <w:vAlign w:val="center"/>
          </w:tcPr>
          <w:p w14:paraId="153B8F2A">
            <w:pPr>
              <w:pStyle w:val="65"/>
              <w:pageBreakBefore w:val="0"/>
              <w:kinsoku/>
              <w:wordWrap/>
              <w:overflowPunct/>
              <w:topLinePunct w:val="0"/>
              <w:bidi w:val="0"/>
              <w:spacing w:line="360" w:lineRule="auto"/>
              <w:rPr>
                <w:rFonts w:ascii="Times New Roman" w:hAnsi="Times New Roman"/>
                <w:sz w:val="24"/>
                <w:szCs w:val="24"/>
              </w:rPr>
            </w:pPr>
            <w:r>
              <w:rPr>
                <w:rFonts w:ascii="Times New Roman" w:hAnsi="Times New Roman"/>
                <w:sz w:val="24"/>
                <w:szCs w:val="24"/>
                <w:lang w:val="en-US" w:eastAsia="zh-CN"/>
              </w:rPr>
              <w:t>液压油位：___，压力表校验：</w:t>
            </w:r>
          </w:p>
        </w:tc>
      </w:tr>
      <w:tr w14:paraId="53CA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1458" w:type="dxa"/>
            <w:tcBorders>
              <w:tl2br w:val="nil"/>
              <w:tr2bl w:val="nil"/>
            </w:tcBorders>
            <w:shd w:val="clear" w:color="auto" w:fill="auto"/>
            <w:vAlign w:val="center"/>
          </w:tcPr>
          <w:p w14:paraId="382898EE">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3.套架与导轨</w:t>
            </w:r>
          </w:p>
        </w:tc>
        <w:tc>
          <w:tcPr>
            <w:tcW w:w="4104" w:type="dxa"/>
            <w:tcBorders>
              <w:tl2br w:val="nil"/>
              <w:tr2bl w:val="nil"/>
            </w:tcBorders>
            <w:shd w:val="clear" w:color="auto" w:fill="auto"/>
            <w:vAlign w:val="center"/>
          </w:tcPr>
          <w:p w14:paraId="1DE7FED3">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套架滚轮与塔身间隙≤5mm，转动灵活；导轨无变形、裂纹，垂直度偏差≤2/10003 6</w:t>
            </w:r>
          </w:p>
        </w:tc>
        <w:tc>
          <w:tcPr>
            <w:tcW w:w="822" w:type="dxa"/>
            <w:tcBorders>
              <w:tl2br w:val="nil"/>
              <w:tr2bl w:val="nil"/>
            </w:tcBorders>
            <w:shd w:val="clear" w:color="auto" w:fill="auto"/>
            <w:vAlign w:val="center"/>
          </w:tcPr>
          <w:p w14:paraId="16481CA0">
            <w:pPr>
              <w:pStyle w:val="65"/>
              <w:pageBreakBefore w:val="0"/>
              <w:kinsoku/>
              <w:wordWrap/>
              <w:overflowPunct/>
              <w:topLinePunct w:val="0"/>
              <w:bidi w:val="0"/>
              <w:spacing w:line="360" w:lineRule="auto"/>
              <w:rPr>
                <w:rFonts w:hint="eastAsia" w:ascii="Times New Roman" w:hAnsi="Times New Roman"/>
                <w:sz w:val="24"/>
                <w:szCs w:val="24"/>
                <w:lang w:val="en-US" w:eastAsia="zh-CN"/>
              </w:rPr>
            </w:pPr>
          </w:p>
        </w:tc>
        <w:tc>
          <w:tcPr>
            <w:tcW w:w="1840" w:type="dxa"/>
            <w:tcBorders>
              <w:tl2br w:val="nil"/>
              <w:tr2bl w:val="nil"/>
            </w:tcBorders>
            <w:shd w:val="clear" w:color="auto" w:fill="auto"/>
            <w:vAlign w:val="center"/>
          </w:tcPr>
          <w:p w14:paraId="314E05ED">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实测间隙：___mm</w:t>
            </w:r>
          </w:p>
        </w:tc>
      </w:tr>
      <w:tr w14:paraId="588A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1458" w:type="dxa"/>
            <w:tcBorders>
              <w:tl2br w:val="nil"/>
              <w:tr2bl w:val="nil"/>
            </w:tcBorders>
            <w:shd w:val="clear" w:color="auto" w:fill="auto"/>
            <w:vAlign w:val="center"/>
          </w:tcPr>
          <w:p w14:paraId="35F0FAC5">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4.连接件</w:t>
            </w:r>
          </w:p>
        </w:tc>
        <w:tc>
          <w:tcPr>
            <w:tcW w:w="4104" w:type="dxa"/>
            <w:tcBorders>
              <w:tl2br w:val="nil"/>
              <w:tr2bl w:val="nil"/>
            </w:tcBorders>
            <w:shd w:val="clear" w:color="auto" w:fill="auto"/>
            <w:vAlign w:val="center"/>
          </w:tcPr>
          <w:p w14:paraId="004BC4BD">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顶升横梁销轴安装到位，防脱装置有效；标准节连接螺栓预紧力矩达标（如M30螺栓≥1300N·m）</w:t>
            </w:r>
          </w:p>
        </w:tc>
        <w:tc>
          <w:tcPr>
            <w:tcW w:w="822" w:type="dxa"/>
            <w:tcBorders>
              <w:tl2br w:val="nil"/>
              <w:tr2bl w:val="nil"/>
            </w:tcBorders>
            <w:shd w:val="clear" w:color="auto" w:fill="auto"/>
            <w:vAlign w:val="center"/>
          </w:tcPr>
          <w:p w14:paraId="71FD26BA">
            <w:pPr>
              <w:pStyle w:val="65"/>
              <w:pageBreakBefore w:val="0"/>
              <w:kinsoku/>
              <w:wordWrap/>
              <w:overflowPunct/>
              <w:topLinePunct w:val="0"/>
              <w:bidi w:val="0"/>
              <w:spacing w:line="360" w:lineRule="auto"/>
              <w:rPr>
                <w:rFonts w:hint="eastAsia" w:ascii="Times New Roman" w:hAnsi="Times New Roman"/>
                <w:sz w:val="24"/>
                <w:szCs w:val="24"/>
                <w:lang w:val="en-US" w:eastAsia="zh-CN"/>
              </w:rPr>
            </w:pPr>
          </w:p>
        </w:tc>
        <w:tc>
          <w:tcPr>
            <w:tcW w:w="1840" w:type="dxa"/>
            <w:tcBorders>
              <w:tl2br w:val="nil"/>
              <w:tr2bl w:val="nil"/>
            </w:tcBorders>
            <w:shd w:val="clear" w:color="auto" w:fill="auto"/>
            <w:vAlign w:val="center"/>
          </w:tcPr>
          <w:p w14:paraId="3713E3C2">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抽检螺栓编号：___</w:t>
            </w:r>
          </w:p>
        </w:tc>
      </w:tr>
      <w:tr w14:paraId="0B32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458" w:type="dxa"/>
            <w:tcBorders>
              <w:tl2br w:val="nil"/>
              <w:tr2bl w:val="nil"/>
            </w:tcBorders>
            <w:shd w:val="clear" w:color="auto" w:fill="auto"/>
            <w:vAlign w:val="center"/>
          </w:tcPr>
          <w:p w14:paraId="7708262A">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5.附着装置</w:t>
            </w:r>
          </w:p>
        </w:tc>
        <w:tc>
          <w:tcPr>
            <w:tcW w:w="4104" w:type="dxa"/>
            <w:tcBorders>
              <w:tl2br w:val="nil"/>
              <w:tr2bl w:val="nil"/>
            </w:tcBorders>
            <w:shd w:val="clear" w:color="auto" w:fill="auto"/>
            <w:vAlign w:val="center"/>
          </w:tcPr>
          <w:p w14:paraId="7E9558E1">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附着框架与塔身紧固，锚固点混凝土强度≥设计值80%；附着杆无塑性变形</w:t>
            </w:r>
          </w:p>
        </w:tc>
        <w:tc>
          <w:tcPr>
            <w:tcW w:w="822" w:type="dxa"/>
            <w:tcBorders>
              <w:tl2br w:val="nil"/>
              <w:tr2bl w:val="nil"/>
            </w:tcBorders>
            <w:shd w:val="clear" w:color="auto" w:fill="auto"/>
            <w:vAlign w:val="center"/>
          </w:tcPr>
          <w:p w14:paraId="1601CF07">
            <w:pPr>
              <w:pStyle w:val="65"/>
              <w:pageBreakBefore w:val="0"/>
              <w:kinsoku/>
              <w:wordWrap/>
              <w:overflowPunct/>
              <w:topLinePunct w:val="0"/>
              <w:bidi w:val="0"/>
              <w:spacing w:line="360" w:lineRule="auto"/>
              <w:rPr>
                <w:rFonts w:hint="eastAsia" w:ascii="Times New Roman" w:hAnsi="Times New Roman"/>
                <w:sz w:val="24"/>
                <w:szCs w:val="24"/>
                <w:lang w:val="en-US" w:eastAsia="zh-CN"/>
              </w:rPr>
            </w:pPr>
          </w:p>
        </w:tc>
        <w:tc>
          <w:tcPr>
            <w:tcW w:w="1840" w:type="dxa"/>
            <w:tcBorders>
              <w:tl2br w:val="nil"/>
              <w:tr2bl w:val="nil"/>
            </w:tcBorders>
            <w:shd w:val="clear" w:color="auto" w:fill="auto"/>
            <w:vAlign w:val="center"/>
          </w:tcPr>
          <w:p w14:paraId="1BD2F492">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附着杆编号：___，强度：___</w:t>
            </w:r>
          </w:p>
        </w:tc>
      </w:tr>
      <w:tr w14:paraId="0929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458" w:type="dxa"/>
            <w:tcBorders>
              <w:tl2br w:val="nil"/>
              <w:tr2bl w:val="nil"/>
            </w:tcBorders>
            <w:shd w:val="clear" w:color="auto" w:fill="auto"/>
            <w:vAlign w:val="center"/>
          </w:tcPr>
          <w:p w14:paraId="0E4B0F0F">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6.安全装置</w:t>
            </w:r>
          </w:p>
        </w:tc>
        <w:tc>
          <w:tcPr>
            <w:tcW w:w="4104" w:type="dxa"/>
            <w:tcBorders>
              <w:tl2br w:val="nil"/>
              <w:tr2bl w:val="nil"/>
            </w:tcBorders>
            <w:shd w:val="clear" w:color="auto" w:fill="auto"/>
            <w:vAlign w:val="center"/>
          </w:tcPr>
          <w:p w14:paraId="627C7414">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顶升横梁防脱装置、回转制动器、高度限位器有效；紧急停止按钮功能正常</w:t>
            </w:r>
          </w:p>
        </w:tc>
        <w:tc>
          <w:tcPr>
            <w:tcW w:w="822" w:type="dxa"/>
            <w:tcBorders>
              <w:tl2br w:val="nil"/>
              <w:tr2bl w:val="nil"/>
            </w:tcBorders>
            <w:shd w:val="clear" w:color="auto" w:fill="auto"/>
            <w:vAlign w:val="center"/>
          </w:tcPr>
          <w:p w14:paraId="0A55DC6F">
            <w:pPr>
              <w:pStyle w:val="65"/>
              <w:pageBreakBefore w:val="0"/>
              <w:kinsoku/>
              <w:wordWrap/>
              <w:overflowPunct/>
              <w:topLinePunct w:val="0"/>
              <w:bidi w:val="0"/>
              <w:spacing w:line="360" w:lineRule="auto"/>
              <w:rPr>
                <w:rFonts w:hint="eastAsia" w:ascii="Times New Roman" w:hAnsi="Times New Roman"/>
                <w:sz w:val="24"/>
                <w:szCs w:val="24"/>
                <w:lang w:val="en-US" w:eastAsia="zh-CN"/>
              </w:rPr>
            </w:pPr>
          </w:p>
        </w:tc>
        <w:tc>
          <w:tcPr>
            <w:tcW w:w="1840" w:type="dxa"/>
            <w:tcBorders>
              <w:tl2br w:val="nil"/>
              <w:tr2bl w:val="nil"/>
            </w:tcBorders>
            <w:shd w:val="clear" w:color="auto" w:fill="auto"/>
            <w:vAlign w:val="center"/>
          </w:tcPr>
          <w:p w14:paraId="5A2BD56B">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测试记录：___</w:t>
            </w:r>
          </w:p>
        </w:tc>
      </w:tr>
      <w:tr w14:paraId="3065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458" w:type="dxa"/>
            <w:tcBorders>
              <w:tl2br w:val="nil"/>
              <w:tr2bl w:val="nil"/>
            </w:tcBorders>
            <w:shd w:val="clear" w:color="auto" w:fill="auto"/>
            <w:vAlign w:val="center"/>
          </w:tcPr>
          <w:p w14:paraId="2DC75122">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7.操作规范</w:t>
            </w:r>
          </w:p>
        </w:tc>
        <w:tc>
          <w:tcPr>
            <w:tcW w:w="4104" w:type="dxa"/>
            <w:tcBorders>
              <w:tl2br w:val="nil"/>
              <w:tr2bl w:val="nil"/>
            </w:tcBorders>
            <w:shd w:val="clear" w:color="auto" w:fill="auto"/>
            <w:vAlign w:val="center"/>
          </w:tcPr>
          <w:p w14:paraId="7F0D5EA1">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作业人员持证，已接受专项交底；吊具索具无磨损（钢丝绳断丝率≤10%）4 6</w:t>
            </w:r>
          </w:p>
        </w:tc>
        <w:tc>
          <w:tcPr>
            <w:tcW w:w="822" w:type="dxa"/>
            <w:tcBorders>
              <w:tl2br w:val="nil"/>
              <w:tr2bl w:val="nil"/>
            </w:tcBorders>
            <w:shd w:val="clear" w:color="auto" w:fill="auto"/>
            <w:vAlign w:val="center"/>
          </w:tcPr>
          <w:p w14:paraId="55C82B50">
            <w:pPr>
              <w:pStyle w:val="65"/>
              <w:pageBreakBefore w:val="0"/>
              <w:kinsoku/>
              <w:wordWrap/>
              <w:overflowPunct/>
              <w:topLinePunct w:val="0"/>
              <w:bidi w:val="0"/>
              <w:spacing w:line="360" w:lineRule="auto"/>
              <w:rPr>
                <w:rFonts w:hint="eastAsia" w:ascii="Times New Roman" w:hAnsi="Times New Roman"/>
                <w:sz w:val="24"/>
                <w:szCs w:val="24"/>
                <w:lang w:val="en-US" w:eastAsia="zh-CN"/>
              </w:rPr>
            </w:pPr>
          </w:p>
        </w:tc>
        <w:tc>
          <w:tcPr>
            <w:tcW w:w="1840" w:type="dxa"/>
            <w:tcBorders>
              <w:tl2br w:val="nil"/>
              <w:tr2bl w:val="nil"/>
            </w:tcBorders>
            <w:shd w:val="clear" w:color="auto" w:fill="auto"/>
            <w:vAlign w:val="center"/>
          </w:tcPr>
          <w:p w14:paraId="7325C977">
            <w:pPr>
              <w:pStyle w:val="65"/>
              <w:pageBreakBefore w:val="0"/>
              <w:kinsoku/>
              <w:wordWrap/>
              <w:overflowPunct/>
              <w:topLinePunct w:val="0"/>
              <w:bidi w:val="0"/>
              <w:spacing w:line="360" w:lineRule="auto"/>
              <w:rPr>
                <w:rFonts w:ascii="Times New Roman" w:hAnsi="Times New Roman"/>
                <w:sz w:val="24"/>
                <w:szCs w:val="24"/>
                <w:lang w:val="en-US" w:eastAsia="zh-CN"/>
              </w:rPr>
            </w:pPr>
            <w:r>
              <w:rPr>
                <w:rFonts w:ascii="Times New Roman" w:hAnsi="Times New Roman"/>
                <w:sz w:val="24"/>
                <w:szCs w:val="24"/>
                <w:lang w:val="en-US" w:eastAsia="zh-CN"/>
              </w:rPr>
              <w:t>操作人员：___，证书编号：___</w:t>
            </w:r>
          </w:p>
        </w:tc>
      </w:tr>
    </w:tbl>
    <w:p w14:paraId="68ACE387">
      <w:pPr>
        <w:keepNext w:val="0"/>
        <w:keepLines w:val="0"/>
        <w:pageBreakBefore w:val="0"/>
        <w:kinsoku/>
        <w:wordWrap/>
        <w:overflowPunct/>
        <w:topLinePunct w:val="0"/>
        <w:autoSpaceDE/>
        <w:autoSpaceDN/>
        <w:bidi w:val="0"/>
        <w:snapToGrid/>
        <w:spacing w:line="360" w:lineRule="auto"/>
      </w:pPr>
    </w:p>
    <w:p w14:paraId="4D417CC4">
      <w:pPr>
        <w:pStyle w:val="4"/>
        <w:pageBreakBefore w:val="0"/>
        <w:numPr>
          <w:ilvl w:val="0"/>
          <w:numId w:val="6"/>
        </w:numPr>
        <w:tabs>
          <w:tab w:val="left" w:pos="-1843"/>
          <w:tab w:val="left" w:pos="0"/>
        </w:tabs>
        <w:kinsoku/>
        <w:wordWrap/>
        <w:overflowPunct/>
        <w:topLinePunct w:val="0"/>
        <w:bidi w:val="0"/>
        <w:spacing w:line="360" w:lineRule="auto"/>
        <w:ind w:left="425" w:leftChars="0" w:hanging="425" w:firstLineChars="0"/>
        <w:rPr>
          <w:rFonts w:cs="Times New Roman"/>
        </w:rPr>
      </w:pPr>
      <w:bookmarkStart w:id="196" w:name="_Toc17253"/>
      <w:r>
        <w:rPr>
          <w:rFonts w:cs="Times New Roman"/>
        </w:rPr>
        <w:t>应急预案</w:t>
      </w:r>
      <w:bookmarkEnd w:id="196"/>
    </w:p>
    <w:p w14:paraId="0F94D2B8">
      <w:pPr>
        <w:pStyle w:val="5"/>
        <w:keepLines w:val="0"/>
        <w:pageBreakBefore w:val="0"/>
        <w:widowControl/>
        <w:numPr>
          <w:ilvl w:val="1"/>
          <w:numId w:val="6"/>
        </w:numPr>
        <w:kinsoku/>
        <w:wordWrap/>
        <w:overflowPunct/>
        <w:topLinePunct w:val="0"/>
        <w:bidi w:val="0"/>
        <w:spacing w:line="360" w:lineRule="auto"/>
        <w:ind w:left="567" w:leftChars="0" w:hanging="567" w:firstLineChars="0"/>
        <w:rPr>
          <w:rFonts w:cs="Times New Roman"/>
        </w:rPr>
      </w:pPr>
      <w:bookmarkStart w:id="197" w:name="_Toc448135184"/>
      <w:bookmarkStart w:id="198" w:name="_Toc393100852"/>
      <w:bookmarkStart w:id="199" w:name="_Toc398819232"/>
      <w:bookmarkStart w:id="200" w:name="_Toc448225298"/>
      <w:bookmarkStart w:id="201" w:name="_Toc20327"/>
      <w:bookmarkStart w:id="202" w:name="_Toc28751"/>
      <w:bookmarkStart w:id="203" w:name="_Toc391314989"/>
      <w:bookmarkStart w:id="204" w:name="_Toc8317"/>
      <w:bookmarkStart w:id="205" w:name="_Toc393705462"/>
      <w:bookmarkStart w:id="206" w:name="_Toc448225848"/>
      <w:bookmarkStart w:id="207" w:name="_Toc18046"/>
      <w:bookmarkStart w:id="208" w:name="_Toc450922371"/>
      <w:bookmarkStart w:id="209" w:name="_Toc395793415"/>
      <w:r>
        <w:rPr>
          <w:rFonts w:cs="Times New Roman"/>
        </w:rPr>
        <w:t>应急机构及职责</w:t>
      </w:r>
      <w:bookmarkEnd w:id="197"/>
      <w:bookmarkEnd w:id="198"/>
      <w:bookmarkEnd w:id="199"/>
      <w:bookmarkEnd w:id="200"/>
      <w:bookmarkEnd w:id="201"/>
      <w:bookmarkEnd w:id="202"/>
      <w:bookmarkEnd w:id="203"/>
      <w:bookmarkEnd w:id="204"/>
      <w:bookmarkEnd w:id="205"/>
      <w:bookmarkEnd w:id="206"/>
      <w:bookmarkEnd w:id="207"/>
      <w:bookmarkEnd w:id="208"/>
      <w:bookmarkEnd w:id="209"/>
    </w:p>
    <w:p w14:paraId="5CBBF1D2">
      <w:pPr>
        <w:keepNext w:val="0"/>
        <w:keepLines w:val="0"/>
        <w:pageBreakBefore w:val="0"/>
        <w:kinsoku/>
        <w:wordWrap/>
        <w:overflowPunct/>
        <w:topLinePunct w:val="0"/>
        <w:autoSpaceDE/>
        <w:autoSpaceDN/>
        <w:bidi w:val="0"/>
        <w:snapToGrid/>
        <w:spacing w:line="360" w:lineRule="auto"/>
        <w:ind w:firstLine="420" w:firstLineChars="0"/>
        <w:rPr>
          <w:rFonts w:hint="eastAsia" w:asciiTheme="minorEastAsia" w:hAnsiTheme="minorEastAsia" w:cstheme="minorEastAsia"/>
          <w:szCs w:val="24"/>
          <w:lang w:val="en-US" w:eastAsia="zh-CN"/>
        </w:rPr>
      </w:pPr>
      <w:r>
        <w:rPr>
          <w:rFonts w:hint="eastAsia" w:asciiTheme="minorEastAsia" w:hAnsiTheme="minorEastAsia" w:cstheme="minorEastAsia"/>
          <w:szCs w:val="24"/>
          <w:lang w:val="en-US" w:eastAsia="zh-CN"/>
        </w:rPr>
        <w:t>紧急工作组由项目部建立，明确相关人员的职责。其组成目的是对工地内可能发生的重大险情做出响应。其工作宗旨是减少人员伤亡，并关注财产损失和环境污染。紧急工作组成员必须经过紧急医疗救护和事故预案等紧急救援知识的培训，并能熟练掌握和运用。紧急工作组应经常组织培训和演习。</w:t>
      </w:r>
    </w:p>
    <w:p w14:paraId="5E096F4D">
      <w:pPr>
        <w:pStyle w:val="5"/>
        <w:pageBreakBefore w:val="0"/>
        <w:numPr>
          <w:ilvl w:val="1"/>
          <w:numId w:val="6"/>
        </w:numPr>
        <w:kinsoku/>
        <w:wordWrap/>
        <w:overflowPunct/>
        <w:topLinePunct w:val="0"/>
        <w:bidi w:val="0"/>
        <w:spacing w:line="360" w:lineRule="auto"/>
        <w:ind w:left="567" w:leftChars="0" w:hanging="567" w:firstLineChars="0"/>
      </w:pPr>
      <w:bookmarkStart w:id="210" w:name="_Toc28285"/>
      <w:bookmarkStart w:id="211" w:name="_Toc18992"/>
      <w:r>
        <w:t>应急小组及其人员组成</w:t>
      </w:r>
      <w:bookmarkEnd w:id="210"/>
      <w:bookmarkEnd w:id="211"/>
    </w:p>
    <w:p w14:paraId="1AC26ECC">
      <w:pPr>
        <w:keepNext w:val="0"/>
        <w:keepLines w:val="0"/>
        <w:pageBreakBefore w:val="0"/>
        <w:kinsoku/>
        <w:wordWrap/>
        <w:overflowPunct/>
        <w:topLinePunct w:val="0"/>
        <w:autoSpaceDE/>
        <w:autoSpaceDN/>
        <w:bidi w:val="0"/>
        <w:snapToGrid/>
        <w:spacing w:line="360" w:lineRule="auto"/>
        <w:ind w:firstLine="420" w:firstLineChars="0"/>
        <w:rPr>
          <w:rFonts w:hint="eastAsia"/>
          <w:lang w:val="en-US" w:eastAsia="zh-CN"/>
        </w:rPr>
      </w:pPr>
      <w:bookmarkStart w:id="212" w:name="_Toc21181"/>
      <w:bookmarkStart w:id="213" w:name="_Toc24584_WPSOffice_Level3"/>
      <w:bookmarkStart w:id="214" w:name="_Toc29038_WPSOffice_Level3"/>
      <w:bookmarkStart w:id="215" w:name="_Toc533861763"/>
      <w:bookmarkStart w:id="216" w:name="_Toc477590464"/>
      <w:bookmarkStart w:id="217" w:name="_Toc15589"/>
      <w:bookmarkStart w:id="218" w:name="_Toc28942_WPSOffice_Level3"/>
      <w:bookmarkStart w:id="219" w:name="_Toc533174070"/>
      <w:bookmarkStart w:id="220" w:name="_Toc14696"/>
      <w:bookmarkStart w:id="221" w:name="_Toc398819233"/>
      <w:bookmarkStart w:id="222" w:name="_Toc30282"/>
      <w:bookmarkStart w:id="223" w:name="_Toc15289"/>
      <w:bookmarkStart w:id="224" w:name="_Toc26689"/>
      <w:bookmarkStart w:id="225" w:name="_Toc21567"/>
      <w:bookmarkStart w:id="226" w:name="_Toc450922372"/>
      <w:bookmarkStart w:id="227" w:name="_Toc448135185"/>
      <w:bookmarkStart w:id="228" w:name="_Toc448225849"/>
      <w:bookmarkStart w:id="229" w:name="_Toc31087"/>
      <w:bookmarkStart w:id="230" w:name="_Toc448225299"/>
      <w:r>
        <w:rPr>
          <w:rFonts w:hint="eastAsia" w:ascii="宋体" w:hAnsi="宋体" w:eastAsia="宋体" w:cs="宋体"/>
          <w:color w:val="auto"/>
          <w:highlight w:val="none"/>
          <w:lang w:val="en-US" w:eastAsia="zh-CN"/>
        </w:rPr>
        <w:t>为了保障</w:t>
      </w:r>
      <w:r>
        <w:rPr>
          <w:rFonts w:hint="eastAsia" w:ascii="宋体" w:hAnsi="宋体" w:cs="宋体"/>
          <w:color w:val="auto"/>
          <w:highlight w:val="none"/>
          <w:lang w:val="en-US" w:eastAsia="zh-CN"/>
        </w:rPr>
        <w:t>塔式起重机施工</w:t>
      </w:r>
      <w:r>
        <w:rPr>
          <w:rFonts w:hint="eastAsia" w:ascii="宋体" w:hAnsi="宋体" w:eastAsia="宋体" w:cs="宋体"/>
          <w:color w:val="auto"/>
          <w:highlight w:val="none"/>
          <w:lang w:val="en-US" w:eastAsia="zh-CN"/>
        </w:rPr>
        <w:t>顺利进行，保证从业人员在施工过程中的安全与健康，最大限度地控制危险源，尽可能地减少事故造成的人员伤亡和财产损失，特成立应急救援领</w:t>
      </w:r>
      <w:r>
        <w:rPr>
          <w:rFonts w:hint="eastAsia"/>
          <w:lang w:val="en-US" w:eastAsia="zh-CN"/>
        </w:rPr>
        <w:t>导小组，我公司现场负责人及作业人员组成应急救援组并承担主体责任，发生事故时并依附于项目部应急组织机构，受项目部应急领导小组组长指挥进行应急救援工作。</w:t>
      </w:r>
    </w:p>
    <w:p w14:paraId="53385C2F">
      <w:pPr>
        <w:keepNext w:val="0"/>
        <w:keepLines w:val="0"/>
        <w:pageBreakBefore w:val="0"/>
        <w:kinsoku/>
        <w:wordWrap/>
        <w:overflowPunct/>
        <w:topLinePunct w:val="0"/>
        <w:autoSpaceDE/>
        <w:autoSpaceDN/>
        <w:bidi w:val="0"/>
        <w:snapToGrid/>
        <w:spacing w:line="360" w:lineRule="auto"/>
        <w:jc w:val="center"/>
      </w:pPr>
      <w:bookmarkStart w:id="231" w:name="_Toc6488"/>
      <w:bookmarkEnd w:id="231"/>
      <w:bookmarkStart w:id="232" w:name="_Toc3990"/>
      <w:bookmarkEnd w:id="232"/>
      <w:bookmarkStart w:id="233" w:name="_Toc7450"/>
      <w:bookmarkEnd w:id="233"/>
      <w:bookmarkStart w:id="234" w:name="_Toc11680"/>
      <w:bookmarkEnd w:id="234"/>
      <w:bookmarkStart w:id="235" w:name="_Toc8087"/>
      <w:bookmarkEnd w:id="235"/>
      <w:bookmarkStart w:id="236" w:name="_Toc12712"/>
      <w:bookmarkEnd w:id="236"/>
      <w:bookmarkStart w:id="237" w:name="_Toc18645"/>
      <w:bookmarkEnd w:id="237"/>
      <w:bookmarkStart w:id="238" w:name="_Toc11035"/>
      <w:bookmarkEnd w:id="238"/>
      <w:bookmarkStart w:id="239" w:name="_Toc26229"/>
      <w:bookmarkEnd w:id="239"/>
      <w:bookmarkStart w:id="240" w:name="_Toc13012"/>
      <w:bookmarkStart w:id="241" w:name="_Toc14078"/>
      <w:bookmarkStart w:id="242" w:name="_Toc18785"/>
      <w:bookmarkStart w:id="243" w:name="_Toc11678"/>
      <w:bookmarkStart w:id="244" w:name="_Toc14116"/>
      <w:bookmarkStart w:id="245" w:name="_Toc16570"/>
      <w:bookmarkStart w:id="246" w:name="_Toc14166"/>
      <w:bookmarkStart w:id="247" w:name="_Toc19794"/>
      <w:bookmarkStart w:id="248" w:name="_Toc21651"/>
      <w:r>
        <w:rPr>
          <w:rFonts w:hint="eastAsia" w:ascii="宋体" w:hAnsi="宋体"/>
        </w:rPr>
        <w:t>四川科斗文智能装备有限公</w:t>
      </w:r>
      <w:r>
        <w:rPr>
          <w:rFonts w:hint="eastAsia"/>
          <w:lang w:val="en-US" w:eastAsia="zh-CN"/>
        </w:rPr>
        <w:t>司</w:t>
      </w:r>
      <w:r>
        <w:t>应急救援组织机构</w:t>
      </w:r>
      <w:bookmarkEnd w:id="240"/>
      <w:bookmarkEnd w:id="241"/>
      <w:bookmarkEnd w:id="242"/>
      <w:bookmarkEnd w:id="243"/>
      <w:bookmarkEnd w:id="244"/>
      <w:bookmarkEnd w:id="245"/>
      <w:bookmarkEnd w:id="246"/>
      <w:bookmarkEnd w:id="247"/>
      <w:bookmarkEnd w:id="248"/>
    </w:p>
    <w:tbl>
      <w:tblPr>
        <w:tblStyle w:val="33"/>
        <w:tblW w:w="9071"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6"/>
        <w:gridCol w:w="1288"/>
        <w:gridCol w:w="2701"/>
        <w:gridCol w:w="2173"/>
        <w:gridCol w:w="1983"/>
      </w:tblGrid>
      <w:tr w14:paraId="7B763DF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dxa"/>
            <w:noWrap w:val="0"/>
            <w:vAlign w:val="center"/>
          </w:tcPr>
          <w:p w14:paraId="4D5B0BC1">
            <w:pPr>
              <w:keepNext w:val="0"/>
              <w:keepLines w:val="0"/>
              <w:pageBreakBefore w:val="0"/>
              <w:kinsoku/>
              <w:wordWrap/>
              <w:overflowPunct/>
              <w:topLinePunct w:val="0"/>
              <w:autoSpaceDE/>
              <w:autoSpaceDN/>
              <w:bidi w:val="0"/>
              <w:snapToGrid/>
              <w:spacing w:line="360" w:lineRule="auto"/>
              <w:rPr>
                <w:rFonts w:hint="eastAsia"/>
                <w:lang w:val="en-US" w:eastAsia="zh-CN"/>
              </w:rPr>
            </w:pPr>
            <w:r>
              <w:rPr>
                <w:rFonts w:hint="eastAsia"/>
                <w:lang w:val="en-US" w:eastAsia="zh-CN"/>
              </w:rPr>
              <w:t>序 号</w:t>
            </w:r>
          </w:p>
        </w:tc>
        <w:tc>
          <w:tcPr>
            <w:tcW w:w="1288" w:type="dxa"/>
            <w:noWrap w:val="0"/>
            <w:vAlign w:val="center"/>
          </w:tcPr>
          <w:p w14:paraId="3C16EA1C">
            <w:pPr>
              <w:keepNext w:val="0"/>
              <w:keepLines w:val="0"/>
              <w:pageBreakBefore w:val="0"/>
              <w:kinsoku/>
              <w:wordWrap/>
              <w:overflowPunct/>
              <w:topLinePunct w:val="0"/>
              <w:autoSpaceDE/>
              <w:autoSpaceDN/>
              <w:bidi w:val="0"/>
              <w:snapToGrid/>
              <w:spacing w:line="360" w:lineRule="auto"/>
              <w:jc w:val="center"/>
              <w:rPr>
                <w:rFonts w:hint="eastAsia"/>
                <w:lang w:val="en-US" w:eastAsia="zh-CN"/>
              </w:rPr>
            </w:pPr>
            <w:r>
              <w:rPr>
                <w:rFonts w:hint="eastAsia"/>
                <w:lang w:val="en-US" w:eastAsia="zh-CN"/>
              </w:rPr>
              <w:t>姓 名</w:t>
            </w:r>
          </w:p>
        </w:tc>
        <w:tc>
          <w:tcPr>
            <w:tcW w:w="2701" w:type="dxa"/>
            <w:noWrap w:val="0"/>
            <w:vAlign w:val="center"/>
          </w:tcPr>
          <w:p w14:paraId="1FF784C9">
            <w:pPr>
              <w:keepNext w:val="0"/>
              <w:keepLines w:val="0"/>
              <w:pageBreakBefore w:val="0"/>
              <w:kinsoku/>
              <w:wordWrap/>
              <w:overflowPunct/>
              <w:topLinePunct w:val="0"/>
              <w:autoSpaceDE/>
              <w:autoSpaceDN/>
              <w:bidi w:val="0"/>
              <w:snapToGrid/>
              <w:spacing w:line="360" w:lineRule="auto"/>
              <w:jc w:val="center"/>
              <w:rPr>
                <w:rFonts w:hint="eastAsia"/>
                <w:lang w:val="en-US" w:eastAsia="zh-CN"/>
              </w:rPr>
            </w:pPr>
            <w:r>
              <w:rPr>
                <w:rFonts w:hint="eastAsia"/>
                <w:lang w:val="en-US" w:eastAsia="zh-CN"/>
              </w:rPr>
              <w:t>职务</w:t>
            </w:r>
          </w:p>
        </w:tc>
        <w:tc>
          <w:tcPr>
            <w:tcW w:w="2173" w:type="dxa"/>
            <w:noWrap w:val="0"/>
            <w:vAlign w:val="center"/>
          </w:tcPr>
          <w:p w14:paraId="2B10A3BC">
            <w:pPr>
              <w:keepNext w:val="0"/>
              <w:keepLines w:val="0"/>
              <w:pageBreakBefore w:val="0"/>
              <w:kinsoku/>
              <w:wordWrap/>
              <w:overflowPunct/>
              <w:topLinePunct w:val="0"/>
              <w:autoSpaceDE/>
              <w:autoSpaceDN/>
              <w:bidi w:val="0"/>
              <w:snapToGrid/>
              <w:spacing w:line="360" w:lineRule="auto"/>
              <w:jc w:val="center"/>
              <w:rPr>
                <w:rFonts w:hint="eastAsia"/>
                <w:lang w:val="en-US" w:eastAsia="zh-CN"/>
              </w:rPr>
            </w:pPr>
            <w:r>
              <w:rPr>
                <w:rFonts w:hint="eastAsia"/>
                <w:lang w:val="en-US" w:eastAsia="zh-CN"/>
              </w:rPr>
              <w:t>联系方式</w:t>
            </w:r>
          </w:p>
        </w:tc>
        <w:tc>
          <w:tcPr>
            <w:tcW w:w="1983" w:type="dxa"/>
            <w:noWrap w:val="0"/>
            <w:vAlign w:val="center"/>
          </w:tcPr>
          <w:p w14:paraId="0006619D">
            <w:pPr>
              <w:keepNext w:val="0"/>
              <w:keepLines w:val="0"/>
              <w:pageBreakBefore w:val="0"/>
              <w:kinsoku/>
              <w:wordWrap/>
              <w:overflowPunct/>
              <w:topLinePunct w:val="0"/>
              <w:autoSpaceDE/>
              <w:autoSpaceDN/>
              <w:bidi w:val="0"/>
              <w:snapToGrid/>
              <w:spacing w:line="360" w:lineRule="auto"/>
              <w:jc w:val="center"/>
              <w:rPr>
                <w:rFonts w:hint="eastAsia"/>
                <w:lang w:val="en-US" w:eastAsia="zh-CN"/>
              </w:rPr>
            </w:pPr>
            <w:r>
              <w:rPr>
                <w:rFonts w:hint="eastAsia"/>
                <w:lang w:val="en-US" w:eastAsia="zh-CN"/>
              </w:rPr>
              <w:t>备注</w:t>
            </w:r>
          </w:p>
        </w:tc>
      </w:tr>
      <w:tr w14:paraId="6A8EB51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071" w:type="dxa"/>
            <w:gridSpan w:val="5"/>
            <w:noWrap w:val="0"/>
            <w:vAlign w:val="center"/>
          </w:tcPr>
          <w:p w14:paraId="72AAFD9C">
            <w:pPr>
              <w:keepNext w:val="0"/>
              <w:keepLines w:val="0"/>
              <w:pageBreakBefore w:val="0"/>
              <w:kinsoku/>
              <w:wordWrap/>
              <w:overflowPunct/>
              <w:topLinePunct w:val="0"/>
              <w:autoSpaceDE/>
              <w:autoSpaceDN/>
              <w:bidi w:val="0"/>
              <w:snapToGrid/>
              <w:spacing w:line="360" w:lineRule="auto"/>
              <w:jc w:val="center"/>
              <w:rPr>
                <w:rFonts w:hint="eastAsia"/>
                <w:lang w:val="en-US" w:eastAsia="zh-CN"/>
              </w:rPr>
            </w:pPr>
            <w:r>
              <w:rPr>
                <w:rFonts w:hint="eastAsia" w:ascii="宋体" w:hAnsi="宋体"/>
              </w:rPr>
              <w:t>四川科斗文智能装备有限公</w:t>
            </w:r>
            <w:r>
              <w:rPr>
                <w:rFonts w:hint="eastAsia"/>
                <w:lang w:val="en-US" w:eastAsia="zh-CN"/>
              </w:rPr>
              <w:t>司</w:t>
            </w:r>
          </w:p>
        </w:tc>
      </w:tr>
      <w:tr w14:paraId="74E2A8C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52DFCBF5">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1 </w:t>
            </w:r>
          </w:p>
        </w:tc>
        <w:tc>
          <w:tcPr>
            <w:tcW w:w="1288" w:type="dxa"/>
            <w:noWrap w:val="0"/>
            <w:vAlign w:val="center"/>
          </w:tcPr>
          <w:p w14:paraId="20B2F3D4">
            <w:pPr>
              <w:keepNext w:val="0"/>
              <w:keepLines w:val="0"/>
              <w:pageBreakBefore w:val="0"/>
              <w:kinsoku/>
              <w:wordWrap/>
              <w:overflowPunct/>
              <w:topLinePunct w:val="0"/>
              <w:autoSpaceDE/>
              <w:autoSpaceDN/>
              <w:bidi w:val="0"/>
              <w:snapToGrid/>
              <w:spacing w:line="360" w:lineRule="auto"/>
              <w:jc w:val="center"/>
              <w:rPr>
                <w:rFonts w:hint="default"/>
                <w:lang w:val="en-US" w:eastAsia="zh-CN"/>
              </w:rPr>
            </w:pPr>
            <w:r>
              <w:rPr>
                <w:rFonts w:hint="eastAsia"/>
                <w:lang w:val="en-US" w:eastAsia="zh-CN"/>
              </w:rPr>
              <w:t>明兴富</w:t>
            </w:r>
          </w:p>
        </w:tc>
        <w:tc>
          <w:tcPr>
            <w:tcW w:w="2701" w:type="dxa"/>
            <w:noWrap w:val="0"/>
            <w:vAlign w:val="center"/>
          </w:tcPr>
          <w:p w14:paraId="2B7D3BF6">
            <w:pPr>
              <w:keepNext w:val="0"/>
              <w:keepLines w:val="0"/>
              <w:pageBreakBefore w:val="0"/>
              <w:kinsoku/>
              <w:wordWrap/>
              <w:overflowPunct/>
              <w:topLinePunct w:val="0"/>
              <w:autoSpaceDE/>
              <w:autoSpaceDN/>
              <w:bidi w:val="0"/>
              <w:snapToGrid/>
              <w:spacing w:line="360" w:lineRule="auto"/>
              <w:jc w:val="center"/>
              <w:rPr>
                <w:rFonts w:hint="default"/>
                <w:lang w:val="en-US" w:eastAsia="zh-CN"/>
              </w:rPr>
            </w:pPr>
            <w:r>
              <w:rPr>
                <w:rFonts w:hint="eastAsia"/>
              </w:rPr>
              <w:t>项目负责人</w:t>
            </w:r>
          </w:p>
        </w:tc>
        <w:tc>
          <w:tcPr>
            <w:tcW w:w="2173" w:type="dxa"/>
            <w:noWrap w:val="0"/>
            <w:vAlign w:val="center"/>
          </w:tcPr>
          <w:p w14:paraId="55CD84F7">
            <w:pPr>
              <w:pageBreakBefore w:val="0"/>
              <w:kinsoku/>
              <w:wordWrap/>
              <w:overflowPunct/>
              <w:topLinePunct w:val="0"/>
              <w:bidi w:val="0"/>
              <w:spacing w:line="360" w:lineRule="auto"/>
              <w:jc w:val="center"/>
              <w:rPr>
                <w:rFonts w:hint="default" w:ascii="宋体" w:hAnsi="宋体" w:cs="宋体"/>
                <w:color w:val="auto"/>
                <w:highlight w:val="none"/>
                <w:lang w:val="en-US" w:eastAsia="zh-CN"/>
              </w:rPr>
            </w:pPr>
            <w:r>
              <w:rPr>
                <w:rFonts w:hint="eastAsia" w:ascii="宋体" w:hAnsi="宋体" w:cs="宋体"/>
                <w:color w:val="auto"/>
                <w:highlight w:val="none"/>
                <w:lang w:val="en-US" w:eastAsia="zh-CN"/>
              </w:rPr>
              <w:t>13350096472</w:t>
            </w:r>
          </w:p>
        </w:tc>
        <w:tc>
          <w:tcPr>
            <w:tcW w:w="1983" w:type="dxa"/>
            <w:noWrap w:val="0"/>
            <w:vAlign w:val="center"/>
          </w:tcPr>
          <w:p w14:paraId="198ABFE8">
            <w:pPr>
              <w:keepNext w:val="0"/>
              <w:keepLines w:val="0"/>
              <w:pageBreakBefore w:val="0"/>
              <w:kinsoku/>
              <w:wordWrap/>
              <w:overflowPunct/>
              <w:topLinePunct w:val="0"/>
              <w:autoSpaceDE/>
              <w:autoSpaceDN/>
              <w:bidi w:val="0"/>
              <w:snapToGrid/>
              <w:spacing w:line="360" w:lineRule="auto"/>
              <w:jc w:val="center"/>
              <w:rPr>
                <w:rFonts w:hint="default"/>
                <w:lang w:val="en-US" w:eastAsia="zh-CN"/>
              </w:rPr>
            </w:pPr>
            <w:r>
              <w:rPr>
                <w:rFonts w:hint="eastAsia"/>
              </w:rPr>
              <w:t>组长</w:t>
            </w:r>
          </w:p>
        </w:tc>
      </w:tr>
      <w:tr w14:paraId="6674064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776ABD2D">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288" w:type="dxa"/>
            <w:noWrap w:val="0"/>
            <w:vAlign w:val="center"/>
          </w:tcPr>
          <w:p w14:paraId="5C22C51F">
            <w:pPr>
              <w:keepNext w:val="0"/>
              <w:keepLines w:val="0"/>
              <w:pageBreakBefore w:val="0"/>
              <w:kinsoku/>
              <w:wordWrap/>
              <w:overflowPunct/>
              <w:topLinePunct w:val="0"/>
              <w:autoSpaceDE/>
              <w:autoSpaceDN/>
              <w:bidi w:val="0"/>
              <w:snapToGrid/>
              <w:spacing w:line="360" w:lineRule="auto"/>
              <w:jc w:val="center"/>
              <w:rPr>
                <w:rFonts w:hint="default"/>
                <w:lang w:val="en-US" w:eastAsia="zh-CN"/>
              </w:rPr>
            </w:pPr>
            <w:r>
              <w:rPr>
                <w:rFonts w:hint="eastAsia"/>
                <w:lang w:val="en-US" w:eastAsia="zh-CN"/>
              </w:rPr>
              <w:t>温涛</w:t>
            </w:r>
          </w:p>
        </w:tc>
        <w:tc>
          <w:tcPr>
            <w:tcW w:w="2701" w:type="dxa"/>
            <w:noWrap w:val="0"/>
            <w:vAlign w:val="center"/>
          </w:tcPr>
          <w:p w14:paraId="04216B1C">
            <w:pPr>
              <w:keepNext w:val="0"/>
              <w:keepLines w:val="0"/>
              <w:pageBreakBefore w:val="0"/>
              <w:kinsoku/>
              <w:wordWrap/>
              <w:overflowPunct/>
              <w:topLinePunct w:val="0"/>
              <w:autoSpaceDE/>
              <w:autoSpaceDN/>
              <w:bidi w:val="0"/>
              <w:snapToGrid/>
              <w:spacing w:line="360" w:lineRule="auto"/>
              <w:jc w:val="center"/>
              <w:rPr>
                <w:rFonts w:hint="eastAsia"/>
                <w:lang w:val="en-US" w:eastAsia="zh-CN"/>
              </w:rPr>
            </w:pPr>
            <w:r>
              <w:rPr>
                <w:rFonts w:hint="eastAsia"/>
              </w:rPr>
              <w:t>技术负责人</w:t>
            </w:r>
          </w:p>
        </w:tc>
        <w:tc>
          <w:tcPr>
            <w:tcW w:w="2173" w:type="dxa"/>
            <w:noWrap w:val="0"/>
            <w:vAlign w:val="center"/>
          </w:tcPr>
          <w:p w14:paraId="17DE55AF">
            <w:pPr>
              <w:pageBreakBefore w:val="0"/>
              <w:kinsoku/>
              <w:wordWrap/>
              <w:overflowPunct/>
              <w:topLinePunct w:val="0"/>
              <w:bidi w:val="0"/>
              <w:spacing w:line="360" w:lineRule="auto"/>
              <w:jc w:val="center"/>
              <w:rPr>
                <w:rFonts w:hint="default" w:ascii="宋体" w:hAnsi="宋体" w:cs="宋体"/>
                <w:color w:val="auto"/>
                <w:highlight w:val="none"/>
                <w:lang w:val="en-US" w:eastAsia="zh-CN"/>
              </w:rPr>
            </w:pPr>
            <w:r>
              <w:rPr>
                <w:rFonts w:hint="eastAsia" w:ascii="宋体" w:hAnsi="宋体" w:cs="宋体"/>
                <w:color w:val="auto"/>
                <w:highlight w:val="none"/>
                <w:lang w:val="en-US" w:eastAsia="zh-CN"/>
              </w:rPr>
              <w:t>17783408811</w:t>
            </w:r>
          </w:p>
        </w:tc>
        <w:tc>
          <w:tcPr>
            <w:tcW w:w="1983" w:type="dxa"/>
            <w:noWrap w:val="0"/>
            <w:vAlign w:val="center"/>
          </w:tcPr>
          <w:p w14:paraId="62F034C4">
            <w:pPr>
              <w:keepNext w:val="0"/>
              <w:keepLines w:val="0"/>
              <w:pageBreakBefore w:val="0"/>
              <w:kinsoku/>
              <w:wordWrap/>
              <w:overflowPunct/>
              <w:topLinePunct w:val="0"/>
              <w:autoSpaceDE/>
              <w:autoSpaceDN/>
              <w:bidi w:val="0"/>
              <w:snapToGrid/>
              <w:spacing w:line="360" w:lineRule="auto"/>
              <w:jc w:val="center"/>
              <w:rPr>
                <w:rFonts w:hint="eastAsia"/>
                <w:lang w:val="en-US" w:eastAsia="zh-CN"/>
              </w:rPr>
            </w:pPr>
            <w:r>
              <w:rPr>
                <w:rFonts w:hint="eastAsia"/>
              </w:rPr>
              <w:t>组长</w:t>
            </w:r>
          </w:p>
        </w:tc>
      </w:tr>
      <w:tr w14:paraId="4025B85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618BEFC4">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288" w:type="dxa"/>
            <w:noWrap w:val="0"/>
            <w:vAlign w:val="center"/>
          </w:tcPr>
          <w:p w14:paraId="345A3CEB">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eastAsia"/>
              </w:rPr>
              <w:t>白美富</w:t>
            </w:r>
          </w:p>
        </w:tc>
        <w:tc>
          <w:tcPr>
            <w:tcW w:w="2701" w:type="dxa"/>
            <w:noWrap w:val="0"/>
            <w:vAlign w:val="center"/>
          </w:tcPr>
          <w:p w14:paraId="4F170276">
            <w:pPr>
              <w:keepNext w:val="0"/>
              <w:keepLines w:val="0"/>
              <w:pageBreakBefore w:val="0"/>
              <w:kinsoku/>
              <w:wordWrap/>
              <w:overflowPunct/>
              <w:topLinePunct w:val="0"/>
              <w:autoSpaceDE/>
              <w:autoSpaceDN/>
              <w:bidi w:val="0"/>
              <w:snapToGrid/>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安全员</w:t>
            </w:r>
          </w:p>
        </w:tc>
        <w:tc>
          <w:tcPr>
            <w:tcW w:w="2173" w:type="dxa"/>
            <w:shd w:val="clear" w:color="auto" w:fill="auto"/>
            <w:noWrap w:val="0"/>
            <w:vAlign w:val="center"/>
          </w:tcPr>
          <w:p w14:paraId="3465FDA4">
            <w:pPr>
              <w:pageBreakBefore w:val="0"/>
              <w:kinsoku/>
              <w:wordWrap/>
              <w:overflowPunct/>
              <w:topLinePunct w:val="0"/>
              <w:bidi w:val="0"/>
              <w:spacing w:line="360" w:lineRule="auto"/>
              <w:jc w:val="center"/>
              <w:rPr>
                <w:rFonts w:hint="default" w:ascii="宋体" w:hAnsi="宋体" w:cs="宋体"/>
                <w:color w:val="auto"/>
                <w:highlight w:val="none"/>
                <w:lang w:val="en-US" w:eastAsia="zh-CN"/>
              </w:rPr>
            </w:pPr>
            <w:r>
              <w:rPr>
                <w:rFonts w:hint="eastAsia" w:ascii="宋体" w:hAnsi="宋体" w:cs="宋体"/>
                <w:color w:val="auto"/>
                <w:highlight w:val="none"/>
                <w:lang w:val="en-US" w:eastAsia="zh-CN"/>
              </w:rPr>
              <w:t>13551045034</w:t>
            </w:r>
          </w:p>
        </w:tc>
        <w:tc>
          <w:tcPr>
            <w:tcW w:w="1983" w:type="dxa"/>
            <w:noWrap w:val="0"/>
            <w:vAlign w:val="center"/>
          </w:tcPr>
          <w:p w14:paraId="797DCF84">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副组长</w:t>
            </w:r>
          </w:p>
        </w:tc>
      </w:tr>
      <w:tr w14:paraId="019055D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dxa"/>
            <w:noWrap w:val="0"/>
            <w:vAlign w:val="center"/>
          </w:tcPr>
          <w:p w14:paraId="58757316">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288" w:type="dxa"/>
            <w:shd w:val="clear" w:color="auto" w:fill="auto"/>
            <w:noWrap w:val="0"/>
            <w:vAlign w:val="center"/>
          </w:tcPr>
          <w:p w14:paraId="208ABFC6">
            <w:pPr>
              <w:keepNext w:val="0"/>
              <w:keepLines w:val="0"/>
              <w:pageBreakBefore w:val="0"/>
              <w:kinsoku/>
              <w:wordWrap/>
              <w:overflowPunct/>
              <w:topLinePunct w:val="0"/>
              <w:autoSpaceDE/>
              <w:autoSpaceDN/>
              <w:bidi w:val="0"/>
              <w:snapToGrid/>
              <w:spacing w:line="360" w:lineRule="auto"/>
              <w:jc w:val="center"/>
              <w:rPr>
                <w:rFonts w:hint="eastAsia" w:ascii="Times New Roman" w:hAnsi="Times New Roman" w:eastAsiaTheme="minorEastAsia" w:cstheme="minorBidi"/>
                <w:kern w:val="2"/>
                <w:sz w:val="24"/>
                <w:szCs w:val="22"/>
                <w:lang w:val="en-US" w:eastAsia="zh-CN" w:bidi="ar-SA"/>
              </w:rPr>
            </w:pPr>
            <w:r>
              <w:rPr>
                <w:rFonts w:hint="eastAsia"/>
                <w:lang w:val="en-US" w:eastAsia="zh-CN"/>
              </w:rPr>
              <w:t>明兴富</w:t>
            </w:r>
          </w:p>
        </w:tc>
        <w:tc>
          <w:tcPr>
            <w:tcW w:w="2701" w:type="dxa"/>
            <w:noWrap w:val="0"/>
            <w:vAlign w:val="center"/>
          </w:tcPr>
          <w:p w14:paraId="7CFAAC0D">
            <w:pPr>
              <w:keepNext w:val="0"/>
              <w:keepLines w:val="0"/>
              <w:pageBreakBefore w:val="0"/>
              <w:kinsoku/>
              <w:wordWrap/>
              <w:overflowPunct/>
              <w:topLinePunct w:val="0"/>
              <w:autoSpaceDE/>
              <w:autoSpaceDN/>
              <w:bidi w:val="0"/>
              <w:snapToGri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带班班长</w:t>
            </w:r>
          </w:p>
        </w:tc>
        <w:tc>
          <w:tcPr>
            <w:tcW w:w="2173" w:type="dxa"/>
            <w:shd w:val="clear" w:color="auto" w:fill="auto"/>
            <w:noWrap w:val="0"/>
            <w:vAlign w:val="center"/>
          </w:tcPr>
          <w:p w14:paraId="5C9B0081">
            <w:pPr>
              <w:pageBreakBefore w:val="0"/>
              <w:kinsoku/>
              <w:wordWrap/>
              <w:overflowPunct/>
              <w:topLinePunct w:val="0"/>
              <w:bidi w:val="0"/>
              <w:spacing w:line="360" w:lineRule="auto"/>
              <w:jc w:val="center"/>
              <w:rPr>
                <w:rFonts w:hint="default" w:ascii="宋体" w:hAnsi="宋体" w:cs="宋体"/>
                <w:color w:val="auto"/>
                <w:highlight w:val="none"/>
                <w:lang w:val="en-US" w:eastAsia="zh-CN"/>
              </w:rPr>
            </w:pPr>
            <w:r>
              <w:rPr>
                <w:rFonts w:hint="eastAsia" w:ascii="宋体" w:hAnsi="宋体" w:cs="宋体"/>
                <w:color w:val="auto"/>
                <w:highlight w:val="none"/>
                <w:lang w:val="en-US" w:eastAsia="zh-CN"/>
              </w:rPr>
              <w:t>18161239559</w:t>
            </w:r>
          </w:p>
        </w:tc>
        <w:tc>
          <w:tcPr>
            <w:tcW w:w="1983" w:type="dxa"/>
            <w:noWrap w:val="0"/>
            <w:vAlign w:val="center"/>
          </w:tcPr>
          <w:p w14:paraId="3EB18D6E">
            <w:pPr>
              <w:keepNext w:val="0"/>
              <w:keepLines w:val="0"/>
              <w:pageBreakBefore w:val="0"/>
              <w:kinsoku/>
              <w:wordWrap/>
              <w:overflowPunct/>
              <w:topLinePunct w:val="0"/>
              <w:autoSpaceDE/>
              <w:autoSpaceDN/>
              <w:bidi w:val="0"/>
              <w:snapToGrid/>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抢险组</w:t>
            </w:r>
          </w:p>
        </w:tc>
      </w:tr>
      <w:tr w14:paraId="588710C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dxa"/>
            <w:noWrap w:val="0"/>
            <w:vAlign w:val="center"/>
          </w:tcPr>
          <w:p w14:paraId="22DD4C75">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288" w:type="dxa"/>
            <w:noWrap w:val="0"/>
            <w:vAlign w:val="center"/>
          </w:tcPr>
          <w:p w14:paraId="398DC8D6">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eastAsia"/>
              </w:rPr>
              <w:t>蒲贵良</w:t>
            </w:r>
          </w:p>
        </w:tc>
        <w:tc>
          <w:tcPr>
            <w:tcW w:w="2701" w:type="dxa"/>
            <w:noWrap w:val="0"/>
            <w:vAlign w:val="center"/>
          </w:tcPr>
          <w:p w14:paraId="5110A468">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r>
              <w:rPr>
                <w:rFonts w:hint="eastAsia" w:ascii="宋体" w:hAnsi="宋体" w:cs="宋体"/>
                <w:color w:val="auto"/>
                <w:sz w:val="24"/>
                <w:szCs w:val="24"/>
                <w:highlight w:val="none"/>
              </w:rPr>
              <w:t>作业人员</w:t>
            </w:r>
          </w:p>
        </w:tc>
        <w:tc>
          <w:tcPr>
            <w:tcW w:w="2173" w:type="dxa"/>
            <w:shd w:val="clear" w:color="auto" w:fill="auto"/>
            <w:noWrap w:val="0"/>
            <w:vAlign w:val="center"/>
          </w:tcPr>
          <w:p w14:paraId="3E5158E8">
            <w:pPr>
              <w:pageBreakBefore w:val="0"/>
              <w:kinsoku/>
              <w:wordWrap/>
              <w:overflowPunct/>
              <w:topLinePunct w:val="0"/>
              <w:bidi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13541273004</w:t>
            </w:r>
          </w:p>
        </w:tc>
        <w:tc>
          <w:tcPr>
            <w:tcW w:w="1983" w:type="dxa"/>
            <w:noWrap w:val="0"/>
            <w:vAlign w:val="center"/>
          </w:tcPr>
          <w:p w14:paraId="78A99BA2">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抢险组</w:t>
            </w:r>
          </w:p>
        </w:tc>
      </w:tr>
      <w:tr w14:paraId="3114F49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44DED284">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288" w:type="dxa"/>
            <w:noWrap w:val="0"/>
            <w:vAlign w:val="center"/>
          </w:tcPr>
          <w:p w14:paraId="5C019B0E">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黄科</w:t>
            </w:r>
          </w:p>
          <w:p w14:paraId="63DAC023">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徐刚</w:t>
            </w:r>
          </w:p>
          <w:p w14:paraId="5B5A546B">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王祯权</w:t>
            </w:r>
          </w:p>
          <w:p w14:paraId="4F385054">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lang w:val="en-US" w:eastAsia="zh-CN"/>
              </w:rPr>
            </w:pPr>
            <w:r>
              <w:rPr>
                <w:rFonts w:hint="default" w:ascii="宋体" w:hAnsi="宋体" w:eastAsia="宋体" w:cs="宋体"/>
                <w:color w:val="auto"/>
                <w:sz w:val="24"/>
                <w:szCs w:val="24"/>
                <w:highlight w:val="none"/>
                <w:lang w:val="en-US" w:eastAsia="zh-CN"/>
              </w:rPr>
              <w:t>黄仁训</w:t>
            </w:r>
          </w:p>
        </w:tc>
        <w:tc>
          <w:tcPr>
            <w:tcW w:w="2701" w:type="dxa"/>
            <w:noWrap w:val="0"/>
            <w:vAlign w:val="center"/>
          </w:tcPr>
          <w:p w14:paraId="0AE1B325">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安装工</w:t>
            </w:r>
            <w:r>
              <w:rPr>
                <w:rFonts w:hint="eastAsia" w:ascii="宋体" w:hAnsi="宋体" w:cs="宋体"/>
                <w:color w:val="auto"/>
                <w:sz w:val="24"/>
                <w:szCs w:val="24"/>
                <w:highlight w:val="none"/>
              </w:rPr>
              <w:t>人员</w:t>
            </w:r>
          </w:p>
        </w:tc>
        <w:tc>
          <w:tcPr>
            <w:tcW w:w="2173" w:type="dxa"/>
            <w:noWrap w:val="0"/>
            <w:vAlign w:val="center"/>
          </w:tcPr>
          <w:p w14:paraId="78A0E6C6">
            <w:pPr>
              <w:pageBreakBefore w:val="0"/>
              <w:kinsoku/>
              <w:wordWrap/>
              <w:overflowPunct/>
              <w:topLinePunct w:val="0"/>
              <w:bidi w:val="0"/>
              <w:spacing w:line="360" w:lineRule="auto"/>
              <w:jc w:val="center"/>
              <w:rPr>
                <w:rFonts w:hint="eastAsia" w:ascii="宋体" w:hAnsi="宋体" w:cs="宋体"/>
                <w:color w:val="auto"/>
                <w:highlight w:val="none"/>
                <w:lang w:val="en-US" w:eastAsia="zh-CN"/>
              </w:rPr>
            </w:pPr>
            <w:r>
              <w:rPr>
                <w:rFonts w:hint="eastAsia" w:ascii="宋体" w:hAnsi="宋体" w:cs="宋体"/>
                <w:color w:val="auto"/>
                <w:highlight w:val="none"/>
                <w:lang w:val="en-US" w:eastAsia="zh-CN"/>
              </w:rPr>
              <w:t>18161239589</w:t>
            </w:r>
          </w:p>
          <w:p w14:paraId="4B9BB4BA">
            <w:pPr>
              <w:pageBreakBefore w:val="0"/>
              <w:kinsoku/>
              <w:wordWrap/>
              <w:overflowPunct/>
              <w:topLinePunct w:val="0"/>
              <w:bidi w:val="0"/>
              <w:spacing w:line="360" w:lineRule="auto"/>
              <w:jc w:val="center"/>
              <w:rPr>
                <w:rFonts w:hint="eastAsia" w:ascii="宋体" w:hAnsi="宋体" w:cs="宋体"/>
                <w:color w:val="auto"/>
                <w:highlight w:val="none"/>
                <w:lang w:val="en-US" w:eastAsia="zh-CN"/>
              </w:rPr>
            </w:pPr>
            <w:r>
              <w:rPr>
                <w:rFonts w:hint="eastAsia" w:ascii="宋体" w:hAnsi="宋体" w:cs="宋体"/>
                <w:color w:val="auto"/>
                <w:highlight w:val="none"/>
                <w:lang w:val="en-US" w:eastAsia="zh-CN"/>
              </w:rPr>
              <w:t>18882260808</w:t>
            </w:r>
          </w:p>
          <w:p w14:paraId="4B53A333">
            <w:pPr>
              <w:pageBreakBefore w:val="0"/>
              <w:kinsoku/>
              <w:wordWrap/>
              <w:overflowPunct/>
              <w:topLinePunct w:val="0"/>
              <w:bidi w:val="0"/>
              <w:spacing w:line="360" w:lineRule="auto"/>
              <w:jc w:val="center"/>
              <w:rPr>
                <w:rFonts w:hint="eastAsia" w:ascii="宋体" w:hAnsi="宋体" w:cs="宋体"/>
                <w:color w:val="auto"/>
                <w:highlight w:val="none"/>
                <w:lang w:val="en-US" w:eastAsia="zh-CN"/>
              </w:rPr>
            </w:pPr>
            <w:r>
              <w:rPr>
                <w:rFonts w:hint="eastAsia" w:ascii="宋体" w:hAnsi="宋体" w:cs="宋体"/>
                <w:color w:val="auto"/>
                <w:highlight w:val="none"/>
                <w:lang w:val="en-US" w:eastAsia="zh-CN"/>
              </w:rPr>
              <w:t>13568880167</w:t>
            </w:r>
          </w:p>
          <w:p w14:paraId="65AA6264">
            <w:pPr>
              <w:pageBreakBefore w:val="0"/>
              <w:kinsoku/>
              <w:wordWrap/>
              <w:overflowPunct/>
              <w:topLinePunct w:val="0"/>
              <w:bidi w:val="0"/>
              <w:spacing w:line="360" w:lineRule="auto"/>
              <w:jc w:val="center"/>
              <w:rPr>
                <w:rFonts w:hint="default"/>
                <w:lang w:val="en-US" w:eastAsia="zh-CN"/>
              </w:rPr>
            </w:pPr>
            <w:r>
              <w:rPr>
                <w:rFonts w:hint="eastAsia" w:ascii="宋体" w:hAnsi="宋体" w:cs="宋体"/>
                <w:color w:val="auto"/>
                <w:highlight w:val="none"/>
                <w:lang w:val="en-US" w:eastAsia="zh-CN"/>
              </w:rPr>
              <w:t>13438332026</w:t>
            </w:r>
          </w:p>
        </w:tc>
        <w:tc>
          <w:tcPr>
            <w:tcW w:w="1983" w:type="dxa"/>
            <w:noWrap w:val="0"/>
            <w:vAlign w:val="center"/>
          </w:tcPr>
          <w:p w14:paraId="0CC06122">
            <w:pPr>
              <w:keepNext w:val="0"/>
              <w:keepLines w:val="0"/>
              <w:pageBreakBefore w:val="0"/>
              <w:kinsoku/>
              <w:wordWrap/>
              <w:overflowPunct/>
              <w:topLinePunct w:val="0"/>
              <w:autoSpaceDE/>
              <w:autoSpaceDN/>
              <w:bidi w:val="0"/>
              <w:snapToGrid/>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通信联络组</w:t>
            </w:r>
          </w:p>
        </w:tc>
      </w:tr>
      <w:tr w14:paraId="1ADDDC0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4A8CDBEA">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288" w:type="dxa"/>
            <w:noWrap w:val="0"/>
            <w:vAlign w:val="center"/>
          </w:tcPr>
          <w:p w14:paraId="30BF00F7">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cs="宋体"/>
                <w:color w:val="auto"/>
                <w:sz w:val="24"/>
                <w:szCs w:val="24"/>
                <w:highlight w:val="none"/>
                <w:lang w:val="en-US" w:eastAsia="zh-CN"/>
              </w:rPr>
            </w:pPr>
            <w:r>
              <w:rPr>
                <w:rFonts w:hint="eastAsia"/>
              </w:rPr>
              <w:t>彭兴华</w:t>
            </w:r>
          </w:p>
        </w:tc>
        <w:tc>
          <w:tcPr>
            <w:tcW w:w="2701" w:type="dxa"/>
            <w:noWrap w:val="0"/>
            <w:vAlign w:val="center"/>
          </w:tcPr>
          <w:p w14:paraId="3D3CA568">
            <w:pPr>
              <w:keepNext w:val="0"/>
              <w:keepLines w:val="0"/>
              <w:pageBreakBefore w:val="0"/>
              <w:kinsoku/>
              <w:wordWrap/>
              <w:overflowPunct/>
              <w:topLinePunct w:val="0"/>
              <w:autoSpaceDE/>
              <w:autoSpaceDN/>
              <w:bidi w:val="0"/>
              <w:snapToGrid/>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塔吊司机</w:t>
            </w:r>
          </w:p>
        </w:tc>
        <w:tc>
          <w:tcPr>
            <w:tcW w:w="2173" w:type="dxa"/>
            <w:noWrap w:val="0"/>
            <w:vAlign w:val="center"/>
          </w:tcPr>
          <w:p w14:paraId="13BCCA82">
            <w:pPr>
              <w:pageBreakBefore w:val="0"/>
              <w:kinsoku/>
              <w:wordWrap/>
              <w:overflowPunct/>
              <w:topLinePunct w:val="0"/>
              <w:bidi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17380070457</w:t>
            </w:r>
          </w:p>
        </w:tc>
        <w:tc>
          <w:tcPr>
            <w:tcW w:w="1983" w:type="dxa"/>
            <w:noWrap w:val="0"/>
            <w:vAlign w:val="center"/>
          </w:tcPr>
          <w:p w14:paraId="2C677C2F">
            <w:pPr>
              <w:keepNext w:val="0"/>
              <w:keepLines w:val="0"/>
              <w:pageBreakBefore w:val="0"/>
              <w:kinsoku/>
              <w:wordWrap/>
              <w:overflowPunct/>
              <w:topLinePunct w:val="0"/>
              <w:autoSpaceDE/>
              <w:autoSpaceDN/>
              <w:bidi w:val="0"/>
              <w:snapToGrid/>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通信联络组</w:t>
            </w:r>
          </w:p>
        </w:tc>
      </w:tr>
      <w:tr w14:paraId="6B50743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1C170486">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288" w:type="dxa"/>
            <w:noWrap w:val="0"/>
            <w:vAlign w:val="center"/>
          </w:tcPr>
          <w:p w14:paraId="6983EC70">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eastAsia"/>
              </w:rPr>
              <w:t>张全超</w:t>
            </w:r>
          </w:p>
        </w:tc>
        <w:tc>
          <w:tcPr>
            <w:tcW w:w="2701" w:type="dxa"/>
            <w:noWrap w:val="0"/>
            <w:vAlign w:val="center"/>
          </w:tcPr>
          <w:p w14:paraId="163DDCAD">
            <w:pPr>
              <w:keepNext w:val="0"/>
              <w:keepLines w:val="0"/>
              <w:pageBreakBefore w:val="0"/>
              <w:kinsoku/>
              <w:wordWrap/>
              <w:overflowPunct/>
              <w:topLinePunct w:val="0"/>
              <w:autoSpaceDE/>
              <w:autoSpaceDN/>
              <w:bidi w:val="0"/>
              <w:snapToGrid/>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塔吊指挥</w:t>
            </w:r>
          </w:p>
        </w:tc>
        <w:tc>
          <w:tcPr>
            <w:tcW w:w="2173" w:type="dxa"/>
            <w:noWrap w:val="0"/>
            <w:vAlign w:val="center"/>
          </w:tcPr>
          <w:p w14:paraId="1E06A9E8">
            <w:pPr>
              <w:pageBreakBefore w:val="0"/>
              <w:kinsoku/>
              <w:wordWrap/>
              <w:overflowPunct/>
              <w:topLinePunct w:val="0"/>
              <w:bidi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13547909051</w:t>
            </w:r>
          </w:p>
        </w:tc>
        <w:tc>
          <w:tcPr>
            <w:tcW w:w="1983" w:type="dxa"/>
            <w:noWrap w:val="0"/>
            <w:vAlign w:val="center"/>
          </w:tcPr>
          <w:p w14:paraId="18B43CF1">
            <w:pPr>
              <w:keepNext w:val="0"/>
              <w:keepLines w:val="0"/>
              <w:pageBreakBefore w:val="0"/>
              <w:kinsoku/>
              <w:wordWrap/>
              <w:overflowPunct/>
              <w:topLinePunct w:val="0"/>
              <w:autoSpaceDE/>
              <w:autoSpaceDN/>
              <w:bidi w:val="0"/>
              <w:snapToGrid/>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通信联络组</w:t>
            </w:r>
          </w:p>
        </w:tc>
      </w:tr>
      <w:tr w14:paraId="6FDB6FB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071" w:type="dxa"/>
            <w:gridSpan w:val="5"/>
            <w:noWrap w:val="0"/>
            <w:vAlign w:val="center"/>
          </w:tcPr>
          <w:p w14:paraId="4613B672">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项目部</w:t>
            </w:r>
          </w:p>
        </w:tc>
      </w:tr>
      <w:tr w14:paraId="1573D1E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66ACF12F">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288" w:type="dxa"/>
            <w:noWrap w:val="0"/>
            <w:vAlign w:val="center"/>
          </w:tcPr>
          <w:p w14:paraId="6DF35398">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color w:val="auto"/>
                <w:sz w:val="24"/>
                <w:szCs w:val="24"/>
                <w:highlight w:val="none"/>
                <w:lang w:val="en-US" w:eastAsia="zh-CN"/>
              </w:rPr>
              <w:t>曹恒</w:t>
            </w:r>
          </w:p>
        </w:tc>
        <w:tc>
          <w:tcPr>
            <w:tcW w:w="2701" w:type="dxa"/>
            <w:noWrap w:val="0"/>
            <w:vAlign w:val="center"/>
          </w:tcPr>
          <w:p w14:paraId="322967C2">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color w:val="auto"/>
                <w:sz w:val="24"/>
                <w:szCs w:val="24"/>
                <w:highlight w:val="none"/>
                <w:lang w:val="en-US" w:eastAsia="zh-CN"/>
              </w:rPr>
              <w:t>项目经理</w:t>
            </w:r>
          </w:p>
        </w:tc>
        <w:tc>
          <w:tcPr>
            <w:tcW w:w="2173" w:type="dxa"/>
            <w:noWrap w:val="0"/>
            <w:vAlign w:val="center"/>
          </w:tcPr>
          <w:p w14:paraId="133453A2">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color w:val="auto"/>
                <w:sz w:val="24"/>
                <w:szCs w:val="24"/>
                <w:highlight w:val="none"/>
              </w:rPr>
              <w:t>18897508090</w:t>
            </w:r>
          </w:p>
        </w:tc>
        <w:tc>
          <w:tcPr>
            <w:tcW w:w="1983" w:type="dxa"/>
            <w:noWrap w:val="0"/>
            <w:vAlign w:val="center"/>
          </w:tcPr>
          <w:p w14:paraId="3649F457">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组长</w:t>
            </w:r>
          </w:p>
        </w:tc>
      </w:tr>
      <w:tr w14:paraId="251A420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58D87C49">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288" w:type="dxa"/>
            <w:noWrap w:val="0"/>
            <w:vAlign w:val="center"/>
          </w:tcPr>
          <w:p w14:paraId="0097FBDB">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color w:val="auto"/>
                <w:sz w:val="24"/>
                <w:szCs w:val="24"/>
                <w:highlight w:val="none"/>
                <w:lang w:val="en-US" w:eastAsia="zh-CN"/>
              </w:rPr>
            </w:pPr>
            <w:r>
              <w:rPr>
                <w:rFonts w:hint="eastAsia"/>
                <w:color w:val="auto"/>
                <w:sz w:val="24"/>
                <w:szCs w:val="24"/>
                <w:highlight w:val="none"/>
                <w:lang w:val="en-US" w:eastAsia="zh-CN"/>
              </w:rPr>
              <w:t>卢庆丰</w:t>
            </w:r>
          </w:p>
        </w:tc>
        <w:tc>
          <w:tcPr>
            <w:tcW w:w="2701" w:type="dxa"/>
            <w:noWrap w:val="0"/>
            <w:vAlign w:val="center"/>
          </w:tcPr>
          <w:p w14:paraId="105B5CCA">
            <w:pPr>
              <w:keepNext w:val="0"/>
              <w:keepLines w:val="0"/>
              <w:pageBreakBefore w:val="0"/>
              <w:kinsoku/>
              <w:wordWrap/>
              <w:overflowPunct/>
              <w:topLinePunct w:val="0"/>
              <w:autoSpaceDE/>
              <w:autoSpaceDN/>
              <w:bidi w:val="0"/>
              <w:adjustRightInd w:val="0"/>
              <w:snapToGrid/>
              <w:spacing w:beforeAutospacing="0" w:afterAutospacing="0" w:line="360" w:lineRule="auto"/>
              <w:jc w:val="center"/>
              <w:rPr>
                <w:rFonts w:hint="default"/>
                <w:color w:val="auto"/>
                <w:sz w:val="24"/>
                <w:szCs w:val="24"/>
                <w:highlight w:val="none"/>
                <w:lang w:val="en-US" w:eastAsia="zh-CN"/>
              </w:rPr>
            </w:pPr>
            <w:r>
              <w:rPr>
                <w:rFonts w:hint="eastAsia"/>
                <w:color w:val="auto"/>
                <w:sz w:val="24"/>
                <w:szCs w:val="24"/>
                <w:highlight w:val="none"/>
                <w:lang w:val="en-US" w:eastAsia="zh-CN"/>
              </w:rPr>
              <w:t>项目书记</w:t>
            </w:r>
          </w:p>
        </w:tc>
        <w:tc>
          <w:tcPr>
            <w:tcW w:w="2173" w:type="dxa"/>
            <w:noWrap w:val="0"/>
            <w:vAlign w:val="center"/>
          </w:tcPr>
          <w:p w14:paraId="716383DE">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13416358151</w:t>
            </w:r>
          </w:p>
        </w:tc>
        <w:tc>
          <w:tcPr>
            <w:tcW w:w="1983" w:type="dxa"/>
            <w:noWrap w:val="0"/>
            <w:vAlign w:val="center"/>
          </w:tcPr>
          <w:p w14:paraId="79EC97DC">
            <w:pPr>
              <w:keepNext w:val="0"/>
              <w:keepLines w:val="0"/>
              <w:pageBreakBefore w:val="0"/>
              <w:kinsoku/>
              <w:wordWrap/>
              <w:overflowPunct/>
              <w:topLinePunct w:val="0"/>
              <w:autoSpaceDE/>
              <w:autoSpaceDN/>
              <w:bidi w:val="0"/>
              <w:snapToGrid/>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副组长</w:t>
            </w:r>
          </w:p>
        </w:tc>
      </w:tr>
      <w:tr w14:paraId="3369371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33F54FAB">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288" w:type="dxa"/>
            <w:noWrap w:val="0"/>
            <w:vAlign w:val="center"/>
          </w:tcPr>
          <w:p w14:paraId="04904DA7">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color w:val="auto"/>
                <w:sz w:val="24"/>
                <w:szCs w:val="24"/>
                <w:highlight w:val="none"/>
                <w:lang w:val="en-US" w:eastAsia="zh-CN"/>
              </w:rPr>
            </w:pPr>
            <w:r>
              <w:rPr>
                <w:rFonts w:hint="eastAsia"/>
                <w:color w:val="auto"/>
                <w:sz w:val="24"/>
                <w:szCs w:val="24"/>
                <w:highlight w:val="none"/>
                <w:lang w:val="en-US" w:eastAsia="zh-CN"/>
              </w:rPr>
              <w:t>何宁</w:t>
            </w:r>
          </w:p>
        </w:tc>
        <w:tc>
          <w:tcPr>
            <w:tcW w:w="2701" w:type="dxa"/>
            <w:noWrap w:val="0"/>
            <w:vAlign w:val="center"/>
          </w:tcPr>
          <w:p w14:paraId="6E138DB8">
            <w:pPr>
              <w:keepNext w:val="0"/>
              <w:keepLines w:val="0"/>
              <w:pageBreakBefore w:val="0"/>
              <w:kinsoku/>
              <w:wordWrap/>
              <w:overflowPunct/>
              <w:topLinePunct w:val="0"/>
              <w:autoSpaceDE/>
              <w:autoSpaceDN/>
              <w:bidi w:val="0"/>
              <w:adjustRightInd w:val="0"/>
              <w:snapToGrid/>
              <w:spacing w:beforeAutospacing="0" w:afterAutospacing="0" w:line="360" w:lineRule="auto"/>
              <w:jc w:val="center"/>
              <w:rPr>
                <w:rFonts w:hint="default"/>
                <w:color w:val="auto"/>
                <w:sz w:val="24"/>
                <w:szCs w:val="24"/>
                <w:highlight w:val="none"/>
                <w:lang w:val="en-US" w:eastAsia="zh-CN"/>
              </w:rPr>
            </w:pPr>
            <w:r>
              <w:rPr>
                <w:rFonts w:hint="eastAsia"/>
                <w:color w:val="auto"/>
                <w:sz w:val="24"/>
                <w:szCs w:val="24"/>
                <w:highlight w:val="none"/>
                <w:lang w:val="en-US" w:eastAsia="zh-CN"/>
              </w:rPr>
              <w:t>安全总监</w:t>
            </w:r>
          </w:p>
        </w:tc>
        <w:tc>
          <w:tcPr>
            <w:tcW w:w="2173" w:type="dxa"/>
            <w:noWrap w:val="0"/>
            <w:vAlign w:val="center"/>
          </w:tcPr>
          <w:p w14:paraId="2BE43CFF">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15082256330</w:t>
            </w:r>
          </w:p>
        </w:tc>
        <w:tc>
          <w:tcPr>
            <w:tcW w:w="1983" w:type="dxa"/>
            <w:noWrap w:val="0"/>
            <w:vAlign w:val="center"/>
          </w:tcPr>
          <w:p w14:paraId="470F62A0">
            <w:pPr>
              <w:keepNext w:val="0"/>
              <w:keepLines w:val="0"/>
              <w:pageBreakBefore w:val="0"/>
              <w:kinsoku/>
              <w:wordWrap/>
              <w:overflowPunct/>
              <w:topLinePunct w:val="0"/>
              <w:autoSpaceDE/>
              <w:autoSpaceDN/>
              <w:bidi w:val="0"/>
              <w:snapToGrid/>
              <w:spacing w:line="360" w:lineRule="auto"/>
              <w:jc w:val="center"/>
              <w:rPr>
                <w:rFonts w:hint="eastAsia" w:ascii="宋体" w:hAnsi="宋体" w:cs="宋体"/>
                <w:color w:val="auto"/>
                <w:sz w:val="24"/>
                <w:szCs w:val="24"/>
                <w:highlight w:val="none"/>
                <w:lang w:val="en-US" w:eastAsia="zh-CN"/>
              </w:rPr>
            </w:pPr>
            <w:bookmarkStart w:id="249" w:name="OLE_LINK97"/>
            <w:bookmarkStart w:id="250" w:name="OLE_LINK98"/>
            <w:r>
              <w:rPr>
                <w:color w:val="auto"/>
                <w:highlight w:val="none"/>
              </w:rPr>
              <w:t>抢险抢修</w:t>
            </w:r>
            <w:bookmarkEnd w:id="249"/>
            <w:bookmarkEnd w:id="250"/>
            <w:r>
              <w:rPr>
                <w:color w:val="auto"/>
                <w:highlight w:val="none"/>
              </w:rPr>
              <w:t>组长</w:t>
            </w:r>
          </w:p>
        </w:tc>
      </w:tr>
      <w:tr w14:paraId="4B9E35C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21E58859">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1288" w:type="dxa"/>
            <w:noWrap w:val="0"/>
            <w:vAlign w:val="center"/>
          </w:tcPr>
          <w:p w14:paraId="48984647">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kern w:val="2"/>
                <w:sz w:val="24"/>
                <w:szCs w:val="24"/>
                <w:highlight w:val="none"/>
                <w:lang w:val="en-US" w:eastAsia="zh-CN" w:bidi="ar-SA"/>
              </w:rPr>
            </w:pPr>
            <w:r>
              <w:rPr>
                <w:rFonts w:hint="eastAsia"/>
                <w:color w:val="auto"/>
                <w:sz w:val="24"/>
                <w:szCs w:val="24"/>
                <w:highlight w:val="none"/>
                <w:lang w:val="en-US" w:eastAsia="zh-CN"/>
              </w:rPr>
              <w:t>彭茂军</w:t>
            </w:r>
          </w:p>
        </w:tc>
        <w:tc>
          <w:tcPr>
            <w:tcW w:w="2701" w:type="dxa"/>
            <w:noWrap w:val="0"/>
            <w:vAlign w:val="center"/>
          </w:tcPr>
          <w:p w14:paraId="48D7C02E">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olor w:val="auto"/>
                <w:sz w:val="24"/>
                <w:szCs w:val="24"/>
                <w:highlight w:val="none"/>
                <w:lang w:val="en-US" w:eastAsia="zh-CN"/>
              </w:rPr>
              <w:t>总工</w:t>
            </w:r>
          </w:p>
        </w:tc>
        <w:tc>
          <w:tcPr>
            <w:tcW w:w="2173" w:type="dxa"/>
            <w:noWrap w:val="0"/>
            <w:vAlign w:val="center"/>
          </w:tcPr>
          <w:p w14:paraId="58E8834B">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kern w:val="2"/>
                <w:sz w:val="24"/>
                <w:szCs w:val="24"/>
                <w:highlight w:val="none"/>
                <w:lang w:val="en-US" w:eastAsia="zh-CN" w:bidi="ar-SA"/>
              </w:rPr>
            </w:pPr>
            <w:r>
              <w:rPr>
                <w:rFonts w:hint="eastAsia"/>
                <w:color w:val="auto"/>
                <w:sz w:val="24"/>
                <w:szCs w:val="24"/>
                <w:highlight w:val="none"/>
              </w:rPr>
              <w:t>18789501262</w:t>
            </w:r>
          </w:p>
        </w:tc>
        <w:tc>
          <w:tcPr>
            <w:tcW w:w="1983" w:type="dxa"/>
            <w:noWrap w:val="0"/>
            <w:vAlign w:val="center"/>
          </w:tcPr>
          <w:p w14:paraId="51044C4B">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技术支持组长</w:t>
            </w:r>
          </w:p>
        </w:tc>
      </w:tr>
      <w:tr w14:paraId="776879B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4BCD72EF">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288" w:type="dxa"/>
            <w:noWrap w:val="0"/>
            <w:vAlign w:val="center"/>
          </w:tcPr>
          <w:p w14:paraId="46BB7F97">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color w:val="auto"/>
                <w:highlight w:val="none"/>
                <w:lang w:val="en-US" w:eastAsia="zh-CN"/>
              </w:rPr>
              <w:t>施喜孝</w:t>
            </w:r>
          </w:p>
        </w:tc>
        <w:tc>
          <w:tcPr>
            <w:tcW w:w="2701" w:type="dxa"/>
            <w:noWrap w:val="0"/>
            <w:vAlign w:val="center"/>
          </w:tcPr>
          <w:p w14:paraId="7AB37597">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color w:val="auto"/>
                <w:sz w:val="24"/>
                <w:szCs w:val="24"/>
                <w:highlight w:val="none"/>
                <w:lang w:val="en-US" w:eastAsia="zh-CN"/>
              </w:rPr>
              <w:t>副总工</w:t>
            </w:r>
          </w:p>
        </w:tc>
        <w:tc>
          <w:tcPr>
            <w:tcW w:w="2173" w:type="dxa"/>
            <w:noWrap w:val="0"/>
            <w:vAlign w:val="center"/>
          </w:tcPr>
          <w:p w14:paraId="570BD8B2">
            <w:pPr>
              <w:keepNext w:val="0"/>
              <w:keepLines w:val="0"/>
              <w:pageBreakBefore w:val="0"/>
              <w:kinsoku/>
              <w:wordWrap/>
              <w:overflowPunct/>
              <w:topLinePunct w:val="0"/>
              <w:autoSpaceDE/>
              <w:autoSpaceDN/>
              <w:bidi w:val="0"/>
              <w:adjustRightInd w:val="0"/>
              <w:snapToGrid/>
              <w:spacing w:beforeAutospacing="0" w:afterAutospacing="0"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13594937792</w:t>
            </w:r>
          </w:p>
        </w:tc>
        <w:tc>
          <w:tcPr>
            <w:tcW w:w="1983" w:type="dxa"/>
            <w:noWrap w:val="0"/>
            <w:vAlign w:val="center"/>
          </w:tcPr>
          <w:p w14:paraId="36C32B90">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color w:val="auto"/>
                <w:highlight w:val="none"/>
              </w:rPr>
              <w:t>通讯联络组长</w:t>
            </w:r>
          </w:p>
        </w:tc>
      </w:tr>
      <w:tr w14:paraId="1CD58B3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shd w:val="clear" w:color="auto" w:fill="auto"/>
            <w:noWrap w:val="0"/>
            <w:vAlign w:val="center"/>
          </w:tcPr>
          <w:p w14:paraId="3AD870B2">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6</w:t>
            </w:r>
          </w:p>
        </w:tc>
        <w:tc>
          <w:tcPr>
            <w:tcW w:w="1288" w:type="dxa"/>
            <w:shd w:val="clear" w:color="auto" w:fill="auto"/>
            <w:noWrap w:val="0"/>
            <w:vAlign w:val="center"/>
          </w:tcPr>
          <w:p w14:paraId="4DE3B058">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向浩</w:t>
            </w:r>
          </w:p>
        </w:tc>
        <w:tc>
          <w:tcPr>
            <w:tcW w:w="2701" w:type="dxa"/>
            <w:shd w:val="clear" w:color="auto" w:fill="auto"/>
            <w:noWrap w:val="0"/>
            <w:vAlign w:val="center"/>
          </w:tcPr>
          <w:p w14:paraId="391DEE59">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经理助理</w:t>
            </w:r>
          </w:p>
        </w:tc>
        <w:tc>
          <w:tcPr>
            <w:tcW w:w="2173" w:type="dxa"/>
            <w:shd w:val="clear" w:color="auto" w:fill="auto"/>
            <w:noWrap w:val="0"/>
            <w:vAlign w:val="center"/>
          </w:tcPr>
          <w:p w14:paraId="44EBB7AB">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13545753313</w:t>
            </w:r>
          </w:p>
        </w:tc>
        <w:tc>
          <w:tcPr>
            <w:tcW w:w="1983" w:type="dxa"/>
            <w:shd w:val="clear" w:color="auto" w:fill="auto"/>
            <w:noWrap w:val="0"/>
            <w:vAlign w:val="center"/>
          </w:tcPr>
          <w:p w14:paraId="09450C4B">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kern w:val="2"/>
                <w:sz w:val="24"/>
                <w:szCs w:val="24"/>
                <w:highlight w:val="none"/>
                <w:lang w:val="en-US" w:eastAsia="zh-CN" w:bidi="ar-SA"/>
              </w:rPr>
            </w:pPr>
            <w:r>
              <w:rPr>
                <w:color w:val="auto"/>
                <w:highlight w:val="none"/>
              </w:rPr>
              <w:t>后勤救护组长</w:t>
            </w:r>
          </w:p>
        </w:tc>
      </w:tr>
      <w:tr w14:paraId="50DC29D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60797842">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288" w:type="dxa"/>
            <w:noWrap w:val="0"/>
            <w:vAlign w:val="center"/>
          </w:tcPr>
          <w:p w14:paraId="1F159342">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color w:val="auto"/>
                <w:sz w:val="24"/>
                <w:szCs w:val="24"/>
                <w:highlight w:val="none"/>
                <w:lang w:val="en-US" w:eastAsia="zh-CN"/>
              </w:rPr>
              <w:t>曹飞</w:t>
            </w:r>
          </w:p>
        </w:tc>
        <w:tc>
          <w:tcPr>
            <w:tcW w:w="2701" w:type="dxa"/>
            <w:noWrap w:val="0"/>
            <w:vAlign w:val="center"/>
          </w:tcPr>
          <w:p w14:paraId="2D3CC709">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color w:val="auto"/>
                <w:sz w:val="24"/>
                <w:szCs w:val="24"/>
                <w:highlight w:val="none"/>
                <w:lang w:val="en-US" w:eastAsia="zh-CN"/>
              </w:rPr>
              <w:t>安环部副部长</w:t>
            </w:r>
          </w:p>
        </w:tc>
        <w:tc>
          <w:tcPr>
            <w:tcW w:w="2173" w:type="dxa"/>
            <w:noWrap w:val="0"/>
            <w:vAlign w:val="center"/>
          </w:tcPr>
          <w:p w14:paraId="3541F0E8">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color w:val="auto"/>
                <w:sz w:val="24"/>
                <w:szCs w:val="24"/>
                <w:highlight w:val="none"/>
                <w:lang w:val="en-US" w:eastAsia="zh-CN"/>
              </w:rPr>
              <w:t>19923394461</w:t>
            </w:r>
          </w:p>
        </w:tc>
        <w:tc>
          <w:tcPr>
            <w:tcW w:w="1983" w:type="dxa"/>
            <w:noWrap w:val="0"/>
            <w:vAlign w:val="center"/>
          </w:tcPr>
          <w:p w14:paraId="08C7E4BD">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抢险抢修</w:t>
            </w:r>
            <w:r>
              <w:rPr>
                <w:rFonts w:hint="eastAsia" w:ascii="宋体" w:hAnsi="宋体" w:cs="宋体"/>
                <w:color w:val="auto"/>
                <w:sz w:val="24"/>
                <w:szCs w:val="24"/>
                <w:highlight w:val="none"/>
                <w:lang w:val="en-US" w:eastAsia="zh-CN"/>
              </w:rPr>
              <w:t>成员</w:t>
            </w:r>
          </w:p>
        </w:tc>
      </w:tr>
      <w:tr w14:paraId="797F013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752711FD">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288" w:type="dxa"/>
            <w:noWrap w:val="0"/>
            <w:vAlign w:val="center"/>
          </w:tcPr>
          <w:p w14:paraId="7CAD4AB6">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color w:val="auto"/>
                <w:sz w:val="24"/>
                <w:szCs w:val="24"/>
                <w:highlight w:val="none"/>
                <w:lang w:val="en-US" w:eastAsia="zh-CN"/>
              </w:rPr>
              <w:t>龙睿</w:t>
            </w:r>
          </w:p>
        </w:tc>
        <w:tc>
          <w:tcPr>
            <w:tcW w:w="2701" w:type="dxa"/>
            <w:noWrap w:val="0"/>
            <w:vAlign w:val="center"/>
          </w:tcPr>
          <w:p w14:paraId="410D2F2C">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color w:val="auto"/>
                <w:sz w:val="24"/>
                <w:szCs w:val="24"/>
                <w:highlight w:val="none"/>
                <w:lang w:val="en-US" w:eastAsia="zh-CN"/>
              </w:rPr>
              <w:t>工程技术部部长</w:t>
            </w:r>
          </w:p>
        </w:tc>
        <w:tc>
          <w:tcPr>
            <w:tcW w:w="2173" w:type="dxa"/>
            <w:noWrap w:val="0"/>
            <w:vAlign w:val="center"/>
          </w:tcPr>
          <w:p w14:paraId="5E969E71">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18623249277</w:t>
            </w:r>
          </w:p>
        </w:tc>
        <w:tc>
          <w:tcPr>
            <w:tcW w:w="1983" w:type="dxa"/>
            <w:noWrap w:val="0"/>
            <w:vAlign w:val="center"/>
          </w:tcPr>
          <w:p w14:paraId="40FAE71F">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抢险抢修成员</w:t>
            </w:r>
          </w:p>
        </w:tc>
      </w:tr>
      <w:tr w14:paraId="42C050C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26" w:type="dxa"/>
            <w:noWrap w:val="0"/>
            <w:vAlign w:val="center"/>
          </w:tcPr>
          <w:p w14:paraId="3DB86E16">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288" w:type="dxa"/>
            <w:noWrap w:val="0"/>
            <w:vAlign w:val="center"/>
          </w:tcPr>
          <w:p w14:paraId="5EFE8FB0">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color w:val="auto"/>
                <w:sz w:val="24"/>
                <w:szCs w:val="24"/>
                <w:highlight w:val="none"/>
                <w:lang w:val="en-US" w:eastAsia="zh-CN"/>
              </w:rPr>
              <w:t>康艳威</w:t>
            </w:r>
          </w:p>
        </w:tc>
        <w:tc>
          <w:tcPr>
            <w:tcW w:w="2701" w:type="dxa"/>
            <w:noWrap w:val="0"/>
            <w:vAlign w:val="center"/>
          </w:tcPr>
          <w:p w14:paraId="43621986">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color w:val="auto"/>
                <w:sz w:val="24"/>
                <w:szCs w:val="24"/>
                <w:highlight w:val="none"/>
                <w:lang w:val="en-US" w:eastAsia="zh-CN"/>
              </w:rPr>
              <w:t>船机部部长</w:t>
            </w:r>
          </w:p>
        </w:tc>
        <w:tc>
          <w:tcPr>
            <w:tcW w:w="2173" w:type="dxa"/>
            <w:noWrap w:val="0"/>
            <w:vAlign w:val="center"/>
          </w:tcPr>
          <w:p w14:paraId="74CF74A0">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color w:val="auto"/>
                <w:sz w:val="24"/>
                <w:szCs w:val="24"/>
                <w:highlight w:val="none"/>
              </w:rPr>
              <w:t>15993669136</w:t>
            </w:r>
          </w:p>
        </w:tc>
        <w:tc>
          <w:tcPr>
            <w:tcW w:w="1983" w:type="dxa"/>
            <w:noWrap w:val="0"/>
            <w:vAlign w:val="center"/>
          </w:tcPr>
          <w:p w14:paraId="20DBD3E5">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技术支持</w:t>
            </w:r>
            <w:r>
              <w:rPr>
                <w:rFonts w:hint="eastAsia" w:ascii="宋体" w:hAnsi="宋体" w:eastAsia="宋体" w:cs="宋体"/>
                <w:color w:val="auto"/>
                <w:sz w:val="24"/>
                <w:szCs w:val="24"/>
                <w:highlight w:val="none"/>
                <w:lang w:val="en-US" w:eastAsia="zh-CN"/>
              </w:rPr>
              <w:t>成员</w:t>
            </w:r>
          </w:p>
        </w:tc>
      </w:tr>
      <w:tr w14:paraId="4F80A17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2483850A">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288" w:type="dxa"/>
            <w:noWrap w:val="0"/>
            <w:vAlign w:val="center"/>
          </w:tcPr>
          <w:p w14:paraId="7F6504A3">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color w:val="auto"/>
                <w:sz w:val="24"/>
                <w:szCs w:val="24"/>
                <w:highlight w:val="none"/>
                <w:lang w:val="en-US" w:eastAsia="zh-CN"/>
              </w:rPr>
              <w:t>熊鹏</w:t>
            </w:r>
          </w:p>
        </w:tc>
        <w:tc>
          <w:tcPr>
            <w:tcW w:w="2701" w:type="dxa"/>
            <w:noWrap w:val="0"/>
            <w:vAlign w:val="center"/>
          </w:tcPr>
          <w:p w14:paraId="5C653F87">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color w:val="auto"/>
                <w:sz w:val="24"/>
                <w:szCs w:val="24"/>
                <w:highlight w:val="none"/>
                <w:lang w:val="en-US" w:eastAsia="zh-CN"/>
              </w:rPr>
              <w:t>质量部部长</w:t>
            </w:r>
          </w:p>
        </w:tc>
        <w:tc>
          <w:tcPr>
            <w:tcW w:w="2173" w:type="dxa"/>
            <w:noWrap w:val="0"/>
            <w:vAlign w:val="center"/>
          </w:tcPr>
          <w:p w14:paraId="2134EC8E">
            <w:pPr>
              <w:keepNext w:val="0"/>
              <w:keepLines w:val="0"/>
              <w:pageBreakBefore w:val="0"/>
              <w:kinsoku/>
              <w:wordWrap/>
              <w:overflowPunct/>
              <w:topLinePunct w:val="0"/>
              <w:autoSpaceDE/>
              <w:autoSpaceDN/>
              <w:bidi w:val="0"/>
              <w:adjustRightInd w:val="0"/>
              <w:snapToGrid/>
              <w:spacing w:beforeAutospacing="0" w:afterAutospacing="0"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17713543064</w:t>
            </w:r>
          </w:p>
        </w:tc>
        <w:tc>
          <w:tcPr>
            <w:tcW w:w="1983" w:type="dxa"/>
            <w:noWrap w:val="0"/>
            <w:vAlign w:val="center"/>
          </w:tcPr>
          <w:p w14:paraId="0017E09F">
            <w:pPr>
              <w:keepNext w:val="0"/>
              <w:keepLines w:val="0"/>
              <w:pageBreakBefore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技术支持</w:t>
            </w:r>
            <w:r>
              <w:rPr>
                <w:rFonts w:hint="eastAsia" w:ascii="宋体" w:hAnsi="宋体" w:eastAsia="宋体" w:cs="宋体"/>
                <w:color w:val="auto"/>
                <w:sz w:val="24"/>
                <w:szCs w:val="24"/>
                <w:highlight w:val="none"/>
                <w:lang w:val="en-US" w:eastAsia="zh-CN"/>
              </w:rPr>
              <w:t>成员</w:t>
            </w:r>
          </w:p>
        </w:tc>
      </w:tr>
    </w:tbl>
    <w:p w14:paraId="04A95EF9">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为了发生紧急情况时能及时联络，及时启动应急预案，应急小组相关负责人的应急电话要在现场、生活区、必要的操作面上予以公布，</w:t>
      </w:r>
      <w:r>
        <w:rPr>
          <w:rFonts w:hint="eastAsia" w:ascii="宋体" w:hAnsi="宋体" w:cs="宋体"/>
          <w:color w:val="auto"/>
          <w:highlight w:val="none"/>
          <w:lang w:val="en-US" w:eastAsia="zh-CN"/>
        </w:rPr>
        <w:t>发生事故后由明兴富向项目部曹恒报告并说明情况</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联合展开救援；</w:t>
      </w:r>
      <w:r>
        <w:rPr>
          <w:rFonts w:hint="eastAsia" w:ascii="宋体" w:hAnsi="宋体" w:eastAsia="宋体" w:cs="宋体"/>
          <w:color w:val="auto"/>
          <w:highlight w:val="none"/>
          <w:lang w:val="en-US" w:eastAsia="zh-CN"/>
        </w:rPr>
        <w:t>应急小组组长、副组长及相关小组小组长的应急电话，必须24 小时不关机或停机，当应急小组人员的电话有变化时，应及时公布。</w:t>
      </w:r>
    </w:p>
    <w:p w14:paraId="53B3C1C1">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抢险救援队在接收到紧急救援求救信号后，需立即赶赴现场，服从现场总指挥及现场事故管理人员的指挥和安排，积极投入抢险救援工作。</w:t>
      </w:r>
    </w:p>
    <w:bookmarkEnd w:id="212"/>
    <w:bookmarkEnd w:id="213"/>
    <w:bookmarkEnd w:id="214"/>
    <w:bookmarkEnd w:id="215"/>
    <w:bookmarkEnd w:id="216"/>
    <w:bookmarkEnd w:id="217"/>
    <w:bookmarkEnd w:id="218"/>
    <w:p w14:paraId="4EE9BE28">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指挥机构及职责</w:t>
      </w:r>
    </w:p>
    <w:p w14:paraId="6C769925">
      <w:pPr>
        <w:keepNext w:val="0"/>
        <w:keepLines w:val="0"/>
        <w:pageBreakBefore w:val="0"/>
        <w:kinsoku/>
        <w:wordWrap/>
        <w:overflowPunct/>
        <w:topLinePunct w:val="0"/>
        <w:autoSpaceDE/>
        <w:autoSpaceDN/>
        <w:bidi w:val="0"/>
        <w:snapToGrid/>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组长职责：</w:t>
      </w:r>
    </w:p>
    <w:p w14:paraId="5580E41F">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（1）统一指挥、领导应急救援工作。</w:t>
      </w:r>
    </w:p>
    <w:p w14:paraId="350006D0">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（2）组织制定项目生产安全事故应急预案。</w:t>
      </w:r>
    </w:p>
    <w:p w14:paraId="71E175B4">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（3）分析紧急状态确定相应应急救援级别，根据相关危险类型、潜在后果、现有资源控制紧急情况的行动类型。</w:t>
      </w:r>
    </w:p>
    <w:p w14:paraId="4D17155E">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（4）启动和终止项目级应急预案，做出应急救援决策。</w:t>
      </w:r>
    </w:p>
    <w:p w14:paraId="0FD21823">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（5）决定请求外部援助，执行上一级应急指挥部指令。</w:t>
      </w:r>
    </w:p>
    <w:p w14:paraId="0AA0F2B9">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（6）确保应急资金的投入。</w:t>
      </w:r>
    </w:p>
    <w:p w14:paraId="48F3D7C6">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（7）组织事故调查、处理，配合上级单位事故调查、处理。</w:t>
      </w:r>
    </w:p>
    <w:p w14:paraId="05856008">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副组长职责：</w:t>
      </w:r>
    </w:p>
    <w:p w14:paraId="30314438">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（1）组长不在现场的时候，代替组长进行应急指挥。</w:t>
      </w:r>
    </w:p>
    <w:p w14:paraId="75356624">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（2）组织筹备、保障应急物资和人员的应急救援教育和培训。</w:t>
      </w:r>
    </w:p>
    <w:p w14:paraId="3E6A2A55">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（3）负责人员、资源配置、应急队伍的调动；协调、组织和获取应急所需的其它资源，设备以支援现场的应急操作。</w:t>
      </w:r>
    </w:p>
    <w:p w14:paraId="4744CB03">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（4）调动各部门参与应急救援工作，组织项目总部的相关技术和管理人员对作业场所的生产过程各危险源进行风险评估。</w:t>
      </w:r>
    </w:p>
    <w:p w14:paraId="1240372D">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（5）定期检查各常设应急救援组织的日常工作和应急救援准备状态，组织事故后恢复生产。</w:t>
      </w:r>
    </w:p>
    <w:p w14:paraId="503E4135">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（6）向应急总指挥提出采取的减缓事故后果行动的应急反救援对策和建议。</w:t>
      </w:r>
    </w:p>
    <w:p w14:paraId="00DD021F">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（7）根据各施工现场、其他作业场所的实际条件，努力与周边有条件的企业为在事故应急处理中共享资源、相互帮助、建立共同应急救援网络和制定应急救援协议。</w:t>
      </w:r>
    </w:p>
    <w:p w14:paraId="66BDCC73">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指挥部成员职责：</w:t>
      </w:r>
    </w:p>
    <w:p w14:paraId="201BDDA2">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（1）组织协调现场的抢救工作。</w:t>
      </w:r>
    </w:p>
    <w:p w14:paraId="15C99335">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（2）及时上报事故信息。</w:t>
      </w:r>
    </w:p>
    <w:p w14:paraId="4CED5BC2">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（3）执行组长和副组长指令，处理好本职工作为应急服务。</w:t>
      </w:r>
    </w:p>
    <w:p w14:paraId="73C139B8">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bookmarkStart w:id="251" w:name="_Toc477590467"/>
      <w:bookmarkEnd w:id="251"/>
      <w:bookmarkStart w:id="252" w:name="_Toc290041739"/>
      <w:bookmarkEnd w:id="252"/>
      <w:bookmarkStart w:id="253" w:name="_Toc299635269"/>
      <w:bookmarkEnd w:id="253"/>
      <w:bookmarkStart w:id="254" w:name="_Toc305160675"/>
      <w:bookmarkEnd w:id="254"/>
      <w:bookmarkStart w:id="255" w:name="_Toc287616794"/>
      <w:bookmarkEnd w:id="255"/>
      <w:bookmarkStart w:id="256" w:name="_Toc296516671"/>
      <w:bookmarkEnd w:id="256"/>
      <w:bookmarkStart w:id="257" w:name="_Toc322680683"/>
      <w:bookmarkEnd w:id="257"/>
      <w:r>
        <w:rPr>
          <w:rFonts w:hint="eastAsia" w:ascii="宋体" w:hAnsi="宋体" w:eastAsia="宋体" w:cs="宋体"/>
          <w:color w:val="auto"/>
          <w:highlight w:val="none"/>
          <w:lang w:val="en-US" w:eastAsia="zh-CN"/>
        </w:rPr>
        <w:t>抢险抢修组职责：</w:t>
      </w:r>
    </w:p>
    <w:p w14:paraId="19C21BFA">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（1）及时组织有关专业技术人员对事故现场的危险源进行风险评估。</w:t>
      </w:r>
    </w:p>
    <w:p w14:paraId="13DA22F7">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（2）根据事故现场风险评估意见，对事故救援和防范次生灾害及时向总指挥汇报工程技术方案和应急救援过程中需要的技术支持。</w:t>
      </w:r>
    </w:p>
    <w:p w14:paraId="3A80F944">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（3）迅速绘制事故现场平面图标明重点部位，必要时向外部救援机构提供准确的抢险救援信息资料。</w:t>
      </w:r>
    </w:p>
    <w:p w14:paraId="2130AFDF">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（4）根据技术建议和事故现场情况制定救援方案，按照方案迅速组织抢险力量进行抢险救援。</w:t>
      </w:r>
    </w:p>
    <w:p w14:paraId="041BFA22">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（5）执行抢险救援任务，抢救现场伤员、抢救现场物资、寻找受害者并转移至安全地方。</w:t>
      </w:r>
    </w:p>
    <w:p w14:paraId="5F54A022">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（6）在事故有可能扩大的情况下进行抢险抢修或救援，必须保证救援人员生命安全，当救援人员生命安全受到威胁时，组长可下达紧急撤离命令。</w:t>
      </w:r>
    </w:p>
    <w:p w14:paraId="5C6333C0">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（7）抢险救援结束后，报告总指挥并对结果进行复查和评估。</w:t>
      </w:r>
    </w:p>
    <w:p w14:paraId="6B1B4EB5">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（8）执行应急指挥部的其他指令。</w:t>
      </w:r>
    </w:p>
    <w:p w14:paraId="772ABF8E">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（9）设置事故现场警戒线、岗，保护事故现场，维持事故现场内抢险救援的正常秩序。</w:t>
      </w:r>
    </w:p>
    <w:p w14:paraId="6B7DC785">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（10）保证现场救援通道的畅通和指挥无关人员疏散，并引导抢险救援人员及车辆的进入。</w:t>
      </w:r>
    </w:p>
    <w:p w14:paraId="76597350">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（11）抢险救援结束后，封闭事故现场直到收到明确解除令。</w:t>
      </w:r>
    </w:p>
    <w:p w14:paraId="0A50FB54">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（12）查清事故发生原因和事故责任，并按有关规定提出对事故责任部门和责任人的处理意见。</w:t>
      </w:r>
    </w:p>
    <w:p w14:paraId="0CCDA819">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（13）总结事故教训，制定防范措施。</w:t>
      </w:r>
    </w:p>
    <w:p w14:paraId="510510FF">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（14）需要时要积极配合上级事故调查工作。</w:t>
      </w:r>
    </w:p>
    <w:p w14:paraId="74C67942">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（15）执行应急指挥部的其他指令。</w:t>
      </w:r>
    </w:p>
    <w:p w14:paraId="73DE227C">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（16）负责抢救和临时处置事故现场伤员。</w:t>
      </w:r>
    </w:p>
    <w:p w14:paraId="31512BC3">
      <w:pPr>
        <w:keepNext w:val="0"/>
        <w:keepLines w:val="0"/>
        <w:pageBreakBefore w:val="0"/>
        <w:kinsoku/>
        <w:wordWrap/>
        <w:overflowPunct/>
        <w:topLinePunct w:val="0"/>
        <w:autoSpaceDE/>
        <w:autoSpaceDN/>
        <w:bidi w:val="0"/>
        <w:snapToGrid/>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（17）负责护送伤员到相应医院救治。有权禁止人员进入情况不明的场地，以防止人员伤亡事故的扩大。</w:t>
      </w:r>
    </w:p>
    <w:p w14:paraId="0F3F6101">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bookmarkStart w:id="258" w:name="_Toc296516673"/>
      <w:bookmarkStart w:id="259" w:name="_Toc290041741"/>
      <w:bookmarkStart w:id="260" w:name="_Toc299635271"/>
      <w:bookmarkStart w:id="261" w:name="_Toc477590469"/>
      <w:bookmarkStart w:id="262" w:name="_Toc219045345"/>
      <w:bookmarkStart w:id="263" w:name="_Toc322680685"/>
      <w:bookmarkStart w:id="264" w:name="_Toc305160677"/>
      <w:bookmarkStart w:id="265" w:name="_Toc287616796"/>
      <w:r>
        <w:rPr>
          <w:rFonts w:hint="eastAsia" w:ascii="宋体" w:hAnsi="宋体" w:eastAsia="宋体" w:cs="宋体"/>
          <w:color w:val="auto"/>
          <w:highlight w:val="none"/>
          <w:lang w:val="en-US" w:eastAsia="zh-CN"/>
        </w:rPr>
        <w:t>技术支持组职责：</w:t>
      </w:r>
    </w:p>
    <w:p w14:paraId="1F5BFA70">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bookmarkStart w:id="266" w:name="OLE_LINK89"/>
      <w:bookmarkStart w:id="267" w:name="OLE_LINK90"/>
      <w:r>
        <w:rPr>
          <w:rFonts w:hint="eastAsia" w:ascii="宋体" w:hAnsi="宋体" w:eastAsia="宋体" w:cs="宋体"/>
          <w:color w:val="auto"/>
          <w:highlight w:val="none"/>
          <w:lang w:val="en-US" w:eastAsia="zh-CN"/>
        </w:rPr>
        <w:t>（1）提出抢险抢修及避免事故扩大的临时应急方案和措施。</w:t>
      </w:r>
    </w:p>
    <w:p w14:paraId="5EBC547B">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（2）指导抢险抢修组实施应急救援工作。</w:t>
      </w:r>
    </w:p>
    <w:p w14:paraId="131A115C">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（3）修补实施中的应急方案和措施存在的缺陷。</w:t>
      </w:r>
    </w:p>
    <w:bookmarkEnd w:id="266"/>
    <w:bookmarkEnd w:id="267"/>
    <w:p w14:paraId="77CA541E">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（4）绘制事故现场平面图，标明重点部位，向救援机构提供准确的抢险救援信息资料。 </w:t>
      </w:r>
    </w:p>
    <w:p w14:paraId="31D1439F">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通讯联络组职责：</w:t>
      </w:r>
    </w:p>
    <w:p w14:paraId="71F648F0">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（1）保持通讯畅通，负责向指挥部通报、报警。负责及时向外界通报有关安全生产事故的应急救援情况。</w:t>
      </w:r>
    </w:p>
    <w:p w14:paraId="448E7C0F">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（2）责搜集事故全过程的文字、图像资料，撰写书面报告。整理相关的材料，做好相关数据的分类统计与分析工作，为事故的逐级上报工作提供相应的资料。</w:t>
      </w:r>
    </w:p>
    <w:bookmarkEnd w:id="258"/>
    <w:bookmarkEnd w:id="259"/>
    <w:bookmarkEnd w:id="260"/>
    <w:bookmarkEnd w:id="261"/>
    <w:bookmarkEnd w:id="262"/>
    <w:bookmarkEnd w:id="263"/>
    <w:bookmarkEnd w:id="264"/>
    <w:bookmarkEnd w:id="265"/>
    <w:p w14:paraId="493F742B">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后勤救援组职责：</w:t>
      </w:r>
    </w:p>
    <w:p w14:paraId="2495A2A0">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（1）组织项目部制订应急救援物资资源的储备计划，检查、监督落实应急救援物资的储备数量，收集和建立并归档。</w:t>
      </w:r>
    </w:p>
    <w:p w14:paraId="03EEA542">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（2）检查、监督项目部落实应急救援物资资源的变更和更新情况。</w:t>
      </w:r>
    </w:p>
    <w:p w14:paraId="7E013ACE">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（3）定期收集和整理项目部的应急救援物资资源信息、建立档案并归档，为应急救援行动的启动，做好物资源数据储备。</w:t>
      </w:r>
    </w:p>
    <w:p w14:paraId="1265556E">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（4）应急预案启动后，按应急救援总指挥的部署，有效地组织应急救援物资到事故现场，并及时对事故现场进行增援，同时提供后勤服务。</w:t>
      </w:r>
    </w:p>
    <w:p w14:paraId="1AE679E3">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（5）负责受伤人员的前期救护工作。</w:t>
      </w:r>
    </w:p>
    <w:p w14:paraId="31C43963">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（6）负责接送受伤人员到医院急救。</w:t>
      </w:r>
    </w:p>
    <w:p w14:paraId="00148A64">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（7）给外援救护人员提供初期资料、信息并交接工作。</w:t>
      </w:r>
    </w:p>
    <w:p w14:paraId="289C7400">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（8）执行应急指挥部的指令。</w:t>
      </w:r>
    </w:p>
    <w:p w14:paraId="7B128969">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（9）做好伤亡人员及家属的稳定工作，确保事故发生后伤亡人员及家属思想能够稳定，不发生不安定的现象。</w:t>
      </w:r>
    </w:p>
    <w:p w14:paraId="0A1981E0">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（10）做好受伤人员医疗救护的跟踪工作，协调处理医疗救护单位的相关问题。</w:t>
      </w:r>
    </w:p>
    <w:p w14:paraId="6371135E">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（11）与保险部门一起做好伤亡人员及财产损失的理赔工作。</w:t>
      </w:r>
    </w:p>
    <w:p w14:paraId="0D4D65EE">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（12）慰问有关伤员及家属。</w:t>
      </w:r>
    </w:p>
    <w:p w14:paraId="7AD4DADD">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（13）协调处理事故产生的相关纠纷问题。</w:t>
      </w:r>
    </w:p>
    <w:bookmarkEnd w:id="219"/>
    <w:p w14:paraId="5B22E704">
      <w:pPr>
        <w:pStyle w:val="5"/>
        <w:keepLines w:val="0"/>
        <w:pageBreakBefore w:val="0"/>
        <w:widowControl/>
        <w:numPr>
          <w:ilvl w:val="1"/>
          <w:numId w:val="6"/>
        </w:numPr>
        <w:kinsoku/>
        <w:wordWrap/>
        <w:overflowPunct/>
        <w:topLinePunct w:val="0"/>
        <w:bidi w:val="0"/>
        <w:spacing w:line="360" w:lineRule="auto"/>
        <w:ind w:left="567" w:leftChars="0" w:hanging="567" w:firstLineChars="0"/>
        <w:rPr>
          <w:rFonts w:cs="Times New Roman"/>
        </w:rPr>
      </w:pPr>
      <w:bookmarkStart w:id="268" w:name="_Toc15128"/>
      <w:bookmarkStart w:id="269" w:name="_Toc23918"/>
      <w:r>
        <w:rPr>
          <w:rFonts w:cs="Times New Roman"/>
        </w:rPr>
        <w:t>预防与预警</w:t>
      </w:r>
      <w:bookmarkEnd w:id="220"/>
      <w:bookmarkEnd w:id="221"/>
      <w:bookmarkEnd w:id="222"/>
      <w:bookmarkEnd w:id="223"/>
      <w:bookmarkEnd w:id="224"/>
      <w:bookmarkEnd w:id="225"/>
      <w:bookmarkEnd w:id="226"/>
      <w:bookmarkEnd w:id="227"/>
      <w:bookmarkEnd w:id="228"/>
      <w:bookmarkEnd w:id="229"/>
      <w:bookmarkEnd w:id="230"/>
      <w:bookmarkEnd w:id="268"/>
      <w:bookmarkEnd w:id="269"/>
    </w:p>
    <w:p w14:paraId="5C5E19EB">
      <w:pPr>
        <w:pStyle w:val="6"/>
        <w:pageBreakBefore w:val="0"/>
        <w:numPr>
          <w:ilvl w:val="2"/>
          <w:numId w:val="6"/>
        </w:numPr>
        <w:kinsoku/>
        <w:wordWrap/>
        <w:overflowPunct/>
        <w:topLinePunct w:val="0"/>
        <w:bidi w:val="0"/>
        <w:spacing w:line="360" w:lineRule="auto"/>
        <w:ind w:left="709" w:leftChars="0" w:hanging="709" w:firstLineChars="0"/>
        <w:rPr>
          <w:b/>
          <w:bCs/>
        </w:rPr>
      </w:pPr>
      <w:bookmarkStart w:id="270" w:name="_Toc448225300"/>
      <w:bookmarkStart w:id="271" w:name="_Toc448225850"/>
      <w:r>
        <w:rPr>
          <w:b/>
          <w:bCs/>
        </w:rPr>
        <w:t>危险源监控</w:t>
      </w:r>
      <w:bookmarkEnd w:id="270"/>
      <w:bookmarkEnd w:id="271"/>
    </w:p>
    <w:p w14:paraId="011A0586">
      <w:pPr>
        <w:pStyle w:val="39"/>
        <w:pageBreakBefore w:val="0"/>
        <w:numPr>
          <w:ilvl w:val="0"/>
          <w:numId w:val="48"/>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起重设备倾覆：包含塔机倾覆及安拆吊车倾覆两种形式，针对塔机倾覆，在基础设计时，要根据现场地耐力和塔机说明书，严格控制基础选型及安装高度；针对安拆吊车倾覆，在吊车站位时，需确认支腿下方无管线、暗沟，</w:t>
      </w:r>
      <w:r>
        <w:rPr>
          <w:rFonts w:hint="eastAsia" w:ascii="Times New Roman" w:hAnsi="Times New Roman" w:cs="Times New Roman"/>
          <w:sz w:val="24"/>
          <w:szCs w:val="24"/>
        </w:rPr>
        <w:t>满足汽车吊支腿</w:t>
      </w:r>
      <w:r>
        <w:rPr>
          <w:rFonts w:ascii="Times New Roman" w:hAnsi="Times New Roman" w:cs="Times New Roman"/>
          <w:sz w:val="24"/>
          <w:szCs w:val="24"/>
        </w:rPr>
        <w:t>受力。</w:t>
      </w:r>
    </w:p>
    <w:p w14:paraId="12619D0F">
      <w:pPr>
        <w:pStyle w:val="39"/>
        <w:pageBreakBefore w:val="0"/>
        <w:numPr>
          <w:ilvl w:val="0"/>
          <w:numId w:val="48"/>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高处坠落：塔机安拆作业人员需持有特种设备操作许可证，严禁无证上岗，安全带、胶鞋、手套等防护用品齐全，安全带使用时需高挂低用。</w:t>
      </w:r>
    </w:p>
    <w:p w14:paraId="2341366F">
      <w:pPr>
        <w:pStyle w:val="39"/>
        <w:pageBreakBefore w:val="0"/>
        <w:numPr>
          <w:ilvl w:val="0"/>
          <w:numId w:val="48"/>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物体打击：为安拆人员提供合格的安全帽，安全帽的佩戴要符合规范，高空作业时地面需拉设警戒线标识作业区域。</w:t>
      </w:r>
    </w:p>
    <w:p w14:paraId="49A4CF18">
      <w:pPr>
        <w:pStyle w:val="39"/>
        <w:pageBreakBefore w:val="0"/>
        <w:numPr>
          <w:ilvl w:val="0"/>
          <w:numId w:val="48"/>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触电事故：操作人员需持有电工操作证，佩戴绝缘手套，配齐专用电气工具。</w:t>
      </w:r>
    </w:p>
    <w:p w14:paraId="45E11AA7">
      <w:pPr>
        <w:pStyle w:val="39"/>
        <w:pageBreakBefore w:val="0"/>
        <w:numPr>
          <w:ilvl w:val="0"/>
          <w:numId w:val="48"/>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火灾事故：严格遵守项目消防要求，认真履行动火审批制度，施工现场严禁吸烟，电气焊动火前需安排专人看火，并配齐灭火器。</w:t>
      </w:r>
    </w:p>
    <w:p w14:paraId="504D0C91">
      <w:pPr>
        <w:pStyle w:val="39"/>
        <w:pageBreakBefore w:val="0"/>
        <w:numPr>
          <w:ilvl w:val="0"/>
          <w:numId w:val="48"/>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坍塌事故：靠近基坑边线的塔机基础或者吊车支腿，需将具体受力参数提供给项目，请项目负责核算边坡受力。</w:t>
      </w:r>
    </w:p>
    <w:p w14:paraId="55BB9235">
      <w:pPr>
        <w:pStyle w:val="6"/>
        <w:pageBreakBefore w:val="0"/>
        <w:numPr>
          <w:ilvl w:val="2"/>
          <w:numId w:val="6"/>
        </w:numPr>
        <w:kinsoku/>
        <w:wordWrap/>
        <w:overflowPunct/>
        <w:topLinePunct w:val="0"/>
        <w:bidi w:val="0"/>
        <w:spacing w:line="360" w:lineRule="auto"/>
        <w:ind w:left="709" w:leftChars="0" w:hanging="709" w:firstLineChars="0"/>
        <w:rPr>
          <w:b/>
          <w:bCs/>
        </w:rPr>
      </w:pPr>
      <w:bookmarkStart w:id="272" w:name="_Toc448225301"/>
      <w:bookmarkStart w:id="273" w:name="_Toc448225851"/>
      <w:r>
        <w:rPr>
          <w:b/>
          <w:bCs/>
        </w:rPr>
        <w:t>预警行动</w:t>
      </w:r>
      <w:bookmarkEnd w:id="272"/>
      <w:bookmarkEnd w:id="273"/>
    </w:p>
    <w:p w14:paraId="737518D8">
      <w:pPr>
        <w:pStyle w:val="39"/>
        <w:pageBreakBefore w:val="0"/>
        <w:numPr>
          <w:ilvl w:val="0"/>
          <w:numId w:val="49"/>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认真落实安全生产责任制，安全生产规章制度和安全操作规程。</w:t>
      </w:r>
    </w:p>
    <w:p w14:paraId="186EA3D9">
      <w:pPr>
        <w:pStyle w:val="39"/>
        <w:pageBreakBefore w:val="0"/>
        <w:numPr>
          <w:ilvl w:val="0"/>
          <w:numId w:val="49"/>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及时对设备、设施的不安全状态、人的不安全行为，以及安全管理上的缺陷等隐患进行排查治理，采取有效的防护措施。</w:t>
      </w:r>
    </w:p>
    <w:p w14:paraId="3022DC4A">
      <w:pPr>
        <w:pStyle w:val="39"/>
        <w:pageBreakBefore w:val="0"/>
        <w:numPr>
          <w:ilvl w:val="0"/>
          <w:numId w:val="49"/>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在危险要害部位，设置明显的安全警示标志，便于公众识别。</w:t>
      </w:r>
    </w:p>
    <w:p w14:paraId="60849F73">
      <w:pPr>
        <w:pStyle w:val="39"/>
        <w:pageBreakBefore w:val="0"/>
        <w:numPr>
          <w:ilvl w:val="0"/>
          <w:numId w:val="49"/>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加强对员工安全生产教育培训，提高安全生产意识，掌握安全技能，提高对事故的应急处理能力。</w:t>
      </w:r>
    </w:p>
    <w:p w14:paraId="19AA60FF">
      <w:pPr>
        <w:pStyle w:val="6"/>
        <w:pageBreakBefore w:val="0"/>
        <w:numPr>
          <w:ilvl w:val="2"/>
          <w:numId w:val="6"/>
        </w:numPr>
        <w:kinsoku/>
        <w:wordWrap/>
        <w:overflowPunct/>
        <w:topLinePunct w:val="0"/>
        <w:bidi w:val="0"/>
        <w:spacing w:line="360" w:lineRule="auto"/>
        <w:ind w:left="709" w:leftChars="0" w:hanging="709" w:firstLineChars="0"/>
        <w:rPr>
          <w:b/>
          <w:bCs/>
        </w:rPr>
      </w:pPr>
      <w:r>
        <w:rPr>
          <w:b/>
          <w:bCs/>
        </w:rPr>
        <w:t>信息报告与处置</w:t>
      </w:r>
    </w:p>
    <w:p w14:paraId="7FC85EE1">
      <w:pPr>
        <w:pStyle w:val="39"/>
        <w:pageBreakBefore w:val="0"/>
        <w:numPr>
          <w:ilvl w:val="0"/>
          <w:numId w:val="50"/>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事故发生后，第一发现人立即向单位负责人报告，报告事故发生的时间、地点和简要情况，并随时报告事故的后续情况。</w:t>
      </w:r>
    </w:p>
    <w:p w14:paraId="61A018ED">
      <w:pPr>
        <w:pStyle w:val="39"/>
        <w:pageBreakBefore w:val="0"/>
        <w:numPr>
          <w:ilvl w:val="0"/>
          <w:numId w:val="50"/>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现场负责人用最快速度通知应急小组成员到现场，及时启动应急预案，并迅速做出响应，进入相应的应急状态，依据职责分工履行各自所应承担的职责。</w:t>
      </w:r>
    </w:p>
    <w:p w14:paraId="24090A1F">
      <w:pPr>
        <w:pStyle w:val="39"/>
        <w:pageBreakBefore w:val="0"/>
        <w:numPr>
          <w:ilvl w:val="0"/>
          <w:numId w:val="50"/>
        </w:numPr>
        <w:kinsoku/>
        <w:wordWrap/>
        <w:overflowPunct/>
        <w:topLinePunct w:val="0"/>
        <w:bidi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事故处理根据事故大小情况来确定，如果事故特别小，根据上级指示可由施工单位自行直接进行处理。如果事故较大或施工单位处理不了则由施工单位向</w:t>
      </w:r>
      <w:r>
        <w:rPr>
          <w:rFonts w:hint="eastAsia" w:ascii="Times New Roman" w:hAnsi="Times New Roman" w:cs="Times New Roman"/>
          <w:sz w:val="24"/>
          <w:szCs w:val="24"/>
        </w:rPr>
        <w:t>总包单位</w:t>
      </w:r>
      <w:r>
        <w:rPr>
          <w:rFonts w:ascii="Times New Roman" w:hAnsi="Times New Roman" w:cs="Times New Roman"/>
          <w:sz w:val="24"/>
          <w:szCs w:val="24"/>
        </w:rPr>
        <w:t>进行请示，请求启动</w:t>
      </w:r>
      <w:r>
        <w:rPr>
          <w:rFonts w:hint="eastAsia" w:ascii="Times New Roman" w:hAnsi="Times New Roman" w:cs="Times New Roman"/>
          <w:sz w:val="24"/>
          <w:szCs w:val="24"/>
        </w:rPr>
        <w:t>总包</w:t>
      </w:r>
      <w:r>
        <w:rPr>
          <w:rFonts w:ascii="Times New Roman" w:hAnsi="Times New Roman" w:cs="Times New Roman"/>
          <w:sz w:val="24"/>
          <w:szCs w:val="24"/>
        </w:rPr>
        <w:t>单位的救援预案，</w:t>
      </w:r>
      <w:r>
        <w:rPr>
          <w:rFonts w:hint="eastAsia" w:ascii="Times New Roman" w:hAnsi="Times New Roman" w:cs="Times New Roman"/>
          <w:sz w:val="24"/>
          <w:szCs w:val="24"/>
        </w:rPr>
        <w:t>总包</w:t>
      </w:r>
      <w:r>
        <w:rPr>
          <w:rFonts w:ascii="Times New Roman" w:hAnsi="Times New Roman" w:cs="Times New Roman"/>
          <w:sz w:val="24"/>
          <w:szCs w:val="24"/>
        </w:rPr>
        <w:t>单位的救援预案仍不能进行处理，则由</w:t>
      </w:r>
      <w:r>
        <w:rPr>
          <w:rFonts w:hint="eastAsia" w:ascii="Times New Roman" w:hAnsi="Times New Roman" w:cs="Times New Roman"/>
          <w:sz w:val="24"/>
          <w:szCs w:val="24"/>
        </w:rPr>
        <w:t>总包</w:t>
      </w:r>
      <w:r>
        <w:rPr>
          <w:rFonts w:ascii="Times New Roman" w:hAnsi="Times New Roman" w:cs="Times New Roman"/>
          <w:sz w:val="24"/>
          <w:szCs w:val="24"/>
        </w:rPr>
        <w:t>单位的安全管理部门向建管局安监站或政府部门请示启动上一级救援预案。</w:t>
      </w:r>
    </w:p>
    <w:p w14:paraId="6A1B65ED">
      <w:pPr>
        <w:pStyle w:val="5"/>
        <w:keepLines w:val="0"/>
        <w:pageBreakBefore w:val="0"/>
        <w:widowControl/>
        <w:numPr>
          <w:ilvl w:val="1"/>
          <w:numId w:val="6"/>
        </w:numPr>
        <w:kinsoku/>
        <w:wordWrap/>
        <w:overflowPunct/>
        <w:topLinePunct w:val="0"/>
        <w:bidi w:val="0"/>
        <w:spacing w:line="360" w:lineRule="auto"/>
        <w:ind w:left="567" w:leftChars="0" w:hanging="567" w:firstLineChars="0"/>
        <w:rPr>
          <w:rFonts w:cs="Times New Roman"/>
        </w:rPr>
      </w:pPr>
      <w:bookmarkStart w:id="274" w:name="_Toc448225302"/>
      <w:bookmarkStart w:id="275" w:name="_Toc9663"/>
      <w:bookmarkStart w:id="276" w:name="_Toc30839"/>
      <w:bookmarkStart w:id="277" w:name="_Toc448225852"/>
      <w:bookmarkStart w:id="278" w:name="_Toc17720"/>
      <w:bookmarkStart w:id="279" w:name="_Toc450922373"/>
      <w:bookmarkStart w:id="280" w:name="_Toc28044"/>
      <w:bookmarkStart w:id="281" w:name="_Toc448135186"/>
      <w:bookmarkStart w:id="282" w:name="_Toc18579"/>
      <w:bookmarkStart w:id="283" w:name="_Toc14030"/>
      <w:bookmarkStart w:id="284" w:name="_Toc398819234"/>
      <w:bookmarkStart w:id="285" w:name="_Toc11950"/>
      <w:bookmarkStart w:id="286" w:name="_Toc15909"/>
      <w:r>
        <w:rPr>
          <w:rFonts w:cs="Times New Roman"/>
        </w:rPr>
        <w:t>应急响应</w:t>
      </w:r>
      <w:bookmarkEnd w:id="274"/>
      <w:bookmarkEnd w:id="275"/>
      <w:bookmarkEnd w:id="276"/>
      <w:bookmarkEnd w:id="277"/>
      <w:bookmarkEnd w:id="278"/>
      <w:bookmarkEnd w:id="279"/>
      <w:bookmarkEnd w:id="280"/>
      <w:bookmarkEnd w:id="281"/>
      <w:bookmarkEnd w:id="282"/>
      <w:bookmarkEnd w:id="283"/>
      <w:bookmarkEnd w:id="284"/>
      <w:bookmarkEnd w:id="285"/>
      <w:bookmarkEnd w:id="286"/>
    </w:p>
    <w:p w14:paraId="680A9321">
      <w:pPr>
        <w:pStyle w:val="6"/>
        <w:pageBreakBefore w:val="0"/>
        <w:numPr>
          <w:ilvl w:val="2"/>
          <w:numId w:val="6"/>
        </w:numPr>
        <w:kinsoku/>
        <w:wordWrap/>
        <w:overflowPunct/>
        <w:topLinePunct w:val="0"/>
        <w:bidi w:val="0"/>
        <w:spacing w:line="360" w:lineRule="auto"/>
        <w:ind w:left="709" w:leftChars="0" w:hanging="709" w:firstLineChars="0"/>
        <w:rPr>
          <w:b/>
          <w:bCs/>
        </w:rPr>
      </w:pPr>
      <w:bookmarkStart w:id="287" w:name="_Toc448225303"/>
      <w:bookmarkStart w:id="288" w:name="_Toc448225853"/>
      <w:r>
        <w:rPr>
          <w:b/>
          <w:bCs/>
        </w:rPr>
        <w:t>启动本预案</w:t>
      </w:r>
      <w:bookmarkEnd w:id="287"/>
      <w:bookmarkEnd w:id="288"/>
    </w:p>
    <w:p w14:paraId="12DD9B4D">
      <w:pPr>
        <w:keepNext w:val="0"/>
        <w:keepLines w:val="0"/>
        <w:pageBreakBefore w:val="0"/>
        <w:kinsoku/>
        <w:wordWrap/>
        <w:overflowPunct/>
        <w:topLinePunct w:val="0"/>
        <w:autoSpaceDE/>
        <w:autoSpaceDN/>
        <w:bidi w:val="0"/>
        <w:snapToGrid/>
        <w:spacing w:line="360" w:lineRule="auto"/>
        <w:ind w:firstLine="480"/>
        <w:rPr>
          <w:rFonts w:cs="Times New Roman"/>
          <w:szCs w:val="24"/>
        </w:rPr>
      </w:pPr>
      <w:r>
        <w:rPr>
          <w:rFonts w:cs="Times New Roman"/>
          <w:szCs w:val="24"/>
        </w:rPr>
        <w:t>单位负责人接到事故报告后，通知应急预案领导小组及其人员，启动应急预案。</w:t>
      </w:r>
    </w:p>
    <w:p w14:paraId="37C7E6A1">
      <w:pPr>
        <w:pStyle w:val="6"/>
        <w:pageBreakBefore w:val="0"/>
        <w:numPr>
          <w:ilvl w:val="2"/>
          <w:numId w:val="6"/>
        </w:numPr>
        <w:kinsoku/>
        <w:wordWrap/>
        <w:overflowPunct/>
        <w:topLinePunct w:val="0"/>
        <w:bidi w:val="0"/>
        <w:spacing w:line="360" w:lineRule="auto"/>
        <w:ind w:left="709" w:leftChars="0" w:hanging="709" w:firstLineChars="0"/>
        <w:rPr>
          <w:b/>
          <w:bCs/>
        </w:rPr>
      </w:pPr>
      <w:bookmarkStart w:id="289" w:name="_Toc448225304"/>
      <w:bookmarkStart w:id="290" w:name="_Toc448225854"/>
      <w:r>
        <w:rPr>
          <w:b/>
          <w:bCs/>
        </w:rPr>
        <w:t>赶赴事故现场</w:t>
      </w:r>
      <w:bookmarkEnd w:id="289"/>
      <w:bookmarkEnd w:id="290"/>
    </w:p>
    <w:p w14:paraId="099F654F">
      <w:pPr>
        <w:keepNext w:val="0"/>
        <w:keepLines w:val="0"/>
        <w:pageBreakBefore w:val="0"/>
        <w:kinsoku/>
        <w:wordWrap/>
        <w:overflowPunct/>
        <w:topLinePunct w:val="0"/>
        <w:autoSpaceDE/>
        <w:autoSpaceDN/>
        <w:bidi w:val="0"/>
        <w:snapToGrid/>
        <w:spacing w:line="360" w:lineRule="auto"/>
        <w:ind w:firstLine="480"/>
        <w:rPr>
          <w:rFonts w:cs="Times New Roman"/>
          <w:szCs w:val="24"/>
        </w:rPr>
      </w:pPr>
      <w:r>
        <w:rPr>
          <w:rFonts w:cs="Times New Roman"/>
          <w:szCs w:val="24"/>
        </w:rPr>
        <w:t>应急小组组长、副组长接到报告后，立即赶赴事故现场，成立事故现场指挥部，组织指挥救援处置工作。</w:t>
      </w:r>
    </w:p>
    <w:p w14:paraId="09350AD9">
      <w:pPr>
        <w:keepNext w:val="0"/>
        <w:keepLines w:val="0"/>
        <w:pageBreakBefore w:val="0"/>
        <w:kinsoku/>
        <w:wordWrap/>
        <w:overflowPunct/>
        <w:topLinePunct w:val="0"/>
        <w:autoSpaceDE/>
        <w:autoSpaceDN/>
        <w:bidi w:val="0"/>
        <w:snapToGrid/>
        <w:spacing w:line="360" w:lineRule="auto"/>
        <w:ind w:firstLine="480"/>
        <w:rPr>
          <w:rFonts w:cs="Times New Roman"/>
          <w:szCs w:val="24"/>
        </w:rPr>
      </w:pPr>
      <w:r>
        <w:rPr>
          <w:rFonts w:cs="Times New Roman"/>
          <w:szCs w:val="24"/>
        </w:rPr>
        <w:t>应急小组成员接到报告后，立即赶赴现场并依据职责分工履行各自所应承担的职责，实施救援处置。</w:t>
      </w:r>
    </w:p>
    <w:p w14:paraId="1191F892">
      <w:pPr>
        <w:pStyle w:val="6"/>
        <w:pageBreakBefore w:val="0"/>
        <w:numPr>
          <w:ilvl w:val="2"/>
          <w:numId w:val="6"/>
        </w:numPr>
        <w:kinsoku/>
        <w:wordWrap/>
        <w:overflowPunct/>
        <w:topLinePunct w:val="0"/>
        <w:bidi w:val="0"/>
        <w:spacing w:line="360" w:lineRule="auto"/>
        <w:ind w:left="709" w:leftChars="0" w:hanging="709" w:firstLineChars="0"/>
        <w:rPr>
          <w:b/>
          <w:bCs/>
        </w:rPr>
      </w:pPr>
      <w:bookmarkStart w:id="291" w:name="_Toc448225855"/>
      <w:bookmarkStart w:id="292" w:name="_Toc448225305"/>
      <w:r>
        <w:rPr>
          <w:b/>
          <w:bCs/>
        </w:rPr>
        <w:t>现场救援处置</w:t>
      </w:r>
      <w:bookmarkEnd w:id="291"/>
      <w:bookmarkEnd w:id="292"/>
    </w:p>
    <w:p w14:paraId="2C5F5889">
      <w:pPr>
        <w:keepNext w:val="0"/>
        <w:keepLines w:val="0"/>
        <w:pageBreakBefore w:val="0"/>
        <w:kinsoku/>
        <w:wordWrap/>
        <w:overflowPunct/>
        <w:topLinePunct w:val="0"/>
        <w:autoSpaceDE/>
        <w:autoSpaceDN/>
        <w:bidi w:val="0"/>
        <w:snapToGrid/>
        <w:spacing w:line="360" w:lineRule="auto"/>
        <w:rPr>
          <w:rFonts w:cs="Times New Roman"/>
          <w:szCs w:val="24"/>
        </w:rPr>
      </w:pPr>
      <w:r>
        <w:rPr>
          <w:rFonts w:cs="Times New Roman"/>
          <w:szCs w:val="24"/>
        </w:rPr>
        <w:t>（1）应急电话的正确使用</w:t>
      </w:r>
    </w:p>
    <w:p w14:paraId="50F9E272">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eastAsia="宋体" w:cs="Times New Roman"/>
          <w:szCs w:val="24"/>
        </w:rPr>
        <w:t>事故发生后，现场发现人第一时间通知现场负责人，控制事态，保护现场，组织抢救，疏导人员。工伤事故现场，重病人抢救应拨打120救护电话，请医疗单位急救。火警、火灾事故应拨打119火警电话，请消防部门急救。发生抢劫、偷盗、斗殴等情况应拨打报警电话110，向公安部门报警。拨打电话时要尽量说清楚一下几件事：</w:t>
      </w:r>
    </w:p>
    <w:p w14:paraId="10860267">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①</w:t>
      </w:r>
      <w:r>
        <w:rPr>
          <w:rFonts w:eastAsia="宋体" w:cs="Times New Roman"/>
          <w:szCs w:val="24"/>
        </w:rPr>
        <w:t>说明伤情（病情、火情、案情）和已经采取了什么措施，以便让救护人员事先做好急救的准备；</w:t>
      </w:r>
    </w:p>
    <w:p w14:paraId="57B78837">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②</w:t>
      </w:r>
      <w:r>
        <w:rPr>
          <w:rFonts w:eastAsia="宋体" w:cs="Times New Roman"/>
          <w:szCs w:val="24"/>
        </w:rPr>
        <w:t>讲清楚伤者（事故）发生在什么地方，什么路几号、靠近什么路口、附近有什么特征；</w:t>
      </w:r>
    </w:p>
    <w:p w14:paraId="0F89CBA6">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③</w:t>
      </w:r>
      <w:r>
        <w:rPr>
          <w:rFonts w:eastAsia="宋体" w:cs="Times New Roman"/>
          <w:szCs w:val="24"/>
        </w:rPr>
        <w:t>说明报救者单位、姓名、电话号码，以便救护车（消防车、警车）找不到所报地方时，随时通过电话联系。</w:t>
      </w:r>
    </w:p>
    <w:p w14:paraId="7F489EE1">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④</w:t>
      </w:r>
      <w:r>
        <w:rPr>
          <w:rFonts w:eastAsia="宋体" w:cs="Times New Roman"/>
          <w:szCs w:val="24"/>
        </w:rPr>
        <w:t>基本打完报救电话后，应问接报人员还有什么问题不清楚，如无问题才能挂断电话。通完电话后，应派人在现场外等候接应救护车，同时把救护车进项目部现场的路上障碍及时予以清除，以利救护车到达后，能及时进行抢救。</w:t>
      </w:r>
    </w:p>
    <w:p w14:paraId="27476CD0">
      <w:pPr>
        <w:keepNext w:val="0"/>
        <w:keepLines w:val="0"/>
        <w:pageBreakBefore w:val="0"/>
        <w:kinsoku/>
        <w:wordWrap/>
        <w:overflowPunct/>
        <w:topLinePunct w:val="0"/>
        <w:autoSpaceDE/>
        <w:autoSpaceDN/>
        <w:bidi w:val="0"/>
        <w:snapToGrid/>
        <w:spacing w:line="360" w:lineRule="auto"/>
        <w:rPr>
          <w:rFonts w:cs="Times New Roman"/>
          <w:szCs w:val="24"/>
        </w:rPr>
      </w:pPr>
      <w:r>
        <w:rPr>
          <w:rFonts w:cs="Times New Roman"/>
          <w:szCs w:val="24"/>
        </w:rPr>
        <w:t>（2）机械伤害事故的处置措施</w:t>
      </w:r>
    </w:p>
    <w:p w14:paraId="0A5808B5">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①</w:t>
      </w:r>
      <w:r>
        <w:rPr>
          <w:rFonts w:eastAsia="宋体" w:cs="Times New Roman"/>
          <w:szCs w:val="24"/>
        </w:rPr>
        <w:t>发现有人受伤后，现场有关人员立即关闭电源，向周围人员呼救，迅速向领导汇报。</w:t>
      </w:r>
    </w:p>
    <w:p w14:paraId="248C74BF">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②</w:t>
      </w:r>
      <w:r>
        <w:rPr>
          <w:rFonts w:eastAsia="宋体" w:cs="Times New Roman"/>
          <w:szCs w:val="24"/>
        </w:rPr>
        <w:t>一般性外伤，迅速包扎止血，并将伤者送往医院。</w:t>
      </w:r>
    </w:p>
    <w:p w14:paraId="331FC810">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③</w:t>
      </w:r>
      <w:r>
        <w:rPr>
          <w:rFonts w:eastAsia="宋体" w:cs="Times New Roman"/>
          <w:szCs w:val="24"/>
        </w:rPr>
        <w:t>如果受伤人员伤势较重，现场指挥人员立即拨打120急救中心电话或将伤员送往医院治疗。</w:t>
      </w:r>
    </w:p>
    <w:p w14:paraId="2F29DB42">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④</w:t>
      </w:r>
      <w:r>
        <w:rPr>
          <w:rFonts w:eastAsia="宋体" w:cs="Times New Roman"/>
          <w:szCs w:val="24"/>
        </w:rPr>
        <w:t>发生断指，立即止血，尽可能做到将断指清洗干净，用消毒敷料包裹好，放入装有冷饮的塑料袋内，将伤者连同断指立即送往医院。</w:t>
      </w:r>
    </w:p>
    <w:p w14:paraId="5811B667">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⑤</w:t>
      </w:r>
      <w:r>
        <w:rPr>
          <w:rFonts w:eastAsia="宋体" w:cs="Times New Roman"/>
          <w:szCs w:val="24"/>
        </w:rPr>
        <w:t>肢体骨折，将伤肢固定，减少骨折断端对周围组织的进一步损伤，再送往医院。</w:t>
      </w:r>
    </w:p>
    <w:p w14:paraId="20EAAF98">
      <w:pPr>
        <w:keepNext w:val="0"/>
        <w:keepLines w:val="0"/>
        <w:pageBreakBefore w:val="0"/>
        <w:kinsoku/>
        <w:wordWrap/>
        <w:overflowPunct/>
        <w:topLinePunct w:val="0"/>
        <w:autoSpaceDE/>
        <w:autoSpaceDN/>
        <w:bidi w:val="0"/>
        <w:snapToGrid/>
        <w:spacing w:line="360" w:lineRule="auto"/>
        <w:rPr>
          <w:rFonts w:eastAsia="宋体" w:cs="Times New Roman"/>
          <w:szCs w:val="24"/>
        </w:rPr>
      </w:pPr>
      <w:r>
        <w:rPr>
          <w:rFonts w:eastAsia="宋体" w:cs="Times New Roman"/>
          <w:szCs w:val="24"/>
        </w:rPr>
        <w:t>（3）触电事故现场处置措施</w:t>
      </w:r>
    </w:p>
    <w:p w14:paraId="625FD7BF">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①</w:t>
      </w:r>
      <w:r>
        <w:rPr>
          <w:rFonts w:eastAsia="宋体" w:cs="Times New Roman"/>
          <w:szCs w:val="24"/>
        </w:rPr>
        <w:t>截断电源，关上插座上的开关或拔除插头，切勿触摸电器用具的开关。</w:t>
      </w:r>
    </w:p>
    <w:p w14:paraId="067303EC">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②</w:t>
      </w:r>
      <w:r>
        <w:rPr>
          <w:rFonts w:eastAsia="宋体" w:cs="Times New Roman"/>
          <w:szCs w:val="24"/>
        </w:rPr>
        <w:t>若无法关上开关，可站在绝缘物体上，如一叠厚报纸、塑料布、木板之类，用扫着或木棍等将伤者剥离电源，或用绳子、裤子或任何干布条绕过伤者腋下或腿部，把伤者拖离电源。切勿用手触及伤者，也不要用潮湿的工具或金属物质把伤者拨开，也不要用潮湿的物件拖动伤者。</w:t>
      </w:r>
    </w:p>
    <w:p w14:paraId="6047F150">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③</w:t>
      </w:r>
      <w:r>
        <w:rPr>
          <w:rFonts w:eastAsia="宋体" w:cs="Times New Roman"/>
          <w:szCs w:val="24"/>
        </w:rPr>
        <w:t>如果伤者呼吸心跳停止，开始人工呼吸和胸外心脏按压。若伤者昏迷，则将其身体放置成卧式，打电话叫救护车，或立即送伤者到医院急救。</w:t>
      </w:r>
    </w:p>
    <w:p w14:paraId="1A12E3CC">
      <w:pPr>
        <w:keepNext w:val="0"/>
        <w:keepLines w:val="0"/>
        <w:pageBreakBefore w:val="0"/>
        <w:kinsoku/>
        <w:wordWrap/>
        <w:overflowPunct/>
        <w:topLinePunct w:val="0"/>
        <w:autoSpaceDE/>
        <w:autoSpaceDN/>
        <w:bidi w:val="0"/>
        <w:snapToGrid/>
        <w:spacing w:line="360" w:lineRule="auto"/>
        <w:rPr>
          <w:rFonts w:eastAsia="宋体" w:cs="Times New Roman"/>
          <w:szCs w:val="24"/>
        </w:rPr>
      </w:pPr>
      <w:r>
        <w:rPr>
          <w:rFonts w:eastAsia="宋体" w:cs="Times New Roman"/>
          <w:szCs w:val="24"/>
        </w:rPr>
        <w:t>（4）火灾事故现场处置措施</w:t>
      </w:r>
    </w:p>
    <w:p w14:paraId="7B2F1274">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①</w:t>
      </w:r>
      <w:r>
        <w:rPr>
          <w:rFonts w:eastAsia="宋体" w:cs="Times New Roman"/>
          <w:szCs w:val="24"/>
        </w:rPr>
        <w:t>员工发现事故征兆，如电源线产生火花，某个部位有烟气、异味等，立即报告现场负责人，现场人员在保证自身安全的条件下，立即进行自救，灭火，防止火情扩大。</w:t>
      </w:r>
    </w:p>
    <w:p w14:paraId="43F74308">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②</w:t>
      </w:r>
      <w:r>
        <w:rPr>
          <w:rFonts w:eastAsia="宋体" w:cs="Times New Roman"/>
          <w:szCs w:val="24"/>
        </w:rPr>
        <w:t>事故现场继续蔓延扩大，现场指挥人员通知各救援小组快速集结，快速反应履行各自职责投入灭火行动。</w:t>
      </w:r>
    </w:p>
    <w:p w14:paraId="56B49506">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③</w:t>
      </w:r>
      <w:r>
        <w:rPr>
          <w:rFonts w:eastAsia="宋体" w:cs="Times New Roman"/>
          <w:szCs w:val="24"/>
        </w:rPr>
        <w:t>拨打119火警电话，派人接应消防车辆，并随时与救援领导小组联系。</w:t>
      </w:r>
    </w:p>
    <w:p w14:paraId="28027C30">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④</w:t>
      </w:r>
      <w:r>
        <w:rPr>
          <w:rFonts w:eastAsia="宋体" w:cs="Times New Roman"/>
          <w:szCs w:val="24"/>
        </w:rPr>
        <w:t>根据不同类型的火灾，采取不同的方法进行灭火，如含碳固体可燃物，甲、乙、丙类液体（如汽油、煤油、柴油、甲醇等）燃烧的火灾，则用灭火器扑救，如带电物体燃烧的火灾，首先切断供电线路及电气设备电源，再利用灭火器进行灭火。</w:t>
      </w:r>
    </w:p>
    <w:p w14:paraId="5666C502">
      <w:pPr>
        <w:keepNext w:val="0"/>
        <w:keepLines w:val="0"/>
        <w:pageBreakBefore w:val="0"/>
        <w:kinsoku/>
        <w:wordWrap/>
        <w:overflowPunct/>
        <w:topLinePunct w:val="0"/>
        <w:autoSpaceDE/>
        <w:autoSpaceDN/>
        <w:bidi w:val="0"/>
        <w:snapToGrid/>
        <w:spacing w:line="360" w:lineRule="auto"/>
        <w:ind w:firstLine="480"/>
        <w:rPr>
          <w:rFonts w:eastAsia="宋体" w:cs="Times New Roman"/>
          <w:szCs w:val="24"/>
        </w:rPr>
      </w:pPr>
      <w:r>
        <w:rPr>
          <w:rFonts w:hint="eastAsia" w:ascii="宋体" w:hAnsi="宋体" w:eastAsia="宋体" w:cs="宋体"/>
          <w:szCs w:val="24"/>
        </w:rPr>
        <w:t>⑤</w:t>
      </w:r>
      <w:r>
        <w:rPr>
          <w:rFonts w:eastAsia="宋体" w:cs="Times New Roman"/>
          <w:szCs w:val="24"/>
        </w:rPr>
        <w:t>气焊中，氧气软管着火时，不得折弯软管断气，应立即关闭氧气阀门停止供氧。乙炔软管着火时，应先关闭炬火，可用折弯前面一段软管的办法将火熄灭。</w:t>
      </w:r>
    </w:p>
    <w:p w14:paraId="611A53D7">
      <w:pPr>
        <w:pStyle w:val="6"/>
        <w:pageBreakBefore w:val="0"/>
        <w:numPr>
          <w:ilvl w:val="2"/>
          <w:numId w:val="6"/>
        </w:numPr>
        <w:kinsoku/>
        <w:wordWrap/>
        <w:overflowPunct/>
        <w:topLinePunct w:val="0"/>
        <w:bidi w:val="0"/>
        <w:spacing w:line="360" w:lineRule="auto"/>
        <w:ind w:left="709" w:leftChars="0" w:hanging="709" w:firstLineChars="0"/>
        <w:rPr>
          <w:b/>
          <w:bCs/>
        </w:rPr>
      </w:pPr>
      <w:bookmarkStart w:id="293" w:name="_Toc448225306"/>
      <w:bookmarkStart w:id="294" w:name="_Toc448225856"/>
      <w:r>
        <w:rPr>
          <w:b/>
          <w:bCs/>
        </w:rPr>
        <w:t>应急保障</w:t>
      </w:r>
      <w:bookmarkEnd w:id="293"/>
      <w:bookmarkEnd w:id="294"/>
    </w:p>
    <w:p w14:paraId="2954903A">
      <w:pPr>
        <w:keepNext w:val="0"/>
        <w:keepLines w:val="0"/>
        <w:pageBreakBefore w:val="0"/>
        <w:kinsoku/>
        <w:wordWrap/>
        <w:overflowPunct/>
        <w:topLinePunct w:val="0"/>
        <w:autoSpaceDE/>
        <w:autoSpaceDN/>
        <w:bidi w:val="0"/>
        <w:snapToGrid/>
        <w:spacing w:line="360" w:lineRule="auto"/>
        <w:rPr>
          <w:rFonts w:hint="eastAsia"/>
          <w:highlight w:val="none"/>
          <w:lang w:val="en-US" w:eastAsia="zh-CN"/>
        </w:rPr>
      </w:pPr>
      <w:bookmarkStart w:id="295" w:name="_Toc47"/>
      <w:bookmarkStart w:id="296" w:name="_Toc1344"/>
      <w:r>
        <w:rPr>
          <w:rFonts w:hint="eastAsia"/>
          <w:highlight w:val="none"/>
          <w:lang w:val="en-US" w:eastAsia="zh-CN"/>
        </w:rPr>
        <w:t>1、应急指挥联络方式</w:t>
      </w:r>
      <w:bookmarkEnd w:id="295"/>
      <w:bookmarkEnd w:id="296"/>
    </w:p>
    <w:p w14:paraId="03F8EE1D">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①配备所需的通信联络设备，如手机、固定电话、对讲机等，并公布应急救援领导小组电话、联系人等；</w:t>
      </w:r>
    </w:p>
    <w:p w14:paraId="7AEDEE30">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②组建固定的救援队伍；</w:t>
      </w:r>
    </w:p>
    <w:p w14:paraId="4A9020E3">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③配齐配足必要的救援专用设备和器械；</w:t>
      </w:r>
    </w:p>
    <w:p w14:paraId="17D357B3">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④项目部财务应准备一定金额的应急救援备用金，并不得挪用；</w:t>
      </w:r>
    </w:p>
    <w:p w14:paraId="762CEC18">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⑤根据实际情况制定的其它应急措施；</w:t>
      </w:r>
    </w:p>
    <w:p w14:paraId="77FBCFEC">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 6 \* GB3 </w:instrText>
      </w:r>
      <w:r>
        <w:rPr>
          <w:rFonts w:hint="eastAsia" w:ascii="宋体" w:hAnsi="宋体" w:eastAsia="宋体" w:cs="宋体"/>
          <w:szCs w:val="24"/>
          <w:lang w:val="en-US" w:eastAsia="zh-CN"/>
        </w:rPr>
        <w:fldChar w:fldCharType="separate"/>
      </w:r>
      <w:r>
        <w:rPr>
          <w:rFonts w:hint="eastAsia" w:ascii="宋体" w:hAnsi="宋体" w:eastAsia="宋体" w:cs="宋体"/>
          <w:szCs w:val="24"/>
          <w:lang w:val="en-US" w:eastAsia="zh-CN"/>
        </w:rPr>
        <w:t>⑥</w:t>
      </w:r>
      <w:r>
        <w:rPr>
          <w:rFonts w:hint="eastAsia" w:ascii="宋体" w:hAnsi="宋体" w:eastAsia="宋体" w:cs="宋体"/>
          <w:szCs w:val="24"/>
          <w:lang w:val="en-US" w:eastAsia="zh-CN"/>
        </w:rPr>
        <w:fldChar w:fldCharType="end"/>
      </w:r>
      <w:r>
        <w:rPr>
          <w:rFonts w:hint="eastAsia" w:ascii="宋体" w:hAnsi="宋体" w:eastAsia="宋体" w:cs="宋体"/>
          <w:szCs w:val="24"/>
          <w:lang w:val="en-US" w:eastAsia="zh-CN"/>
        </w:rPr>
        <w:t>外部依托条件。</w:t>
      </w:r>
    </w:p>
    <w:p w14:paraId="66FD2CBF">
      <w:pPr>
        <w:keepNext w:val="0"/>
        <w:keepLines w:val="0"/>
        <w:pageBreakBefore w:val="0"/>
        <w:kinsoku/>
        <w:wordWrap/>
        <w:overflowPunct/>
        <w:topLinePunct w:val="0"/>
        <w:autoSpaceDE/>
        <w:autoSpaceDN/>
        <w:bidi w:val="0"/>
        <w:snapToGrid/>
        <w:spacing w:line="360" w:lineRule="auto"/>
        <w:ind w:left="0" w:leftChars="0" w:firstLine="0" w:firstLineChars="0"/>
        <w:rPr>
          <w:rFonts w:hint="eastAsia" w:ascii="宋体" w:hAnsi="宋体" w:eastAsia="宋体" w:cs="宋体"/>
          <w:color w:val="auto"/>
          <w:highlight w:val="none"/>
          <w:lang w:val="en-US" w:eastAsia="zh-CN"/>
        </w:rPr>
      </w:pPr>
      <w:r>
        <w:rPr>
          <w:color w:val="auto"/>
          <w:highlight w:val="none"/>
        </w:rPr>
        <w:drawing>
          <wp:inline distT="0" distB="0" distL="114300" distR="114300">
            <wp:extent cx="5939790" cy="3620135"/>
            <wp:effectExtent l="0" t="0" r="3810"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5"/>
                    <a:stretch>
                      <a:fillRect/>
                    </a:stretch>
                  </pic:blipFill>
                  <pic:spPr>
                    <a:xfrm>
                      <a:off x="0" y="0"/>
                      <a:ext cx="5939790" cy="3620135"/>
                    </a:xfrm>
                    <a:prstGeom prst="rect">
                      <a:avLst/>
                    </a:prstGeom>
                    <a:noFill/>
                    <a:ln>
                      <a:noFill/>
                    </a:ln>
                  </pic:spPr>
                </pic:pic>
              </a:graphicData>
            </a:graphic>
          </wp:inline>
        </w:drawing>
      </w:r>
    </w:p>
    <w:p w14:paraId="6ED96180">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图</w:t>
      </w:r>
      <w:r>
        <w:rPr>
          <w:rFonts w:hint="eastAsia" w:ascii="宋体" w:hAnsi="宋体" w:cs="宋体"/>
          <w:color w:val="auto"/>
          <w:highlight w:val="none"/>
          <w:lang w:val="en-US" w:eastAsia="zh-CN"/>
        </w:rPr>
        <w:t>8.10</w:t>
      </w: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工程所在地到</w:t>
      </w:r>
      <w:r>
        <w:rPr>
          <w:rFonts w:hint="eastAsia" w:ascii="宋体" w:hAnsi="宋体" w:cs="宋体"/>
          <w:color w:val="auto"/>
          <w:highlight w:val="none"/>
          <w:lang w:val="en-US" w:eastAsia="zh-CN"/>
        </w:rPr>
        <w:t>各应急单位</w:t>
      </w:r>
      <w:r>
        <w:rPr>
          <w:rFonts w:hint="eastAsia" w:ascii="宋体" w:hAnsi="宋体" w:eastAsia="宋体" w:cs="宋体"/>
          <w:color w:val="auto"/>
          <w:highlight w:val="none"/>
          <w:lang w:val="en-US" w:eastAsia="zh-CN"/>
        </w:rPr>
        <w:t>导航图</w:t>
      </w:r>
    </w:p>
    <w:p w14:paraId="3E2E6C7E">
      <w:pPr>
        <w:keepNext w:val="0"/>
        <w:keepLines w:val="0"/>
        <w:pageBreakBefore w:val="0"/>
        <w:kinsoku/>
        <w:wordWrap/>
        <w:overflowPunct/>
        <w:topLinePunct w:val="0"/>
        <w:autoSpaceDE/>
        <w:autoSpaceDN/>
        <w:bidi w:val="0"/>
        <w:snapToGrid/>
        <w:spacing w:line="360" w:lineRule="auto"/>
        <w:rPr>
          <w:rFonts w:hint="eastAsia" w:eastAsia="宋体"/>
          <w:color w:val="auto"/>
          <w:highlight w:val="none"/>
          <w:lang w:eastAsia="zh-CN"/>
        </w:rPr>
      </w:pPr>
      <w:r>
        <w:rPr>
          <w:rFonts w:hint="eastAsia" w:ascii="宋体" w:hAnsi="宋体" w:eastAsia="宋体" w:cs="宋体"/>
          <w:color w:val="auto"/>
          <w:highlight w:val="none"/>
          <w:lang w:val="en-US" w:eastAsia="zh-CN"/>
        </w:rPr>
        <w:t>救援路线及紧急电话</w:t>
      </w:r>
      <w:r>
        <w:rPr>
          <w:rFonts w:hint="eastAsia" w:ascii="宋体" w:hAnsi="宋体" w:cs="宋体"/>
          <w:color w:val="auto"/>
          <w:highlight w:val="none"/>
          <w:lang w:val="en-US" w:eastAsia="zh-CN"/>
        </w:rPr>
        <w:t>：</w:t>
      </w:r>
    </w:p>
    <w:p w14:paraId="7B598A5C">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应急领导小组成员的手机24小时开通。</w:t>
      </w:r>
    </w:p>
    <w:tbl>
      <w:tblPr>
        <w:tblStyle w:val="33"/>
        <w:tblW w:w="89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3"/>
        <w:gridCol w:w="2373"/>
        <w:gridCol w:w="3627"/>
        <w:gridCol w:w="2201"/>
      </w:tblGrid>
      <w:tr w14:paraId="18145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763" w:type="dxa"/>
            <w:noWrap w:val="0"/>
            <w:vAlign w:val="center"/>
          </w:tcPr>
          <w:p w14:paraId="124A51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序号</w:t>
            </w:r>
          </w:p>
        </w:tc>
        <w:tc>
          <w:tcPr>
            <w:tcW w:w="2373" w:type="dxa"/>
            <w:noWrap w:val="0"/>
            <w:vAlign w:val="center"/>
          </w:tcPr>
          <w:p w14:paraId="0098F6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单位</w:t>
            </w:r>
          </w:p>
        </w:tc>
        <w:tc>
          <w:tcPr>
            <w:tcW w:w="3627" w:type="dxa"/>
            <w:noWrap w:val="0"/>
            <w:vAlign w:val="center"/>
          </w:tcPr>
          <w:p w14:paraId="3D823B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地址</w:t>
            </w:r>
          </w:p>
        </w:tc>
        <w:tc>
          <w:tcPr>
            <w:tcW w:w="2201" w:type="dxa"/>
            <w:noWrap w:val="0"/>
            <w:vAlign w:val="center"/>
          </w:tcPr>
          <w:p w14:paraId="1D7874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电话</w:t>
            </w:r>
          </w:p>
        </w:tc>
      </w:tr>
      <w:tr w14:paraId="5622A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763" w:type="dxa"/>
            <w:noWrap w:val="0"/>
            <w:vAlign w:val="center"/>
          </w:tcPr>
          <w:p w14:paraId="5A4DDF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1</w:t>
            </w:r>
          </w:p>
        </w:tc>
        <w:tc>
          <w:tcPr>
            <w:tcW w:w="2373" w:type="dxa"/>
            <w:noWrap w:val="0"/>
            <w:vAlign w:val="center"/>
          </w:tcPr>
          <w:p w14:paraId="763DE4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shd w:val="clear" w:color="auto" w:fill="FFFFFF"/>
                <w:lang w:val="en-US" w:eastAsia="zh-CN"/>
              </w:rPr>
              <w:t>渠县佑安</w:t>
            </w:r>
            <w:r>
              <w:rPr>
                <w:rFonts w:hint="eastAsia" w:ascii="宋体" w:hAnsi="宋体" w:cs="宋体"/>
                <w:color w:val="auto"/>
                <w:sz w:val="24"/>
                <w:highlight w:val="none"/>
                <w:shd w:val="clear" w:color="auto" w:fill="FFFFFF"/>
              </w:rPr>
              <w:t>医院</w:t>
            </w:r>
          </w:p>
        </w:tc>
        <w:tc>
          <w:tcPr>
            <w:tcW w:w="3627" w:type="dxa"/>
            <w:noWrap w:val="0"/>
            <w:vAlign w:val="center"/>
          </w:tcPr>
          <w:p w14:paraId="5BF45F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shd w:val="clear" w:color="auto" w:fill="FFFFFF"/>
              </w:rPr>
              <w:t>达州市渠县</w:t>
            </w:r>
            <w:r>
              <w:rPr>
                <w:rFonts w:hint="eastAsia" w:ascii="宋体" w:hAnsi="宋体" w:cs="宋体"/>
                <w:color w:val="auto"/>
                <w:sz w:val="24"/>
                <w:highlight w:val="none"/>
                <w:shd w:val="clear" w:color="auto" w:fill="FFFFFF"/>
                <w:lang w:val="en-US" w:eastAsia="zh-CN"/>
              </w:rPr>
              <w:t>营渠路</w:t>
            </w:r>
          </w:p>
        </w:tc>
        <w:tc>
          <w:tcPr>
            <w:tcW w:w="2201" w:type="dxa"/>
            <w:noWrap w:val="0"/>
            <w:vAlign w:val="center"/>
          </w:tcPr>
          <w:p w14:paraId="4E6460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shd w:val="clear" w:color="auto" w:fill="FFFFFF"/>
              </w:rPr>
              <w:t>0818-73</w:t>
            </w:r>
            <w:r>
              <w:rPr>
                <w:rFonts w:hint="eastAsia" w:ascii="宋体" w:hAnsi="宋体" w:cs="宋体"/>
                <w:color w:val="auto"/>
                <w:sz w:val="24"/>
                <w:highlight w:val="none"/>
                <w:shd w:val="clear" w:color="auto" w:fill="FFFFFF"/>
                <w:lang w:val="en-US" w:eastAsia="zh-CN"/>
              </w:rPr>
              <w:t>15555</w:t>
            </w:r>
          </w:p>
        </w:tc>
      </w:tr>
      <w:tr w14:paraId="3DE44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763" w:type="dxa"/>
            <w:noWrap w:val="0"/>
            <w:vAlign w:val="center"/>
          </w:tcPr>
          <w:p w14:paraId="5813CC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2</w:t>
            </w:r>
          </w:p>
        </w:tc>
        <w:tc>
          <w:tcPr>
            <w:tcW w:w="2373" w:type="dxa"/>
            <w:noWrap w:val="0"/>
            <w:vAlign w:val="center"/>
          </w:tcPr>
          <w:p w14:paraId="3FA48D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渠县公安消防大队</w:t>
            </w:r>
          </w:p>
        </w:tc>
        <w:tc>
          <w:tcPr>
            <w:tcW w:w="3627" w:type="dxa"/>
            <w:noWrap w:val="0"/>
            <w:vAlign w:val="center"/>
          </w:tcPr>
          <w:p w14:paraId="2A3AD3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两路口公安消防中队</w:t>
            </w:r>
          </w:p>
        </w:tc>
        <w:tc>
          <w:tcPr>
            <w:tcW w:w="2201" w:type="dxa"/>
            <w:noWrap w:val="0"/>
            <w:vAlign w:val="center"/>
          </w:tcPr>
          <w:p w14:paraId="772FE2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0818-7215119</w:t>
            </w:r>
          </w:p>
        </w:tc>
      </w:tr>
      <w:tr w14:paraId="16CF1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763" w:type="dxa"/>
            <w:noWrap w:val="0"/>
            <w:vAlign w:val="center"/>
          </w:tcPr>
          <w:p w14:paraId="1620DB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3</w:t>
            </w:r>
          </w:p>
        </w:tc>
        <w:tc>
          <w:tcPr>
            <w:tcW w:w="2373" w:type="dxa"/>
            <w:noWrap w:val="0"/>
            <w:vAlign w:val="center"/>
          </w:tcPr>
          <w:p w14:paraId="5A3FB8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达州渠县公安局</w:t>
            </w:r>
          </w:p>
        </w:tc>
        <w:tc>
          <w:tcPr>
            <w:tcW w:w="3627" w:type="dxa"/>
            <w:noWrap w:val="0"/>
            <w:vAlign w:val="center"/>
          </w:tcPr>
          <w:p w14:paraId="75C0FB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达州市后溪街3号</w:t>
            </w:r>
          </w:p>
        </w:tc>
        <w:tc>
          <w:tcPr>
            <w:tcW w:w="2201" w:type="dxa"/>
            <w:noWrap w:val="0"/>
            <w:vAlign w:val="center"/>
          </w:tcPr>
          <w:p w14:paraId="233B25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0818-7216232</w:t>
            </w:r>
          </w:p>
        </w:tc>
      </w:tr>
    </w:tbl>
    <w:p w14:paraId="54CBFFCC">
      <w:pPr>
        <w:keepNext w:val="0"/>
        <w:keepLines w:val="0"/>
        <w:pageBreakBefore w:val="0"/>
        <w:kinsoku/>
        <w:wordWrap/>
        <w:overflowPunct/>
        <w:topLinePunct w:val="0"/>
        <w:autoSpaceDE/>
        <w:autoSpaceDN/>
        <w:bidi w:val="0"/>
        <w:snapToGrid/>
        <w:spacing w:line="360" w:lineRule="auto"/>
        <w:rPr>
          <w:rFonts w:hint="eastAsia"/>
          <w:highlight w:val="none"/>
          <w:lang w:val="en-US" w:eastAsia="zh-CN"/>
        </w:rPr>
      </w:pPr>
      <w:bookmarkStart w:id="297" w:name="_Toc18665"/>
      <w:bookmarkStart w:id="298" w:name="_Toc22296"/>
      <w:r>
        <w:rPr>
          <w:rFonts w:hint="eastAsia"/>
          <w:highlight w:val="none"/>
          <w:lang w:val="en-US" w:eastAsia="zh-CN"/>
        </w:rPr>
        <w:t>2、应急物资装备保障措施</w:t>
      </w:r>
      <w:bookmarkEnd w:id="297"/>
      <w:bookmarkEnd w:id="298"/>
    </w:p>
    <w:p w14:paraId="2A0E2CFD">
      <w:pPr>
        <w:keepNext w:val="0"/>
        <w:keepLines w:val="0"/>
        <w:pageBreakBefore w:val="0"/>
        <w:kinsoku/>
        <w:wordWrap/>
        <w:overflowPunct/>
        <w:topLinePunct w:val="0"/>
        <w:autoSpaceDE/>
        <w:autoSpaceDN/>
        <w:bidi w:val="0"/>
        <w:snapToGrid/>
        <w:spacing w:line="360" w:lineRule="auto"/>
        <w:ind w:firstLine="42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依据本预案应急处置的需求，建立健全以本项目应急组织为主体，应急物资储备和社会救援物资为辅的应急物资供应保障体系，完善应急物资储备的联动机制，做到本项目内部各部门、各场所应急物资资源共享、动态管理。应急物资保障由后勤救护组负责；在应急状态下，由应急指挥部调配使用。</w:t>
      </w:r>
    </w:p>
    <w:p w14:paraId="0B12EAD7">
      <w:pPr>
        <w:keepNext w:val="0"/>
        <w:keepLines w:val="0"/>
        <w:pageBreakBefore w:val="0"/>
        <w:kinsoku/>
        <w:wordWrap/>
        <w:overflowPunct/>
        <w:topLinePunct w:val="0"/>
        <w:autoSpaceDE/>
        <w:autoSpaceDN/>
        <w:bidi w:val="0"/>
        <w:snapToGrid/>
        <w:spacing w:line="360" w:lineRule="auto"/>
        <w:ind w:firstLine="2880" w:firstLineChars="1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表8.</w:t>
      </w:r>
      <w:r>
        <w:rPr>
          <w:rFonts w:hint="eastAsia" w:ascii="宋体" w:hAnsi="宋体" w:cs="宋体"/>
          <w:color w:val="auto"/>
          <w:highlight w:val="none"/>
          <w:lang w:val="en-US" w:eastAsia="zh-CN"/>
        </w:rPr>
        <w:t>10</w:t>
      </w: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 xml:space="preserve"> 应急物资清单</w:t>
      </w:r>
    </w:p>
    <w:tbl>
      <w:tblPr>
        <w:tblStyle w:val="33"/>
        <w:tblW w:w="899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8"/>
        <w:gridCol w:w="1498"/>
        <w:gridCol w:w="1498"/>
        <w:gridCol w:w="1498"/>
        <w:gridCol w:w="1498"/>
        <w:gridCol w:w="1503"/>
      </w:tblGrid>
      <w:tr w14:paraId="5B53A88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1498" w:type="dxa"/>
            <w:noWrap w:val="0"/>
            <w:vAlign w:val="center"/>
          </w:tcPr>
          <w:p w14:paraId="6A5A6F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w:t>
            </w:r>
          </w:p>
        </w:tc>
        <w:tc>
          <w:tcPr>
            <w:tcW w:w="1498" w:type="dxa"/>
            <w:noWrap w:val="0"/>
            <w:vAlign w:val="center"/>
          </w:tcPr>
          <w:p w14:paraId="558F0A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名称</w:t>
            </w:r>
          </w:p>
        </w:tc>
        <w:tc>
          <w:tcPr>
            <w:tcW w:w="1498" w:type="dxa"/>
            <w:noWrap w:val="0"/>
            <w:vAlign w:val="center"/>
          </w:tcPr>
          <w:p w14:paraId="6EFCBB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用途</w:t>
            </w:r>
          </w:p>
        </w:tc>
        <w:tc>
          <w:tcPr>
            <w:tcW w:w="1498" w:type="dxa"/>
            <w:noWrap w:val="0"/>
            <w:vAlign w:val="center"/>
          </w:tcPr>
          <w:p w14:paraId="28E6C8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w:t>
            </w:r>
          </w:p>
        </w:tc>
        <w:tc>
          <w:tcPr>
            <w:tcW w:w="1498" w:type="dxa"/>
            <w:noWrap w:val="0"/>
            <w:vAlign w:val="center"/>
          </w:tcPr>
          <w:p w14:paraId="6C104B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名称</w:t>
            </w:r>
          </w:p>
        </w:tc>
        <w:tc>
          <w:tcPr>
            <w:tcW w:w="1503" w:type="dxa"/>
            <w:noWrap w:val="0"/>
            <w:vAlign w:val="center"/>
          </w:tcPr>
          <w:p w14:paraId="59B9D65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用途</w:t>
            </w:r>
          </w:p>
        </w:tc>
      </w:tr>
      <w:tr w14:paraId="3848C0A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498" w:type="dxa"/>
            <w:noWrap w:val="0"/>
            <w:vAlign w:val="center"/>
          </w:tcPr>
          <w:p w14:paraId="340933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1498" w:type="dxa"/>
            <w:noWrap w:val="0"/>
            <w:vAlign w:val="center"/>
          </w:tcPr>
          <w:p w14:paraId="169D2C5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应急救箱</w:t>
            </w:r>
          </w:p>
        </w:tc>
        <w:tc>
          <w:tcPr>
            <w:tcW w:w="1498" w:type="dxa"/>
            <w:noWrap w:val="0"/>
            <w:vAlign w:val="center"/>
          </w:tcPr>
          <w:p w14:paraId="410585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消毒</w:t>
            </w:r>
          </w:p>
        </w:tc>
        <w:tc>
          <w:tcPr>
            <w:tcW w:w="1498" w:type="dxa"/>
            <w:noWrap w:val="0"/>
            <w:vAlign w:val="center"/>
          </w:tcPr>
          <w:p w14:paraId="2DE705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w:t>
            </w:r>
          </w:p>
        </w:tc>
        <w:tc>
          <w:tcPr>
            <w:tcW w:w="1498" w:type="dxa"/>
            <w:noWrap w:val="0"/>
            <w:vAlign w:val="center"/>
          </w:tcPr>
          <w:p w14:paraId="5081AB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千斤顶</w:t>
            </w:r>
          </w:p>
        </w:tc>
        <w:tc>
          <w:tcPr>
            <w:tcW w:w="1503" w:type="dxa"/>
            <w:noWrap w:val="0"/>
            <w:vAlign w:val="center"/>
          </w:tcPr>
          <w:p w14:paraId="324E2EB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支护</w:t>
            </w:r>
          </w:p>
        </w:tc>
      </w:tr>
      <w:tr w14:paraId="1C447D0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498" w:type="dxa"/>
            <w:noWrap w:val="0"/>
            <w:vAlign w:val="center"/>
          </w:tcPr>
          <w:p w14:paraId="513617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1498" w:type="dxa"/>
            <w:noWrap w:val="0"/>
            <w:vAlign w:val="center"/>
          </w:tcPr>
          <w:p w14:paraId="5076C7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绷带</w:t>
            </w:r>
          </w:p>
        </w:tc>
        <w:tc>
          <w:tcPr>
            <w:tcW w:w="1498" w:type="dxa"/>
            <w:noWrap w:val="0"/>
            <w:vAlign w:val="center"/>
          </w:tcPr>
          <w:p w14:paraId="0A3E845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止血、包扎</w:t>
            </w:r>
          </w:p>
        </w:tc>
        <w:tc>
          <w:tcPr>
            <w:tcW w:w="1498" w:type="dxa"/>
            <w:noWrap w:val="0"/>
            <w:vAlign w:val="center"/>
          </w:tcPr>
          <w:p w14:paraId="39E629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w:t>
            </w:r>
          </w:p>
        </w:tc>
        <w:tc>
          <w:tcPr>
            <w:tcW w:w="1498" w:type="dxa"/>
            <w:noWrap w:val="0"/>
            <w:vAlign w:val="center"/>
          </w:tcPr>
          <w:p w14:paraId="709842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大锤</w:t>
            </w:r>
          </w:p>
        </w:tc>
        <w:tc>
          <w:tcPr>
            <w:tcW w:w="1503" w:type="dxa"/>
            <w:noWrap w:val="0"/>
            <w:vAlign w:val="center"/>
          </w:tcPr>
          <w:p w14:paraId="3B6FEF7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清除障碍</w:t>
            </w:r>
          </w:p>
        </w:tc>
      </w:tr>
      <w:tr w14:paraId="6BA8937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498" w:type="dxa"/>
            <w:noWrap w:val="0"/>
            <w:vAlign w:val="center"/>
          </w:tcPr>
          <w:p w14:paraId="4FF057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1498" w:type="dxa"/>
            <w:noWrap w:val="0"/>
            <w:vAlign w:val="center"/>
          </w:tcPr>
          <w:p w14:paraId="107596F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止血药物</w:t>
            </w:r>
          </w:p>
        </w:tc>
        <w:tc>
          <w:tcPr>
            <w:tcW w:w="1498" w:type="dxa"/>
            <w:noWrap w:val="0"/>
            <w:vAlign w:val="center"/>
          </w:tcPr>
          <w:p w14:paraId="67D175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止血</w:t>
            </w:r>
          </w:p>
        </w:tc>
        <w:tc>
          <w:tcPr>
            <w:tcW w:w="1498" w:type="dxa"/>
            <w:noWrap w:val="0"/>
            <w:vAlign w:val="center"/>
          </w:tcPr>
          <w:p w14:paraId="510A65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w:t>
            </w:r>
          </w:p>
        </w:tc>
        <w:tc>
          <w:tcPr>
            <w:tcW w:w="1498" w:type="dxa"/>
            <w:noWrap w:val="0"/>
            <w:vAlign w:val="center"/>
          </w:tcPr>
          <w:p w14:paraId="2FB62F3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手电筒</w:t>
            </w:r>
          </w:p>
        </w:tc>
        <w:tc>
          <w:tcPr>
            <w:tcW w:w="1503" w:type="dxa"/>
            <w:noWrap w:val="0"/>
            <w:vAlign w:val="center"/>
          </w:tcPr>
          <w:p w14:paraId="634A8AF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照明</w:t>
            </w:r>
          </w:p>
        </w:tc>
      </w:tr>
      <w:tr w14:paraId="1A007EA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498" w:type="dxa"/>
            <w:noWrap w:val="0"/>
            <w:vAlign w:val="center"/>
          </w:tcPr>
          <w:p w14:paraId="2DE622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w:t>
            </w:r>
          </w:p>
        </w:tc>
        <w:tc>
          <w:tcPr>
            <w:tcW w:w="1498" w:type="dxa"/>
            <w:noWrap w:val="0"/>
            <w:vAlign w:val="center"/>
          </w:tcPr>
          <w:p w14:paraId="0D3423B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简易担架</w:t>
            </w:r>
          </w:p>
        </w:tc>
        <w:tc>
          <w:tcPr>
            <w:tcW w:w="1498" w:type="dxa"/>
            <w:noWrap w:val="0"/>
            <w:vAlign w:val="center"/>
          </w:tcPr>
          <w:p w14:paraId="0F5C8C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救护</w:t>
            </w:r>
          </w:p>
        </w:tc>
        <w:tc>
          <w:tcPr>
            <w:tcW w:w="1498" w:type="dxa"/>
            <w:noWrap w:val="0"/>
            <w:vAlign w:val="center"/>
          </w:tcPr>
          <w:p w14:paraId="47EC82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w:t>
            </w:r>
          </w:p>
        </w:tc>
        <w:tc>
          <w:tcPr>
            <w:tcW w:w="1498" w:type="dxa"/>
            <w:noWrap w:val="0"/>
            <w:vAlign w:val="center"/>
          </w:tcPr>
          <w:p w14:paraId="0A26C0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对讲机</w:t>
            </w:r>
          </w:p>
        </w:tc>
        <w:tc>
          <w:tcPr>
            <w:tcW w:w="1503" w:type="dxa"/>
            <w:noWrap w:val="0"/>
            <w:vAlign w:val="center"/>
          </w:tcPr>
          <w:p w14:paraId="6DCDAF5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通讯</w:t>
            </w:r>
          </w:p>
        </w:tc>
      </w:tr>
      <w:tr w14:paraId="6EFDBE0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1498" w:type="dxa"/>
            <w:noWrap w:val="0"/>
            <w:vAlign w:val="center"/>
          </w:tcPr>
          <w:p w14:paraId="54F786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w:t>
            </w:r>
          </w:p>
        </w:tc>
        <w:tc>
          <w:tcPr>
            <w:tcW w:w="1498" w:type="dxa"/>
            <w:noWrap w:val="0"/>
            <w:vAlign w:val="center"/>
          </w:tcPr>
          <w:p w14:paraId="5E593C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急灯</w:t>
            </w:r>
          </w:p>
        </w:tc>
        <w:tc>
          <w:tcPr>
            <w:tcW w:w="1498" w:type="dxa"/>
            <w:noWrap w:val="0"/>
            <w:vAlign w:val="center"/>
          </w:tcPr>
          <w:p w14:paraId="7156D19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照明</w:t>
            </w:r>
          </w:p>
        </w:tc>
        <w:tc>
          <w:tcPr>
            <w:tcW w:w="1498" w:type="dxa"/>
            <w:noWrap w:val="0"/>
            <w:vAlign w:val="center"/>
          </w:tcPr>
          <w:p w14:paraId="108FD6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1498" w:type="dxa"/>
            <w:noWrap w:val="0"/>
            <w:vAlign w:val="center"/>
          </w:tcPr>
          <w:p w14:paraId="340CD0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灭火器</w:t>
            </w:r>
          </w:p>
        </w:tc>
        <w:tc>
          <w:tcPr>
            <w:tcW w:w="1503" w:type="dxa"/>
            <w:noWrap w:val="0"/>
            <w:vAlign w:val="center"/>
          </w:tcPr>
          <w:p w14:paraId="29823B6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消灭火源</w:t>
            </w:r>
          </w:p>
        </w:tc>
      </w:tr>
      <w:tr w14:paraId="11FEE04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1498" w:type="dxa"/>
            <w:noWrap w:val="0"/>
            <w:vAlign w:val="center"/>
          </w:tcPr>
          <w:p w14:paraId="7F5432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w:t>
            </w:r>
          </w:p>
        </w:tc>
        <w:tc>
          <w:tcPr>
            <w:tcW w:w="1498" w:type="dxa"/>
            <w:noWrap w:val="0"/>
            <w:vAlign w:val="center"/>
          </w:tcPr>
          <w:p w14:paraId="517977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指挥旗</w:t>
            </w:r>
          </w:p>
        </w:tc>
        <w:tc>
          <w:tcPr>
            <w:tcW w:w="1498" w:type="dxa"/>
            <w:noWrap w:val="0"/>
            <w:vAlign w:val="center"/>
          </w:tcPr>
          <w:p w14:paraId="46F01E0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指挥联络</w:t>
            </w:r>
          </w:p>
        </w:tc>
        <w:tc>
          <w:tcPr>
            <w:tcW w:w="1498" w:type="dxa"/>
            <w:noWrap w:val="0"/>
            <w:vAlign w:val="center"/>
          </w:tcPr>
          <w:p w14:paraId="0F987B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w:t>
            </w:r>
          </w:p>
        </w:tc>
        <w:tc>
          <w:tcPr>
            <w:tcW w:w="1498" w:type="dxa"/>
            <w:noWrap w:val="0"/>
            <w:vAlign w:val="center"/>
          </w:tcPr>
          <w:p w14:paraId="27E2538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自卸汽车</w:t>
            </w:r>
          </w:p>
        </w:tc>
        <w:tc>
          <w:tcPr>
            <w:tcW w:w="1503" w:type="dxa"/>
            <w:noWrap w:val="0"/>
            <w:vAlign w:val="center"/>
          </w:tcPr>
          <w:p w14:paraId="03AEB0C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物资运输</w:t>
            </w:r>
          </w:p>
        </w:tc>
      </w:tr>
      <w:tr w14:paraId="75297F5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498" w:type="dxa"/>
            <w:noWrap w:val="0"/>
            <w:vAlign w:val="center"/>
          </w:tcPr>
          <w:p w14:paraId="2F1F15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w:t>
            </w:r>
          </w:p>
        </w:tc>
        <w:tc>
          <w:tcPr>
            <w:tcW w:w="1498" w:type="dxa"/>
            <w:noWrap w:val="0"/>
            <w:vAlign w:val="center"/>
          </w:tcPr>
          <w:p w14:paraId="25D25B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绳索</w:t>
            </w:r>
          </w:p>
        </w:tc>
        <w:tc>
          <w:tcPr>
            <w:tcW w:w="1498" w:type="dxa"/>
            <w:noWrap w:val="0"/>
            <w:vAlign w:val="center"/>
          </w:tcPr>
          <w:p w14:paraId="2D2B51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救护</w:t>
            </w:r>
          </w:p>
        </w:tc>
        <w:tc>
          <w:tcPr>
            <w:tcW w:w="1498" w:type="dxa"/>
            <w:noWrap w:val="0"/>
            <w:vAlign w:val="center"/>
          </w:tcPr>
          <w:p w14:paraId="34DEC0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15</w:t>
            </w:r>
          </w:p>
        </w:tc>
        <w:tc>
          <w:tcPr>
            <w:tcW w:w="1498" w:type="dxa"/>
            <w:noWrap w:val="0"/>
            <w:vAlign w:val="center"/>
          </w:tcPr>
          <w:p w14:paraId="77D705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吊车</w:t>
            </w:r>
          </w:p>
        </w:tc>
        <w:tc>
          <w:tcPr>
            <w:tcW w:w="1503" w:type="dxa"/>
            <w:noWrap w:val="0"/>
            <w:vAlign w:val="center"/>
          </w:tcPr>
          <w:p w14:paraId="74EA09F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障碍物吊离</w:t>
            </w:r>
          </w:p>
        </w:tc>
      </w:tr>
      <w:tr w14:paraId="0F4E164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98" w:type="dxa"/>
            <w:noWrap w:val="0"/>
            <w:vAlign w:val="center"/>
          </w:tcPr>
          <w:p w14:paraId="4E74EB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w:t>
            </w:r>
          </w:p>
        </w:tc>
        <w:tc>
          <w:tcPr>
            <w:tcW w:w="1498" w:type="dxa"/>
            <w:noWrap w:val="0"/>
            <w:vAlign w:val="center"/>
          </w:tcPr>
          <w:p w14:paraId="1430D2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水桶</w:t>
            </w:r>
          </w:p>
        </w:tc>
        <w:tc>
          <w:tcPr>
            <w:tcW w:w="1498" w:type="dxa"/>
            <w:noWrap w:val="0"/>
            <w:vAlign w:val="center"/>
          </w:tcPr>
          <w:p w14:paraId="5D0AE5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灭火</w:t>
            </w:r>
          </w:p>
        </w:tc>
        <w:tc>
          <w:tcPr>
            <w:tcW w:w="1498" w:type="dxa"/>
            <w:noWrap w:val="0"/>
            <w:vAlign w:val="center"/>
          </w:tcPr>
          <w:p w14:paraId="190568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w:t>
            </w:r>
          </w:p>
        </w:tc>
        <w:tc>
          <w:tcPr>
            <w:tcW w:w="1498" w:type="dxa"/>
            <w:noWrap w:val="0"/>
            <w:vAlign w:val="center"/>
          </w:tcPr>
          <w:p w14:paraId="3B27E0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发电机</w:t>
            </w:r>
          </w:p>
        </w:tc>
        <w:tc>
          <w:tcPr>
            <w:tcW w:w="1503" w:type="dxa"/>
            <w:noWrap w:val="0"/>
            <w:vAlign w:val="center"/>
          </w:tcPr>
          <w:p w14:paraId="52C99A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供电</w:t>
            </w:r>
          </w:p>
        </w:tc>
      </w:tr>
    </w:tbl>
    <w:p w14:paraId="791CB3F1">
      <w:pPr>
        <w:keepNext w:val="0"/>
        <w:keepLines w:val="0"/>
        <w:pageBreakBefore w:val="0"/>
        <w:kinsoku/>
        <w:wordWrap/>
        <w:overflowPunct/>
        <w:topLinePunct w:val="0"/>
        <w:autoSpaceDE/>
        <w:autoSpaceDN/>
        <w:bidi w:val="0"/>
        <w:snapToGrid/>
        <w:spacing w:line="360" w:lineRule="auto"/>
      </w:pPr>
    </w:p>
    <w:p w14:paraId="23646BAC">
      <w:pPr>
        <w:rPr>
          <w:rFonts w:cs="Times New Roman"/>
        </w:rPr>
      </w:pPr>
      <w:r>
        <w:rPr>
          <w:rFonts w:cs="Times New Roman"/>
        </w:rPr>
        <w:br w:type="page"/>
      </w:r>
    </w:p>
    <w:p w14:paraId="642A4A96">
      <w:pPr>
        <w:pStyle w:val="4"/>
        <w:pageBreakBefore w:val="0"/>
        <w:numPr>
          <w:ilvl w:val="0"/>
          <w:numId w:val="6"/>
        </w:numPr>
        <w:kinsoku/>
        <w:wordWrap/>
        <w:overflowPunct/>
        <w:topLinePunct w:val="0"/>
        <w:bidi w:val="0"/>
        <w:spacing w:line="360" w:lineRule="auto"/>
        <w:ind w:left="425" w:leftChars="0" w:hanging="425" w:firstLineChars="0"/>
        <w:rPr>
          <w:rFonts w:cs="Times New Roman"/>
        </w:rPr>
      </w:pPr>
      <w:bookmarkStart w:id="299" w:name="_Toc5204"/>
      <w:r>
        <w:rPr>
          <w:rFonts w:cs="Times New Roman"/>
        </w:rPr>
        <w:t>附件</w:t>
      </w:r>
      <w:bookmarkEnd w:id="299"/>
    </w:p>
    <w:p w14:paraId="014E614B">
      <w:pPr>
        <w:pStyle w:val="5"/>
        <w:pageBreakBefore w:val="0"/>
        <w:numPr>
          <w:ilvl w:val="1"/>
          <w:numId w:val="6"/>
        </w:numPr>
        <w:kinsoku/>
        <w:wordWrap/>
        <w:overflowPunct/>
        <w:topLinePunct w:val="0"/>
        <w:bidi w:val="0"/>
        <w:spacing w:line="360" w:lineRule="auto"/>
        <w:ind w:left="567" w:leftChars="0" w:hanging="567" w:firstLineChars="0"/>
        <w:rPr>
          <w:rFonts w:cs="Times New Roman"/>
        </w:rPr>
      </w:pPr>
      <w:bookmarkStart w:id="300" w:name="_Toc26100"/>
      <w:r>
        <w:rPr>
          <w:rFonts w:cs="Times New Roman"/>
        </w:rPr>
        <w:t>吊索的选型</w:t>
      </w:r>
      <w:bookmarkEnd w:id="300"/>
    </w:p>
    <w:p w14:paraId="37D18AD8">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根据起吊重量选择相对应的钢丝绳和卸扣。</w:t>
      </w:r>
    </w:p>
    <w:p w14:paraId="1839C50A">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有对称分布的与垂直方向具有相同角度的单肢吊索组成的多肢吊索的工作荷载按《一般用途钢丝绳吊索特性和技术条件》公式计算：</w:t>
      </w:r>
    </w:p>
    <w:p w14:paraId="280CCD1C">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2"/>
          <w:sz w:val="24"/>
          <w:szCs w:val="24"/>
          <w:lang w:val="en-US" w:eastAsia="zh-CN" w:bidi="ar-SA"/>
        </w:rPr>
      </w:pPr>
      <m:oMathPara>
        <m:oMath>
          <m:r>
            <m:rPr>
              <m:nor/>
              <m:sty m:val="p"/>
            </m:rPr>
            <w:rPr>
              <w:rFonts w:hint="eastAsia" w:ascii="Cambria Math" w:hAnsi="Cambria Math" w:eastAsia="宋体" w:cs="宋体"/>
              <w:b w:val="0"/>
              <w:i w:val="0"/>
              <w:sz w:val="24"/>
              <w:szCs w:val="24"/>
            </w:rPr>
            <m:t>WLL=</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e</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×K÷</m:t>
          </m:r>
          <m:d>
            <m:dPr>
              <m:ctrlPr>
                <w:rPr>
                  <w:rFonts w:hint="eastAsia" w:ascii="Cambria Math" w:hAnsi="Cambria Math" w:eastAsia="宋体" w:cs="宋体"/>
                  <w:sz w:val="24"/>
                  <w:szCs w:val="24"/>
                </w:rPr>
              </m:ctrlPr>
            </m:dPr>
            <m:e>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m</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u</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e>
          </m:d>
        </m:oMath>
      </m:oMathPara>
    </w:p>
    <w:p w14:paraId="60AA39E0">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式中：</w:t>
      </w:r>
    </w:p>
    <w:p w14:paraId="55F390B5">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2"/>
          <w:sz w:val="24"/>
          <w:szCs w:val="24"/>
          <w:lang w:val="en-US" w:eastAsia="zh-CN" w:bidi="ar-SA"/>
        </w:rPr>
      </w:pPr>
    </w:p>
    <w:p w14:paraId="5CA30FE6">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2"/>
          <w:sz w:val="24"/>
          <w:szCs w:val="24"/>
          <w:lang w:val="en-US" w:eastAsia="zh-CN" w:bidi="ar-SA"/>
        </w:rPr>
      </w:pP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20"/>
        <w:gridCol w:w="7299"/>
      </w:tblGrid>
      <w:tr w14:paraId="4283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3CEACF8">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08BB0C27">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WLL</w:t>
            </w:r>
          </w:p>
        </w:tc>
        <w:tc>
          <w:tcPr>
            <w:tcW w:w="8048" w:type="dxa"/>
          </w:tcPr>
          <w:p w14:paraId="3E35078A">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——吊索额定工作荷载，单位为t；</w:t>
            </w:r>
          </w:p>
        </w:tc>
      </w:tr>
      <w:tr w14:paraId="5DCD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26C4C33">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4BDABBB0">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F</w:t>
            </w:r>
            <w:r>
              <w:rPr>
                <w:rFonts w:hint="eastAsia" w:ascii="宋体" w:hAnsi="宋体" w:eastAsia="宋体" w:cs="宋体"/>
                <w:i/>
                <w:kern w:val="0"/>
                <w:sz w:val="24"/>
                <w:szCs w:val="24"/>
                <w:vertAlign w:val="subscript"/>
                <w:lang w:val="en-US" w:eastAsia="zh-CN" w:bidi="ar-SA"/>
              </w:rPr>
              <w:t>0</w:t>
            </w:r>
          </w:p>
        </w:tc>
        <w:tc>
          <w:tcPr>
            <w:tcW w:w="8048" w:type="dxa"/>
          </w:tcPr>
          <w:p w14:paraId="68F250AE">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——钢丝绳最小破断拉力，单位为kN；</w:t>
            </w:r>
          </w:p>
        </w:tc>
      </w:tr>
      <w:tr w14:paraId="6C8D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AE7BCAF">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0C4A824E">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r>
              <w:rPr>
                <w:rFonts w:hint="eastAsia" w:ascii="宋体" w:hAnsi="宋体" w:eastAsia="宋体" w:cs="宋体"/>
                <w:i/>
                <w:kern w:val="0"/>
                <w:sz w:val="24"/>
                <w:szCs w:val="24"/>
                <w:vertAlign w:val="subscript"/>
                <w:lang w:val="en-US" w:eastAsia="zh-CN" w:bidi="ar-SA"/>
              </w:rPr>
              <w:t>e</w:t>
            </w:r>
          </w:p>
        </w:tc>
        <w:tc>
          <w:tcPr>
            <w:tcW w:w="8048" w:type="dxa"/>
          </w:tcPr>
          <w:p w14:paraId="426F09F5">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——接头形式效能近似系数，压制接头取0.9，插编接头取0.75；</w:t>
            </w:r>
          </w:p>
        </w:tc>
      </w:tr>
      <w:tr w14:paraId="01F3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749B7EB">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5F556F5F">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p>
        </w:tc>
        <w:tc>
          <w:tcPr>
            <w:tcW w:w="8048" w:type="dxa"/>
          </w:tcPr>
          <w:p w14:paraId="2AC470E2">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——肢的数量与垂直方向角度的相关系数，两肢吊索取1.4，3～4肢吊索取2.1；</w:t>
            </w:r>
          </w:p>
        </w:tc>
      </w:tr>
      <w:tr w14:paraId="3033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297AE79">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2A41DA37">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r>
              <w:rPr>
                <w:rFonts w:hint="eastAsia" w:ascii="宋体" w:hAnsi="宋体" w:eastAsia="宋体" w:cs="宋体"/>
                <w:i/>
                <w:kern w:val="0"/>
                <w:sz w:val="24"/>
                <w:szCs w:val="24"/>
                <w:vertAlign w:val="subscript"/>
                <w:lang w:val="en-US" w:eastAsia="zh-CN" w:bidi="ar-SA"/>
              </w:rPr>
              <w:t>u</w:t>
            </w:r>
          </w:p>
        </w:tc>
        <w:tc>
          <w:tcPr>
            <w:tcW w:w="8048" w:type="dxa"/>
          </w:tcPr>
          <w:p w14:paraId="13F63BA5">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——安全系数，一般取6；</w:t>
            </w:r>
          </w:p>
        </w:tc>
      </w:tr>
      <w:tr w14:paraId="3D4B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276EF0D">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51681110">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r>
              <w:rPr>
                <w:rFonts w:hint="eastAsia" w:ascii="宋体" w:hAnsi="宋体" w:eastAsia="宋体" w:cs="宋体"/>
                <w:i/>
                <w:kern w:val="0"/>
                <w:sz w:val="24"/>
                <w:szCs w:val="24"/>
                <w:vertAlign w:val="subscript"/>
                <w:lang w:val="en-US" w:eastAsia="zh-CN" w:bidi="ar-SA"/>
              </w:rPr>
              <w:t>m</w:t>
            </w:r>
          </w:p>
        </w:tc>
        <w:tc>
          <w:tcPr>
            <w:tcW w:w="8048" w:type="dxa"/>
          </w:tcPr>
          <w:p w14:paraId="37A8D67F">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——质量与力的转换系数，取值为9.80665。</w:t>
            </w:r>
          </w:p>
        </w:tc>
      </w:tr>
    </w:tbl>
    <w:p w14:paraId="34E43AA2">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钢丝绳最小破断拉力按《重要用途钢丝绳》公式计算：</w:t>
      </w:r>
    </w:p>
    <w:p w14:paraId="3016D669">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2"/>
          <w:sz w:val="24"/>
          <w:szCs w:val="24"/>
          <w:lang w:val="en-US" w:eastAsia="zh-CN" w:bidi="ar-SA"/>
        </w:rPr>
      </w:pPr>
      <m:oMathPara>
        <m:oMath>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p>
            <m:sSupPr>
              <m:ctrlPr>
                <w:rPr>
                  <w:rFonts w:hint="eastAsia" w:ascii="Cambria Math" w:hAnsi="Cambria Math" w:eastAsia="宋体" w:cs="宋体"/>
                  <w:sz w:val="24"/>
                  <w:szCs w:val="24"/>
                </w:rPr>
              </m:ctrlPr>
            </m:sSup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p>
              <m:r>
                <m:rPr>
                  <m:nor/>
                  <m:sty m:val="p"/>
                </m:rPr>
                <w:rPr>
                  <w:rFonts w:hint="eastAsia" w:ascii="Cambria Math" w:hAnsi="Cambria Math" w:eastAsia="宋体" w:cs="宋体"/>
                  <w:b w:val="0"/>
                  <w:i w:val="0"/>
                  <w:sz w:val="24"/>
                  <w:szCs w:val="24"/>
                </w:rPr>
                <m:t>'</m:t>
              </m:r>
              <m:ctrlPr>
                <w:rPr>
                  <w:rFonts w:hint="eastAsia" w:ascii="Cambria Math" w:hAnsi="Cambria Math" w:eastAsia="宋体" w:cs="宋体"/>
                  <w:sz w:val="24"/>
                  <w:szCs w:val="24"/>
                </w:rPr>
              </m:ctrlPr>
            </m:sup>
          </m:sSup>
          <m:r>
            <m:rPr>
              <m:nor/>
              <m:sty m:val="p"/>
            </m:rPr>
            <w:rPr>
              <w:rFonts w:hint="eastAsia" w:ascii="Cambria Math" w:hAnsi="Cambria Math" w:eastAsia="宋体" w:cs="宋体"/>
              <w:b w:val="0"/>
              <w:i w:val="0"/>
              <w:sz w:val="24"/>
              <w:szCs w:val="24"/>
            </w:rPr>
            <m:t>×</m:t>
          </m:r>
          <m:sSup>
            <m:sSupPr>
              <m:ctrlPr>
                <w:rPr>
                  <w:rFonts w:hint="eastAsia" w:ascii="Cambria Math" w:hAnsi="Cambria Math" w:eastAsia="宋体" w:cs="宋体"/>
                  <w:sz w:val="24"/>
                  <w:szCs w:val="24"/>
                </w:rPr>
              </m:ctrlPr>
            </m:sSupPr>
            <m:e>
              <m:r>
                <m:rPr>
                  <m:nor/>
                  <m:sty m:val="p"/>
                </m:rPr>
                <w:rPr>
                  <w:rFonts w:hint="eastAsia" w:ascii="Cambria Math" w:hAnsi="Cambria Math" w:eastAsia="宋体" w:cs="宋体"/>
                  <w:b w:val="0"/>
                  <w:i w:val="0"/>
                  <w:sz w:val="24"/>
                  <w:szCs w:val="24"/>
                </w:rPr>
                <m:t>D</m:t>
              </m:r>
              <m:ctrlPr>
                <w:rPr>
                  <w:rFonts w:hint="eastAsia" w:ascii="Cambria Math" w:hAnsi="Cambria Math" w:eastAsia="宋体" w:cs="宋体"/>
                  <w:sz w:val="24"/>
                  <w:szCs w:val="24"/>
                </w:rPr>
              </m:ctrlPr>
            </m:e>
            <m:sup>
              <m:r>
                <m:rPr>
                  <m:nor/>
                  <m:sty m:val="p"/>
                </m:rPr>
                <w:rPr>
                  <w:rFonts w:hint="eastAsia" w:ascii="Cambria Math" w:hAnsi="Cambria Math" w:eastAsia="宋体" w:cs="宋体"/>
                  <w:b w:val="0"/>
                  <w:i w:val="0"/>
                  <w:sz w:val="24"/>
                  <w:szCs w:val="24"/>
                </w:rPr>
                <m:t>2</m:t>
              </m:r>
              <m:ctrlPr>
                <w:rPr>
                  <w:rFonts w:hint="eastAsia" w:ascii="Cambria Math" w:hAnsi="Cambria Math" w:eastAsia="宋体" w:cs="宋体"/>
                  <w:sz w:val="24"/>
                  <w:szCs w:val="24"/>
                </w:rPr>
              </m:ctrlPr>
            </m:sup>
          </m:sSup>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R</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÷1000</m:t>
          </m:r>
        </m:oMath>
      </m:oMathPara>
    </w:p>
    <w:p w14:paraId="4F54B068">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式中：</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32"/>
        <w:gridCol w:w="7314"/>
      </w:tblGrid>
      <w:tr w14:paraId="2181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0EC7FA1">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65" w:type="dxa"/>
            <w:vAlign w:val="center"/>
          </w:tcPr>
          <w:p w14:paraId="4522E786">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F</w:t>
            </w:r>
            <w:r>
              <w:rPr>
                <w:rFonts w:hint="eastAsia" w:ascii="宋体" w:hAnsi="宋体" w:eastAsia="宋体" w:cs="宋体"/>
                <w:i/>
                <w:kern w:val="0"/>
                <w:sz w:val="24"/>
                <w:szCs w:val="24"/>
                <w:vertAlign w:val="subscript"/>
                <w:lang w:val="en-US" w:eastAsia="zh-CN" w:bidi="ar-SA"/>
              </w:rPr>
              <w:t>0</w:t>
            </w:r>
          </w:p>
        </w:tc>
        <w:tc>
          <w:tcPr>
            <w:tcW w:w="8063" w:type="dxa"/>
          </w:tcPr>
          <w:p w14:paraId="2EA0D4A1">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——钢丝绳最小破断拉力，单位为kN；</w:t>
            </w:r>
          </w:p>
        </w:tc>
      </w:tr>
      <w:tr w14:paraId="09F2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BED140C">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65" w:type="dxa"/>
            <w:vAlign w:val="center"/>
          </w:tcPr>
          <w:p w14:paraId="0F1DECE7">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D</w:t>
            </w:r>
          </w:p>
        </w:tc>
        <w:tc>
          <w:tcPr>
            <w:tcW w:w="8063" w:type="dxa"/>
          </w:tcPr>
          <w:p w14:paraId="66B71C80">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——钢丝绳公称直径，单位为mm；</w:t>
            </w:r>
          </w:p>
        </w:tc>
      </w:tr>
      <w:tr w14:paraId="1213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9936330">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65" w:type="dxa"/>
            <w:vAlign w:val="center"/>
          </w:tcPr>
          <w:p w14:paraId="3A96EF9E">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R</w:t>
            </w:r>
            <w:r>
              <w:rPr>
                <w:rFonts w:hint="eastAsia" w:ascii="宋体" w:hAnsi="宋体" w:eastAsia="宋体" w:cs="宋体"/>
                <w:i/>
                <w:kern w:val="0"/>
                <w:sz w:val="24"/>
                <w:szCs w:val="24"/>
                <w:vertAlign w:val="subscript"/>
                <w:lang w:val="en-US" w:eastAsia="zh-CN" w:bidi="ar-SA"/>
              </w:rPr>
              <w:t>0</w:t>
            </w:r>
          </w:p>
        </w:tc>
        <w:tc>
          <w:tcPr>
            <w:tcW w:w="8063" w:type="dxa"/>
          </w:tcPr>
          <w:p w14:paraId="77FB056B">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——钢丝绳公称抗拉强度，取1870MPa；</w:t>
            </w:r>
          </w:p>
        </w:tc>
      </w:tr>
      <w:tr w14:paraId="6CB2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1758FFF">
            <w:pPr>
              <w:pageBreakBefore w:val="0"/>
              <w:widowControl w:val="0"/>
              <w:tabs>
                <w:tab w:val="left" w:pos="1320"/>
              </w:tabs>
              <w:kinsoku/>
              <w:wordWrap/>
              <w:overflowPunct/>
              <w:topLinePunct w:val="0"/>
              <w:bidi w:val="0"/>
              <w:spacing w:line="360" w:lineRule="auto"/>
              <w:ind w:firstLine="0" w:firstLineChars="0"/>
              <w:jc w:val="center"/>
              <w:rPr>
                <w:rFonts w:hint="eastAsia" w:ascii="宋体" w:hAnsi="宋体" w:eastAsia="宋体" w:cs="宋体"/>
                <w:i/>
                <w:kern w:val="0"/>
                <w:sz w:val="24"/>
                <w:szCs w:val="24"/>
                <w:lang w:val="en-US" w:eastAsia="zh-CN" w:bidi="ar-SA"/>
              </w:rPr>
            </w:pPr>
          </w:p>
        </w:tc>
        <w:tc>
          <w:tcPr>
            <w:tcW w:w="865" w:type="dxa"/>
            <w:vAlign w:val="center"/>
          </w:tcPr>
          <w:p w14:paraId="7FA835D9">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p>
        </w:tc>
        <w:tc>
          <w:tcPr>
            <w:tcW w:w="8063" w:type="dxa"/>
          </w:tcPr>
          <w:p w14:paraId="40952FB7">
            <w:pPr>
              <w:keepNext w:val="0"/>
              <w:keepLines w:val="0"/>
              <w:pageBreakBefore w:val="0"/>
              <w:widowControl w:val="0"/>
              <w:tabs>
                <w:tab w:val="left" w:pos="1200"/>
              </w:tabs>
              <w:kinsoku/>
              <w:wordWrap/>
              <w:overflowPunct/>
              <w:topLinePunct w:val="0"/>
              <w:autoSpaceDE/>
              <w:autoSpaceDN/>
              <w:bidi w:val="0"/>
              <w:snapToGrid/>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——钢丝绳的最小破断拉力系数，6×19W+IWR钢丝绳取0.33。</w:t>
            </w:r>
          </w:p>
        </w:tc>
      </w:tr>
    </w:tbl>
    <w:p w14:paraId="7F39357E">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采用四点吊的塔吊主要部件</w:t>
      </w:r>
      <w:r>
        <w:rPr>
          <w:rFonts w:hint="eastAsia" w:ascii="宋体" w:hAnsi="宋体" w:eastAsia="宋体" w:cs="宋体"/>
          <w:sz w:val="24"/>
          <w:szCs w:val="24"/>
          <w:lang w:val="en-US" w:eastAsia="zh-CN"/>
        </w:rPr>
        <w:t>中</w:t>
      </w:r>
      <w:r>
        <w:rPr>
          <w:rFonts w:hint="eastAsia" w:ascii="宋体" w:hAnsi="宋体" w:eastAsia="宋体" w:cs="宋体"/>
          <w:sz w:val="24"/>
          <w:szCs w:val="24"/>
        </w:rPr>
        <w:t>最大重量为</w:t>
      </w:r>
      <w:r>
        <w:rPr>
          <w:rFonts w:hint="eastAsia" w:ascii="宋体" w:hAnsi="宋体" w:cs="宋体"/>
          <w:sz w:val="24"/>
          <w:szCs w:val="24"/>
          <w:lang w:val="en-US" w:eastAsia="zh-CN"/>
        </w:rPr>
        <w:t>平衡臂</w:t>
      </w:r>
      <w:r>
        <w:rPr>
          <w:rFonts w:hint="eastAsia" w:ascii="宋体" w:hAnsi="宋体" w:eastAsia="宋体" w:cs="宋体"/>
          <w:sz w:val="24"/>
          <w:szCs w:val="24"/>
        </w:rPr>
        <w:t>，</w:t>
      </w:r>
      <w:r>
        <w:rPr>
          <w:rFonts w:hint="eastAsia" w:ascii="宋体" w:hAnsi="宋体" w:cs="宋体"/>
          <w:sz w:val="24"/>
          <w:szCs w:val="24"/>
          <w:lang w:val="en-US" w:eastAsia="zh-CN"/>
        </w:rPr>
        <w:t>平衡臂</w:t>
      </w:r>
      <w:r>
        <w:rPr>
          <w:rFonts w:hint="eastAsia" w:ascii="宋体" w:hAnsi="宋体" w:eastAsia="宋体" w:cs="宋体"/>
          <w:sz w:val="24"/>
          <w:szCs w:val="24"/>
        </w:rPr>
        <w:t>起重量约</w:t>
      </w:r>
      <w:r>
        <w:rPr>
          <w:rFonts w:hint="eastAsia" w:ascii="宋体" w:hAnsi="宋体" w:eastAsia="宋体" w:cs="宋体"/>
          <w:sz w:val="24"/>
          <w:szCs w:val="24"/>
          <w:lang w:val="en-US" w:eastAsia="zh-CN"/>
        </w:rPr>
        <w:t>4.05</w:t>
      </w:r>
      <w:r>
        <w:rPr>
          <w:rFonts w:hint="eastAsia" w:ascii="宋体" w:hAnsi="宋体" w:eastAsia="宋体" w:cs="宋体"/>
          <w:sz w:val="24"/>
          <w:szCs w:val="24"/>
        </w:rPr>
        <w:t>t，钢丝绳与</w:t>
      </w:r>
      <w:r>
        <w:rPr>
          <w:rFonts w:hint="eastAsia" w:ascii="宋体" w:hAnsi="宋体" w:cs="宋体"/>
          <w:sz w:val="24"/>
          <w:szCs w:val="24"/>
          <w:lang w:val="en-US" w:eastAsia="zh-CN"/>
        </w:rPr>
        <w:t>平衡臂</w:t>
      </w:r>
      <w:r>
        <w:rPr>
          <w:rFonts w:hint="eastAsia" w:ascii="宋体" w:hAnsi="宋体" w:eastAsia="宋体" w:cs="宋体"/>
          <w:sz w:val="24"/>
          <w:szCs w:val="24"/>
        </w:rPr>
        <w:t>60°夹角，以</w:t>
      </w:r>
      <w:r>
        <w:rPr>
          <w:rFonts w:hint="eastAsia" w:ascii="宋体" w:hAnsi="宋体" w:cs="宋体"/>
          <w:sz w:val="24"/>
          <w:szCs w:val="24"/>
          <w:lang w:val="en-US" w:eastAsia="zh-CN"/>
        </w:rPr>
        <w:t>平衡臂</w:t>
      </w:r>
      <w:r>
        <w:rPr>
          <w:rFonts w:hint="eastAsia" w:ascii="宋体" w:hAnsi="宋体" w:eastAsia="宋体" w:cs="宋体"/>
          <w:sz w:val="24"/>
          <w:szCs w:val="24"/>
        </w:rPr>
        <w:t>顶部四个销轴孔作为吊装孔，钢丝绳采用压制接头。</w:t>
      </w:r>
    </w:p>
    <w:p w14:paraId="16EB42E1">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每根钢丝绳最小破断拉力：</w:t>
      </w:r>
    </w:p>
    <w:p w14:paraId="00B82D8E">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2"/>
          <w:sz w:val="24"/>
          <w:szCs w:val="24"/>
          <w:lang w:val="en-US" w:eastAsia="zh-CN" w:bidi="ar-SA"/>
        </w:rPr>
      </w:pPr>
      <m:oMathPara>
        <m:oMath>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WLL×</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m</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u</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e</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den>
          </m:f>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default" w:ascii="Cambria Math" w:hAnsi="Cambria Math" w:eastAsia="宋体" w:cs="宋体"/>
                  <w:b w:val="0"/>
                  <w:i w:val="0"/>
                  <w:sz w:val="24"/>
                  <w:szCs w:val="24"/>
                  <w:lang w:val="en-US" w:eastAsia="zh-CN"/>
                </w:rPr>
                <m:t>4.05</m:t>
              </m:r>
              <m:r>
                <m:rPr>
                  <m:nor/>
                  <m:sty m:val="p"/>
                </m:rPr>
                <w:rPr>
                  <w:rFonts w:hint="eastAsia" w:ascii="Cambria Math" w:hAnsi="Cambria Math" w:eastAsia="宋体" w:cs="宋体"/>
                  <w:b w:val="0"/>
                  <w:i w:val="0"/>
                  <w:sz w:val="24"/>
                  <w:szCs w:val="24"/>
                </w:rPr>
                <m:t>×9.80665×6</m:t>
              </m:r>
              <m:ctrlPr>
                <w:rPr>
                  <w:rFonts w:hint="eastAsia" w:ascii="Cambria Math" w:hAnsi="Cambria Math" w:eastAsia="宋体" w:cs="宋体"/>
                  <w:sz w:val="24"/>
                  <w:szCs w:val="24"/>
                </w:rPr>
              </m:ctrlPr>
            </m:num>
            <m:den>
              <m:r>
                <m:rPr>
                  <m:nor/>
                  <m:sty m:val="p"/>
                </m:rPr>
                <w:rPr>
                  <w:rFonts w:hint="eastAsia" w:ascii="Cambria Math" w:hAnsi="Cambria Math" w:eastAsia="宋体" w:cs="宋体"/>
                  <w:b w:val="0"/>
                  <w:i w:val="0"/>
                  <w:sz w:val="24"/>
                  <w:szCs w:val="24"/>
                </w:rPr>
                <m:t>0.9×2.1</m:t>
              </m:r>
              <m:ctrlPr>
                <w:rPr>
                  <w:rFonts w:hint="eastAsia" w:ascii="Cambria Math" w:hAnsi="Cambria Math" w:eastAsia="宋体" w:cs="宋体"/>
                  <w:sz w:val="24"/>
                  <w:szCs w:val="24"/>
                </w:rPr>
              </m:ctrlPr>
            </m:den>
          </m:f>
          <m:r>
            <m:rPr>
              <m:nor/>
              <m:sty m:val="p"/>
            </m:rPr>
            <w:rPr>
              <w:rFonts w:hint="eastAsia" w:ascii="Cambria Math" w:hAnsi="Cambria Math" w:eastAsia="宋体" w:cs="宋体"/>
              <w:b w:val="0"/>
              <w:i w:val="0"/>
              <w:sz w:val="24"/>
              <w:szCs w:val="24"/>
            </w:rPr>
            <m:t>=</m:t>
          </m:r>
          <m:r>
            <m:rPr>
              <m:nor/>
              <m:sty m:val="p"/>
            </m:rPr>
            <w:rPr>
              <w:rFonts w:hint="default" w:ascii="Cambria Math" w:hAnsi="Cambria Math" w:cs="宋体"/>
              <w:b w:val="0"/>
              <w:i w:val="0"/>
              <w:sz w:val="24"/>
              <w:szCs w:val="24"/>
              <w:lang w:val="en-US" w:eastAsia="zh-CN"/>
            </w:rPr>
            <m:t>125.37</m:t>
          </m:r>
          <m:r>
            <m:rPr>
              <m:nor/>
              <m:sty m:val="p"/>
            </m:rPr>
            <w:rPr>
              <w:rFonts w:hint="eastAsia" w:ascii="Cambria Math" w:hAnsi="Cambria Math" w:eastAsia="宋体" w:cs="宋体"/>
              <w:b w:val="0"/>
              <w:i w:val="0"/>
              <w:sz w:val="24"/>
              <w:szCs w:val="24"/>
            </w:rPr>
            <m:t>kN</m:t>
          </m:r>
        </m:oMath>
      </m:oMathPara>
    </w:p>
    <w:p w14:paraId="7D8A6ED0">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则钢丝绳最小公称直径：</w:t>
      </w:r>
    </w:p>
    <w:p w14:paraId="045FFB74">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2"/>
          <w:sz w:val="24"/>
          <w:szCs w:val="24"/>
          <w:lang w:val="en-US" w:eastAsia="zh-CN" w:bidi="ar-SA"/>
        </w:rPr>
      </w:pPr>
      <m:oMathPara>
        <m:oMath>
          <m:r>
            <m:rPr>
              <m:nor/>
              <m:sty m:val="p"/>
            </m:rPr>
            <w:rPr>
              <w:rFonts w:hint="eastAsia" w:ascii="Cambria Math" w:hAnsi="Cambria Math" w:eastAsia="宋体" w:cs="宋体"/>
              <w:b w:val="0"/>
              <w:i w:val="0"/>
              <w:sz w:val="24"/>
              <w:szCs w:val="24"/>
            </w:rPr>
            <m:t>D=</m:t>
          </m:r>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1000×</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sSup>
                    <m:sSupPr>
                      <m:ctrlPr>
                        <w:rPr>
                          <w:rFonts w:hint="eastAsia" w:ascii="Cambria Math" w:hAnsi="Cambria Math" w:eastAsia="宋体" w:cs="宋体"/>
                          <w:sz w:val="24"/>
                          <w:szCs w:val="24"/>
                        </w:rPr>
                      </m:ctrlPr>
                    </m:sSup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p>
                      <m:r>
                        <m:rPr>
                          <m:nor/>
                          <m:sty m:val="p"/>
                        </m:rPr>
                        <w:rPr>
                          <w:rFonts w:hint="eastAsia" w:ascii="Cambria Math" w:hAnsi="Cambria Math" w:eastAsia="宋体" w:cs="宋体"/>
                          <w:b w:val="0"/>
                          <w:i w:val="0"/>
                          <w:sz w:val="24"/>
                          <w:szCs w:val="24"/>
                        </w:rPr>
                        <m:t>'</m:t>
                      </m:r>
                      <m:ctrlPr>
                        <w:rPr>
                          <w:rFonts w:hint="eastAsia" w:ascii="Cambria Math" w:hAnsi="Cambria Math" w:eastAsia="宋体" w:cs="宋体"/>
                          <w:sz w:val="24"/>
                          <w:szCs w:val="24"/>
                        </w:rPr>
                      </m:ctrlPr>
                    </m:sup>
                  </m:sSup>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R</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den>
              </m:f>
              <m:ctrlPr>
                <w:rPr>
                  <w:rFonts w:hint="eastAsia" w:ascii="Cambria Math" w:hAnsi="Cambria Math" w:eastAsia="宋体" w:cs="宋体"/>
                  <w:sz w:val="24"/>
                  <w:szCs w:val="24"/>
                </w:rPr>
              </m:ctrlPr>
            </m:e>
          </m:rad>
          <m:r>
            <m:rPr>
              <m:nor/>
              <m:sty m:val="p"/>
            </m:rPr>
            <w:rPr>
              <w:rFonts w:hint="eastAsia" w:ascii="Cambria Math" w:hAnsi="Cambria Math" w:eastAsia="宋体" w:cs="宋体"/>
              <w:b w:val="0"/>
              <w:i w:val="0"/>
              <w:sz w:val="24"/>
              <w:szCs w:val="24"/>
            </w:rPr>
            <m:t>=</m:t>
          </m:r>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1000×</m:t>
                  </m:r>
                  <m:r>
                    <m:rPr>
                      <m:nor/>
                      <m:sty m:val="p"/>
                    </m:rPr>
                    <w:rPr>
                      <w:rFonts w:hint="default" w:ascii="Cambria Math" w:hAnsi="Cambria Math" w:cs="宋体"/>
                      <w:b w:val="0"/>
                      <w:i w:val="0"/>
                      <w:sz w:val="24"/>
                      <w:szCs w:val="24"/>
                      <w:lang w:val="en-US" w:eastAsia="zh-CN"/>
                    </w:rPr>
                    <m:t>125.37</m:t>
                  </m:r>
                  <m:ctrlPr>
                    <w:rPr>
                      <w:rFonts w:hint="eastAsia" w:ascii="Cambria Math" w:hAnsi="Cambria Math" w:eastAsia="宋体" w:cs="宋体"/>
                      <w:sz w:val="24"/>
                      <w:szCs w:val="24"/>
                    </w:rPr>
                  </m:ctrlPr>
                </m:num>
                <m:den>
                  <m:r>
                    <m:rPr>
                      <m:nor/>
                      <m:sty m:val="p"/>
                    </m:rPr>
                    <w:rPr>
                      <w:rFonts w:hint="eastAsia" w:ascii="Cambria Math" w:hAnsi="Cambria Math" w:eastAsia="宋体" w:cs="宋体"/>
                      <w:b w:val="0"/>
                      <w:i w:val="0"/>
                      <w:sz w:val="24"/>
                      <w:szCs w:val="24"/>
                    </w:rPr>
                    <m:t>0.33×1</m:t>
                  </m:r>
                  <m:r>
                    <m:rPr>
                      <m:nor/>
                      <m:sty m:val="p"/>
                    </m:rPr>
                    <w:rPr>
                      <w:rFonts w:hint="eastAsia" w:ascii="Cambria Math" w:hAnsi="Cambria Math" w:eastAsia="宋体" w:cs="宋体"/>
                      <w:b w:val="0"/>
                      <w:i w:val="0"/>
                      <w:sz w:val="24"/>
                      <w:szCs w:val="24"/>
                      <w:lang w:val="en-US" w:eastAsia="zh-CN"/>
                    </w:rPr>
                    <m:t>87</m:t>
                  </m:r>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den>
              </m:f>
              <m:ctrlPr>
                <w:rPr>
                  <w:rFonts w:hint="eastAsia" w:ascii="Cambria Math" w:hAnsi="Cambria Math" w:eastAsia="宋体" w:cs="宋体"/>
                  <w:sz w:val="24"/>
                  <w:szCs w:val="24"/>
                </w:rPr>
              </m:ctrlPr>
            </m:e>
          </m:rad>
          <m:r>
            <m:rPr>
              <m:nor/>
              <m:sty m:val="p"/>
            </m:rPr>
            <w:rPr>
              <w:rFonts w:hint="eastAsia" w:ascii="Cambria Math" w:hAnsi="Cambria Math" w:eastAsia="宋体" w:cs="宋体"/>
              <w:b w:val="0"/>
              <w:i w:val="0"/>
              <w:sz w:val="24"/>
              <w:szCs w:val="24"/>
            </w:rPr>
            <m:t>=</m:t>
          </m:r>
          <m:r>
            <m:rPr>
              <m:nor/>
              <m:sty m:val="p"/>
            </m:rPr>
            <w:rPr>
              <w:rFonts w:hint="default" w:ascii="Cambria Math" w:hAnsi="Cambria Math" w:cs="宋体"/>
              <w:b w:val="0"/>
              <w:i w:val="0"/>
              <w:sz w:val="24"/>
              <w:szCs w:val="24"/>
              <w:lang w:val="en-US" w:eastAsia="zh-CN"/>
            </w:rPr>
            <m:t>14.26</m:t>
          </m:r>
          <m:r>
            <m:rPr>
              <m:nor/>
              <m:sty m:val="p"/>
            </m:rPr>
            <w:rPr>
              <w:rFonts w:hint="eastAsia" w:ascii="Cambria Math" w:hAnsi="Cambria Math" w:eastAsia="宋体" w:cs="宋体"/>
              <w:b w:val="0"/>
              <w:i w:val="0"/>
              <w:sz w:val="24"/>
              <w:szCs w:val="24"/>
            </w:rPr>
            <m:t>mm</m:t>
          </m:r>
        </m:oMath>
      </m:oMathPara>
    </w:p>
    <w:p w14:paraId="301AFE22">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采用</w:t>
      </w:r>
      <w:r>
        <w:rPr>
          <w:rFonts w:hint="eastAsia" w:ascii="宋体" w:hAnsi="宋体" w:eastAsia="宋体" w:cs="宋体"/>
          <w:sz w:val="24"/>
          <w:szCs w:val="24"/>
          <w:lang w:val="en-US" w:eastAsia="zh-CN"/>
        </w:rPr>
        <w:t>φ</w:t>
      </w:r>
      <w:r>
        <w:rPr>
          <w:rFonts w:hint="eastAsia" w:ascii="宋体" w:hAnsi="宋体" w:cs="宋体"/>
          <w:sz w:val="24"/>
          <w:szCs w:val="24"/>
          <w:lang w:val="en-US" w:eastAsia="zh-CN"/>
        </w:rPr>
        <w:t>16</w:t>
      </w:r>
      <w:r>
        <w:rPr>
          <w:rFonts w:hint="eastAsia" w:ascii="宋体" w:hAnsi="宋体" w:eastAsia="宋体" w:cs="宋体"/>
          <w:sz w:val="24"/>
          <w:szCs w:val="24"/>
        </w:rPr>
        <w:t>mm钢丝绳可满足要求。</w:t>
      </w:r>
    </w:p>
    <w:p w14:paraId="20C47967">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采用</w:t>
      </w:r>
      <w:r>
        <w:rPr>
          <w:rFonts w:hint="eastAsia" w:ascii="宋体" w:hAnsi="宋体" w:eastAsia="宋体" w:cs="宋体"/>
          <w:sz w:val="24"/>
          <w:szCs w:val="24"/>
          <w:lang w:val="en-US" w:eastAsia="zh-CN"/>
        </w:rPr>
        <w:t>两</w:t>
      </w:r>
      <w:r>
        <w:rPr>
          <w:rFonts w:hint="eastAsia" w:ascii="宋体" w:hAnsi="宋体" w:eastAsia="宋体" w:cs="宋体"/>
          <w:sz w:val="24"/>
          <w:szCs w:val="24"/>
        </w:rPr>
        <w:t>点吊的塔吊主要部件</w:t>
      </w:r>
      <w:r>
        <w:rPr>
          <w:rFonts w:hint="eastAsia" w:ascii="宋体" w:hAnsi="宋体" w:eastAsia="宋体" w:cs="宋体"/>
          <w:sz w:val="24"/>
          <w:szCs w:val="24"/>
          <w:lang w:val="en-US" w:eastAsia="zh-CN"/>
        </w:rPr>
        <w:t>中</w:t>
      </w:r>
      <w:r>
        <w:rPr>
          <w:rFonts w:hint="eastAsia" w:ascii="宋体" w:hAnsi="宋体" w:eastAsia="宋体" w:cs="宋体"/>
          <w:sz w:val="24"/>
          <w:szCs w:val="24"/>
        </w:rPr>
        <w:t>最大重量为</w:t>
      </w:r>
      <w:r>
        <w:rPr>
          <w:rFonts w:hint="eastAsia" w:ascii="宋体" w:hAnsi="宋体" w:cs="宋体"/>
          <w:sz w:val="24"/>
          <w:szCs w:val="24"/>
          <w:lang w:val="en-US" w:eastAsia="zh-CN"/>
        </w:rPr>
        <w:t>起重臂总成</w:t>
      </w:r>
      <w:r>
        <w:rPr>
          <w:rFonts w:hint="eastAsia" w:ascii="宋体" w:hAnsi="宋体" w:eastAsia="宋体" w:cs="宋体"/>
          <w:sz w:val="24"/>
          <w:szCs w:val="24"/>
          <w:lang w:eastAsia="zh-CN"/>
        </w:rPr>
        <w:t>，</w:t>
      </w:r>
      <w:r>
        <w:rPr>
          <w:rFonts w:hint="eastAsia" w:ascii="宋体" w:hAnsi="宋体" w:cs="宋体"/>
          <w:sz w:val="24"/>
          <w:szCs w:val="24"/>
          <w:lang w:val="en-US" w:eastAsia="zh-CN"/>
        </w:rPr>
        <w:t>起重臂总成起重量</w:t>
      </w:r>
      <w:r>
        <w:rPr>
          <w:rFonts w:hint="eastAsia" w:ascii="宋体" w:hAnsi="宋体" w:eastAsia="宋体" w:cs="宋体"/>
          <w:sz w:val="24"/>
          <w:szCs w:val="24"/>
        </w:rPr>
        <w:t>约</w:t>
      </w:r>
      <w:r>
        <w:rPr>
          <w:rFonts w:hint="eastAsia" w:ascii="宋体" w:hAnsi="宋体" w:eastAsia="宋体" w:cs="宋体"/>
          <w:sz w:val="24"/>
          <w:szCs w:val="24"/>
          <w:lang w:val="en-US" w:eastAsia="zh-CN"/>
        </w:rPr>
        <w:t>6.23</w:t>
      </w:r>
      <w:r>
        <w:rPr>
          <w:rFonts w:hint="eastAsia" w:ascii="宋体" w:hAnsi="宋体" w:eastAsia="宋体" w:cs="宋体"/>
          <w:sz w:val="24"/>
          <w:szCs w:val="24"/>
        </w:rPr>
        <w:t>t，钢丝绳与</w:t>
      </w:r>
      <w:r>
        <w:rPr>
          <w:rFonts w:hint="eastAsia" w:ascii="宋体" w:hAnsi="宋体" w:cs="宋体"/>
          <w:sz w:val="24"/>
          <w:szCs w:val="24"/>
          <w:lang w:val="en-US" w:eastAsia="zh-CN"/>
        </w:rPr>
        <w:t>起重臂总成</w:t>
      </w:r>
      <w:r>
        <w:rPr>
          <w:rFonts w:hint="eastAsia" w:ascii="宋体" w:hAnsi="宋体" w:eastAsia="宋体" w:cs="宋体"/>
          <w:sz w:val="24"/>
          <w:szCs w:val="24"/>
        </w:rPr>
        <w:t>成60°夹角，</w:t>
      </w:r>
      <w:r>
        <w:rPr>
          <w:rFonts w:hint="eastAsia" w:ascii="宋体" w:hAnsi="宋体" w:cs="宋体"/>
          <w:sz w:val="24"/>
          <w:szCs w:val="24"/>
          <w:lang w:val="en-US" w:eastAsia="zh-CN"/>
        </w:rPr>
        <w:t>起重臂总成</w:t>
      </w:r>
      <w:r>
        <w:rPr>
          <w:rFonts w:hint="eastAsia" w:ascii="宋体" w:hAnsi="宋体" w:eastAsia="宋体" w:cs="宋体"/>
          <w:sz w:val="24"/>
          <w:szCs w:val="24"/>
        </w:rPr>
        <w:t>吊装采用两点吊，在起重臂腹杆上设置2个吊点，钢丝绳采用压制接头。</w:t>
      </w:r>
    </w:p>
    <w:p w14:paraId="7A681BF1">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每根钢丝绳最小破断拉力：</w:t>
      </w:r>
    </w:p>
    <w:p w14:paraId="47C00C48">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2"/>
          <w:sz w:val="24"/>
          <w:szCs w:val="24"/>
          <w:lang w:val="en-US" w:eastAsia="zh-CN" w:bidi="ar-SA"/>
        </w:rPr>
      </w:pPr>
      <m:oMathPara>
        <m:oMath>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WLL×</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m</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u</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e</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den>
          </m:f>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default" w:ascii="Cambria Math" w:hAnsi="Cambria Math" w:cs="宋体"/>
                  <w:b w:val="0"/>
                  <w:i w:val="0"/>
                  <w:sz w:val="24"/>
                  <w:szCs w:val="24"/>
                  <w:lang w:val="en-US" w:eastAsia="zh-CN"/>
                </w:rPr>
                <m:t>6.23</m:t>
              </m:r>
              <m:r>
                <m:rPr>
                  <m:nor/>
                  <m:sty m:val="p"/>
                </m:rPr>
                <w:rPr>
                  <w:rFonts w:hint="eastAsia" w:ascii="Cambria Math" w:hAnsi="Cambria Math" w:eastAsia="宋体" w:cs="宋体"/>
                  <w:b w:val="0"/>
                  <w:i w:val="0"/>
                  <w:sz w:val="24"/>
                  <w:szCs w:val="24"/>
                </w:rPr>
                <m:t>×9.80665×6</m:t>
              </m:r>
              <m:ctrlPr>
                <w:rPr>
                  <w:rFonts w:hint="eastAsia" w:ascii="Cambria Math" w:hAnsi="Cambria Math" w:eastAsia="宋体" w:cs="宋体"/>
                  <w:sz w:val="24"/>
                  <w:szCs w:val="24"/>
                </w:rPr>
              </m:ctrlPr>
            </m:num>
            <m:den>
              <m:r>
                <m:rPr>
                  <m:nor/>
                  <m:sty m:val="p"/>
                </m:rPr>
                <w:rPr>
                  <w:rFonts w:hint="eastAsia" w:ascii="Cambria Math" w:hAnsi="Cambria Math" w:eastAsia="宋体" w:cs="宋体"/>
                  <w:b w:val="0"/>
                  <w:i w:val="0"/>
                  <w:sz w:val="24"/>
                  <w:szCs w:val="24"/>
                </w:rPr>
                <m:t>0.9×1.4</m:t>
              </m:r>
              <m:ctrlPr>
                <w:rPr>
                  <w:rFonts w:hint="eastAsia" w:ascii="Cambria Math" w:hAnsi="Cambria Math" w:eastAsia="宋体" w:cs="宋体"/>
                  <w:sz w:val="24"/>
                  <w:szCs w:val="24"/>
                </w:rPr>
              </m:ctrlPr>
            </m:den>
          </m:f>
          <m:r>
            <m:rPr>
              <m:nor/>
              <m:sty m:val="p"/>
            </m:rPr>
            <w:rPr>
              <w:rFonts w:hint="eastAsia" w:ascii="Cambria Math" w:hAnsi="Cambria Math" w:eastAsia="宋体" w:cs="宋体"/>
              <w:b w:val="0"/>
              <w:i w:val="0"/>
              <w:sz w:val="24"/>
              <w:szCs w:val="24"/>
            </w:rPr>
            <m:t>=</m:t>
          </m:r>
          <m:r>
            <m:rPr>
              <m:nor/>
              <m:sty m:val="p"/>
            </m:rPr>
            <w:rPr>
              <w:rFonts w:hint="default" w:ascii="Cambria Math" w:hAnsi="Cambria Math" w:cs="宋体"/>
              <w:b w:val="0"/>
              <w:i w:val="0"/>
              <w:sz w:val="24"/>
              <w:szCs w:val="24"/>
              <w:lang w:val="en-US" w:eastAsia="zh-CN"/>
            </w:rPr>
            <m:t>290.94</m:t>
          </m:r>
          <m:r>
            <m:rPr>
              <m:nor/>
              <m:sty m:val="p"/>
            </m:rPr>
            <w:rPr>
              <w:rFonts w:hint="eastAsia" w:ascii="Cambria Math" w:hAnsi="Cambria Math" w:eastAsia="宋体" w:cs="宋体"/>
              <w:b w:val="0"/>
              <w:i w:val="0"/>
              <w:sz w:val="24"/>
              <w:szCs w:val="24"/>
            </w:rPr>
            <m:t>kN</m:t>
          </m:r>
        </m:oMath>
      </m:oMathPara>
    </w:p>
    <w:p w14:paraId="427DEF63">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则钢丝绳最小公称直径：</w:t>
      </w:r>
    </w:p>
    <w:p w14:paraId="0F6EC263">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2"/>
          <w:sz w:val="24"/>
          <w:szCs w:val="24"/>
          <w:lang w:val="en-US" w:eastAsia="zh-CN" w:bidi="ar-SA"/>
        </w:rPr>
      </w:pPr>
      <m:oMathPara>
        <m:oMath>
          <m:r>
            <m:rPr>
              <m:nor/>
              <m:sty m:val="p"/>
            </m:rPr>
            <w:rPr>
              <w:rFonts w:hint="eastAsia" w:ascii="Cambria Math" w:hAnsi="Cambria Math" w:eastAsia="宋体" w:cs="宋体"/>
              <w:b w:val="0"/>
              <w:i w:val="0"/>
              <w:sz w:val="24"/>
              <w:szCs w:val="24"/>
            </w:rPr>
            <m:t>D=</m:t>
          </m:r>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1000×</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sSup>
                    <m:sSupPr>
                      <m:ctrlPr>
                        <w:rPr>
                          <w:rFonts w:hint="eastAsia" w:ascii="Cambria Math" w:hAnsi="Cambria Math" w:eastAsia="宋体" w:cs="宋体"/>
                          <w:sz w:val="24"/>
                          <w:szCs w:val="24"/>
                        </w:rPr>
                      </m:ctrlPr>
                    </m:sSup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p>
                      <m:r>
                        <m:rPr>
                          <m:nor/>
                          <m:sty m:val="p"/>
                        </m:rPr>
                        <w:rPr>
                          <w:rFonts w:hint="eastAsia" w:ascii="Cambria Math" w:hAnsi="Cambria Math" w:eastAsia="宋体" w:cs="宋体"/>
                          <w:b w:val="0"/>
                          <w:i w:val="0"/>
                          <w:sz w:val="24"/>
                          <w:szCs w:val="24"/>
                        </w:rPr>
                        <m:t>'</m:t>
                      </m:r>
                      <m:ctrlPr>
                        <w:rPr>
                          <w:rFonts w:hint="eastAsia" w:ascii="Cambria Math" w:hAnsi="Cambria Math" w:eastAsia="宋体" w:cs="宋体"/>
                          <w:sz w:val="24"/>
                          <w:szCs w:val="24"/>
                        </w:rPr>
                      </m:ctrlPr>
                    </m:sup>
                  </m:sSup>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R</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den>
              </m:f>
              <m:ctrlPr>
                <w:rPr>
                  <w:rFonts w:hint="eastAsia" w:ascii="Cambria Math" w:hAnsi="Cambria Math" w:eastAsia="宋体" w:cs="宋体"/>
                  <w:sz w:val="24"/>
                  <w:szCs w:val="24"/>
                </w:rPr>
              </m:ctrlPr>
            </m:e>
          </m:rad>
          <m:r>
            <m:rPr>
              <m:nor/>
              <m:sty m:val="p"/>
            </m:rPr>
            <w:rPr>
              <w:rFonts w:hint="eastAsia" w:ascii="Cambria Math" w:hAnsi="Cambria Math" w:eastAsia="宋体" w:cs="宋体"/>
              <w:b w:val="0"/>
              <w:i w:val="0"/>
              <w:sz w:val="24"/>
              <w:szCs w:val="24"/>
            </w:rPr>
            <m:t>=</m:t>
          </m:r>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1000×</m:t>
                  </m:r>
                  <m:r>
                    <m:rPr>
                      <m:nor/>
                      <m:sty m:val="p"/>
                    </m:rPr>
                    <w:rPr>
                      <w:rFonts w:hint="default" w:ascii="Cambria Math" w:hAnsi="Cambria Math" w:cs="宋体"/>
                      <w:b w:val="0"/>
                      <w:i w:val="0"/>
                      <w:sz w:val="24"/>
                      <w:szCs w:val="24"/>
                      <w:lang w:val="en-US" w:eastAsia="zh-CN"/>
                    </w:rPr>
                    <m:t>290.94</m:t>
                  </m:r>
                  <m:ctrlPr>
                    <w:rPr>
                      <w:rFonts w:hint="eastAsia" w:ascii="Cambria Math" w:hAnsi="Cambria Math" w:eastAsia="宋体" w:cs="宋体"/>
                      <w:sz w:val="24"/>
                      <w:szCs w:val="24"/>
                    </w:rPr>
                  </m:ctrlPr>
                </m:num>
                <m:den>
                  <m:r>
                    <m:rPr>
                      <m:nor/>
                      <m:sty m:val="p"/>
                    </m:rPr>
                    <w:rPr>
                      <w:rFonts w:hint="eastAsia" w:ascii="Cambria Math" w:hAnsi="Cambria Math" w:eastAsia="宋体" w:cs="宋体"/>
                      <w:b w:val="0"/>
                      <w:i w:val="0"/>
                      <w:sz w:val="24"/>
                      <w:szCs w:val="24"/>
                    </w:rPr>
                    <m:t>0.33×1</m:t>
                  </m:r>
                  <m:r>
                    <m:rPr>
                      <m:nor/>
                      <m:sty m:val="p"/>
                    </m:rPr>
                    <w:rPr>
                      <w:rFonts w:hint="eastAsia" w:ascii="Cambria Math" w:hAnsi="Cambria Math" w:eastAsia="宋体" w:cs="宋体"/>
                      <w:b w:val="0"/>
                      <w:i w:val="0"/>
                      <w:sz w:val="24"/>
                      <w:szCs w:val="24"/>
                      <w:lang w:val="en-US" w:eastAsia="zh-CN"/>
                    </w:rPr>
                    <m:t>87</m:t>
                  </m:r>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den>
              </m:f>
              <m:ctrlPr>
                <w:rPr>
                  <w:rFonts w:hint="eastAsia" w:ascii="Cambria Math" w:hAnsi="Cambria Math" w:eastAsia="宋体" w:cs="宋体"/>
                  <w:sz w:val="24"/>
                  <w:szCs w:val="24"/>
                </w:rPr>
              </m:ctrlPr>
            </m:e>
          </m:rad>
          <m:r>
            <m:rPr>
              <m:nor/>
              <m:sty m:val="p"/>
            </m:rPr>
            <w:rPr>
              <w:rFonts w:hint="eastAsia" w:ascii="Cambria Math" w:hAnsi="Cambria Math" w:eastAsia="宋体" w:cs="宋体"/>
              <w:b w:val="0"/>
              <w:i w:val="0"/>
              <w:sz w:val="24"/>
              <w:szCs w:val="24"/>
            </w:rPr>
            <m:t>=</m:t>
          </m:r>
          <m:r>
            <m:rPr>
              <m:nor/>
              <m:sty m:val="p"/>
            </m:rPr>
            <w:rPr>
              <w:rFonts w:hint="default" w:ascii="Cambria Math" w:hAnsi="Cambria Math" w:cs="宋体"/>
              <w:b w:val="0"/>
              <w:i w:val="0"/>
              <w:sz w:val="24"/>
              <w:szCs w:val="24"/>
              <w:lang w:val="en-US" w:eastAsia="zh-CN"/>
            </w:rPr>
            <m:t>21.72</m:t>
          </m:r>
          <m:r>
            <m:rPr>
              <m:nor/>
              <m:sty m:val="p"/>
            </m:rPr>
            <w:rPr>
              <w:rFonts w:hint="eastAsia" w:ascii="Cambria Math" w:hAnsi="Cambria Math" w:eastAsia="宋体" w:cs="宋体"/>
              <w:b w:val="0"/>
              <w:i w:val="0"/>
              <w:sz w:val="24"/>
              <w:szCs w:val="24"/>
            </w:rPr>
            <m:t>mm</m:t>
          </m:r>
        </m:oMath>
      </m:oMathPara>
    </w:p>
    <w:p w14:paraId="34B7FAFC">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采用</w:t>
      </w:r>
      <w:r>
        <w:rPr>
          <w:rFonts w:hint="eastAsia" w:ascii="宋体" w:hAnsi="宋体" w:eastAsia="宋体" w:cs="宋体"/>
          <w:sz w:val="24"/>
          <w:szCs w:val="24"/>
          <w:lang w:val="en-US" w:eastAsia="zh-CN"/>
        </w:rPr>
        <w:t>φ</w:t>
      </w:r>
      <w:r>
        <w:rPr>
          <w:rFonts w:hint="eastAsia" w:ascii="宋体" w:hAnsi="宋体" w:cs="宋体"/>
          <w:sz w:val="24"/>
          <w:szCs w:val="24"/>
          <w:lang w:val="en-US" w:eastAsia="zh-CN"/>
        </w:rPr>
        <w:t>22</w:t>
      </w:r>
      <w:r>
        <w:rPr>
          <w:rFonts w:hint="eastAsia" w:ascii="宋体" w:hAnsi="宋体" w:eastAsia="宋体" w:cs="宋体"/>
          <w:sz w:val="24"/>
          <w:szCs w:val="24"/>
        </w:rPr>
        <w:t>mm钢丝绳可满足要求。</w:t>
      </w:r>
    </w:p>
    <w:p w14:paraId="1A24E1F2">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卸扣根据《一般起重用D形和弓形锻造卸扣》（GB/T25854-2010）的规定选用。</w:t>
      </w:r>
    </w:p>
    <w:p w14:paraId="187FFDCB">
      <w:pPr>
        <w:pStyle w:val="12"/>
        <w:pageBreakBefore w:val="0"/>
        <w:kinsoku/>
        <w:wordWrap/>
        <w:overflowPunct/>
        <w:topLinePunct w:val="0"/>
        <w:bidi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表</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 xml:space="preserve"> D形卸扣尺寸</w:t>
      </w:r>
    </w:p>
    <w:tbl>
      <w:tblPr>
        <w:tblStyle w:val="8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4F4E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6" w:type="pct"/>
            <w:gridSpan w:val="3"/>
            <w:shd w:val="clear" w:color="auto" w:fill="4472C4"/>
            <w:vAlign w:val="center"/>
          </w:tcPr>
          <w:p w14:paraId="78E40343">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极限工作荷载WLL</w:t>
            </w:r>
          </w:p>
        </w:tc>
        <w:tc>
          <w:tcPr>
            <w:tcW w:w="589" w:type="pct"/>
            <w:vMerge w:val="restart"/>
            <w:shd w:val="clear" w:color="auto" w:fill="4472C4"/>
            <w:vAlign w:val="center"/>
          </w:tcPr>
          <w:p w14:paraId="44231930">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d</w:t>
            </w:r>
            <w:r>
              <w:rPr>
                <w:rFonts w:hint="eastAsia" w:ascii="宋体" w:hAnsi="宋体" w:eastAsia="宋体" w:cs="宋体"/>
                <w:b/>
                <w:color w:val="FFFFFF"/>
                <w:kern w:val="0"/>
                <w:sz w:val="24"/>
                <w:szCs w:val="24"/>
                <w:vertAlign w:val="superscript"/>
                <w:lang w:val="en-US" w:eastAsia="zh-CN" w:bidi="ar-SA"/>
              </w:rPr>
              <w:t>a</w:t>
            </w:r>
          </w:p>
          <w:p w14:paraId="057C6649">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max</w:t>
            </w:r>
          </w:p>
        </w:tc>
        <w:tc>
          <w:tcPr>
            <w:tcW w:w="589" w:type="pct"/>
            <w:vMerge w:val="restart"/>
            <w:shd w:val="clear" w:color="auto" w:fill="4472C4"/>
            <w:vAlign w:val="center"/>
          </w:tcPr>
          <w:p w14:paraId="283B4B49">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D</w:t>
            </w:r>
            <w:r>
              <w:rPr>
                <w:rFonts w:hint="eastAsia" w:ascii="宋体" w:hAnsi="宋体" w:eastAsia="宋体" w:cs="宋体"/>
                <w:b/>
                <w:color w:val="FFFFFF"/>
                <w:kern w:val="0"/>
                <w:sz w:val="24"/>
                <w:szCs w:val="24"/>
                <w:vertAlign w:val="superscript"/>
                <w:lang w:val="en-US" w:eastAsia="zh-CN" w:bidi="ar-SA"/>
              </w:rPr>
              <w:t>b</w:t>
            </w:r>
          </w:p>
          <w:p w14:paraId="04A75750">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max</w:t>
            </w:r>
          </w:p>
        </w:tc>
        <w:tc>
          <w:tcPr>
            <w:tcW w:w="675" w:type="pct"/>
            <w:vMerge w:val="restart"/>
            <w:shd w:val="clear" w:color="auto" w:fill="4472C4"/>
            <w:vAlign w:val="center"/>
          </w:tcPr>
          <w:p w14:paraId="000A4F2B">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vertAlign w:val="superscript"/>
                <w:lang w:val="en-US" w:eastAsia="zh-CN" w:bidi="ar-SA"/>
              </w:rPr>
            </w:pPr>
            <w:r>
              <w:rPr>
                <w:rFonts w:hint="eastAsia" w:ascii="宋体" w:hAnsi="宋体" w:eastAsia="宋体" w:cs="宋体"/>
                <w:b/>
                <w:color w:val="FFFFFF"/>
                <w:kern w:val="0"/>
                <w:sz w:val="24"/>
                <w:szCs w:val="24"/>
                <w:lang w:val="en-US" w:eastAsia="zh-CN" w:bidi="ar-SA"/>
              </w:rPr>
              <w:t>e</w:t>
            </w:r>
            <w:r>
              <w:rPr>
                <w:rFonts w:hint="eastAsia" w:ascii="宋体" w:hAnsi="宋体" w:eastAsia="宋体" w:cs="宋体"/>
                <w:b/>
                <w:color w:val="FFFFFF"/>
                <w:kern w:val="0"/>
                <w:sz w:val="24"/>
                <w:szCs w:val="24"/>
                <w:vertAlign w:val="superscript"/>
                <w:lang w:val="en-US" w:eastAsia="zh-CN" w:bidi="ar-SA"/>
              </w:rPr>
              <w:t>c</w:t>
            </w:r>
          </w:p>
          <w:p w14:paraId="40E72A1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max</w:t>
            </w:r>
          </w:p>
        </w:tc>
        <w:tc>
          <w:tcPr>
            <w:tcW w:w="556" w:type="pct"/>
            <w:vMerge w:val="restart"/>
            <w:shd w:val="clear" w:color="auto" w:fill="4472C4"/>
            <w:vAlign w:val="center"/>
          </w:tcPr>
          <w:p w14:paraId="0B6BF38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S</w:t>
            </w:r>
            <w:r>
              <w:rPr>
                <w:rFonts w:hint="eastAsia" w:ascii="宋体" w:hAnsi="宋体" w:eastAsia="宋体" w:cs="宋体"/>
                <w:b/>
                <w:color w:val="FFFFFF"/>
                <w:kern w:val="0"/>
                <w:sz w:val="24"/>
                <w:szCs w:val="24"/>
                <w:vertAlign w:val="superscript"/>
                <w:lang w:val="en-US" w:eastAsia="zh-CN" w:bidi="ar-SA"/>
              </w:rPr>
              <w:t>d</w:t>
            </w:r>
          </w:p>
          <w:p w14:paraId="78A32AB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min</w:t>
            </w:r>
          </w:p>
        </w:tc>
        <w:tc>
          <w:tcPr>
            <w:tcW w:w="605" w:type="pct"/>
            <w:vMerge w:val="restart"/>
            <w:shd w:val="clear" w:color="auto" w:fill="4472C4"/>
            <w:vAlign w:val="center"/>
          </w:tcPr>
          <w:p w14:paraId="494FDBED">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vertAlign w:val="superscript"/>
                <w:lang w:val="en-US" w:eastAsia="zh-CN" w:bidi="ar-SA"/>
              </w:rPr>
            </w:pPr>
            <w:r>
              <w:rPr>
                <w:rFonts w:hint="eastAsia" w:ascii="宋体" w:hAnsi="宋体" w:eastAsia="宋体" w:cs="宋体"/>
                <w:b/>
                <w:color w:val="FFFFFF"/>
                <w:kern w:val="0"/>
                <w:sz w:val="24"/>
                <w:szCs w:val="24"/>
                <w:lang w:val="en-US" w:eastAsia="zh-CN" w:bidi="ar-SA"/>
              </w:rPr>
              <w:t>W</w:t>
            </w:r>
            <w:r>
              <w:rPr>
                <w:rFonts w:hint="eastAsia" w:ascii="宋体" w:hAnsi="宋体" w:eastAsia="宋体" w:cs="宋体"/>
                <w:b/>
                <w:color w:val="FFFFFF"/>
                <w:kern w:val="0"/>
                <w:sz w:val="24"/>
                <w:szCs w:val="24"/>
                <w:vertAlign w:val="superscript"/>
                <w:lang w:val="en-US" w:eastAsia="zh-CN" w:bidi="ar-SA"/>
              </w:rPr>
              <w:t>b</w:t>
            </w:r>
          </w:p>
          <w:p w14:paraId="224408BB">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min</w:t>
            </w:r>
          </w:p>
        </w:tc>
      </w:tr>
      <w:tr w14:paraId="4F9B3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4472C4"/>
            <w:vAlign w:val="center"/>
          </w:tcPr>
          <w:p w14:paraId="33BECABA">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bCs/>
                <w:color w:val="FFFFFF"/>
                <w:kern w:val="0"/>
                <w:sz w:val="24"/>
                <w:szCs w:val="24"/>
                <w:lang w:val="en-US" w:eastAsia="zh-CN" w:bidi="ar-SA"/>
              </w:rPr>
            </w:pPr>
            <w:r>
              <w:rPr>
                <w:rFonts w:hint="eastAsia" w:ascii="宋体" w:hAnsi="宋体" w:eastAsia="宋体" w:cs="宋体"/>
                <w:b/>
                <w:bCs/>
                <w:color w:val="FFFFFF"/>
                <w:kern w:val="0"/>
                <w:sz w:val="24"/>
                <w:szCs w:val="24"/>
                <w:lang w:val="en-US" w:eastAsia="zh-CN" w:bidi="ar-SA"/>
              </w:rPr>
              <w:t>4级</w:t>
            </w:r>
          </w:p>
        </w:tc>
        <w:tc>
          <w:tcPr>
            <w:tcW w:w="662" w:type="pct"/>
            <w:shd w:val="clear" w:color="auto" w:fill="4472C4"/>
            <w:vAlign w:val="center"/>
          </w:tcPr>
          <w:p w14:paraId="450AF83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bCs/>
                <w:color w:val="FFFFFF"/>
                <w:kern w:val="0"/>
                <w:sz w:val="24"/>
                <w:szCs w:val="24"/>
                <w:lang w:val="en-US" w:eastAsia="zh-CN" w:bidi="ar-SA"/>
              </w:rPr>
            </w:pPr>
            <w:r>
              <w:rPr>
                <w:rFonts w:hint="eastAsia" w:ascii="宋体" w:hAnsi="宋体" w:eastAsia="宋体" w:cs="宋体"/>
                <w:b/>
                <w:bCs/>
                <w:color w:val="FFFFFF"/>
                <w:kern w:val="0"/>
                <w:sz w:val="24"/>
                <w:szCs w:val="24"/>
                <w:lang w:val="en-US" w:eastAsia="zh-CN" w:bidi="ar-SA"/>
              </w:rPr>
              <w:t>6级</w:t>
            </w:r>
          </w:p>
        </w:tc>
        <w:tc>
          <w:tcPr>
            <w:tcW w:w="662" w:type="pct"/>
            <w:shd w:val="clear" w:color="auto" w:fill="4472C4"/>
            <w:vAlign w:val="center"/>
          </w:tcPr>
          <w:p w14:paraId="72A3688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b/>
                <w:bCs/>
                <w:color w:val="FFFFFF"/>
                <w:kern w:val="0"/>
                <w:sz w:val="24"/>
                <w:szCs w:val="24"/>
                <w:lang w:val="en-US" w:eastAsia="zh-CN" w:bidi="ar-SA"/>
              </w:rPr>
            </w:pPr>
            <w:r>
              <w:rPr>
                <w:rFonts w:hint="eastAsia" w:ascii="宋体" w:hAnsi="宋体" w:eastAsia="宋体" w:cs="宋体"/>
                <w:b/>
                <w:bCs/>
                <w:color w:val="FFFFFF"/>
                <w:kern w:val="0"/>
                <w:sz w:val="24"/>
                <w:szCs w:val="24"/>
                <w:lang w:val="en-US" w:eastAsia="zh-CN" w:bidi="ar-SA"/>
              </w:rPr>
              <w:t>8级</w:t>
            </w:r>
          </w:p>
        </w:tc>
        <w:tc>
          <w:tcPr>
            <w:tcW w:w="589" w:type="pct"/>
            <w:vMerge w:val="continue"/>
            <w:shd w:val="clear" w:color="auto" w:fill="auto"/>
            <w:vAlign w:val="center"/>
          </w:tcPr>
          <w:p w14:paraId="684A8B9A">
            <w:pPr>
              <w:pageBreakBefore w:val="0"/>
              <w:widowControl w:val="0"/>
              <w:kinsoku/>
              <w:wordWrap/>
              <w:overflowPunct/>
              <w:topLinePunct w:val="0"/>
              <w:bidi w:val="0"/>
              <w:spacing w:line="360" w:lineRule="auto"/>
              <w:ind w:firstLine="0" w:firstLineChars="0"/>
              <w:jc w:val="center"/>
              <w:rPr>
                <w:rFonts w:hint="eastAsia" w:ascii="宋体" w:hAnsi="宋体" w:eastAsia="宋体" w:cs="宋体"/>
                <w:color w:val="000000"/>
                <w:kern w:val="0"/>
                <w:sz w:val="24"/>
                <w:szCs w:val="24"/>
                <w:lang w:val="en-US" w:eastAsia="zh-CN" w:bidi="ar-SA"/>
              </w:rPr>
            </w:pPr>
          </w:p>
        </w:tc>
        <w:tc>
          <w:tcPr>
            <w:tcW w:w="589" w:type="pct"/>
            <w:vMerge w:val="continue"/>
            <w:shd w:val="clear" w:color="auto" w:fill="auto"/>
            <w:vAlign w:val="center"/>
          </w:tcPr>
          <w:p w14:paraId="72709913">
            <w:pPr>
              <w:pageBreakBefore w:val="0"/>
              <w:widowControl w:val="0"/>
              <w:kinsoku/>
              <w:wordWrap/>
              <w:overflowPunct/>
              <w:topLinePunct w:val="0"/>
              <w:bidi w:val="0"/>
              <w:spacing w:line="360" w:lineRule="auto"/>
              <w:ind w:firstLine="0" w:firstLineChars="0"/>
              <w:jc w:val="center"/>
              <w:rPr>
                <w:rFonts w:hint="eastAsia" w:ascii="宋体" w:hAnsi="宋体" w:eastAsia="宋体" w:cs="宋体"/>
                <w:color w:val="000000"/>
                <w:kern w:val="0"/>
                <w:sz w:val="24"/>
                <w:szCs w:val="24"/>
                <w:lang w:val="en-US" w:eastAsia="zh-CN" w:bidi="ar-SA"/>
              </w:rPr>
            </w:pPr>
          </w:p>
        </w:tc>
        <w:tc>
          <w:tcPr>
            <w:tcW w:w="675" w:type="pct"/>
            <w:vMerge w:val="continue"/>
            <w:shd w:val="clear" w:color="auto" w:fill="auto"/>
            <w:vAlign w:val="center"/>
          </w:tcPr>
          <w:p w14:paraId="0EA2A3DE">
            <w:pPr>
              <w:pageBreakBefore w:val="0"/>
              <w:widowControl w:val="0"/>
              <w:kinsoku/>
              <w:wordWrap/>
              <w:overflowPunct/>
              <w:topLinePunct w:val="0"/>
              <w:bidi w:val="0"/>
              <w:spacing w:line="360" w:lineRule="auto"/>
              <w:ind w:firstLine="0" w:firstLineChars="0"/>
              <w:jc w:val="center"/>
              <w:rPr>
                <w:rFonts w:hint="eastAsia" w:ascii="宋体" w:hAnsi="宋体" w:eastAsia="宋体" w:cs="宋体"/>
                <w:color w:val="000000"/>
                <w:kern w:val="0"/>
                <w:sz w:val="24"/>
                <w:szCs w:val="24"/>
                <w:lang w:val="en-US" w:eastAsia="zh-CN" w:bidi="ar-SA"/>
              </w:rPr>
            </w:pPr>
          </w:p>
        </w:tc>
        <w:tc>
          <w:tcPr>
            <w:tcW w:w="556" w:type="pct"/>
            <w:vMerge w:val="continue"/>
            <w:shd w:val="clear" w:color="auto" w:fill="auto"/>
            <w:vAlign w:val="center"/>
          </w:tcPr>
          <w:p w14:paraId="67B5EFF4">
            <w:pPr>
              <w:pageBreakBefore w:val="0"/>
              <w:widowControl w:val="0"/>
              <w:kinsoku/>
              <w:wordWrap/>
              <w:overflowPunct/>
              <w:topLinePunct w:val="0"/>
              <w:bidi w:val="0"/>
              <w:spacing w:line="360" w:lineRule="auto"/>
              <w:ind w:firstLine="0" w:firstLineChars="0"/>
              <w:jc w:val="center"/>
              <w:rPr>
                <w:rFonts w:hint="eastAsia" w:ascii="宋体" w:hAnsi="宋体" w:eastAsia="宋体" w:cs="宋体"/>
                <w:color w:val="000000"/>
                <w:kern w:val="0"/>
                <w:sz w:val="24"/>
                <w:szCs w:val="24"/>
                <w:lang w:val="en-US" w:eastAsia="zh-CN" w:bidi="ar-SA"/>
              </w:rPr>
            </w:pPr>
          </w:p>
        </w:tc>
        <w:tc>
          <w:tcPr>
            <w:tcW w:w="605" w:type="pct"/>
            <w:vMerge w:val="continue"/>
            <w:shd w:val="clear" w:color="auto" w:fill="auto"/>
            <w:vAlign w:val="center"/>
          </w:tcPr>
          <w:p w14:paraId="160CAE1F">
            <w:pPr>
              <w:pageBreakBefore w:val="0"/>
              <w:widowControl w:val="0"/>
              <w:kinsoku/>
              <w:wordWrap/>
              <w:overflowPunct/>
              <w:topLinePunct w:val="0"/>
              <w:bidi w:val="0"/>
              <w:spacing w:line="360" w:lineRule="auto"/>
              <w:ind w:firstLine="0" w:firstLineChars="0"/>
              <w:jc w:val="center"/>
              <w:rPr>
                <w:rFonts w:hint="eastAsia" w:ascii="宋体" w:hAnsi="宋体" w:eastAsia="宋体" w:cs="宋体"/>
                <w:color w:val="000000"/>
                <w:kern w:val="0"/>
                <w:sz w:val="24"/>
                <w:szCs w:val="24"/>
                <w:lang w:val="en-US" w:eastAsia="zh-CN" w:bidi="ar-SA"/>
              </w:rPr>
            </w:pPr>
          </w:p>
        </w:tc>
      </w:tr>
      <w:tr w14:paraId="072FE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6" w:type="pct"/>
            <w:gridSpan w:val="3"/>
            <w:shd w:val="clear" w:color="auto" w:fill="auto"/>
            <w:vAlign w:val="center"/>
          </w:tcPr>
          <w:p w14:paraId="78984ED0">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t</w:t>
            </w:r>
          </w:p>
        </w:tc>
        <w:tc>
          <w:tcPr>
            <w:tcW w:w="3014" w:type="pct"/>
            <w:gridSpan w:val="5"/>
            <w:shd w:val="clear" w:color="auto" w:fill="auto"/>
            <w:vAlign w:val="center"/>
          </w:tcPr>
          <w:p w14:paraId="20925AD0">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mm</w:t>
            </w:r>
          </w:p>
        </w:tc>
      </w:tr>
      <w:tr w14:paraId="4B0DB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6B017F6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w:t>
            </w:r>
          </w:p>
        </w:tc>
        <w:tc>
          <w:tcPr>
            <w:tcW w:w="662" w:type="pct"/>
            <w:shd w:val="clear" w:color="auto" w:fill="auto"/>
            <w:vAlign w:val="center"/>
          </w:tcPr>
          <w:p w14:paraId="5426D973">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w:t>
            </w:r>
          </w:p>
        </w:tc>
        <w:tc>
          <w:tcPr>
            <w:tcW w:w="662" w:type="pct"/>
            <w:shd w:val="clear" w:color="auto" w:fill="auto"/>
            <w:vAlign w:val="center"/>
          </w:tcPr>
          <w:p w14:paraId="60A5ACE8">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w:t>
            </w:r>
          </w:p>
        </w:tc>
        <w:tc>
          <w:tcPr>
            <w:tcW w:w="589" w:type="pct"/>
            <w:shd w:val="clear" w:color="auto" w:fill="auto"/>
            <w:vAlign w:val="center"/>
          </w:tcPr>
          <w:p w14:paraId="11EA3D87">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31.5</w:t>
            </w:r>
          </w:p>
        </w:tc>
        <w:tc>
          <w:tcPr>
            <w:tcW w:w="589" w:type="pct"/>
            <w:shd w:val="clear" w:color="auto" w:fill="auto"/>
            <w:vAlign w:val="center"/>
          </w:tcPr>
          <w:p w14:paraId="5CC80D4B">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35.5</w:t>
            </w:r>
          </w:p>
        </w:tc>
        <w:tc>
          <w:tcPr>
            <w:tcW w:w="675" w:type="pct"/>
            <w:shd w:val="clear" w:color="auto" w:fill="auto"/>
            <w:vAlign w:val="center"/>
          </w:tcPr>
          <w:p w14:paraId="50208A9F">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78.1</w:t>
            </w:r>
          </w:p>
        </w:tc>
        <w:tc>
          <w:tcPr>
            <w:tcW w:w="556" w:type="pct"/>
            <w:shd w:val="clear" w:color="auto" w:fill="auto"/>
            <w:vAlign w:val="center"/>
          </w:tcPr>
          <w:p w14:paraId="6CC11A61">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71</w:t>
            </w:r>
          </w:p>
        </w:tc>
        <w:tc>
          <w:tcPr>
            <w:tcW w:w="605" w:type="pct"/>
            <w:shd w:val="clear" w:color="auto" w:fill="auto"/>
            <w:vAlign w:val="center"/>
          </w:tcPr>
          <w:p w14:paraId="526EC52F">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35.5</w:t>
            </w:r>
          </w:p>
        </w:tc>
      </w:tr>
      <w:tr w14:paraId="29724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5AD9EF4">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662" w:type="pct"/>
            <w:shd w:val="clear" w:color="auto" w:fill="auto"/>
            <w:vAlign w:val="center"/>
          </w:tcPr>
          <w:p w14:paraId="3361279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w:t>
            </w:r>
          </w:p>
        </w:tc>
        <w:tc>
          <w:tcPr>
            <w:tcW w:w="662" w:type="pct"/>
            <w:shd w:val="clear" w:color="auto" w:fill="auto"/>
            <w:vAlign w:val="center"/>
          </w:tcPr>
          <w:p w14:paraId="781210F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12.5</w:t>
            </w:r>
          </w:p>
        </w:tc>
        <w:tc>
          <w:tcPr>
            <w:tcW w:w="589" w:type="pct"/>
            <w:shd w:val="clear" w:color="auto" w:fill="auto"/>
            <w:vAlign w:val="center"/>
          </w:tcPr>
          <w:p w14:paraId="581E9970">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35.5</w:t>
            </w:r>
          </w:p>
        </w:tc>
        <w:tc>
          <w:tcPr>
            <w:tcW w:w="589" w:type="pct"/>
            <w:shd w:val="clear" w:color="auto" w:fill="auto"/>
            <w:vAlign w:val="center"/>
          </w:tcPr>
          <w:p w14:paraId="19F5B167">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675" w:type="pct"/>
            <w:shd w:val="clear" w:color="auto" w:fill="auto"/>
            <w:vAlign w:val="center"/>
          </w:tcPr>
          <w:p w14:paraId="7B6B867C">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88</w:t>
            </w:r>
          </w:p>
        </w:tc>
        <w:tc>
          <w:tcPr>
            <w:tcW w:w="556" w:type="pct"/>
            <w:shd w:val="clear" w:color="auto" w:fill="auto"/>
            <w:vAlign w:val="center"/>
          </w:tcPr>
          <w:p w14:paraId="74F1CFE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c>
          <w:tcPr>
            <w:tcW w:w="605" w:type="pct"/>
            <w:shd w:val="clear" w:color="auto" w:fill="auto"/>
            <w:vAlign w:val="center"/>
          </w:tcPr>
          <w:p w14:paraId="3D71345F">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r>
      <w:tr w14:paraId="373BB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284D7E03">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w:t>
            </w:r>
          </w:p>
        </w:tc>
        <w:tc>
          <w:tcPr>
            <w:tcW w:w="662" w:type="pct"/>
            <w:shd w:val="clear" w:color="auto" w:fill="auto"/>
            <w:vAlign w:val="center"/>
          </w:tcPr>
          <w:p w14:paraId="7CFF217F">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12.5</w:t>
            </w:r>
          </w:p>
        </w:tc>
        <w:tc>
          <w:tcPr>
            <w:tcW w:w="662" w:type="pct"/>
            <w:shd w:val="clear" w:color="auto" w:fill="auto"/>
            <w:vAlign w:val="center"/>
          </w:tcPr>
          <w:p w14:paraId="7128779B">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16</w:t>
            </w:r>
          </w:p>
        </w:tc>
        <w:tc>
          <w:tcPr>
            <w:tcW w:w="589" w:type="pct"/>
            <w:shd w:val="clear" w:color="auto" w:fill="auto"/>
            <w:vAlign w:val="center"/>
          </w:tcPr>
          <w:p w14:paraId="254CFCE9">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589" w:type="pct"/>
            <w:shd w:val="clear" w:color="auto" w:fill="auto"/>
            <w:vAlign w:val="center"/>
          </w:tcPr>
          <w:p w14:paraId="264CCF32">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45</w:t>
            </w:r>
          </w:p>
        </w:tc>
        <w:tc>
          <w:tcPr>
            <w:tcW w:w="675" w:type="pct"/>
            <w:shd w:val="clear" w:color="auto" w:fill="auto"/>
            <w:vAlign w:val="center"/>
          </w:tcPr>
          <w:p w14:paraId="70D98C6C">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99</w:t>
            </w:r>
          </w:p>
        </w:tc>
        <w:tc>
          <w:tcPr>
            <w:tcW w:w="556" w:type="pct"/>
            <w:shd w:val="clear" w:color="auto" w:fill="auto"/>
            <w:vAlign w:val="center"/>
          </w:tcPr>
          <w:p w14:paraId="7C7FE62C">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90</w:t>
            </w:r>
          </w:p>
        </w:tc>
        <w:tc>
          <w:tcPr>
            <w:tcW w:w="605" w:type="pct"/>
            <w:shd w:val="clear" w:color="auto" w:fill="auto"/>
            <w:vAlign w:val="center"/>
          </w:tcPr>
          <w:p w14:paraId="1F4DE91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45</w:t>
            </w:r>
          </w:p>
        </w:tc>
      </w:tr>
      <w:tr w14:paraId="586BB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EB4CCB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w:t>
            </w:r>
          </w:p>
        </w:tc>
        <w:tc>
          <w:tcPr>
            <w:tcW w:w="662" w:type="pct"/>
            <w:shd w:val="clear" w:color="auto" w:fill="auto"/>
            <w:vAlign w:val="center"/>
          </w:tcPr>
          <w:p w14:paraId="001F748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16</w:t>
            </w:r>
          </w:p>
        </w:tc>
        <w:tc>
          <w:tcPr>
            <w:tcW w:w="662" w:type="pct"/>
            <w:shd w:val="clear" w:color="auto" w:fill="auto"/>
            <w:vAlign w:val="center"/>
          </w:tcPr>
          <w:p w14:paraId="097C25ED">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w:t>
            </w:r>
          </w:p>
        </w:tc>
        <w:tc>
          <w:tcPr>
            <w:tcW w:w="589" w:type="pct"/>
            <w:shd w:val="clear" w:color="auto" w:fill="auto"/>
            <w:vAlign w:val="center"/>
          </w:tcPr>
          <w:p w14:paraId="505AA204">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45</w:t>
            </w:r>
          </w:p>
        </w:tc>
        <w:tc>
          <w:tcPr>
            <w:tcW w:w="589" w:type="pct"/>
            <w:shd w:val="clear" w:color="auto" w:fill="auto"/>
            <w:vAlign w:val="center"/>
          </w:tcPr>
          <w:p w14:paraId="03B56DC9">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c>
          <w:tcPr>
            <w:tcW w:w="675" w:type="pct"/>
            <w:shd w:val="clear" w:color="auto" w:fill="auto"/>
            <w:vAlign w:val="center"/>
          </w:tcPr>
          <w:p w14:paraId="40FB9A3C">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110</w:t>
            </w:r>
          </w:p>
        </w:tc>
        <w:tc>
          <w:tcPr>
            <w:tcW w:w="556" w:type="pct"/>
            <w:shd w:val="clear" w:color="auto" w:fill="auto"/>
            <w:vAlign w:val="center"/>
          </w:tcPr>
          <w:p w14:paraId="1673576D">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100</w:t>
            </w:r>
          </w:p>
        </w:tc>
        <w:tc>
          <w:tcPr>
            <w:tcW w:w="605" w:type="pct"/>
            <w:shd w:val="clear" w:color="auto" w:fill="auto"/>
            <w:vAlign w:val="center"/>
          </w:tcPr>
          <w:p w14:paraId="088311A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r>
      <w:tr w14:paraId="09122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2AFD323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12.5</w:t>
            </w:r>
          </w:p>
        </w:tc>
        <w:tc>
          <w:tcPr>
            <w:tcW w:w="662" w:type="pct"/>
            <w:shd w:val="clear" w:color="auto" w:fill="auto"/>
            <w:vAlign w:val="center"/>
          </w:tcPr>
          <w:p w14:paraId="03A100D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w:t>
            </w:r>
          </w:p>
        </w:tc>
        <w:tc>
          <w:tcPr>
            <w:tcW w:w="662" w:type="pct"/>
            <w:shd w:val="clear" w:color="auto" w:fill="auto"/>
            <w:vAlign w:val="center"/>
          </w:tcPr>
          <w:p w14:paraId="17B7BA5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25</w:t>
            </w:r>
          </w:p>
        </w:tc>
        <w:tc>
          <w:tcPr>
            <w:tcW w:w="589" w:type="pct"/>
            <w:shd w:val="clear" w:color="auto" w:fill="auto"/>
            <w:vAlign w:val="center"/>
          </w:tcPr>
          <w:p w14:paraId="3E83596C">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c>
          <w:tcPr>
            <w:tcW w:w="589" w:type="pct"/>
            <w:shd w:val="clear" w:color="auto" w:fill="auto"/>
            <w:vAlign w:val="center"/>
          </w:tcPr>
          <w:p w14:paraId="3666572D">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56</w:t>
            </w:r>
          </w:p>
        </w:tc>
        <w:tc>
          <w:tcPr>
            <w:tcW w:w="675" w:type="pct"/>
            <w:shd w:val="clear" w:color="auto" w:fill="auto"/>
            <w:vAlign w:val="center"/>
          </w:tcPr>
          <w:p w14:paraId="2DCEC51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123.2</w:t>
            </w:r>
          </w:p>
        </w:tc>
        <w:tc>
          <w:tcPr>
            <w:tcW w:w="556" w:type="pct"/>
            <w:shd w:val="clear" w:color="auto" w:fill="auto"/>
            <w:vAlign w:val="center"/>
          </w:tcPr>
          <w:p w14:paraId="02895663">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112</w:t>
            </w:r>
          </w:p>
        </w:tc>
        <w:tc>
          <w:tcPr>
            <w:tcW w:w="605" w:type="pct"/>
            <w:shd w:val="clear" w:color="auto" w:fill="auto"/>
            <w:vAlign w:val="center"/>
          </w:tcPr>
          <w:p w14:paraId="59FF5928">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56</w:t>
            </w:r>
          </w:p>
        </w:tc>
      </w:tr>
      <w:tr w14:paraId="78CCB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5A4206D">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16</w:t>
            </w:r>
          </w:p>
        </w:tc>
        <w:tc>
          <w:tcPr>
            <w:tcW w:w="662" w:type="pct"/>
            <w:shd w:val="clear" w:color="auto" w:fill="auto"/>
            <w:vAlign w:val="center"/>
          </w:tcPr>
          <w:p w14:paraId="792F8B89">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25</w:t>
            </w:r>
          </w:p>
        </w:tc>
        <w:tc>
          <w:tcPr>
            <w:tcW w:w="662" w:type="pct"/>
            <w:shd w:val="clear" w:color="auto" w:fill="auto"/>
            <w:vAlign w:val="center"/>
          </w:tcPr>
          <w:p w14:paraId="6742946B">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32</w:t>
            </w:r>
          </w:p>
        </w:tc>
        <w:tc>
          <w:tcPr>
            <w:tcW w:w="589" w:type="pct"/>
            <w:shd w:val="clear" w:color="auto" w:fill="auto"/>
            <w:vAlign w:val="center"/>
          </w:tcPr>
          <w:p w14:paraId="0CB32FE7">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56</w:t>
            </w:r>
          </w:p>
        </w:tc>
        <w:tc>
          <w:tcPr>
            <w:tcW w:w="589" w:type="pct"/>
            <w:shd w:val="clear" w:color="auto" w:fill="auto"/>
            <w:vAlign w:val="center"/>
          </w:tcPr>
          <w:p w14:paraId="64852A8A">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675" w:type="pct"/>
            <w:shd w:val="clear" w:color="auto" w:fill="auto"/>
            <w:vAlign w:val="center"/>
          </w:tcPr>
          <w:p w14:paraId="58A035E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138.6</w:t>
            </w:r>
          </w:p>
        </w:tc>
        <w:tc>
          <w:tcPr>
            <w:tcW w:w="556" w:type="pct"/>
            <w:shd w:val="clear" w:color="auto" w:fill="auto"/>
            <w:vAlign w:val="center"/>
          </w:tcPr>
          <w:p w14:paraId="77B7C6E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125</w:t>
            </w:r>
          </w:p>
        </w:tc>
        <w:tc>
          <w:tcPr>
            <w:tcW w:w="605" w:type="pct"/>
            <w:shd w:val="clear" w:color="auto" w:fill="auto"/>
            <w:vAlign w:val="center"/>
          </w:tcPr>
          <w:p w14:paraId="7EDFC679">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r>
      <w:tr w14:paraId="613CD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DCCA5BF">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w:t>
            </w:r>
          </w:p>
        </w:tc>
        <w:tc>
          <w:tcPr>
            <w:tcW w:w="662" w:type="pct"/>
            <w:shd w:val="clear" w:color="auto" w:fill="auto"/>
            <w:vAlign w:val="center"/>
          </w:tcPr>
          <w:p w14:paraId="53FE7F28">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32</w:t>
            </w:r>
          </w:p>
        </w:tc>
        <w:tc>
          <w:tcPr>
            <w:tcW w:w="662" w:type="pct"/>
            <w:shd w:val="clear" w:color="auto" w:fill="auto"/>
            <w:vAlign w:val="center"/>
          </w:tcPr>
          <w:p w14:paraId="4943B683">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589" w:type="pct"/>
            <w:shd w:val="clear" w:color="auto" w:fill="auto"/>
            <w:vAlign w:val="center"/>
          </w:tcPr>
          <w:p w14:paraId="48B55EBE">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589" w:type="pct"/>
            <w:shd w:val="clear" w:color="auto" w:fill="auto"/>
            <w:vAlign w:val="center"/>
          </w:tcPr>
          <w:p w14:paraId="62765E28">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71</w:t>
            </w:r>
          </w:p>
        </w:tc>
        <w:tc>
          <w:tcPr>
            <w:tcW w:w="675" w:type="pct"/>
            <w:shd w:val="clear" w:color="auto" w:fill="auto"/>
            <w:vAlign w:val="center"/>
          </w:tcPr>
          <w:p w14:paraId="3E84C9A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156.2</w:t>
            </w:r>
          </w:p>
        </w:tc>
        <w:tc>
          <w:tcPr>
            <w:tcW w:w="556" w:type="pct"/>
            <w:shd w:val="clear" w:color="auto" w:fill="auto"/>
            <w:vAlign w:val="center"/>
          </w:tcPr>
          <w:p w14:paraId="7FC326FB">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140</w:t>
            </w:r>
          </w:p>
        </w:tc>
        <w:tc>
          <w:tcPr>
            <w:tcW w:w="605" w:type="pct"/>
            <w:shd w:val="clear" w:color="auto" w:fill="auto"/>
            <w:vAlign w:val="center"/>
          </w:tcPr>
          <w:p w14:paraId="255939DC">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71</w:t>
            </w:r>
          </w:p>
        </w:tc>
      </w:tr>
      <w:tr w14:paraId="1FF56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66E7A5C">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25</w:t>
            </w:r>
          </w:p>
        </w:tc>
        <w:tc>
          <w:tcPr>
            <w:tcW w:w="662" w:type="pct"/>
            <w:shd w:val="clear" w:color="auto" w:fill="auto"/>
            <w:vAlign w:val="center"/>
          </w:tcPr>
          <w:p w14:paraId="58BC89D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662" w:type="pct"/>
            <w:shd w:val="clear" w:color="auto" w:fill="auto"/>
            <w:vAlign w:val="center"/>
          </w:tcPr>
          <w:p w14:paraId="5AC5E4E2">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c>
          <w:tcPr>
            <w:tcW w:w="589" w:type="pct"/>
            <w:shd w:val="clear" w:color="auto" w:fill="auto"/>
            <w:vAlign w:val="center"/>
          </w:tcPr>
          <w:p w14:paraId="1CD014C0">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71</w:t>
            </w:r>
          </w:p>
        </w:tc>
        <w:tc>
          <w:tcPr>
            <w:tcW w:w="589" w:type="pct"/>
            <w:shd w:val="clear" w:color="auto" w:fill="auto"/>
            <w:vAlign w:val="center"/>
          </w:tcPr>
          <w:p w14:paraId="1FBA1D16">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c>
          <w:tcPr>
            <w:tcW w:w="675" w:type="pct"/>
            <w:shd w:val="clear" w:color="auto" w:fill="auto"/>
            <w:vAlign w:val="center"/>
          </w:tcPr>
          <w:p w14:paraId="2E2CE933">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178</w:t>
            </w:r>
          </w:p>
        </w:tc>
        <w:tc>
          <w:tcPr>
            <w:tcW w:w="556" w:type="pct"/>
            <w:shd w:val="clear" w:color="auto" w:fill="auto"/>
            <w:vAlign w:val="center"/>
          </w:tcPr>
          <w:p w14:paraId="75C1A42E">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160</w:t>
            </w:r>
          </w:p>
        </w:tc>
        <w:tc>
          <w:tcPr>
            <w:tcW w:w="605" w:type="pct"/>
            <w:shd w:val="clear" w:color="auto" w:fill="auto"/>
            <w:vAlign w:val="center"/>
          </w:tcPr>
          <w:p w14:paraId="362DC152">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r>
      <w:tr w14:paraId="24738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6C7E23DF">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32</w:t>
            </w:r>
          </w:p>
        </w:tc>
        <w:tc>
          <w:tcPr>
            <w:tcW w:w="662" w:type="pct"/>
            <w:shd w:val="clear" w:color="auto" w:fill="auto"/>
            <w:vAlign w:val="center"/>
          </w:tcPr>
          <w:p w14:paraId="5C58A389">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c>
          <w:tcPr>
            <w:tcW w:w="662" w:type="pct"/>
            <w:shd w:val="clear" w:color="auto" w:fill="auto"/>
            <w:vAlign w:val="center"/>
          </w:tcPr>
          <w:p w14:paraId="3AAA43AD">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589" w:type="pct"/>
            <w:shd w:val="clear" w:color="auto" w:fill="auto"/>
            <w:vAlign w:val="center"/>
          </w:tcPr>
          <w:p w14:paraId="19F9D0F4">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c>
          <w:tcPr>
            <w:tcW w:w="589" w:type="pct"/>
            <w:shd w:val="clear" w:color="auto" w:fill="auto"/>
            <w:vAlign w:val="center"/>
          </w:tcPr>
          <w:p w14:paraId="3C48EC4E">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90</w:t>
            </w:r>
          </w:p>
        </w:tc>
        <w:tc>
          <w:tcPr>
            <w:tcW w:w="675" w:type="pct"/>
            <w:shd w:val="clear" w:color="auto" w:fill="auto"/>
            <w:vAlign w:val="center"/>
          </w:tcPr>
          <w:p w14:paraId="4BBFE9AA">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198</w:t>
            </w:r>
          </w:p>
        </w:tc>
        <w:tc>
          <w:tcPr>
            <w:tcW w:w="556" w:type="pct"/>
            <w:shd w:val="clear" w:color="auto" w:fill="auto"/>
            <w:vAlign w:val="center"/>
          </w:tcPr>
          <w:p w14:paraId="0AC6AE3C">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180</w:t>
            </w:r>
          </w:p>
        </w:tc>
        <w:tc>
          <w:tcPr>
            <w:tcW w:w="605" w:type="pct"/>
            <w:shd w:val="clear" w:color="auto" w:fill="auto"/>
            <w:vAlign w:val="center"/>
          </w:tcPr>
          <w:p w14:paraId="6CCC64CA">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90</w:t>
            </w:r>
          </w:p>
        </w:tc>
      </w:tr>
      <w:tr w14:paraId="3B564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21CA489C">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662" w:type="pct"/>
            <w:shd w:val="clear" w:color="auto" w:fill="auto"/>
            <w:vAlign w:val="center"/>
          </w:tcPr>
          <w:p w14:paraId="256D7669">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662" w:type="pct"/>
            <w:shd w:val="clear" w:color="auto" w:fill="auto"/>
            <w:vAlign w:val="center"/>
          </w:tcPr>
          <w:p w14:paraId="2554C500">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c>
          <w:tcPr>
            <w:tcW w:w="589" w:type="pct"/>
            <w:shd w:val="clear" w:color="auto" w:fill="auto"/>
            <w:vAlign w:val="center"/>
          </w:tcPr>
          <w:p w14:paraId="14E90027">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90</w:t>
            </w:r>
          </w:p>
        </w:tc>
        <w:tc>
          <w:tcPr>
            <w:tcW w:w="589" w:type="pct"/>
            <w:shd w:val="clear" w:color="auto" w:fill="auto"/>
            <w:vAlign w:val="center"/>
          </w:tcPr>
          <w:p w14:paraId="4994D4A2">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100</w:t>
            </w:r>
          </w:p>
        </w:tc>
        <w:tc>
          <w:tcPr>
            <w:tcW w:w="675" w:type="pct"/>
            <w:shd w:val="clear" w:color="auto" w:fill="auto"/>
            <w:vAlign w:val="center"/>
          </w:tcPr>
          <w:p w14:paraId="05BE0DC9">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220</w:t>
            </w:r>
          </w:p>
        </w:tc>
        <w:tc>
          <w:tcPr>
            <w:tcW w:w="556" w:type="pct"/>
            <w:shd w:val="clear" w:color="auto" w:fill="auto"/>
            <w:vAlign w:val="center"/>
          </w:tcPr>
          <w:p w14:paraId="3D364627">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200</w:t>
            </w:r>
          </w:p>
        </w:tc>
        <w:tc>
          <w:tcPr>
            <w:tcW w:w="605" w:type="pct"/>
            <w:shd w:val="clear" w:color="auto" w:fill="auto"/>
            <w:vAlign w:val="center"/>
          </w:tcPr>
          <w:p w14:paraId="2E844225">
            <w:pPr>
              <w:keepNext w:val="0"/>
              <w:keepLines w:val="0"/>
              <w:pageBreakBefore w:val="0"/>
              <w:widowControl w:val="0"/>
              <w:kinsoku/>
              <w:wordWrap/>
              <w:overflowPunct/>
              <w:topLinePunct w:val="0"/>
              <w:autoSpaceDE/>
              <w:autoSpaceDN/>
              <w:bidi w:val="0"/>
              <w:snapToGrid/>
              <w:spacing w:line="36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100</w:t>
            </w:r>
          </w:p>
        </w:tc>
      </w:tr>
    </w:tbl>
    <w:p w14:paraId="7D6ADD64">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四点吊的塔吊主要部件</w:t>
      </w:r>
      <w:r>
        <w:rPr>
          <w:rFonts w:hint="eastAsia" w:ascii="宋体" w:hAnsi="宋体" w:eastAsia="宋体" w:cs="宋体"/>
          <w:sz w:val="24"/>
          <w:szCs w:val="24"/>
          <w:lang w:val="en-US" w:eastAsia="zh-CN"/>
        </w:rPr>
        <w:t>为平衡臂</w:t>
      </w:r>
      <w:r>
        <w:rPr>
          <w:rFonts w:hint="eastAsia" w:ascii="宋体" w:hAnsi="宋体" w:eastAsia="宋体" w:cs="宋体"/>
          <w:sz w:val="24"/>
          <w:szCs w:val="24"/>
          <w:highlight w:val="none"/>
          <w:lang w:eastAsia="zh-CN"/>
        </w:rPr>
        <w:t>，</w:t>
      </w:r>
      <w:r>
        <w:rPr>
          <w:rFonts w:hint="eastAsia" w:ascii="宋体" w:hAnsi="宋体" w:eastAsia="宋体" w:cs="宋体"/>
          <w:sz w:val="24"/>
          <w:szCs w:val="24"/>
          <w:lang w:val="en-US" w:eastAsia="zh-CN"/>
        </w:rPr>
        <w:t>平衡臂</w:t>
      </w:r>
      <w:r>
        <w:rPr>
          <w:rFonts w:hint="eastAsia" w:ascii="宋体" w:hAnsi="宋体" w:eastAsia="宋体" w:cs="宋体"/>
          <w:sz w:val="24"/>
          <w:szCs w:val="24"/>
        </w:rPr>
        <w:t>最大重量约</w:t>
      </w:r>
      <w:r>
        <w:rPr>
          <w:rFonts w:hint="eastAsia" w:ascii="宋体" w:hAnsi="宋体" w:eastAsia="宋体" w:cs="宋体"/>
          <w:sz w:val="24"/>
          <w:szCs w:val="24"/>
          <w:lang w:val="en-US" w:eastAsia="zh-CN"/>
        </w:rPr>
        <w:t>5.027</w:t>
      </w:r>
      <w:r>
        <w:rPr>
          <w:rFonts w:hint="eastAsia" w:ascii="宋体" w:hAnsi="宋体" w:eastAsia="宋体" w:cs="宋体"/>
          <w:sz w:val="24"/>
          <w:szCs w:val="24"/>
        </w:rPr>
        <w:t>t，钢丝绳连接卸扣工作荷载：</w:t>
      </w:r>
    </w:p>
    <w:p w14:paraId="72C8DF82">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m:oMath>
        <m:r>
          <m:rPr>
            <m:nor/>
            <m:sty m:val="p"/>
          </m:rPr>
          <w:rPr>
            <w:rFonts w:hint="eastAsia" w:ascii="Cambria Math" w:hAnsi="Cambria Math" w:eastAsia="宋体" w:cs="宋体"/>
            <w:b w:val="0"/>
            <w:i w:val="0"/>
            <w:sz w:val="24"/>
            <w:szCs w:val="24"/>
          </w:rPr>
          <m:t>WL</m:t>
        </m:r>
        <m:sSub>
          <m:sSubPr>
            <m:ctrlPr>
              <w:rPr>
                <w:rFonts w:hint="eastAsia" w:ascii="Cambria Math" w:hAnsi="Cambria Math" w:eastAsia="宋体" w:cs="宋体"/>
                <w:i/>
                <w:sz w:val="24"/>
                <w:szCs w:val="24"/>
              </w:rPr>
            </m:ctrlPr>
          </m:sSubPr>
          <m:e>
            <m:r>
              <m:rPr>
                <m:nor/>
                <m:sty m:val="p"/>
              </m:rPr>
              <w:rPr>
                <w:rFonts w:hint="eastAsia" w:ascii="Cambria Math" w:hAnsi="Cambria Math" w:eastAsia="宋体" w:cs="宋体"/>
                <w:b w:val="0"/>
                <w:i w:val="0"/>
                <w:sz w:val="24"/>
                <w:szCs w:val="24"/>
              </w:rPr>
              <m:t>L</m:t>
            </m:r>
            <m:ctrlPr>
              <w:rPr>
                <w:rFonts w:hint="eastAsia" w:ascii="Cambria Math" w:hAnsi="Cambria Math" w:eastAsia="宋体" w:cs="宋体"/>
                <w:i/>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i/>
                <w:sz w:val="24"/>
                <w:szCs w:val="24"/>
              </w:rPr>
            </m:ctrlPr>
          </m:sub>
        </m:sSub>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i/>
                <w:sz w:val="24"/>
                <w:szCs w:val="24"/>
              </w:rPr>
            </m:ctrlPr>
          </m:fPr>
          <m:num>
            <m:r>
              <m:rPr/>
              <w:rPr>
                <w:rFonts w:hint="default" w:ascii="Cambria Math" w:hAnsi="Cambria Math" w:cs="宋体"/>
                <w:sz w:val="24"/>
                <w:szCs w:val="24"/>
                <w:lang w:val="en-US" w:eastAsia="zh-CN"/>
              </w:rPr>
              <m:t>125.37</m:t>
            </m:r>
            <m:ctrlPr>
              <w:rPr>
                <w:rFonts w:hint="eastAsia" w:ascii="Cambria Math" w:hAnsi="Cambria Math" w:eastAsia="宋体" w:cs="宋体"/>
                <w:i/>
                <w:sz w:val="24"/>
                <w:szCs w:val="24"/>
              </w:rPr>
            </m:ctrlPr>
          </m:num>
          <m:den>
            <m:r>
              <m:rPr>
                <m:nor/>
                <m:sty m:val="p"/>
              </m:rPr>
              <w:rPr>
                <w:rFonts w:hint="eastAsia" w:ascii="Cambria Math" w:hAnsi="Cambria Math" w:eastAsia="宋体" w:cs="宋体"/>
                <w:b w:val="0"/>
                <w:i w:val="0"/>
                <w:sz w:val="24"/>
                <w:szCs w:val="24"/>
              </w:rPr>
              <m:t>6</m:t>
            </m:r>
            <m:ctrlPr>
              <w:rPr>
                <w:rFonts w:hint="eastAsia" w:ascii="Cambria Math" w:hAnsi="Cambria Math" w:eastAsia="宋体" w:cs="宋体"/>
                <w:i/>
                <w:sz w:val="24"/>
                <w:szCs w:val="24"/>
              </w:rPr>
            </m:ctrlPr>
          </m:den>
        </m:f>
        <m:r>
          <m:rPr>
            <m:nor/>
            <m:sty m:val="p"/>
          </m:rPr>
          <w:rPr>
            <w:rFonts w:hint="eastAsia" w:ascii="Cambria Math" w:hAnsi="Cambria Math" w:eastAsia="宋体" w:cs="宋体"/>
            <w:b w:val="0"/>
            <w:i w:val="0"/>
            <w:sz w:val="24"/>
            <w:szCs w:val="24"/>
          </w:rPr>
          <m:t>=</m:t>
        </m:r>
        <m:r>
          <m:rPr>
            <m:nor/>
            <m:sty m:val="p"/>
          </m:rPr>
          <w:rPr>
            <w:rFonts w:hint="default" w:ascii="Cambria Math" w:hAnsi="Cambria Math" w:cs="宋体"/>
            <w:b w:val="0"/>
            <w:i w:val="0"/>
            <w:sz w:val="24"/>
            <w:szCs w:val="24"/>
            <w:lang w:val="en-US" w:eastAsia="zh-CN"/>
          </w:rPr>
          <m:t>20.90</m:t>
        </m:r>
        <m:r>
          <m:rPr>
            <m:nor/>
            <m:sty m:val="p"/>
          </m:rPr>
          <w:rPr>
            <w:rFonts w:hint="eastAsia" w:ascii="Cambria Math" w:hAnsi="Cambria Math" w:eastAsia="宋体" w:cs="宋体"/>
            <w:b w:val="0"/>
            <w:i w:val="0"/>
            <w:sz w:val="24"/>
            <w:szCs w:val="24"/>
          </w:rPr>
          <m:t>kN</m:t>
        </m:r>
      </m:oMath>
      <w:r>
        <w:rPr>
          <w:rFonts w:hint="eastAsia" w:ascii="宋体" w:hAnsi="宋体" w:eastAsia="宋体" w:cs="宋体"/>
          <w:sz w:val="24"/>
          <w:szCs w:val="24"/>
        </w:rPr>
        <w:t>，选用卸扣</w:t>
      </w:r>
      <w:r>
        <w:rPr>
          <w:rFonts w:hint="eastAsia" w:ascii="宋体" w:hAnsi="宋体" w:eastAsia="宋体" w:cs="宋体"/>
          <w:sz w:val="24"/>
          <w:szCs w:val="24"/>
          <w:highlight w:val="none"/>
        </w:rPr>
        <w:t>GB/T25854-6-DW</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p w14:paraId="5BB78EDF">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两</w:t>
      </w:r>
      <w:r>
        <w:rPr>
          <w:rFonts w:hint="eastAsia" w:ascii="宋体" w:hAnsi="宋体" w:eastAsia="宋体" w:cs="宋体"/>
          <w:sz w:val="24"/>
          <w:szCs w:val="24"/>
        </w:rPr>
        <w:t>点吊的塔吊主要部件</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起重臂总成</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起重臂总成起</w:t>
      </w:r>
      <w:r>
        <w:rPr>
          <w:rFonts w:hint="eastAsia" w:ascii="宋体" w:hAnsi="宋体" w:eastAsia="宋体" w:cs="宋体"/>
          <w:sz w:val="24"/>
          <w:szCs w:val="24"/>
        </w:rPr>
        <w:t>重量约</w:t>
      </w:r>
      <w:r>
        <w:rPr>
          <w:rFonts w:hint="eastAsia" w:ascii="宋体" w:hAnsi="宋体" w:cs="宋体"/>
          <w:sz w:val="24"/>
          <w:szCs w:val="24"/>
          <w:lang w:val="en-US" w:eastAsia="zh-CN"/>
        </w:rPr>
        <w:t>5.618</w:t>
      </w:r>
      <w:r>
        <w:rPr>
          <w:rFonts w:hint="eastAsia" w:ascii="宋体" w:hAnsi="宋体" w:eastAsia="宋体" w:cs="宋体"/>
          <w:sz w:val="24"/>
          <w:szCs w:val="24"/>
        </w:rPr>
        <w:t>t，钢丝绳连接卸扣工作荷载：</w:t>
      </w:r>
    </w:p>
    <w:p w14:paraId="26138AB5">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sz w:val="24"/>
          <w:szCs w:val="24"/>
        </w:rPr>
      </w:pPr>
      <m:oMath>
        <m:r>
          <m:rPr>
            <m:nor/>
            <m:sty m:val="p"/>
          </m:rPr>
          <w:rPr>
            <w:rFonts w:hint="eastAsia" w:ascii="Cambria Math" w:hAnsi="Cambria Math" w:eastAsia="宋体" w:cs="宋体"/>
            <w:b w:val="0"/>
            <w:i w:val="0"/>
            <w:sz w:val="24"/>
            <w:szCs w:val="24"/>
          </w:rPr>
          <m:t>WL</m:t>
        </m:r>
        <m:sSub>
          <m:sSubPr>
            <m:ctrlPr>
              <w:rPr>
                <w:rFonts w:hint="eastAsia" w:ascii="Cambria Math" w:hAnsi="Cambria Math" w:eastAsia="宋体" w:cs="宋体"/>
                <w:i/>
                <w:sz w:val="24"/>
                <w:szCs w:val="24"/>
              </w:rPr>
            </m:ctrlPr>
          </m:sSubPr>
          <m:e>
            <m:r>
              <m:rPr>
                <m:nor/>
                <m:sty m:val="p"/>
              </m:rPr>
              <w:rPr>
                <w:rFonts w:hint="eastAsia" w:ascii="Cambria Math" w:hAnsi="Cambria Math" w:eastAsia="宋体" w:cs="宋体"/>
                <w:b w:val="0"/>
                <w:i w:val="0"/>
                <w:sz w:val="24"/>
                <w:szCs w:val="24"/>
              </w:rPr>
              <m:t>L</m:t>
            </m:r>
            <m:ctrlPr>
              <w:rPr>
                <w:rFonts w:hint="eastAsia" w:ascii="Cambria Math" w:hAnsi="Cambria Math" w:eastAsia="宋体" w:cs="宋体"/>
                <w:i/>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i/>
                <w:sz w:val="24"/>
                <w:szCs w:val="24"/>
              </w:rPr>
            </m:ctrlPr>
          </m:sub>
        </m:sSub>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i/>
                <w:sz w:val="24"/>
                <w:szCs w:val="24"/>
              </w:rPr>
            </m:ctrlPr>
          </m:fPr>
          <m:num>
            <m:r>
              <m:rPr/>
              <w:rPr>
                <w:rFonts w:hint="default" w:ascii="Cambria Math" w:hAnsi="Cambria Math" w:cs="宋体"/>
                <w:sz w:val="24"/>
                <w:szCs w:val="24"/>
                <w:lang w:val="en-US" w:eastAsia="zh-CN"/>
              </w:rPr>
              <m:t>290.94</m:t>
            </m:r>
            <m:ctrlPr>
              <w:rPr>
                <w:rFonts w:hint="eastAsia" w:ascii="Cambria Math" w:hAnsi="Cambria Math" w:eastAsia="宋体" w:cs="宋体"/>
                <w:i/>
                <w:sz w:val="24"/>
                <w:szCs w:val="24"/>
              </w:rPr>
            </m:ctrlPr>
          </m:num>
          <m:den>
            <m:r>
              <m:rPr>
                <m:nor/>
                <m:sty m:val="p"/>
              </m:rPr>
              <w:rPr>
                <w:rFonts w:hint="eastAsia" w:ascii="Cambria Math" w:hAnsi="Cambria Math" w:eastAsia="宋体" w:cs="宋体"/>
                <w:b w:val="0"/>
                <w:i w:val="0"/>
                <w:sz w:val="24"/>
                <w:szCs w:val="24"/>
              </w:rPr>
              <m:t>6</m:t>
            </m:r>
            <m:ctrlPr>
              <w:rPr>
                <w:rFonts w:hint="eastAsia" w:ascii="Cambria Math" w:hAnsi="Cambria Math" w:eastAsia="宋体" w:cs="宋体"/>
                <w:i/>
                <w:sz w:val="24"/>
                <w:szCs w:val="24"/>
              </w:rPr>
            </m:ctrlPr>
          </m:den>
        </m:f>
        <m:r>
          <m:rPr>
            <m:nor/>
            <m:sty m:val="p"/>
          </m:rPr>
          <w:rPr>
            <w:rFonts w:hint="eastAsia" w:ascii="Cambria Math" w:hAnsi="Cambria Math" w:eastAsia="宋体" w:cs="宋体"/>
            <w:b w:val="0"/>
            <w:i w:val="0"/>
            <w:sz w:val="24"/>
            <w:szCs w:val="24"/>
          </w:rPr>
          <m:t>=</m:t>
        </m:r>
        <m:r>
          <m:rPr>
            <m:nor/>
            <m:sty m:val="p"/>
          </m:rPr>
          <w:rPr>
            <w:rFonts w:hint="default" w:ascii="Cambria Math" w:hAnsi="Cambria Math" w:cs="宋体"/>
            <w:b w:val="0"/>
            <w:i w:val="0"/>
            <w:sz w:val="24"/>
            <w:szCs w:val="24"/>
            <w:lang w:val="en-US" w:eastAsia="zh-CN"/>
          </w:rPr>
          <m:t>48.49</m:t>
        </m:r>
        <m:r>
          <m:rPr>
            <m:nor/>
            <m:sty m:val="p"/>
          </m:rPr>
          <w:rPr>
            <w:rFonts w:hint="eastAsia" w:ascii="Cambria Math" w:hAnsi="Cambria Math" w:eastAsia="宋体" w:cs="宋体"/>
            <w:b w:val="0"/>
            <w:i w:val="0"/>
            <w:sz w:val="24"/>
            <w:szCs w:val="24"/>
          </w:rPr>
          <m:t>kN</m:t>
        </m:r>
      </m:oMath>
      <w:r>
        <w:rPr>
          <w:rFonts w:hint="eastAsia" w:ascii="宋体" w:hAnsi="宋体" w:eastAsia="宋体" w:cs="宋体"/>
          <w:sz w:val="24"/>
          <w:szCs w:val="24"/>
        </w:rPr>
        <w:t>，选用卸扣</w:t>
      </w:r>
      <w:r>
        <w:rPr>
          <w:rFonts w:hint="eastAsia" w:ascii="宋体" w:hAnsi="宋体" w:eastAsia="宋体" w:cs="宋体"/>
          <w:sz w:val="24"/>
          <w:szCs w:val="24"/>
          <w:highlight w:val="none"/>
        </w:rPr>
        <w:t>GB/T25854-6-DW</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p w14:paraId="6FABC27D">
      <w:pPr>
        <w:keepNext w:val="0"/>
        <w:keepLines w:val="0"/>
        <w:pageBreakBefore w:val="0"/>
        <w:kinsoku/>
        <w:wordWrap/>
        <w:overflowPunct/>
        <w:topLinePunct w:val="0"/>
        <w:autoSpaceDE/>
        <w:autoSpaceDN/>
        <w:bidi w:val="0"/>
        <w:snapToGrid/>
        <w:spacing w:line="360" w:lineRule="auto"/>
        <w:rPr>
          <w:rFonts w:hint="eastAsia" w:ascii="宋体" w:hAnsi="宋体" w:eastAsia="宋体" w:cs="宋体"/>
          <w:sz w:val="24"/>
          <w:szCs w:val="24"/>
        </w:rPr>
      </w:pPr>
      <w:r>
        <w:rPr>
          <w:rFonts w:hint="eastAsia" w:ascii="宋体" w:hAnsi="宋体" w:eastAsia="宋体" w:cs="宋体"/>
          <w:color w:val="auto"/>
          <w:sz w:val="24"/>
          <w:szCs w:val="24"/>
        </w:rPr>
        <w:t>根据塔吊基础设计参数及塔吊主要部件重量及吊装高度，确定</w:t>
      </w:r>
      <w:r>
        <w:rPr>
          <w:rFonts w:hint="eastAsia" w:ascii="宋体" w:hAnsi="宋体" w:eastAsia="宋体" w:cs="宋体"/>
          <w:color w:val="auto"/>
          <w:sz w:val="24"/>
          <w:szCs w:val="24"/>
          <w:lang w:val="en-US" w:eastAsia="zh-CN"/>
        </w:rPr>
        <w:t>安拆</w:t>
      </w:r>
      <w:r>
        <w:rPr>
          <w:rFonts w:hint="eastAsia" w:ascii="宋体" w:hAnsi="宋体" w:eastAsia="宋体" w:cs="宋体"/>
          <w:color w:val="auto"/>
          <w:sz w:val="24"/>
          <w:szCs w:val="24"/>
        </w:rPr>
        <w:t>过程中所需的最大吊重、最大钢丝绳夹角，结合施工现场实际情况，确定起重钢丝绳型号。钢丝绳及卸扣选型见下表。</w:t>
      </w:r>
    </w:p>
    <w:p w14:paraId="3A8B4563">
      <w:pPr>
        <w:pStyle w:val="12"/>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表</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color w:val="auto"/>
          <w:sz w:val="24"/>
          <w:szCs w:val="24"/>
          <w:highlight w:val="none"/>
        </w:rPr>
        <w:t>钢丝绳选型表</w:t>
      </w:r>
    </w:p>
    <w:tbl>
      <w:tblPr>
        <w:tblStyle w:val="34"/>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727"/>
        <w:gridCol w:w="2667"/>
        <w:gridCol w:w="567"/>
        <w:gridCol w:w="567"/>
      </w:tblGrid>
      <w:tr w14:paraId="6AB7E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62343D11">
            <w:pPr>
              <w:pStyle w:val="85"/>
              <w:pageBreakBefore w:val="0"/>
              <w:kinsoku/>
              <w:wordWrap/>
              <w:overflowPunct/>
              <w:topLinePunct w:val="0"/>
              <w:bidi w:val="0"/>
              <w:spacing w:line="360" w:lineRule="auto"/>
              <w:rPr>
                <w:rFonts w:hint="eastAsia" w:ascii="宋体" w:hAnsi="宋体" w:eastAsia="宋体" w:cs="宋体"/>
                <w:b w:val="0"/>
                <w:color w:val="auto"/>
                <w:sz w:val="24"/>
                <w:szCs w:val="24"/>
              </w:rPr>
            </w:pPr>
            <w:r>
              <w:rPr>
                <w:rFonts w:hint="eastAsia" w:ascii="宋体" w:hAnsi="宋体" w:eastAsia="宋体" w:cs="宋体"/>
                <w:b/>
                <w:color w:val="auto"/>
                <w:sz w:val="24"/>
                <w:szCs w:val="24"/>
              </w:rPr>
              <w:t>序号</w:t>
            </w:r>
          </w:p>
        </w:tc>
        <w:tc>
          <w:tcPr>
            <w:tcW w:w="1727" w:type="dxa"/>
            <w:vAlign w:val="center"/>
          </w:tcPr>
          <w:p w14:paraId="3922325B">
            <w:pPr>
              <w:pStyle w:val="85"/>
              <w:pageBreakBefore w:val="0"/>
              <w:kinsoku/>
              <w:wordWrap/>
              <w:overflowPunct/>
              <w:topLinePunct w:val="0"/>
              <w:bidi w:val="0"/>
              <w:spacing w:line="360" w:lineRule="auto"/>
              <w:rPr>
                <w:rFonts w:hint="eastAsia" w:ascii="宋体" w:hAnsi="宋体" w:eastAsia="宋体" w:cs="宋体"/>
                <w:b w:val="0"/>
                <w:color w:val="auto"/>
                <w:sz w:val="24"/>
                <w:szCs w:val="24"/>
              </w:rPr>
            </w:pPr>
            <w:r>
              <w:rPr>
                <w:rFonts w:hint="eastAsia" w:ascii="宋体" w:hAnsi="宋体" w:eastAsia="宋体" w:cs="宋体"/>
                <w:b/>
                <w:color w:val="auto"/>
                <w:sz w:val="24"/>
                <w:szCs w:val="24"/>
              </w:rPr>
              <w:t>设备名称</w:t>
            </w:r>
          </w:p>
        </w:tc>
        <w:tc>
          <w:tcPr>
            <w:tcW w:w="2667" w:type="dxa"/>
            <w:vAlign w:val="center"/>
          </w:tcPr>
          <w:p w14:paraId="61B6EE10">
            <w:pPr>
              <w:pStyle w:val="85"/>
              <w:pageBreakBefore w:val="0"/>
              <w:kinsoku/>
              <w:wordWrap/>
              <w:overflowPunct/>
              <w:topLinePunct w:val="0"/>
              <w:bidi w:val="0"/>
              <w:spacing w:line="360" w:lineRule="auto"/>
              <w:rPr>
                <w:rFonts w:hint="eastAsia" w:ascii="宋体" w:hAnsi="宋体" w:eastAsia="宋体" w:cs="宋体"/>
                <w:b w:val="0"/>
                <w:color w:val="auto"/>
                <w:sz w:val="24"/>
                <w:szCs w:val="24"/>
              </w:rPr>
            </w:pPr>
            <w:r>
              <w:rPr>
                <w:rFonts w:hint="eastAsia" w:ascii="宋体" w:hAnsi="宋体" w:eastAsia="宋体" w:cs="宋体"/>
                <w:b/>
                <w:color w:val="auto"/>
                <w:sz w:val="24"/>
                <w:szCs w:val="24"/>
              </w:rPr>
              <w:t>规格型号</w:t>
            </w:r>
          </w:p>
        </w:tc>
        <w:tc>
          <w:tcPr>
            <w:tcW w:w="567" w:type="dxa"/>
            <w:vAlign w:val="center"/>
          </w:tcPr>
          <w:p w14:paraId="0DEAF121">
            <w:pPr>
              <w:pStyle w:val="85"/>
              <w:pageBreakBefore w:val="0"/>
              <w:kinsoku/>
              <w:wordWrap/>
              <w:overflowPunct/>
              <w:topLinePunct w:val="0"/>
              <w:bidi w:val="0"/>
              <w:spacing w:line="360" w:lineRule="auto"/>
              <w:rPr>
                <w:rFonts w:hint="eastAsia" w:ascii="宋体" w:hAnsi="宋体" w:eastAsia="宋体" w:cs="宋体"/>
                <w:b w:val="0"/>
                <w:color w:val="auto"/>
                <w:sz w:val="24"/>
                <w:szCs w:val="24"/>
              </w:rPr>
            </w:pPr>
            <w:r>
              <w:rPr>
                <w:rFonts w:hint="eastAsia" w:ascii="宋体" w:hAnsi="宋体" w:eastAsia="宋体" w:cs="宋体"/>
                <w:b/>
                <w:color w:val="auto"/>
                <w:sz w:val="24"/>
                <w:szCs w:val="24"/>
              </w:rPr>
              <w:t>单位</w:t>
            </w:r>
          </w:p>
        </w:tc>
        <w:tc>
          <w:tcPr>
            <w:tcW w:w="567" w:type="dxa"/>
            <w:vAlign w:val="center"/>
          </w:tcPr>
          <w:p w14:paraId="1057D927">
            <w:pPr>
              <w:pStyle w:val="85"/>
              <w:pageBreakBefore w:val="0"/>
              <w:kinsoku/>
              <w:wordWrap/>
              <w:overflowPunct/>
              <w:topLinePunct w:val="0"/>
              <w:bidi w:val="0"/>
              <w:spacing w:line="360" w:lineRule="auto"/>
              <w:rPr>
                <w:rFonts w:hint="eastAsia" w:ascii="宋体" w:hAnsi="宋体" w:eastAsia="宋体" w:cs="宋体"/>
                <w:b w:val="0"/>
                <w:color w:val="auto"/>
                <w:sz w:val="24"/>
                <w:szCs w:val="24"/>
              </w:rPr>
            </w:pPr>
            <w:r>
              <w:rPr>
                <w:rFonts w:hint="eastAsia" w:ascii="宋体" w:hAnsi="宋体" w:eastAsia="宋体" w:cs="宋体"/>
                <w:b/>
                <w:color w:val="auto"/>
                <w:sz w:val="24"/>
                <w:szCs w:val="24"/>
              </w:rPr>
              <w:t>数量</w:t>
            </w:r>
          </w:p>
        </w:tc>
      </w:tr>
      <w:tr w14:paraId="42D09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07108DAB">
            <w:pPr>
              <w:pStyle w:val="85"/>
              <w:pageBreakBefore w:val="0"/>
              <w:kinsoku/>
              <w:wordWrap/>
              <w:overflowPunct/>
              <w:topLinePunct w:val="0"/>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727" w:type="dxa"/>
            <w:vAlign w:val="center"/>
          </w:tcPr>
          <w:p w14:paraId="1194CE4E">
            <w:pPr>
              <w:pStyle w:val="85"/>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起重用钢丝绳</w:t>
            </w:r>
          </w:p>
        </w:tc>
        <w:tc>
          <w:tcPr>
            <w:tcW w:w="2667" w:type="dxa"/>
            <w:vAlign w:val="center"/>
          </w:tcPr>
          <w:p w14:paraId="5853C112">
            <w:pPr>
              <w:pStyle w:val="85"/>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b w:val="0"/>
                <w:bCs w:val="0"/>
                <w:sz w:val="24"/>
                <w:szCs w:val="24"/>
                <w:lang w:val="en-US" w:eastAsia="zh-CN"/>
              </w:rPr>
              <w:t>16mm6×19S+FC1870Mpa</w:t>
            </w:r>
          </w:p>
        </w:tc>
        <w:tc>
          <w:tcPr>
            <w:tcW w:w="567" w:type="dxa"/>
            <w:vAlign w:val="center"/>
          </w:tcPr>
          <w:p w14:paraId="389D4ED4">
            <w:pPr>
              <w:pStyle w:val="85"/>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根</w:t>
            </w:r>
          </w:p>
        </w:tc>
        <w:tc>
          <w:tcPr>
            <w:tcW w:w="567" w:type="dxa"/>
            <w:vAlign w:val="center"/>
          </w:tcPr>
          <w:p w14:paraId="4DF6A401">
            <w:pPr>
              <w:pStyle w:val="85"/>
              <w:pageBreakBefore w:val="0"/>
              <w:kinsoku/>
              <w:wordWrap/>
              <w:overflowPunct/>
              <w:topLinePunct w:val="0"/>
              <w:bidi w:val="0"/>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4</w:t>
            </w:r>
          </w:p>
        </w:tc>
      </w:tr>
      <w:tr w14:paraId="36EE0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15B74DD">
            <w:pPr>
              <w:pStyle w:val="85"/>
              <w:pageBreakBefore w:val="0"/>
              <w:kinsoku/>
              <w:wordWrap/>
              <w:overflowPunct/>
              <w:topLinePunct w:val="0"/>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727" w:type="dxa"/>
            <w:vAlign w:val="center"/>
          </w:tcPr>
          <w:p w14:paraId="1DDCC488">
            <w:pPr>
              <w:pStyle w:val="85"/>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起重用钢丝绳</w:t>
            </w:r>
          </w:p>
        </w:tc>
        <w:tc>
          <w:tcPr>
            <w:tcW w:w="2667" w:type="dxa"/>
            <w:vAlign w:val="center"/>
          </w:tcPr>
          <w:p w14:paraId="3473C7D3">
            <w:pPr>
              <w:pStyle w:val="85"/>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cs="宋体"/>
                <w:b w:val="0"/>
                <w:bCs w:val="0"/>
                <w:sz w:val="24"/>
                <w:szCs w:val="24"/>
                <w:lang w:val="en-US" w:eastAsia="zh-CN"/>
              </w:rPr>
              <w:t>22mm6×19S+FC1870Mpa</w:t>
            </w:r>
          </w:p>
        </w:tc>
        <w:tc>
          <w:tcPr>
            <w:tcW w:w="567" w:type="dxa"/>
            <w:vAlign w:val="center"/>
          </w:tcPr>
          <w:p w14:paraId="1B72CE06">
            <w:pPr>
              <w:pStyle w:val="85"/>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根</w:t>
            </w:r>
          </w:p>
        </w:tc>
        <w:tc>
          <w:tcPr>
            <w:tcW w:w="567" w:type="dxa"/>
            <w:vAlign w:val="center"/>
          </w:tcPr>
          <w:p w14:paraId="369CD9B9">
            <w:pPr>
              <w:pStyle w:val="85"/>
              <w:pageBreakBefore w:val="0"/>
              <w:kinsoku/>
              <w:wordWrap/>
              <w:overflowPunct/>
              <w:topLinePunct w:val="0"/>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r>
      <w:tr w14:paraId="46B4E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7350E61A">
            <w:pPr>
              <w:pStyle w:val="85"/>
              <w:pageBreakBefore w:val="0"/>
              <w:kinsoku/>
              <w:wordWrap/>
              <w:overflowPunct/>
              <w:topLinePunct w:val="0"/>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727" w:type="dxa"/>
            <w:vAlign w:val="center"/>
          </w:tcPr>
          <w:p w14:paraId="4BF8E1AB">
            <w:pPr>
              <w:pStyle w:val="85"/>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卸扣</w:t>
            </w:r>
          </w:p>
        </w:tc>
        <w:tc>
          <w:tcPr>
            <w:tcW w:w="2667" w:type="dxa"/>
            <w:vAlign w:val="center"/>
          </w:tcPr>
          <w:p w14:paraId="66E3AD55">
            <w:pPr>
              <w:pStyle w:val="85"/>
              <w:pageBreakBefore w:val="0"/>
              <w:kinsoku/>
              <w:wordWrap/>
              <w:overflowPunct/>
              <w:topLinePunct w:val="0"/>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sz w:val="24"/>
                <w:szCs w:val="24"/>
              </w:rPr>
              <w:t>GB/T 25854-6-DW</w:t>
            </w:r>
            <w:r>
              <w:rPr>
                <w:rFonts w:hint="eastAsia" w:ascii="宋体" w:hAnsi="宋体" w:eastAsia="宋体" w:cs="宋体"/>
                <w:sz w:val="24"/>
                <w:szCs w:val="24"/>
                <w:lang w:val="en-US" w:eastAsia="zh-CN"/>
              </w:rPr>
              <w:t>5</w:t>
            </w:r>
          </w:p>
        </w:tc>
        <w:tc>
          <w:tcPr>
            <w:tcW w:w="567" w:type="dxa"/>
            <w:vAlign w:val="center"/>
          </w:tcPr>
          <w:p w14:paraId="10C7CE6D">
            <w:pPr>
              <w:pStyle w:val="85"/>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567" w:type="dxa"/>
            <w:vAlign w:val="center"/>
          </w:tcPr>
          <w:p w14:paraId="3B26AFF3">
            <w:pPr>
              <w:pStyle w:val="85"/>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w:t>
            </w:r>
          </w:p>
        </w:tc>
      </w:tr>
    </w:tbl>
    <w:p w14:paraId="3E289185">
      <w:pPr>
        <w:pStyle w:val="39"/>
        <w:pageBreakBefore w:val="0"/>
        <w:kinsoku/>
        <w:wordWrap/>
        <w:overflowPunct/>
        <w:topLinePunct w:val="0"/>
        <w:bidi w:val="0"/>
        <w:spacing w:line="360" w:lineRule="auto"/>
        <w:rPr>
          <w:rFonts w:hint="eastAsia" w:asciiTheme="majorEastAsia" w:hAnsiTheme="majorEastAsia" w:eastAsiaTheme="majorEastAsia"/>
          <w:b/>
          <w:sz w:val="24"/>
          <w:szCs w:val="24"/>
          <w:lang w:val="en-US" w:eastAsia="zh-CN"/>
        </w:rPr>
      </w:pPr>
    </w:p>
    <w:p w14:paraId="757F1C78">
      <w:pPr>
        <w:pStyle w:val="39"/>
        <w:pageBreakBefore w:val="0"/>
        <w:kinsoku/>
        <w:wordWrap/>
        <w:overflowPunct/>
        <w:topLinePunct w:val="0"/>
        <w:bidi w:val="0"/>
        <w:spacing w:line="360" w:lineRule="auto"/>
        <w:ind w:left="0" w:leftChars="0"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附件1：安拆单位资质</w:t>
      </w:r>
    </w:p>
    <w:p w14:paraId="33B5501A">
      <w:pPr>
        <w:pStyle w:val="39"/>
        <w:pageBreakBefore w:val="0"/>
        <w:kinsoku/>
        <w:wordWrap/>
        <w:overflowPunct/>
        <w:topLinePunct w:val="0"/>
        <w:bidi w:val="0"/>
        <w:spacing w:line="360" w:lineRule="auto"/>
        <w:ind w:left="0" w:leftChars="0"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附件2：人员资质证书</w:t>
      </w:r>
    </w:p>
    <w:p w14:paraId="0BB038BE">
      <w:pPr>
        <w:pStyle w:val="39"/>
        <w:pageBreakBefore w:val="0"/>
        <w:kinsoku/>
        <w:wordWrap/>
        <w:overflowPunct/>
        <w:topLinePunct w:val="0"/>
        <w:bidi w:val="0"/>
        <w:spacing w:line="360" w:lineRule="auto"/>
        <w:ind w:left="0" w:leftChars="0"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附件3：XGT6015-8S1塔式起重机安装手册</w:t>
      </w:r>
    </w:p>
    <w:p w14:paraId="1BC231C9">
      <w:pPr>
        <w:pStyle w:val="39"/>
        <w:pageBreakBefore w:val="0"/>
        <w:kinsoku/>
        <w:wordWrap/>
        <w:overflowPunct/>
        <w:topLinePunct w:val="0"/>
        <w:bidi w:val="0"/>
        <w:spacing w:line="360" w:lineRule="auto"/>
        <w:ind w:left="0" w:leftChars="0"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附件4：基础计算书</w:t>
      </w:r>
    </w:p>
    <w:p w14:paraId="77B894FB">
      <w:pPr>
        <w:pStyle w:val="39"/>
        <w:pageBreakBefore w:val="0"/>
        <w:kinsoku/>
        <w:wordWrap/>
        <w:overflowPunct/>
        <w:topLinePunct w:val="0"/>
        <w:bidi w:val="0"/>
        <w:spacing w:line="360" w:lineRule="auto"/>
        <w:ind w:left="0" w:leftChars="0"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附件5：人员任命书</w:t>
      </w:r>
    </w:p>
    <w:p w14:paraId="39056E81">
      <w:pPr>
        <w:pStyle w:val="39"/>
        <w:pageBreakBefore w:val="0"/>
        <w:kinsoku/>
        <w:wordWrap/>
        <w:overflowPunct/>
        <w:topLinePunct w:val="0"/>
        <w:bidi w:val="0"/>
        <w:spacing w:line="360" w:lineRule="auto"/>
        <w:ind w:left="0" w:leftChars="0"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附件6：参保人员名单</w:t>
      </w:r>
    </w:p>
    <w:p w14:paraId="00DAB14E">
      <w:pPr>
        <w:pStyle w:val="39"/>
        <w:pageBreakBefore w:val="0"/>
        <w:kinsoku/>
        <w:wordWrap/>
        <w:overflowPunct/>
        <w:topLinePunct w:val="0"/>
        <w:bidi w:val="0"/>
        <w:spacing w:line="360" w:lineRule="auto"/>
        <w:ind w:left="0" w:leftChars="0"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附件7：群塔作业防碰撞方案</w:t>
      </w:r>
    </w:p>
    <w:p w14:paraId="481867CE">
      <w:pPr>
        <w:pStyle w:val="39"/>
        <w:pageBreakBefore w:val="0"/>
        <w:kinsoku/>
        <w:wordWrap/>
        <w:overflowPunct/>
        <w:topLinePunct w:val="0"/>
        <w:bidi w:val="0"/>
        <w:spacing w:line="360" w:lineRule="auto"/>
        <w:ind w:left="0" w:leftChars="0"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附件8：附着计算书</w:t>
      </w:r>
    </w:p>
    <w:p w14:paraId="74040C2F">
      <w:pPr>
        <w:pStyle w:val="39"/>
        <w:pageBreakBefore w:val="0"/>
        <w:kinsoku/>
        <w:wordWrap/>
        <w:overflowPunct/>
        <w:topLinePunct w:val="0"/>
        <w:bidi w:val="0"/>
        <w:spacing w:line="360" w:lineRule="auto"/>
        <w:ind w:left="0" w:leftChars="0" w:firstLine="0" w:firstLineChars="0"/>
        <w:rPr>
          <w:rFonts w:hint="default"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附件9：附着图纸</w:t>
      </w:r>
    </w:p>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MT">
    <w:altName w:val="Times New Roman"/>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7F" w:usb3="00000000" w:csb0="203F01FF" w:csb1="DFFF0000"/>
  </w:font>
  <w:font w:name="新宋体">
    <w:panose1 w:val="02010609030101010101"/>
    <w:charset w:val="86"/>
    <w:family w:val="auto"/>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å®‹ä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eastAsia="宋体" w:cs="Times New Roman"/>
        <w:sz w:val="21"/>
        <w:szCs w:val="21"/>
      </w:rPr>
      <w:id w:val="4715167"/>
    </w:sdtPr>
    <w:sdtEndPr>
      <w:rPr>
        <w:rFonts w:eastAsia="宋体" w:cs="Times New Roman"/>
        <w:sz w:val="21"/>
        <w:szCs w:val="21"/>
      </w:rPr>
    </w:sdtEndPr>
    <w:sdtContent>
      <w:sdt>
        <w:sdtPr>
          <w:rPr>
            <w:rFonts w:eastAsia="宋体" w:cs="Times New Roman"/>
            <w:sz w:val="21"/>
            <w:szCs w:val="21"/>
          </w:rPr>
          <w:id w:val="4715168"/>
        </w:sdtPr>
        <w:sdtEndPr>
          <w:rPr>
            <w:rFonts w:eastAsia="宋体" w:cs="Times New Roman"/>
            <w:sz w:val="21"/>
            <w:szCs w:val="21"/>
          </w:rPr>
        </w:sdtEndPr>
        <w:sdtContent>
          <w:p w14:paraId="3921C19F">
            <w:pPr>
              <w:pStyle w:val="21"/>
              <w:spacing w:line="240" w:lineRule="auto"/>
              <w:jc w:val="center"/>
              <w:rPr>
                <w:rFonts w:eastAsia="宋体" w:cs="Times New Roman"/>
                <w:sz w:val="21"/>
                <w:szCs w:val="21"/>
              </w:rPr>
            </w:pPr>
            <w:r>
              <w:rPr>
                <w:rFonts w:eastAsia="宋体" w:cs="Times New Roman"/>
                <w:sz w:val="21"/>
                <w:szCs w:val="21"/>
              </w:rPr>
              <w:fldChar w:fldCharType="begin"/>
            </w:r>
            <w:r>
              <w:rPr>
                <w:rFonts w:eastAsia="宋体" w:cs="Times New Roman"/>
                <w:sz w:val="21"/>
                <w:szCs w:val="21"/>
              </w:rPr>
              <w:instrText xml:space="preserve">PAGE</w:instrText>
            </w:r>
            <w:r>
              <w:rPr>
                <w:rFonts w:eastAsia="宋体" w:cs="Times New Roman"/>
                <w:sz w:val="21"/>
                <w:szCs w:val="21"/>
              </w:rPr>
              <w:fldChar w:fldCharType="separate"/>
            </w:r>
            <w:r>
              <w:rPr>
                <w:rFonts w:eastAsia="宋体" w:cs="Times New Roman"/>
                <w:sz w:val="21"/>
                <w:szCs w:val="21"/>
              </w:rPr>
              <w:t>1</w:t>
            </w:r>
            <w:r>
              <w:rPr>
                <w:rFonts w:eastAsia="宋体" w:cs="Times New Roman"/>
                <w:sz w:val="21"/>
                <w:szCs w:val="21"/>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865B8">
    <w:pPr>
      <w:pStyle w:val="22"/>
      <w:spacing w:line="240" w:lineRule="auto"/>
      <w:jc w:val="both"/>
      <w:rPr>
        <w:rFonts w:eastAsia="宋体" w:cs="Times New Roman"/>
        <w:sz w:val="21"/>
        <w:szCs w:val="21"/>
      </w:rPr>
    </w:pPr>
    <w:r>
      <w:rPr>
        <w:rFonts w:hint="eastAsia" w:eastAsia="宋体" w:cs="Times New Roman"/>
        <w:sz w:val="21"/>
        <w:szCs w:val="21"/>
        <w:lang w:eastAsia="zh-CN"/>
      </w:rPr>
      <w:t>渠江风洞子航运工程</w:t>
    </w:r>
    <w:r>
      <w:rPr>
        <w:rFonts w:hint="eastAsia" w:eastAsia="宋体" w:cs="Times New Roman"/>
        <w:sz w:val="21"/>
        <w:szCs w:val="21"/>
      </w:rPr>
      <w:tab/>
    </w:r>
    <w:r>
      <w:rPr>
        <w:rFonts w:hint="eastAsia" w:eastAsia="宋体" w:cs="Times New Roman"/>
        <w:sz w:val="21"/>
        <w:szCs w:val="21"/>
      </w:rPr>
      <w:tab/>
    </w:r>
    <w:r>
      <w:rPr>
        <w:rFonts w:eastAsia="宋体" w:cs="Times New Roman"/>
        <w:sz w:val="21"/>
        <w:szCs w:val="21"/>
      </w:rPr>
      <w:t>塔机</w:t>
    </w:r>
    <w:r>
      <w:rPr>
        <w:rFonts w:hint="eastAsia" w:eastAsia="宋体" w:cs="Times New Roman"/>
        <w:sz w:val="21"/>
        <w:szCs w:val="21"/>
        <w:lang w:val="en-US" w:eastAsia="zh-CN"/>
      </w:rPr>
      <w:t>XGT6015-8S1安拆</w:t>
    </w:r>
    <w:r>
      <w:rPr>
        <w:rFonts w:eastAsia="宋体" w:cs="Times New Roman"/>
        <w:sz w:val="21"/>
        <w:szCs w:val="21"/>
      </w:rPr>
      <w:t>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BDAAC"/>
    <w:multiLevelType w:val="singleLevel"/>
    <w:tmpl w:val="8BBBDAAC"/>
    <w:lvl w:ilvl="0" w:tentative="0">
      <w:start w:val="1"/>
      <w:numFmt w:val="decimal"/>
      <w:suff w:val="nothing"/>
      <w:lvlText w:val="7.8.%1"/>
      <w:lvlJc w:val="left"/>
      <w:pPr>
        <w:ind w:left="425" w:leftChars="0" w:hanging="425" w:firstLineChars="0"/>
      </w:pPr>
      <w:rPr>
        <w:rFonts w:hint="default"/>
      </w:rPr>
    </w:lvl>
  </w:abstractNum>
  <w:abstractNum w:abstractNumId="1">
    <w:nsid w:val="8CAD68D0"/>
    <w:multiLevelType w:val="singleLevel"/>
    <w:tmpl w:val="8CAD68D0"/>
    <w:lvl w:ilvl="0" w:tentative="0">
      <w:start w:val="1"/>
      <w:numFmt w:val="decimal"/>
      <w:lvlText w:val="%1"/>
      <w:lvlJc w:val="left"/>
      <w:pPr>
        <w:tabs>
          <w:tab w:val="left" w:pos="420"/>
        </w:tabs>
        <w:ind w:left="425" w:leftChars="0" w:hanging="425" w:firstLineChars="0"/>
      </w:pPr>
      <w:rPr>
        <w:rFonts w:hint="default"/>
      </w:rPr>
    </w:lvl>
  </w:abstractNum>
  <w:abstractNum w:abstractNumId="2">
    <w:nsid w:val="9231803E"/>
    <w:multiLevelType w:val="singleLevel"/>
    <w:tmpl w:val="9231803E"/>
    <w:lvl w:ilvl="0" w:tentative="0">
      <w:start w:val="1"/>
      <w:numFmt w:val="decimal"/>
      <w:lvlText w:val="(%1)"/>
      <w:lvlJc w:val="left"/>
      <w:pPr>
        <w:ind w:left="425" w:hanging="425"/>
      </w:pPr>
      <w:rPr>
        <w:rFonts w:hint="default"/>
      </w:rPr>
    </w:lvl>
  </w:abstractNum>
  <w:abstractNum w:abstractNumId="3">
    <w:nsid w:val="A2B3D446"/>
    <w:multiLevelType w:val="singleLevel"/>
    <w:tmpl w:val="A2B3D446"/>
    <w:lvl w:ilvl="0" w:tentative="0">
      <w:start w:val="1"/>
      <w:numFmt w:val="decimalEnclosedCircleChinese"/>
      <w:suff w:val="nothing"/>
      <w:lvlText w:val="%1　"/>
      <w:lvlJc w:val="left"/>
      <w:pPr>
        <w:ind w:left="0" w:firstLine="400"/>
      </w:pPr>
      <w:rPr>
        <w:rFonts w:hint="eastAsia"/>
      </w:rPr>
    </w:lvl>
  </w:abstractNum>
  <w:abstractNum w:abstractNumId="4">
    <w:nsid w:val="A2BD708D"/>
    <w:multiLevelType w:val="singleLevel"/>
    <w:tmpl w:val="A2BD708D"/>
    <w:lvl w:ilvl="0" w:tentative="0">
      <w:start w:val="1"/>
      <w:numFmt w:val="decimalEnclosedCircleChinese"/>
      <w:suff w:val="nothing"/>
      <w:lvlText w:val="%1　"/>
      <w:lvlJc w:val="left"/>
      <w:pPr>
        <w:ind w:left="0" w:firstLine="400"/>
      </w:pPr>
      <w:rPr>
        <w:rFonts w:hint="eastAsia"/>
      </w:rPr>
    </w:lvl>
  </w:abstractNum>
  <w:abstractNum w:abstractNumId="5">
    <w:nsid w:val="AD6E71F2"/>
    <w:multiLevelType w:val="singleLevel"/>
    <w:tmpl w:val="AD6E71F2"/>
    <w:lvl w:ilvl="0" w:tentative="0">
      <w:start w:val="1"/>
      <w:numFmt w:val="decimal"/>
      <w:lvlText w:val="7.%1."/>
      <w:lvlJc w:val="left"/>
      <w:pPr>
        <w:tabs>
          <w:tab w:val="left" w:pos="420"/>
        </w:tabs>
        <w:ind w:left="425" w:leftChars="0" w:hanging="425" w:firstLineChars="0"/>
      </w:pPr>
      <w:rPr>
        <w:rFonts w:hint="default"/>
      </w:rPr>
    </w:lvl>
  </w:abstractNum>
  <w:abstractNum w:abstractNumId="6">
    <w:nsid w:val="ADB7BCD3"/>
    <w:multiLevelType w:val="singleLevel"/>
    <w:tmpl w:val="ADB7BCD3"/>
    <w:lvl w:ilvl="0" w:tentative="0">
      <w:start w:val="1"/>
      <w:numFmt w:val="decimal"/>
      <w:lvlText w:val="%1"/>
      <w:lvlJc w:val="left"/>
      <w:pPr>
        <w:tabs>
          <w:tab w:val="left" w:pos="420"/>
        </w:tabs>
        <w:ind w:left="425" w:leftChars="0" w:hanging="425" w:firstLineChars="0"/>
      </w:pPr>
      <w:rPr>
        <w:rFonts w:hint="default"/>
      </w:rPr>
    </w:lvl>
  </w:abstractNum>
  <w:abstractNum w:abstractNumId="7">
    <w:nsid w:val="B86F29D6"/>
    <w:multiLevelType w:val="singleLevel"/>
    <w:tmpl w:val="B86F29D6"/>
    <w:lvl w:ilvl="0" w:tentative="0">
      <w:start w:val="1"/>
      <w:numFmt w:val="chineseCounting"/>
      <w:suff w:val="nothing"/>
      <w:lvlText w:val="（%1）"/>
      <w:lvlJc w:val="left"/>
      <w:pPr>
        <w:ind w:left="0" w:firstLine="420"/>
      </w:pPr>
      <w:rPr>
        <w:rFonts w:hint="eastAsia"/>
      </w:rPr>
    </w:lvl>
  </w:abstractNum>
  <w:abstractNum w:abstractNumId="8">
    <w:nsid w:val="B9175164"/>
    <w:multiLevelType w:val="singleLevel"/>
    <w:tmpl w:val="B9175164"/>
    <w:lvl w:ilvl="0" w:tentative="0">
      <w:start w:val="1"/>
      <w:numFmt w:val="decimalEnclosedCircleChinese"/>
      <w:suff w:val="nothing"/>
      <w:lvlText w:val="%1　"/>
      <w:lvlJc w:val="left"/>
      <w:pPr>
        <w:ind w:left="0" w:firstLine="400"/>
      </w:pPr>
      <w:rPr>
        <w:rFonts w:hint="eastAsia"/>
      </w:rPr>
    </w:lvl>
  </w:abstractNum>
  <w:abstractNum w:abstractNumId="9">
    <w:nsid w:val="BAFDC191"/>
    <w:multiLevelType w:val="singleLevel"/>
    <w:tmpl w:val="BAFDC191"/>
    <w:lvl w:ilvl="0" w:tentative="0">
      <w:start w:val="1"/>
      <w:numFmt w:val="decimal"/>
      <w:suff w:val="nothing"/>
      <w:lvlText w:val="(%1)"/>
      <w:lvlJc w:val="left"/>
      <w:pPr>
        <w:ind w:left="425" w:hanging="425"/>
      </w:pPr>
      <w:rPr>
        <w:rFonts w:hint="default"/>
      </w:rPr>
    </w:lvl>
  </w:abstractNum>
  <w:abstractNum w:abstractNumId="10">
    <w:nsid w:val="CAEF09E5"/>
    <w:multiLevelType w:val="singleLevel"/>
    <w:tmpl w:val="CAEF09E5"/>
    <w:lvl w:ilvl="0" w:tentative="0">
      <w:start w:val="1"/>
      <w:numFmt w:val="decimalEnclosedCircleChinese"/>
      <w:suff w:val="nothing"/>
      <w:lvlText w:val="%1　"/>
      <w:lvlJc w:val="left"/>
      <w:pPr>
        <w:ind w:left="0" w:firstLine="400"/>
      </w:pPr>
      <w:rPr>
        <w:rFonts w:hint="eastAsia"/>
      </w:rPr>
    </w:lvl>
  </w:abstractNum>
  <w:abstractNum w:abstractNumId="11">
    <w:nsid w:val="D9A31EBD"/>
    <w:multiLevelType w:val="singleLevel"/>
    <w:tmpl w:val="D9A31EBD"/>
    <w:lvl w:ilvl="0" w:tentative="0">
      <w:start w:val="1"/>
      <w:numFmt w:val="decimalEnclosedCircleChinese"/>
      <w:suff w:val="nothing"/>
      <w:lvlText w:val="%1　"/>
      <w:lvlJc w:val="left"/>
      <w:pPr>
        <w:ind w:left="0" w:firstLine="400"/>
      </w:pPr>
      <w:rPr>
        <w:rFonts w:hint="eastAsia"/>
      </w:rPr>
    </w:lvl>
  </w:abstractNum>
  <w:abstractNum w:abstractNumId="12">
    <w:nsid w:val="DC8AFE8B"/>
    <w:multiLevelType w:val="singleLevel"/>
    <w:tmpl w:val="DC8AFE8B"/>
    <w:lvl w:ilvl="0" w:tentative="0">
      <w:start w:val="1"/>
      <w:numFmt w:val="decimalEnclosedCircleChinese"/>
      <w:suff w:val="nothing"/>
      <w:lvlText w:val="%1　"/>
      <w:lvlJc w:val="left"/>
      <w:pPr>
        <w:ind w:left="0" w:firstLine="400"/>
      </w:pPr>
      <w:rPr>
        <w:rFonts w:hint="eastAsia"/>
      </w:rPr>
    </w:lvl>
  </w:abstractNum>
  <w:abstractNum w:abstractNumId="13">
    <w:nsid w:val="DEDF7EF5"/>
    <w:multiLevelType w:val="multilevel"/>
    <w:tmpl w:val="DEDF7EF5"/>
    <w:lvl w:ilvl="0" w:tentative="0">
      <w:start w:val="1"/>
      <w:numFmt w:val="decimal"/>
      <w:suff w:val="nothing"/>
      <w:lvlText w:val="%1"/>
      <w:lvlJc w:val="center"/>
      <w:pPr>
        <w:ind w:left="0" w:leftChars="0" w:firstLine="0" w:firstLineChars="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E5702E81"/>
    <w:multiLevelType w:val="singleLevel"/>
    <w:tmpl w:val="E5702E81"/>
    <w:lvl w:ilvl="0" w:tentative="0">
      <w:start w:val="1"/>
      <w:numFmt w:val="decimal"/>
      <w:suff w:val="nothing"/>
      <w:lvlText w:val="%1."/>
      <w:lvlJc w:val="left"/>
      <w:pPr>
        <w:ind w:left="425" w:hanging="425"/>
      </w:pPr>
      <w:rPr>
        <w:rFonts w:hint="default"/>
      </w:rPr>
    </w:lvl>
  </w:abstractNum>
  <w:abstractNum w:abstractNumId="15">
    <w:nsid w:val="E865D2C1"/>
    <w:multiLevelType w:val="singleLevel"/>
    <w:tmpl w:val="E865D2C1"/>
    <w:lvl w:ilvl="0" w:tentative="0">
      <w:start w:val="1"/>
      <w:numFmt w:val="decimalEnclosedCircleChinese"/>
      <w:suff w:val="nothing"/>
      <w:lvlText w:val="%1　"/>
      <w:lvlJc w:val="left"/>
      <w:pPr>
        <w:ind w:left="0" w:firstLine="400"/>
      </w:pPr>
      <w:rPr>
        <w:rFonts w:hint="eastAsia"/>
      </w:rPr>
    </w:lvl>
  </w:abstractNum>
  <w:abstractNum w:abstractNumId="16">
    <w:nsid w:val="EF1B5DDA"/>
    <w:multiLevelType w:val="singleLevel"/>
    <w:tmpl w:val="EF1B5DDA"/>
    <w:lvl w:ilvl="0" w:tentative="0">
      <w:start w:val="1"/>
      <w:numFmt w:val="decimal"/>
      <w:suff w:val="nothing"/>
      <w:lvlText w:val="（%1）"/>
      <w:lvlJc w:val="left"/>
    </w:lvl>
  </w:abstractNum>
  <w:abstractNum w:abstractNumId="17">
    <w:nsid w:val="F08A73DA"/>
    <w:multiLevelType w:val="singleLevel"/>
    <w:tmpl w:val="F08A73DA"/>
    <w:lvl w:ilvl="0" w:tentative="0">
      <w:start w:val="1"/>
      <w:numFmt w:val="decimal"/>
      <w:lvlText w:val="10.1.%1"/>
      <w:lvlJc w:val="left"/>
      <w:pPr>
        <w:tabs>
          <w:tab w:val="left" w:pos="420"/>
        </w:tabs>
        <w:ind w:left="425" w:leftChars="0" w:hanging="425" w:firstLineChars="0"/>
      </w:pPr>
      <w:rPr>
        <w:rFonts w:hint="default"/>
      </w:rPr>
    </w:lvl>
  </w:abstractNum>
  <w:abstractNum w:abstractNumId="18">
    <w:nsid w:val="F8EA51E1"/>
    <w:multiLevelType w:val="singleLevel"/>
    <w:tmpl w:val="F8EA51E1"/>
    <w:lvl w:ilvl="0" w:tentative="0">
      <w:start w:val="1"/>
      <w:numFmt w:val="decimalEnclosedCircleChinese"/>
      <w:suff w:val="nothing"/>
      <w:lvlText w:val="%1　"/>
      <w:lvlJc w:val="left"/>
      <w:pPr>
        <w:ind w:left="0" w:firstLine="400"/>
      </w:pPr>
      <w:rPr>
        <w:rFonts w:hint="eastAsia"/>
      </w:rPr>
    </w:lvl>
  </w:abstractNum>
  <w:abstractNum w:abstractNumId="19">
    <w:nsid w:val="00000002"/>
    <w:multiLevelType w:val="multilevel"/>
    <w:tmpl w:val="00000002"/>
    <w:lvl w:ilvl="0" w:tentative="0">
      <w:start w:val="1"/>
      <w:numFmt w:val="chineseCountingThousand"/>
      <w:suff w:val="nothing"/>
      <w:lvlText w:val="第%1章  "/>
      <w:lvlJc w:val="left"/>
      <w:pPr>
        <w:ind w:left="0" w:firstLine="0"/>
      </w:pPr>
      <w:rPr>
        <w:rFonts w:hint="default" w:ascii="Times New Roman" w:hAnsi="Times New Roman" w:eastAsia="宋体"/>
        <w:b/>
        <w:i w:val="0"/>
        <w:iCs w:val="0"/>
        <w:caps w:val="0"/>
        <w:vanish w:val="0"/>
        <w:spacing w:val="0"/>
        <w:position w:val="0"/>
        <w:u w:val="none"/>
        <w:vertAlign w:val="baseline"/>
        <w14:shadow w14:blurRad="0" w14:dist="0" w14:dir="0" w14:sx="100000" w14:sy="100000" w14:kx="0" w14:ky="0" w14:algn="none">
          <w14:srgbClr w14:val="808080"/>
        </w14:shadow>
        <w14:ligatures w14:val="none"/>
        <w14:numForm w14:val="default"/>
        <w14:numSpacing w14:val="default"/>
      </w:rPr>
    </w:lvl>
    <w:lvl w:ilvl="1" w:tentative="0">
      <w:start w:val="1"/>
      <w:numFmt w:val="decimal"/>
      <w:suff w:val="nothing"/>
      <w:lvlText w:val="%2. "/>
      <w:lvlJc w:val="left"/>
      <w:pPr>
        <w:ind w:left="0" w:firstLine="0"/>
      </w:pPr>
      <w:rPr>
        <w:rFonts w:hint="default" w:ascii="Times New Roman" w:hAnsi="Times New Roman" w:eastAsia="宋体"/>
        <w:b/>
        <w:i w:val="0"/>
      </w:rPr>
    </w:lvl>
    <w:lvl w:ilvl="2" w:tentative="0">
      <w:start w:val="1"/>
      <w:numFmt w:val="decimal"/>
      <w:suff w:val="nothing"/>
      <w:lvlText w:val="%2.%3  "/>
      <w:lvlJc w:val="left"/>
      <w:pPr>
        <w:ind w:left="0" w:firstLine="0"/>
      </w:pPr>
      <w:rPr>
        <w:rFonts w:hint="default" w:ascii="Times New Roman" w:hAnsi="Times New Roman" w:eastAsia="宋体"/>
        <w:b/>
        <w:i w:val="0"/>
      </w:rPr>
    </w:lvl>
    <w:lvl w:ilvl="3" w:tentative="0">
      <w:start w:val="1"/>
      <w:numFmt w:val="decimal"/>
      <w:isLgl/>
      <w:suff w:val="nothing"/>
      <w:lvlText w:val="%2.%3.%4  "/>
      <w:lvlJc w:val="left"/>
      <w:pPr>
        <w:ind w:left="0" w:firstLine="0"/>
      </w:pPr>
      <w:rPr>
        <w:rFonts w:hint="default" w:ascii="Times New Roman" w:hAnsi="Times New Roman" w:eastAsia="宋体"/>
        <w:b/>
        <w:i w:val="0"/>
      </w:rPr>
    </w:lvl>
    <w:lvl w:ilvl="4" w:tentative="0">
      <w:start w:val="1"/>
      <w:numFmt w:val="decimal"/>
      <w:pStyle w:val="10"/>
      <w:suff w:val="nothing"/>
      <w:lvlText w:val="%2.%3.%4.%5  "/>
      <w:lvlJc w:val="left"/>
      <w:pPr>
        <w:ind w:left="0" w:firstLine="0"/>
      </w:pPr>
      <w:rPr>
        <w:rFonts w:hint="default" w:ascii="Times New Roman" w:hAnsi="Times New Roman" w:eastAsia="宋体"/>
        <w:b/>
        <w:i w:val="0"/>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020410B4"/>
    <w:multiLevelType w:val="multilevel"/>
    <w:tmpl w:val="020410B4"/>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0D476B83"/>
    <w:multiLevelType w:val="singleLevel"/>
    <w:tmpl w:val="0D476B83"/>
    <w:lvl w:ilvl="0" w:tentative="0">
      <w:start w:val="1"/>
      <w:numFmt w:val="decimal"/>
      <w:suff w:val="nothing"/>
      <w:lvlText w:val="%1、"/>
      <w:lvlJc w:val="left"/>
    </w:lvl>
  </w:abstractNum>
  <w:abstractNum w:abstractNumId="22">
    <w:nsid w:val="0E202695"/>
    <w:multiLevelType w:val="singleLevel"/>
    <w:tmpl w:val="0E202695"/>
    <w:lvl w:ilvl="0" w:tentative="0">
      <w:start w:val="1"/>
      <w:numFmt w:val="decimal"/>
      <w:suff w:val="nothing"/>
      <w:lvlText w:val="7.4.%1"/>
      <w:lvlJc w:val="left"/>
      <w:pPr>
        <w:ind w:left="0" w:firstLine="403"/>
      </w:pPr>
      <w:rPr>
        <w:rFonts w:hint="default"/>
      </w:rPr>
    </w:lvl>
  </w:abstractNum>
  <w:abstractNum w:abstractNumId="23">
    <w:nsid w:val="0E72BD4A"/>
    <w:multiLevelType w:val="singleLevel"/>
    <w:tmpl w:val="0E72BD4A"/>
    <w:lvl w:ilvl="0" w:tentative="0">
      <w:start w:val="1"/>
      <w:numFmt w:val="decimalEnclosedCircleChinese"/>
      <w:suff w:val="nothing"/>
      <w:lvlText w:val="%1　"/>
      <w:lvlJc w:val="left"/>
      <w:pPr>
        <w:ind w:left="0" w:firstLine="400"/>
      </w:pPr>
      <w:rPr>
        <w:rFonts w:hint="eastAsia"/>
      </w:rPr>
    </w:lvl>
  </w:abstractNum>
  <w:abstractNum w:abstractNumId="24">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12978C4B"/>
    <w:multiLevelType w:val="singleLevel"/>
    <w:tmpl w:val="12978C4B"/>
    <w:lvl w:ilvl="0" w:tentative="0">
      <w:start w:val="1"/>
      <w:numFmt w:val="decimal"/>
      <w:suff w:val="nothing"/>
      <w:lvlText w:val="10.%1"/>
      <w:lvlJc w:val="left"/>
      <w:pPr>
        <w:ind w:left="425" w:leftChars="0" w:hanging="425" w:firstLineChars="0"/>
      </w:pPr>
      <w:rPr>
        <w:rFonts w:hint="default"/>
      </w:rPr>
    </w:lvl>
  </w:abstractNum>
  <w:abstractNum w:abstractNumId="26">
    <w:nsid w:val="12B26E4E"/>
    <w:multiLevelType w:val="multilevel"/>
    <w:tmpl w:val="12B26E4E"/>
    <w:lvl w:ilvl="0" w:tentative="0">
      <w:start w:val="1"/>
      <w:numFmt w:val="decimal"/>
      <w:lvlText w:val="%1)"/>
      <w:lvlJc w:val="left"/>
      <w:pPr>
        <w:ind w:left="703" w:hanging="420"/>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27">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28">
    <w:nsid w:val="199A56D1"/>
    <w:multiLevelType w:val="multilevel"/>
    <w:tmpl w:val="199A56D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1FC6B92C"/>
    <w:multiLevelType w:val="singleLevel"/>
    <w:tmpl w:val="1FC6B92C"/>
    <w:lvl w:ilvl="0" w:tentative="0">
      <w:start w:val="1"/>
      <w:numFmt w:val="decimal"/>
      <w:suff w:val="nothing"/>
      <w:lvlText w:val="（%1）"/>
      <w:lvlJc w:val="left"/>
    </w:lvl>
  </w:abstractNum>
  <w:abstractNum w:abstractNumId="31">
    <w:nsid w:val="2281CD34"/>
    <w:multiLevelType w:val="multilevel"/>
    <w:tmpl w:val="2281CD34"/>
    <w:lvl w:ilvl="0" w:tentative="0">
      <w:start w:val="1"/>
      <w:numFmt w:val="decimal"/>
      <w:pStyle w:val="4"/>
      <w:lvlText w:val="%1"/>
      <w:lvlJc w:val="left"/>
      <w:pPr>
        <w:ind w:left="420" w:hanging="420"/>
      </w:pPr>
      <w:rPr>
        <w:rFonts w:hint="default" w:ascii="Times New Roman" w:hAnsi="Times New Roman" w:eastAsia="宋体" w:cs="Arial"/>
        <w:b/>
        <w:i w:val="0"/>
        <w:sz w:val="32"/>
        <w:szCs w:val="24"/>
      </w:rPr>
    </w:lvl>
    <w:lvl w:ilvl="1" w:tentative="0">
      <w:start w:val="1"/>
      <w:numFmt w:val="decimal"/>
      <w:isLgl/>
      <w:suff w:val="nothing"/>
      <w:lvlText w:val="%1.%2"/>
      <w:lvlJc w:val="left"/>
      <w:pPr>
        <w:ind w:left="490" w:hanging="49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32">
    <w:nsid w:val="2CDB421E"/>
    <w:multiLevelType w:val="singleLevel"/>
    <w:tmpl w:val="2CDB421E"/>
    <w:lvl w:ilvl="0" w:tentative="0">
      <w:start w:val="1"/>
      <w:numFmt w:val="decimal"/>
      <w:lvlText w:val="(%1)"/>
      <w:lvlJc w:val="left"/>
      <w:pPr>
        <w:ind w:left="425" w:hanging="425"/>
      </w:pPr>
      <w:rPr>
        <w:rFonts w:hint="default"/>
      </w:rPr>
    </w:lvl>
  </w:abstractNum>
  <w:abstractNum w:abstractNumId="33">
    <w:nsid w:val="32113A2D"/>
    <w:multiLevelType w:val="multilevel"/>
    <w:tmpl w:val="32113A2D"/>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37160067"/>
    <w:multiLevelType w:val="multilevel"/>
    <w:tmpl w:val="37160067"/>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3F7A5BB7"/>
    <w:multiLevelType w:val="multilevel"/>
    <w:tmpl w:val="3F7A5BB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411E3605"/>
    <w:multiLevelType w:val="singleLevel"/>
    <w:tmpl w:val="411E3605"/>
    <w:lvl w:ilvl="0" w:tentative="0">
      <w:start w:val="1"/>
      <w:numFmt w:val="decimalEnclosedCircleChinese"/>
      <w:suff w:val="nothing"/>
      <w:lvlText w:val="%1　"/>
      <w:lvlJc w:val="left"/>
      <w:pPr>
        <w:ind w:left="0" w:firstLine="400"/>
      </w:pPr>
      <w:rPr>
        <w:rFonts w:hint="eastAsia"/>
      </w:rPr>
    </w:lvl>
  </w:abstractNum>
  <w:abstractNum w:abstractNumId="37">
    <w:nsid w:val="41BB6180"/>
    <w:multiLevelType w:val="multilevel"/>
    <w:tmpl w:val="41BB6180"/>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3DE6DD6"/>
    <w:multiLevelType w:val="multilevel"/>
    <w:tmpl w:val="43DE6DD6"/>
    <w:lvl w:ilvl="0" w:tentative="0">
      <w:start w:val="1"/>
      <w:numFmt w:val="decimal"/>
      <w:lvlText w:val="%1)"/>
      <w:lvlJc w:val="left"/>
      <w:pPr>
        <w:ind w:left="703" w:hanging="420"/>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39">
    <w:nsid w:val="502C51B3"/>
    <w:multiLevelType w:val="singleLevel"/>
    <w:tmpl w:val="502C51B3"/>
    <w:lvl w:ilvl="0" w:tentative="0">
      <w:start w:val="1"/>
      <w:numFmt w:val="decimalEnclosedCircleChinese"/>
      <w:suff w:val="nothing"/>
      <w:lvlText w:val="%1　"/>
      <w:lvlJc w:val="left"/>
      <w:pPr>
        <w:ind w:left="0" w:firstLine="400"/>
      </w:pPr>
      <w:rPr>
        <w:rFonts w:hint="eastAsia"/>
      </w:rPr>
    </w:lvl>
  </w:abstractNum>
  <w:abstractNum w:abstractNumId="40">
    <w:nsid w:val="61550731"/>
    <w:multiLevelType w:val="singleLevel"/>
    <w:tmpl w:val="61550731"/>
    <w:lvl w:ilvl="0" w:tentative="0">
      <w:start w:val="2"/>
      <w:numFmt w:val="decimal"/>
      <w:suff w:val="nothing"/>
      <w:lvlText w:val="%1）"/>
      <w:lvlJc w:val="left"/>
    </w:lvl>
  </w:abstractNum>
  <w:abstractNum w:abstractNumId="41">
    <w:nsid w:val="67790F82"/>
    <w:multiLevelType w:val="singleLevel"/>
    <w:tmpl w:val="67790F82"/>
    <w:lvl w:ilvl="0" w:tentative="0">
      <w:start w:val="1"/>
      <w:numFmt w:val="decimal"/>
      <w:lvlText w:val="(%1)"/>
      <w:lvlJc w:val="left"/>
      <w:pPr>
        <w:ind w:left="425" w:hanging="425"/>
      </w:pPr>
      <w:rPr>
        <w:rFonts w:hint="default"/>
      </w:rPr>
    </w:lvl>
  </w:abstractNum>
  <w:abstractNum w:abstractNumId="42">
    <w:nsid w:val="6ADB14FA"/>
    <w:multiLevelType w:val="multilevel"/>
    <w:tmpl w:val="6ADB14FA"/>
    <w:lvl w:ilvl="0" w:tentative="0">
      <w:start w:val="1"/>
      <w:numFmt w:val="decimal"/>
      <w:lvlText w:val="%1)"/>
      <w:lvlJc w:val="left"/>
      <w:pPr>
        <w:ind w:left="703" w:hanging="420"/>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43">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6C6FF343"/>
    <w:multiLevelType w:val="multilevel"/>
    <w:tmpl w:val="6C6FF343"/>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5">
    <w:nsid w:val="6FCA45E7"/>
    <w:multiLevelType w:val="singleLevel"/>
    <w:tmpl w:val="6FCA45E7"/>
    <w:lvl w:ilvl="0" w:tentative="0">
      <w:start w:val="1"/>
      <w:numFmt w:val="decimalEnclosedCircleChinese"/>
      <w:suff w:val="nothing"/>
      <w:lvlText w:val="%1　"/>
      <w:lvlJc w:val="left"/>
      <w:pPr>
        <w:ind w:left="0" w:firstLine="400"/>
      </w:pPr>
      <w:rPr>
        <w:rFonts w:hint="eastAsia"/>
      </w:rPr>
    </w:lvl>
  </w:abstractNum>
  <w:abstractNum w:abstractNumId="46">
    <w:nsid w:val="749D171E"/>
    <w:multiLevelType w:val="singleLevel"/>
    <w:tmpl w:val="749D171E"/>
    <w:lvl w:ilvl="0" w:tentative="0">
      <w:start w:val="1"/>
      <w:numFmt w:val="decimal"/>
      <w:suff w:val="nothing"/>
      <w:lvlText w:val="%1"/>
      <w:lvlJc w:val="left"/>
      <w:pPr>
        <w:ind w:left="425" w:leftChars="0" w:hanging="425" w:firstLineChars="0"/>
      </w:pPr>
      <w:rPr>
        <w:rFonts w:hint="default"/>
      </w:rPr>
    </w:lvl>
  </w:abstractNum>
  <w:abstractNum w:abstractNumId="47">
    <w:nsid w:val="774E9351"/>
    <w:multiLevelType w:val="singleLevel"/>
    <w:tmpl w:val="774E9351"/>
    <w:lvl w:ilvl="0" w:tentative="0">
      <w:start w:val="1"/>
      <w:numFmt w:val="decimalEnclosedCircleChinese"/>
      <w:suff w:val="nothing"/>
      <w:lvlText w:val="%1　"/>
      <w:lvlJc w:val="left"/>
      <w:pPr>
        <w:ind w:left="0" w:firstLine="400"/>
      </w:pPr>
      <w:rPr>
        <w:rFonts w:hint="eastAsia"/>
      </w:rPr>
    </w:lvl>
  </w:abstractNum>
  <w:abstractNum w:abstractNumId="48">
    <w:nsid w:val="78C99BC7"/>
    <w:multiLevelType w:val="multilevel"/>
    <w:tmpl w:val="78C99BC7"/>
    <w:lvl w:ilvl="0" w:tentative="0">
      <w:start w:val="1"/>
      <w:numFmt w:val="decimal"/>
      <w:pStyle w:val="6"/>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9">
    <w:nsid w:val="7B578E7E"/>
    <w:multiLevelType w:val="singleLevel"/>
    <w:tmpl w:val="7B578E7E"/>
    <w:lvl w:ilvl="0" w:tentative="0">
      <w:start w:val="1"/>
      <w:numFmt w:val="decimal"/>
      <w:lvlText w:val="(%1)"/>
      <w:lvlJc w:val="left"/>
      <w:pPr>
        <w:ind w:left="425" w:hanging="425"/>
      </w:pPr>
      <w:rPr>
        <w:rFonts w:hint="default"/>
      </w:rPr>
    </w:lvl>
  </w:abstractNum>
  <w:num w:numId="1">
    <w:abstractNumId w:val="31"/>
  </w:num>
  <w:num w:numId="2">
    <w:abstractNumId w:val="48"/>
  </w:num>
  <w:num w:numId="3">
    <w:abstractNumId w:val="19"/>
  </w:num>
  <w:num w:numId="4">
    <w:abstractNumId w:val="1"/>
  </w:num>
  <w:num w:numId="5">
    <w:abstractNumId w:val="6"/>
  </w:num>
  <w:num w:numId="6">
    <w:abstractNumId w:val="44"/>
  </w:num>
  <w:num w:numId="7">
    <w:abstractNumId w:val="28"/>
  </w:num>
  <w:num w:numId="8">
    <w:abstractNumId w:val="35"/>
  </w:num>
  <w:num w:numId="9">
    <w:abstractNumId w:val="5"/>
  </w:num>
  <w:num w:numId="10">
    <w:abstractNumId w:val="13"/>
  </w:num>
  <w:num w:numId="11">
    <w:abstractNumId w:val="22"/>
  </w:num>
  <w:num w:numId="12">
    <w:abstractNumId w:val="41"/>
  </w:num>
  <w:num w:numId="13">
    <w:abstractNumId w:val="36"/>
  </w:num>
  <w:num w:numId="14">
    <w:abstractNumId w:val="45"/>
  </w:num>
  <w:num w:numId="15">
    <w:abstractNumId w:val="8"/>
  </w:num>
  <w:num w:numId="16">
    <w:abstractNumId w:val="2"/>
  </w:num>
  <w:num w:numId="17">
    <w:abstractNumId w:val="3"/>
  </w:num>
  <w:num w:numId="18">
    <w:abstractNumId w:val="18"/>
  </w:num>
  <w:num w:numId="19">
    <w:abstractNumId w:val="11"/>
  </w:num>
  <w:num w:numId="20">
    <w:abstractNumId w:val="9"/>
  </w:num>
  <w:num w:numId="21">
    <w:abstractNumId w:val="43"/>
  </w:num>
  <w:num w:numId="22">
    <w:abstractNumId w:val="29"/>
  </w:num>
  <w:num w:numId="23">
    <w:abstractNumId w:val="24"/>
  </w:num>
  <w:num w:numId="24">
    <w:abstractNumId w:val="0"/>
  </w:num>
  <w:num w:numId="25">
    <w:abstractNumId w:val="47"/>
  </w:num>
  <w:num w:numId="26">
    <w:abstractNumId w:val="23"/>
  </w:num>
  <w:num w:numId="27">
    <w:abstractNumId w:val="49"/>
  </w:num>
  <w:num w:numId="28">
    <w:abstractNumId w:val="15"/>
  </w:num>
  <w:num w:numId="29">
    <w:abstractNumId w:val="12"/>
  </w:num>
  <w:num w:numId="30">
    <w:abstractNumId w:val="32"/>
  </w:num>
  <w:num w:numId="31">
    <w:abstractNumId w:val="4"/>
  </w:num>
  <w:num w:numId="32">
    <w:abstractNumId w:val="10"/>
  </w:num>
  <w:num w:numId="33">
    <w:abstractNumId w:val="39"/>
  </w:num>
  <w:num w:numId="34">
    <w:abstractNumId w:val="34"/>
  </w:num>
  <w:num w:numId="35">
    <w:abstractNumId w:val="37"/>
  </w:num>
  <w:num w:numId="36">
    <w:abstractNumId w:val="21"/>
  </w:num>
  <w:num w:numId="37">
    <w:abstractNumId w:val="20"/>
  </w:num>
  <w:num w:numId="38">
    <w:abstractNumId w:val="33"/>
  </w:num>
  <w:num w:numId="39">
    <w:abstractNumId w:val="7"/>
  </w:num>
  <w:num w:numId="40">
    <w:abstractNumId w:val="30"/>
  </w:num>
  <w:num w:numId="41">
    <w:abstractNumId w:val="16"/>
  </w:num>
  <w:num w:numId="42">
    <w:abstractNumId w:val="46"/>
  </w:num>
  <w:num w:numId="43">
    <w:abstractNumId w:val="14"/>
  </w:num>
  <w:num w:numId="44">
    <w:abstractNumId w:val="40"/>
  </w:num>
  <w:num w:numId="45">
    <w:abstractNumId w:val="25"/>
  </w:num>
  <w:num w:numId="46">
    <w:abstractNumId w:val="17"/>
  </w:num>
  <w:num w:numId="47">
    <w:abstractNumId w:val="27"/>
  </w:num>
  <w:num w:numId="48">
    <w:abstractNumId w:val="38"/>
  </w:num>
  <w:num w:numId="49">
    <w:abstractNumId w:val="42"/>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CA9"/>
    <w:rsid w:val="00002AF4"/>
    <w:rsid w:val="000066B3"/>
    <w:rsid w:val="00010879"/>
    <w:rsid w:val="00010E75"/>
    <w:rsid w:val="00011231"/>
    <w:rsid w:val="0001575A"/>
    <w:rsid w:val="00020994"/>
    <w:rsid w:val="00022CD7"/>
    <w:rsid w:val="00024563"/>
    <w:rsid w:val="000251F6"/>
    <w:rsid w:val="000266A4"/>
    <w:rsid w:val="0003486B"/>
    <w:rsid w:val="00043CDB"/>
    <w:rsid w:val="0005080A"/>
    <w:rsid w:val="000643E3"/>
    <w:rsid w:val="00064AA4"/>
    <w:rsid w:val="000653A1"/>
    <w:rsid w:val="00066BAF"/>
    <w:rsid w:val="000772FC"/>
    <w:rsid w:val="00084E2A"/>
    <w:rsid w:val="00086A88"/>
    <w:rsid w:val="00086C59"/>
    <w:rsid w:val="0008733F"/>
    <w:rsid w:val="0008775B"/>
    <w:rsid w:val="000915B9"/>
    <w:rsid w:val="00094008"/>
    <w:rsid w:val="00094934"/>
    <w:rsid w:val="00095908"/>
    <w:rsid w:val="0009710D"/>
    <w:rsid w:val="000A0505"/>
    <w:rsid w:val="000B3852"/>
    <w:rsid w:val="000B553D"/>
    <w:rsid w:val="000B7C20"/>
    <w:rsid w:val="000C1632"/>
    <w:rsid w:val="000C2492"/>
    <w:rsid w:val="000C6C1C"/>
    <w:rsid w:val="000D0CE1"/>
    <w:rsid w:val="000D3D0E"/>
    <w:rsid w:val="000D567E"/>
    <w:rsid w:val="000E095B"/>
    <w:rsid w:val="000E2DB7"/>
    <w:rsid w:val="000E4DA5"/>
    <w:rsid w:val="000E747D"/>
    <w:rsid w:val="000E7B04"/>
    <w:rsid w:val="000F3EFA"/>
    <w:rsid w:val="000F478B"/>
    <w:rsid w:val="000F4E0D"/>
    <w:rsid w:val="0010002A"/>
    <w:rsid w:val="00106A11"/>
    <w:rsid w:val="00111083"/>
    <w:rsid w:val="00113068"/>
    <w:rsid w:val="00116680"/>
    <w:rsid w:val="00120D1C"/>
    <w:rsid w:val="00121979"/>
    <w:rsid w:val="0012438F"/>
    <w:rsid w:val="00126573"/>
    <w:rsid w:val="001269DA"/>
    <w:rsid w:val="00131C5E"/>
    <w:rsid w:val="00146742"/>
    <w:rsid w:val="00152DD6"/>
    <w:rsid w:val="001535DE"/>
    <w:rsid w:val="00155F0A"/>
    <w:rsid w:val="00156333"/>
    <w:rsid w:val="00156EF2"/>
    <w:rsid w:val="00160321"/>
    <w:rsid w:val="00160B54"/>
    <w:rsid w:val="00160BAC"/>
    <w:rsid w:val="001631BC"/>
    <w:rsid w:val="00171BC7"/>
    <w:rsid w:val="00172999"/>
    <w:rsid w:val="00177D06"/>
    <w:rsid w:val="00180A3E"/>
    <w:rsid w:val="00186C01"/>
    <w:rsid w:val="0019581C"/>
    <w:rsid w:val="00197228"/>
    <w:rsid w:val="001A36EC"/>
    <w:rsid w:val="001A456A"/>
    <w:rsid w:val="001A7308"/>
    <w:rsid w:val="001B255A"/>
    <w:rsid w:val="001B2A7B"/>
    <w:rsid w:val="001B5B48"/>
    <w:rsid w:val="001B766B"/>
    <w:rsid w:val="001C1B1A"/>
    <w:rsid w:val="001C6A2A"/>
    <w:rsid w:val="001D134A"/>
    <w:rsid w:val="001D1D38"/>
    <w:rsid w:val="001D21F9"/>
    <w:rsid w:val="001D26EA"/>
    <w:rsid w:val="001E6FCF"/>
    <w:rsid w:val="001F4914"/>
    <w:rsid w:val="001F4D7F"/>
    <w:rsid w:val="001F648D"/>
    <w:rsid w:val="001F68E8"/>
    <w:rsid w:val="0020509D"/>
    <w:rsid w:val="0021159E"/>
    <w:rsid w:val="002125A9"/>
    <w:rsid w:val="002137BB"/>
    <w:rsid w:val="00213854"/>
    <w:rsid w:val="0021439C"/>
    <w:rsid w:val="002158E1"/>
    <w:rsid w:val="00216CA4"/>
    <w:rsid w:val="00223568"/>
    <w:rsid w:val="00223E99"/>
    <w:rsid w:val="00230472"/>
    <w:rsid w:val="00242120"/>
    <w:rsid w:val="00243E51"/>
    <w:rsid w:val="0025041D"/>
    <w:rsid w:val="00251808"/>
    <w:rsid w:val="002539A8"/>
    <w:rsid w:val="00255236"/>
    <w:rsid w:val="00255753"/>
    <w:rsid w:val="00255E1C"/>
    <w:rsid w:val="00256D91"/>
    <w:rsid w:val="002572DC"/>
    <w:rsid w:val="00262BA0"/>
    <w:rsid w:val="0026512C"/>
    <w:rsid w:val="002651DD"/>
    <w:rsid w:val="0027001C"/>
    <w:rsid w:val="00271C1C"/>
    <w:rsid w:val="00276635"/>
    <w:rsid w:val="00276CFA"/>
    <w:rsid w:val="0028311D"/>
    <w:rsid w:val="0028641F"/>
    <w:rsid w:val="00287DEB"/>
    <w:rsid w:val="002902FC"/>
    <w:rsid w:val="002A1426"/>
    <w:rsid w:val="002A2AFC"/>
    <w:rsid w:val="002A561F"/>
    <w:rsid w:val="002B0B2D"/>
    <w:rsid w:val="002B2DCD"/>
    <w:rsid w:val="002B3B3C"/>
    <w:rsid w:val="002C0EBD"/>
    <w:rsid w:val="002C59D9"/>
    <w:rsid w:val="002E324A"/>
    <w:rsid w:val="002E5864"/>
    <w:rsid w:val="002F3C4B"/>
    <w:rsid w:val="0030091A"/>
    <w:rsid w:val="00305B72"/>
    <w:rsid w:val="00311B4F"/>
    <w:rsid w:val="00312C68"/>
    <w:rsid w:val="00327555"/>
    <w:rsid w:val="003317F2"/>
    <w:rsid w:val="0033465F"/>
    <w:rsid w:val="003412C7"/>
    <w:rsid w:val="00344BC1"/>
    <w:rsid w:val="00344E56"/>
    <w:rsid w:val="00347CF0"/>
    <w:rsid w:val="003548F4"/>
    <w:rsid w:val="00355EA1"/>
    <w:rsid w:val="0036430F"/>
    <w:rsid w:val="00364BDF"/>
    <w:rsid w:val="00365B92"/>
    <w:rsid w:val="00367602"/>
    <w:rsid w:val="00367F1C"/>
    <w:rsid w:val="0037040D"/>
    <w:rsid w:val="00370643"/>
    <w:rsid w:val="00374CE5"/>
    <w:rsid w:val="003752AC"/>
    <w:rsid w:val="003805EF"/>
    <w:rsid w:val="00381CD0"/>
    <w:rsid w:val="00386BB8"/>
    <w:rsid w:val="00391610"/>
    <w:rsid w:val="003A1BDD"/>
    <w:rsid w:val="003A7ECF"/>
    <w:rsid w:val="003B4B48"/>
    <w:rsid w:val="003B565D"/>
    <w:rsid w:val="003B78BF"/>
    <w:rsid w:val="003C3FB5"/>
    <w:rsid w:val="003D61F7"/>
    <w:rsid w:val="003D695F"/>
    <w:rsid w:val="003D72DE"/>
    <w:rsid w:val="003E2B19"/>
    <w:rsid w:val="003E6752"/>
    <w:rsid w:val="003F0263"/>
    <w:rsid w:val="003F3389"/>
    <w:rsid w:val="00400885"/>
    <w:rsid w:val="00400CA1"/>
    <w:rsid w:val="00401077"/>
    <w:rsid w:val="00403F00"/>
    <w:rsid w:val="004179BD"/>
    <w:rsid w:val="004179EF"/>
    <w:rsid w:val="00420A97"/>
    <w:rsid w:val="004220D6"/>
    <w:rsid w:val="004246EB"/>
    <w:rsid w:val="004320F6"/>
    <w:rsid w:val="004332DA"/>
    <w:rsid w:val="0043575C"/>
    <w:rsid w:val="004357B4"/>
    <w:rsid w:val="00443EB8"/>
    <w:rsid w:val="00443FC4"/>
    <w:rsid w:val="004453D1"/>
    <w:rsid w:val="004453E2"/>
    <w:rsid w:val="00447A3E"/>
    <w:rsid w:val="00451E1E"/>
    <w:rsid w:val="00454B15"/>
    <w:rsid w:val="004563A3"/>
    <w:rsid w:val="00462FD5"/>
    <w:rsid w:val="00463C34"/>
    <w:rsid w:val="00481959"/>
    <w:rsid w:val="00485E70"/>
    <w:rsid w:val="004920C6"/>
    <w:rsid w:val="004942E5"/>
    <w:rsid w:val="00496ADC"/>
    <w:rsid w:val="004A3D48"/>
    <w:rsid w:val="004B2BF6"/>
    <w:rsid w:val="004B2EF9"/>
    <w:rsid w:val="004B6027"/>
    <w:rsid w:val="004B6A74"/>
    <w:rsid w:val="004C089B"/>
    <w:rsid w:val="004C2AC6"/>
    <w:rsid w:val="004C3066"/>
    <w:rsid w:val="004C3B28"/>
    <w:rsid w:val="004C5FE2"/>
    <w:rsid w:val="004C7EDF"/>
    <w:rsid w:val="004D2A6F"/>
    <w:rsid w:val="004D3EF1"/>
    <w:rsid w:val="004E0794"/>
    <w:rsid w:val="004E3CCF"/>
    <w:rsid w:val="004E620B"/>
    <w:rsid w:val="004E6B54"/>
    <w:rsid w:val="004F41D5"/>
    <w:rsid w:val="00500440"/>
    <w:rsid w:val="00501C12"/>
    <w:rsid w:val="0050256A"/>
    <w:rsid w:val="005033CF"/>
    <w:rsid w:val="005051AE"/>
    <w:rsid w:val="00505447"/>
    <w:rsid w:val="00511735"/>
    <w:rsid w:val="00512434"/>
    <w:rsid w:val="005137C0"/>
    <w:rsid w:val="00513E3E"/>
    <w:rsid w:val="00520CA9"/>
    <w:rsid w:val="00530232"/>
    <w:rsid w:val="0053237F"/>
    <w:rsid w:val="0053262F"/>
    <w:rsid w:val="0054561C"/>
    <w:rsid w:val="00546568"/>
    <w:rsid w:val="00546FDA"/>
    <w:rsid w:val="00557D22"/>
    <w:rsid w:val="00567FDA"/>
    <w:rsid w:val="005847B4"/>
    <w:rsid w:val="00586180"/>
    <w:rsid w:val="00593E33"/>
    <w:rsid w:val="005A0EAD"/>
    <w:rsid w:val="005A22DA"/>
    <w:rsid w:val="005A41DF"/>
    <w:rsid w:val="005A4520"/>
    <w:rsid w:val="005A65E2"/>
    <w:rsid w:val="005B5992"/>
    <w:rsid w:val="005B62FB"/>
    <w:rsid w:val="005C2843"/>
    <w:rsid w:val="005D0E75"/>
    <w:rsid w:val="005D6269"/>
    <w:rsid w:val="005D739A"/>
    <w:rsid w:val="005F01A7"/>
    <w:rsid w:val="005F035D"/>
    <w:rsid w:val="005F5531"/>
    <w:rsid w:val="00605D70"/>
    <w:rsid w:val="006126A5"/>
    <w:rsid w:val="00615068"/>
    <w:rsid w:val="00625DE7"/>
    <w:rsid w:val="00626060"/>
    <w:rsid w:val="00626CE7"/>
    <w:rsid w:val="00632874"/>
    <w:rsid w:val="00633900"/>
    <w:rsid w:val="006342CE"/>
    <w:rsid w:val="006344DB"/>
    <w:rsid w:val="0063698C"/>
    <w:rsid w:val="0064371C"/>
    <w:rsid w:val="006471A2"/>
    <w:rsid w:val="00655D40"/>
    <w:rsid w:val="006608A7"/>
    <w:rsid w:val="00663113"/>
    <w:rsid w:val="00663984"/>
    <w:rsid w:val="00673970"/>
    <w:rsid w:val="00675011"/>
    <w:rsid w:val="006838DB"/>
    <w:rsid w:val="00686723"/>
    <w:rsid w:val="00690277"/>
    <w:rsid w:val="00690395"/>
    <w:rsid w:val="006A0048"/>
    <w:rsid w:val="006A1869"/>
    <w:rsid w:val="006A58B6"/>
    <w:rsid w:val="006B07BC"/>
    <w:rsid w:val="006B3888"/>
    <w:rsid w:val="006B58BC"/>
    <w:rsid w:val="006C0FF0"/>
    <w:rsid w:val="006C549A"/>
    <w:rsid w:val="006D19C9"/>
    <w:rsid w:val="006D2A42"/>
    <w:rsid w:val="006D4885"/>
    <w:rsid w:val="006D5947"/>
    <w:rsid w:val="007237C6"/>
    <w:rsid w:val="0073232D"/>
    <w:rsid w:val="007335B1"/>
    <w:rsid w:val="00735FCA"/>
    <w:rsid w:val="00740E2A"/>
    <w:rsid w:val="00744972"/>
    <w:rsid w:val="00746115"/>
    <w:rsid w:val="007505B7"/>
    <w:rsid w:val="00753702"/>
    <w:rsid w:val="00761FFF"/>
    <w:rsid w:val="00763DCA"/>
    <w:rsid w:val="00764C05"/>
    <w:rsid w:val="00767AD2"/>
    <w:rsid w:val="00774236"/>
    <w:rsid w:val="00774418"/>
    <w:rsid w:val="0077466A"/>
    <w:rsid w:val="00774E10"/>
    <w:rsid w:val="007754FE"/>
    <w:rsid w:val="00780723"/>
    <w:rsid w:val="0078300F"/>
    <w:rsid w:val="007870AC"/>
    <w:rsid w:val="00790A49"/>
    <w:rsid w:val="00794450"/>
    <w:rsid w:val="00795C4C"/>
    <w:rsid w:val="007A01CA"/>
    <w:rsid w:val="007A2A77"/>
    <w:rsid w:val="007A2D8A"/>
    <w:rsid w:val="007B0CF1"/>
    <w:rsid w:val="007B1666"/>
    <w:rsid w:val="007B61A5"/>
    <w:rsid w:val="007B7D54"/>
    <w:rsid w:val="007C1C82"/>
    <w:rsid w:val="007C2DC1"/>
    <w:rsid w:val="007C551B"/>
    <w:rsid w:val="007C7E13"/>
    <w:rsid w:val="007D18A0"/>
    <w:rsid w:val="007D4D49"/>
    <w:rsid w:val="007E55A0"/>
    <w:rsid w:val="007F04B7"/>
    <w:rsid w:val="0080031B"/>
    <w:rsid w:val="00811C05"/>
    <w:rsid w:val="008135A4"/>
    <w:rsid w:val="008148A8"/>
    <w:rsid w:val="00814D9F"/>
    <w:rsid w:val="00826500"/>
    <w:rsid w:val="008438DA"/>
    <w:rsid w:val="00845635"/>
    <w:rsid w:val="00847851"/>
    <w:rsid w:val="00855E41"/>
    <w:rsid w:val="00864D3C"/>
    <w:rsid w:val="00866B6D"/>
    <w:rsid w:val="00867C83"/>
    <w:rsid w:val="008719ED"/>
    <w:rsid w:val="008719FB"/>
    <w:rsid w:val="008722D5"/>
    <w:rsid w:val="008745A2"/>
    <w:rsid w:val="00875EBB"/>
    <w:rsid w:val="00880E09"/>
    <w:rsid w:val="00881D39"/>
    <w:rsid w:val="00882445"/>
    <w:rsid w:val="00883BCA"/>
    <w:rsid w:val="00885EA6"/>
    <w:rsid w:val="00894AEF"/>
    <w:rsid w:val="0089673C"/>
    <w:rsid w:val="008B2700"/>
    <w:rsid w:val="008B2F31"/>
    <w:rsid w:val="008B5201"/>
    <w:rsid w:val="008C33AA"/>
    <w:rsid w:val="008D6EBC"/>
    <w:rsid w:val="008D7FFB"/>
    <w:rsid w:val="008E5403"/>
    <w:rsid w:val="008E5AB3"/>
    <w:rsid w:val="008F09E5"/>
    <w:rsid w:val="008F4B11"/>
    <w:rsid w:val="008F74CD"/>
    <w:rsid w:val="00900564"/>
    <w:rsid w:val="009010DF"/>
    <w:rsid w:val="009214E8"/>
    <w:rsid w:val="00930CA0"/>
    <w:rsid w:val="0093236D"/>
    <w:rsid w:val="00932769"/>
    <w:rsid w:val="00941663"/>
    <w:rsid w:val="009446A0"/>
    <w:rsid w:val="0094548E"/>
    <w:rsid w:val="00946160"/>
    <w:rsid w:val="0094645F"/>
    <w:rsid w:val="00947026"/>
    <w:rsid w:val="00950BA4"/>
    <w:rsid w:val="00955784"/>
    <w:rsid w:val="00962F16"/>
    <w:rsid w:val="00963168"/>
    <w:rsid w:val="00964D8B"/>
    <w:rsid w:val="00966963"/>
    <w:rsid w:val="00967828"/>
    <w:rsid w:val="00971C5F"/>
    <w:rsid w:val="00973BD9"/>
    <w:rsid w:val="00973E79"/>
    <w:rsid w:val="00975321"/>
    <w:rsid w:val="00976B58"/>
    <w:rsid w:val="009771B5"/>
    <w:rsid w:val="009771E4"/>
    <w:rsid w:val="00986DB8"/>
    <w:rsid w:val="00986DE8"/>
    <w:rsid w:val="00990E6B"/>
    <w:rsid w:val="00993B14"/>
    <w:rsid w:val="009945DE"/>
    <w:rsid w:val="009954AC"/>
    <w:rsid w:val="00997FDE"/>
    <w:rsid w:val="009A2B53"/>
    <w:rsid w:val="009A4888"/>
    <w:rsid w:val="009A4CC9"/>
    <w:rsid w:val="009A5B0D"/>
    <w:rsid w:val="009A626F"/>
    <w:rsid w:val="009A6403"/>
    <w:rsid w:val="009B3D8C"/>
    <w:rsid w:val="009B64B4"/>
    <w:rsid w:val="009C101E"/>
    <w:rsid w:val="009C10E4"/>
    <w:rsid w:val="009C22D2"/>
    <w:rsid w:val="009C4AB4"/>
    <w:rsid w:val="009C5AE6"/>
    <w:rsid w:val="009C78F0"/>
    <w:rsid w:val="009D5B94"/>
    <w:rsid w:val="009D6709"/>
    <w:rsid w:val="00A04334"/>
    <w:rsid w:val="00A13CB8"/>
    <w:rsid w:val="00A219EA"/>
    <w:rsid w:val="00A224D6"/>
    <w:rsid w:val="00A22CA6"/>
    <w:rsid w:val="00A31011"/>
    <w:rsid w:val="00A34BD3"/>
    <w:rsid w:val="00A41539"/>
    <w:rsid w:val="00A46B31"/>
    <w:rsid w:val="00A52F0B"/>
    <w:rsid w:val="00A562DD"/>
    <w:rsid w:val="00A606C8"/>
    <w:rsid w:val="00A644B1"/>
    <w:rsid w:val="00A659DF"/>
    <w:rsid w:val="00A67197"/>
    <w:rsid w:val="00A713C8"/>
    <w:rsid w:val="00A75219"/>
    <w:rsid w:val="00A77A19"/>
    <w:rsid w:val="00A8221F"/>
    <w:rsid w:val="00A82359"/>
    <w:rsid w:val="00A84CA2"/>
    <w:rsid w:val="00A85433"/>
    <w:rsid w:val="00A963D2"/>
    <w:rsid w:val="00AA0DD8"/>
    <w:rsid w:val="00AA35F3"/>
    <w:rsid w:val="00AA5B6C"/>
    <w:rsid w:val="00AB0869"/>
    <w:rsid w:val="00AB14A4"/>
    <w:rsid w:val="00AC0D70"/>
    <w:rsid w:val="00AC1EB1"/>
    <w:rsid w:val="00AC2BA5"/>
    <w:rsid w:val="00AC520A"/>
    <w:rsid w:val="00AD209C"/>
    <w:rsid w:val="00AD581B"/>
    <w:rsid w:val="00AD5F03"/>
    <w:rsid w:val="00AE004B"/>
    <w:rsid w:val="00AE10B0"/>
    <w:rsid w:val="00AE1FCD"/>
    <w:rsid w:val="00AE32BE"/>
    <w:rsid w:val="00AE5EB1"/>
    <w:rsid w:val="00AF007D"/>
    <w:rsid w:val="00AF015A"/>
    <w:rsid w:val="00AF049D"/>
    <w:rsid w:val="00AF0967"/>
    <w:rsid w:val="00AF278D"/>
    <w:rsid w:val="00B032CE"/>
    <w:rsid w:val="00B10C4A"/>
    <w:rsid w:val="00B129FA"/>
    <w:rsid w:val="00B21703"/>
    <w:rsid w:val="00B25A17"/>
    <w:rsid w:val="00B25F25"/>
    <w:rsid w:val="00B27457"/>
    <w:rsid w:val="00B3087E"/>
    <w:rsid w:val="00B30DA5"/>
    <w:rsid w:val="00B334FB"/>
    <w:rsid w:val="00B34796"/>
    <w:rsid w:val="00B3778B"/>
    <w:rsid w:val="00B42479"/>
    <w:rsid w:val="00B43320"/>
    <w:rsid w:val="00B455B3"/>
    <w:rsid w:val="00B51E0E"/>
    <w:rsid w:val="00B549B9"/>
    <w:rsid w:val="00B61659"/>
    <w:rsid w:val="00B650F9"/>
    <w:rsid w:val="00B67C56"/>
    <w:rsid w:val="00B70585"/>
    <w:rsid w:val="00B7128E"/>
    <w:rsid w:val="00B72324"/>
    <w:rsid w:val="00B73335"/>
    <w:rsid w:val="00B74D8B"/>
    <w:rsid w:val="00B8184D"/>
    <w:rsid w:val="00B83B99"/>
    <w:rsid w:val="00B86382"/>
    <w:rsid w:val="00B91227"/>
    <w:rsid w:val="00B94600"/>
    <w:rsid w:val="00BA0E5C"/>
    <w:rsid w:val="00BA49D4"/>
    <w:rsid w:val="00BA52E3"/>
    <w:rsid w:val="00BA68B6"/>
    <w:rsid w:val="00BB1A1C"/>
    <w:rsid w:val="00BC4DBA"/>
    <w:rsid w:val="00BC7873"/>
    <w:rsid w:val="00BC79EC"/>
    <w:rsid w:val="00BD2146"/>
    <w:rsid w:val="00BD3895"/>
    <w:rsid w:val="00BD4855"/>
    <w:rsid w:val="00BD4D61"/>
    <w:rsid w:val="00BD759D"/>
    <w:rsid w:val="00BD7E02"/>
    <w:rsid w:val="00BE3360"/>
    <w:rsid w:val="00BF2C5D"/>
    <w:rsid w:val="00BF7528"/>
    <w:rsid w:val="00BF7BCD"/>
    <w:rsid w:val="00C041A9"/>
    <w:rsid w:val="00C047FE"/>
    <w:rsid w:val="00C052CF"/>
    <w:rsid w:val="00C264F6"/>
    <w:rsid w:val="00C31580"/>
    <w:rsid w:val="00C33D89"/>
    <w:rsid w:val="00C4752D"/>
    <w:rsid w:val="00C54253"/>
    <w:rsid w:val="00C55642"/>
    <w:rsid w:val="00C5583E"/>
    <w:rsid w:val="00C607EF"/>
    <w:rsid w:val="00C659B1"/>
    <w:rsid w:val="00C71579"/>
    <w:rsid w:val="00C73848"/>
    <w:rsid w:val="00C74530"/>
    <w:rsid w:val="00C861B8"/>
    <w:rsid w:val="00CA0183"/>
    <w:rsid w:val="00CA7BFD"/>
    <w:rsid w:val="00CB3ED8"/>
    <w:rsid w:val="00CB6C68"/>
    <w:rsid w:val="00CC2845"/>
    <w:rsid w:val="00CC3FF6"/>
    <w:rsid w:val="00CC4B90"/>
    <w:rsid w:val="00CD1BE6"/>
    <w:rsid w:val="00CD31E2"/>
    <w:rsid w:val="00CD384B"/>
    <w:rsid w:val="00CD4B55"/>
    <w:rsid w:val="00CF21CE"/>
    <w:rsid w:val="00CF433A"/>
    <w:rsid w:val="00CF4B67"/>
    <w:rsid w:val="00CF7BC9"/>
    <w:rsid w:val="00D027FA"/>
    <w:rsid w:val="00D03E40"/>
    <w:rsid w:val="00D074ED"/>
    <w:rsid w:val="00D10F71"/>
    <w:rsid w:val="00D11636"/>
    <w:rsid w:val="00D12B20"/>
    <w:rsid w:val="00D164A8"/>
    <w:rsid w:val="00D21672"/>
    <w:rsid w:val="00D21CC2"/>
    <w:rsid w:val="00D23075"/>
    <w:rsid w:val="00D23571"/>
    <w:rsid w:val="00D2555D"/>
    <w:rsid w:val="00D4240E"/>
    <w:rsid w:val="00D437AA"/>
    <w:rsid w:val="00D443A1"/>
    <w:rsid w:val="00D648DB"/>
    <w:rsid w:val="00D70EC9"/>
    <w:rsid w:val="00D7389F"/>
    <w:rsid w:val="00D77EAB"/>
    <w:rsid w:val="00D956FC"/>
    <w:rsid w:val="00D957BC"/>
    <w:rsid w:val="00D9661F"/>
    <w:rsid w:val="00DA157F"/>
    <w:rsid w:val="00DA25D8"/>
    <w:rsid w:val="00DB5C59"/>
    <w:rsid w:val="00DB5C82"/>
    <w:rsid w:val="00DB5EC3"/>
    <w:rsid w:val="00DB7F2D"/>
    <w:rsid w:val="00DC7E5D"/>
    <w:rsid w:val="00DE0B62"/>
    <w:rsid w:val="00DE2526"/>
    <w:rsid w:val="00DF399E"/>
    <w:rsid w:val="00DF7C9E"/>
    <w:rsid w:val="00E01616"/>
    <w:rsid w:val="00E01D16"/>
    <w:rsid w:val="00E05E73"/>
    <w:rsid w:val="00E1555F"/>
    <w:rsid w:val="00E20447"/>
    <w:rsid w:val="00E26301"/>
    <w:rsid w:val="00E27F27"/>
    <w:rsid w:val="00E376C2"/>
    <w:rsid w:val="00E37E88"/>
    <w:rsid w:val="00E50535"/>
    <w:rsid w:val="00E53D84"/>
    <w:rsid w:val="00E5473F"/>
    <w:rsid w:val="00E562AC"/>
    <w:rsid w:val="00E67559"/>
    <w:rsid w:val="00E72D2D"/>
    <w:rsid w:val="00E75642"/>
    <w:rsid w:val="00E86557"/>
    <w:rsid w:val="00E924B7"/>
    <w:rsid w:val="00E93336"/>
    <w:rsid w:val="00E93822"/>
    <w:rsid w:val="00E95B22"/>
    <w:rsid w:val="00E96390"/>
    <w:rsid w:val="00E97D52"/>
    <w:rsid w:val="00EA6D4F"/>
    <w:rsid w:val="00EC6A36"/>
    <w:rsid w:val="00ED2F5B"/>
    <w:rsid w:val="00ED5340"/>
    <w:rsid w:val="00ED6595"/>
    <w:rsid w:val="00EE0F9A"/>
    <w:rsid w:val="00EE7FE2"/>
    <w:rsid w:val="00EF1614"/>
    <w:rsid w:val="00EF7A96"/>
    <w:rsid w:val="00F00700"/>
    <w:rsid w:val="00F02ED4"/>
    <w:rsid w:val="00F15FEB"/>
    <w:rsid w:val="00F2087C"/>
    <w:rsid w:val="00F2291F"/>
    <w:rsid w:val="00F316B6"/>
    <w:rsid w:val="00F33BDE"/>
    <w:rsid w:val="00F34219"/>
    <w:rsid w:val="00F34375"/>
    <w:rsid w:val="00F34E24"/>
    <w:rsid w:val="00F4532D"/>
    <w:rsid w:val="00F56081"/>
    <w:rsid w:val="00F627F6"/>
    <w:rsid w:val="00F6457E"/>
    <w:rsid w:val="00F66060"/>
    <w:rsid w:val="00F80464"/>
    <w:rsid w:val="00F84E0E"/>
    <w:rsid w:val="00F858D3"/>
    <w:rsid w:val="00F87272"/>
    <w:rsid w:val="00F90107"/>
    <w:rsid w:val="00F93D70"/>
    <w:rsid w:val="00F94B8B"/>
    <w:rsid w:val="00FA174F"/>
    <w:rsid w:val="00FA586B"/>
    <w:rsid w:val="00FB3778"/>
    <w:rsid w:val="00FB44A7"/>
    <w:rsid w:val="00FC2FF6"/>
    <w:rsid w:val="00FC3710"/>
    <w:rsid w:val="00FC7465"/>
    <w:rsid w:val="00FD18F5"/>
    <w:rsid w:val="00FD7183"/>
    <w:rsid w:val="00FE0EB7"/>
    <w:rsid w:val="00FE6F21"/>
    <w:rsid w:val="00FF01AF"/>
    <w:rsid w:val="00FF0FD0"/>
    <w:rsid w:val="00FF2500"/>
    <w:rsid w:val="00FF6045"/>
    <w:rsid w:val="00FF6283"/>
    <w:rsid w:val="00FF68B0"/>
    <w:rsid w:val="025D6B3C"/>
    <w:rsid w:val="04021749"/>
    <w:rsid w:val="09E75280"/>
    <w:rsid w:val="0A55253A"/>
    <w:rsid w:val="0A860FC9"/>
    <w:rsid w:val="0BDE6F3F"/>
    <w:rsid w:val="0CDF7B4B"/>
    <w:rsid w:val="0DBA30F5"/>
    <w:rsid w:val="0E343BC1"/>
    <w:rsid w:val="0FB51D65"/>
    <w:rsid w:val="0FEA2195"/>
    <w:rsid w:val="0FED59A3"/>
    <w:rsid w:val="100C1860"/>
    <w:rsid w:val="13EA3464"/>
    <w:rsid w:val="155D772E"/>
    <w:rsid w:val="16015D20"/>
    <w:rsid w:val="16170DC5"/>
    <w:rsid w:val="172C28F2"/>
    <w:rsid w:val="179F6CB2"/>
    <w:rsid w:val="17A17067"/>
    <w:rsid w:val="17D7460F"/>
    <w:rsid w:val="18013929"/>
    <w:rsid w:val="18460E0E"/>
    <w:rsid w:val="1A642366"/>
    <w:rsid w:val="1B6D5119"/>
    <w:rsid w:val="1CC6189F"/>
    <w:rsid w:val="1F21368F"/>
    <w:rsid w:val="1F784B5D"/>
    <w:rsid w:val="1FB552A5"/>
    <w:rsid w:val="208D38F4"/>
    <w:rsid w:val="211118D7"/>
    <w:rsid w:val="21E21DB7"/>
    <w:rsid w:val="22423DCF"/>
    <w:rsid w:val="22D93B65"/>
    <w:rsid w:val="245729E8"/>
    <w:rsid w:val="26755484"/>
    <w:rsid w:val="272929A4"/>
    <w:rsid w:val="278C7E70"/>
    <w:rsid w:val="27B72F1E"/>
    <w:rsid w:val="28CA4610"/>
    <w:rsid w:val="29F23B7C"/>
    <w:rsid w:val="2A8C4AFA"/>
    <w:rsid w:val="2BC70BD5"/>
    <w:rsid w:val="2C0B7CC7"/>
    <w:rsid w:val="2C846EA1"/>
    <w:rsid w:val="2D0C3234"/>
    <w:rsid w:val="2D7E3C87"/>
    <w:rsid w:val="2DCF540A"/>
    <w:rsid w:val="2E3B154F"/>
    <w:rsid w:val="2F923ABC"/>
    <w:rsid w:val="2F961DF9"/>
    <w:rsid w:val="2FB07E21"/>
    <w:rsid w:val="2FC260AC"/>
    <w:rsid w:val="30A5624D"/>
    <w:rsid w:val="31856A23"/>
    <w:rsid w:val="325F4836"/>
    <w:rsid w:val="33875ABC"/>
    <w:rsid w:val="33E576DD"/>
    <w:rsid w:val="342F7FB7"/>
    <w:rsid w:val="349140CC"/>
    <w:rsid w:val="34915851"/>
    <w:rsid w:val="350F07E6"/>
    <w:rsid w:val="36A44720"/>
    <w:rsid w:val="37047A6A"/>
    <w:rsid w:val="371F6F38"/>
    <w:rsid w:val="374A66EF"/>
    <w:rsid w:val="37670900"/>
    <w:rsid w:val="37A66221"/>
    <w:rsid w:val="384C4B18"/>
    <w:rsid w:val="391B682D"/>
    <w:rsid w:val="391F5FB0"/>
    <w:rsid w:val="394F3266"/>
    <w:rsid w:val="3A4D4307"/>
    <w:rsid w:val="3BD323FC"/>
    <w:rsid w:val="3ECF3815"/>
    <w:rsid w:val="3EF311AF"/>
    <w:rsid w:val="3F025E52"/>
    <w:rsid w:val="3F0377ED"/>
    <w:rsid w:val="3F52287D"/>
    <w:rsid w:val="42037AC3"/>
    <w:rsid w:val="424B2EB5"/>
    <w:rsid w:val="43087E22"/>
    <w:rsid w:val="4333207C"/>
    <w:rsid w:val="447A65C1"/>
    <w:rsid w:val="44AA6E95"/>
    <w:rsid w:val="45104AFC"/>
    <w:rsid w:val="4636634B"/>
    <w:rsid w:val="47596E9F"/>
    <w:rsid w:val="47C813C7"/>
    <w:rsid w:val="48082673"/>
    <w:rsid w:val="489071ED"/>
    <w:rsid w:val="490A68E7"/>
    <w:rsid w:val="49266355"/>
    <w:rsid w:val="4A2C0041"/>
    <w:rsid w:val="4AEF7837"/>
    <w:rsid w:val="4B484DF9"/>
    <w:rsid w:val="4CA97B7A"/>
    <w:rsid w:val="4E563093"/>
    <w:rsid w:val="4FB55FFB"/>
    <w:rsid w:val="4FDE5C42"/>
    <w:rsid w:val="50BF758B"/>
    <w:rsid w:val="50CA5E06"/>
    <w:rsid w:val="52295FB6"/>
    <w:rsid w:val="527E4280"/>
    <w:rsid w:val="53BB3E54"/>
    <w:rsid w:val="559F4616"/>
    <w:rsid w:val="56004270"/>
    <w:rsid w:val="56821842"/>
    <w:rsid w:val="58390F0E"/>
    <w:rsid w:val="58392E86"/>
    <w:rsid w:val="58E42340"/>
    <w:rsid w:val="59FC6A77"/>
    <w:rsid w:val="5A5C3C2F"/>
    <w:rsid w:val="5B521908"/>
    <w:rsid w:val="5CBD35D4"/>
    <w:rsid w:val="5CC02604"/>
    <w:rsid w:val="5E194C14"/>
    <w:rsid w:val="5EFC341C"/>
    <w:rsid w:val="60750A5E"/>
    <w:rsid w:val="61C86CA3"/>
    <w:rsid w:val="621B53A1"/>
    <w:rsid w:val="623C0461"/>
    <w:rsid w:val="62431DFF"/>
    <w:rsid w:val="63932D11"/>
    <w:rsid w:val="640718E2"/>
    <w:rsid w:val="64696C1E"/>
    <w:rsid w:val="64EE026A"/>
    <w:rsid w:val="651B31AD"/>
    <w:rsid w:val="65CA119B"/>
    <w:rsid w:val="685878B4"/>
    <w:rsid w:val="6942733B"/>
    <w:rsid w:val="6A675886"/>
    <w:rsid w:val="6AEF7D25"/>
    <w:rsid w:val="6B1C186E"/>
    <w:rsid w:val="6D3F0009"/>
    <w:rsid w:val="6D912903"/>
    <w:rsid w:val="6F06705D"/>
    <w:rsid w:val="6F076D26"/>
    <w:rsid w:val="7136208C"/>
    <w:rsid w:val="72AE2CB0"/>
    <w:rsid w:val="73DA6042"/>
    <w:rsid w:val="740717A4"/>
    <w:rsid w:val="74154659"/>
    <w:rsid w:val="743E08C9"/>
    <w:rsid w:val="74493B34"/>
    <w:rsid w:val="749A211F"/>
    <w:rsid w:val="772316E1"/>
    <w:rsid w:val="77901BB9"/>
    <w:rsid w:val="79871E44"/>
    <w:rsid w:val="798A4EA5"/>
    <w:rsid w:val="7BB87E93"/>
    <w:rsid w:val="7C4D00B6"/>
    <w:rsid w:val="7DF7383C"/>
    <w:rsid w:val="7E933D06"/>
    <w:rsid w:val="7EFF32AC"/>
    <w:rsid w:val="7F0F1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Theme="minorEastAsia" w:cstheme="minorBidi"/>
      <w:kern w:val="2"/>
      <w:sz w:val="24"/>
      <w:szCs w:val="22"/>
      <w:lang w:val="en-US" w:eastAsia="zh-CN" w:bidi="ar-SA"/>
    </w:rPr>
  </w:style>
  <w:style w:type="paragraph" w:styleId="4">
    <w:name w:val="heading 1"/>
    <w:basedOn w:val="1"/>
    <w:next w:val="1"/>
    <w:link w:val="42"/>
    <w:qFormat/>
    <w:uiPriority w:val="9"/>
    <w:pPr>
      <w:keepNext/>
      <w:numPr>
        <w:ilvl w:val="0"/>
        <w:numId w:val="1"/>
      </w:numPr>
      <w:ind w:left="420" w:hanging="420" w:firstLineChars="0"/>
      <w:jc w:val="center"/>
      <w:outlineLvl w:val="0"/>
    </w:pPr>
    <w:rPr>
      <w:b/>
      <w:bCs/>
      <w:kern w:val="44"/>
      <w:sz w:val="32"/>
      <w:szCs w:val="44"/>
    </w:rPr>
  </w:style>
  <w:style w:type="paragraph" w:styleId="5">
    <w:name w:val="heading 2"/>
    <w:basedOn w:val="1"/>
    <w:next w:val="1"/>
    <w:link w:val="43"/>
    <w:semiHidden/>
    <w:unhideWhenUsed/>
    <w:qFormat/>
    <w:uiPriority w:val="9"/>
    <w:pPr>
      <w:keepNext/>
      <w:keepLines/>
      <w:outlineLvl w:val="1"/>
    </w:pPr>
    <w:rPr>
      <w:rFonts w:eastAsiaTheme="majorEastAsia" w:cstheme="majorBidi"/>
      <w:b/>
      <w:bCs/>
      <w:sz w:val="28"/>
      <w:szCs w:val="32"/>
    </w:rPr>
  </w:style>
  <w:style w:type="paragraph" w:styleId="6">
    <w:name w:val="heading 3"/>
    <w:basedOn w:val="5"/>
    <w:next w:val="1"/>
    <w:link w:val="50"/>
    <w:semiHidden/>
    <w:unhideWhenUsed/>
    <w:qFormat/>
    <w:uiPriority w:val="9"/>
    <w:pPr>
      <w:keepNext/>
      <w:keepLines/>
      <w:numPr>
        <w:ilvl w:val="0"/>
        <w:numId w:val="2"/>
      </w:numPr>
      <w:outlineLvl w:val="2"/>
    </w:pPr>
    <w:rPr>
      <w:rFonts w:ascii="Times New Roman" w:hAnsi="Times New Roman"/>
      <w:szCs w:val="32"/>
    </w:rPr>
  </w:style>
  <w:style w:type="paragraph" w:styleId="7">
    <w:name w:val="heading 4"/>
    <w:basedOn w:val="8"/>
    <w:next w:val="1"/>
    <w:link w:val="56"/>
    <w:semiHidden/>
    <w:unhideWhenUsed/>
    <w:qFormat/>
    <w:uiPriority w:val="9"/>
    <w:pPr>
      <w:keepNext/>
      <w:keepLines/>
      <w:outlineLvl w:val="3"/>
    </w:pPr>
    <w:rPr>
      <w:rFonts w:eastAsiaTheme="majorEastAsia" w:cstheme="majorBidi"/>
      <w:bCs/>
      <w:szCs w:val="28"/>
    </w:rPr>
  </w:style>
  <w:style w:type="paragraph" w:styleId="10">
    <w:name w:val="heading 5"/>
    <w:basedOn w:val="1"/>
    <w:next w:val="1"/>
    <w:semiHidden/>
    <w:unhideWhenUsed/>
    <w:qFormat/>
    <w:uiPriority w:val="9"/>
    <w:pPr>
      <w:numPr>
        <w:ilvl w:val="4"/>
        <w:numId w:val="3"/>
      </w:numPr>
      <w:ind w:firstLineChars="0"/>
      <w:outlineLvl w:val="4"/>
    </w:pPr>
    <w:rPr>
      <w:b/>
      <w:bCs/>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semiHidden/>
    <w:unhideWhenUsed/>
    <w:qFormat/>
    <w:uiPriority w:val="99"/>
    <w:pPr>
      <w:ind w:firstLine="538" w:firstLineChars="192"/>
    </w:pPr>
    <w:rPr>
      <w:kern w:val="0"/>
      <w:sz w:val="28"/>
    </w:rPr>
  </w:style>
  <w:style w:type="paragraph" w:customStyle="1" w:styleId="3">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customStyle="1" w:styleId="8">
    <w:name w:val="4.厦三四级标题"/>
    <w:next w:val="9"/>
    <w:semiHidden/>
    <w:qFormat/>
    <w:uiPriority w:val="3"/>
    <w:pPr>
      <w:spacing w:line="360" w:lineRule="auto"/>
      <w:jc w:val="both"/>
      <w:outlineLvl w:val="3"/>
    </w:pPr>
    <w:rPr>
      <w:rFonts w:ascii="Times New Roman" w:hAnsi="Times New Roman" w:eastAsia="宋体" w:cs="Times New Roman"/>
      <w:b/>
      <w:sz w:val="24"/>
      <w:lang w:val="en-US" w:eastAsia="zh-CN" w:bidi="ar-SA"/>
    </w:rPr>
  </w:style>
  <w:style w:type="paragraph" w:customStyle="1" w:styleId="9">
    <w:name w:val="6.厦三正文文本"/>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styleId="11">
    <w:name w:val="Normal Indent"/>
    <w:basedOn w:val="1"/>
    <w:semiHidden/>
    <w:unhideWhenUsed/>
    <w:qFormat/>
    <w:uiPriority w:val="99"/>
    <w:pPr>
      <w:ind w:firstLine="442"/>
    </w:pPr>
    <w:rPr>
      <w:rFonts w:ascii="宋体"/>
    </w:rPr>
  </w:style>
  <w:style w:type="paragraph" w:styleId="12">
    <w:name w:val="caption"/>
    <w:basedOn w:val="1"/>
    <w:next w:val="13"/>
    <w:semiHidden/>
    <w:unhideWhenUsed/>
    <w:qFormat/>
    <w:uiPriority w:val="35"/>
    <w:pPr>
      <w:spacing w:line="240" w:lineRule="auto"/>
      <w:jc w:val="center"/>
    </w:pPr>
    <w:rPr>
      <w:rFonts w:ascii="Arial" w:hAnsi="Arial"/>
      <w:b/>
      <w:sz w:val="21"/>
    </w:rPr>
  </w:style>
  <w:style w:type="paragraph" w:customStyle="1" w:styleId="13">
    <w:name w:val="表内文字"/>
    <w:basedOn w:val="14"/>
    <w:next w:val="1"/>
    <w:autoRedefine/>
    <w:qFormat/>
    <w:uiPriority w:val="0"/>
    <w:pPr>
      <w:spacing w:line="240" w:lineRule="auto"/>
      <w:ind w:firstLine="0" w:firstLineChars="0"/>
      <w:jc w:val="center"/>
    </w:pPr>
    <w:rPr>
      <w:sz w:val="21"/>
    </w:rPr>
  </w:style>
  <w:style w:type="paragraph" w:customStyle="1" w:styleId="14">
    <w:name w:val="图表名称"/>
    <w:basedOn w:val="1"/>
    <w:next w:val="1"/>
    <w:qFormat/>
    <w:uiPriority w:val="0"/>
    <w:pPr>
      <w:ind w:firstLine="480"/>
      <w:jc w:val="center"/>
    </w:pPr>
    <w:rPr>
      <w:b/>
      <w:sz w:val="21"/>
    </w:rPr>
  </w:style>
  <w:style w:type="paragraph" w:styleId="15">
    <w:name w:val="Document Map"/>
    <w:basedOn w:val="1"/>
    <w:link w:val="48"/>
    <w:semiHidden/>
    <w:unhideWhenUsed/>
    <w:qFormat/>
    <w:uiPriority w:val="99"/>
    <w:rPr>
      <w:rFonts w:ascii="宋体" w:eastAsia="宋体"/>
      <w:sz w:val="18"/>
      <w:szCs w:val="18"/>
    </w:rPr>
  </w:style>
  <w:style w:type="paragraph" w:styleId="16">
    <w:name w:val="annotation text"/>
    <w:basedOn w:val="1"/>
    <w:link w:val="68"/>
    <w:semiHidden/>
    <w:unhideWhenUsed/>
    <w:qFormat/>
    <w:uiPriority w:val="99"/>
  </w:style>
  <w:style w:type="paragraph" w:styleId="17">
    <w:name w:val="Body Text"/>
    <w:basedOn w:val="1"/>
    <w:semiHidden/>
    <w:unhideWhenUsed/>
    <w:qFormat/>
    <w:uiPriority w:val="99"/>
    <w:pPr>
      <w:spacing w:after="120" w:afterLines="0"/>
    </w:pPr>
    <w:rPr>
      <w:kern w:val="0"/>
      <w:sz w:val="20"/>
    </w:rPr>
  </w:style>
  <w:style w:type="paragraph" w:styleId="18">
    <w:name w:val="toc 3"/>
    <w:basedOn w:val="1"/>
    <w:next w:val="1"/>
    <w:semiHidden/>
    <w:unhideWhenUsed/>
    <w:qFormat/>
    <w:uiPriority w:val="39"/>
    <w:pPr>
      <w:ind w:left="840" w:leftChars="400"/>
    </w:pPr>
  </w:style>
  <w:style w:type="paragraph" w:styleId="19">
    <w:name w:val="Plain Text"/>
    <w:basedOn w:val="1"/>
    <w:next w:val="6"/>
    <w:link w:val="61"/>
    <w:semiHidden/>
    <w:unhideWhenUsed/>
    <w:qFormat/>
    <w:uiPriority w:val="99"/>
    <w:pPr>
      <w:spacing w:line="240" w:lineRule="auto"/>
      <w:jc w:val="both"/>
    </w:pPr>
    <w:rPr>
      <w:rFonts w:ascii="宋体" w:hAnsi="Courier New" w:eastAsia="宋体" w:cs="Times New Roman"/>
      <w:sz w:val="21"/>
      <w:szCs w:val="20"/>
    </w:rPr>
  </w:style>
  <w:style w:type="paragraph" w:styleId="20">
    <w:name w:val="Balloon Text"/>
    <w:basedOn w:val="1"/>
    <w:link w:val="46"/>
    <w:semiHidden/>
    <w:unhideWhenUsed/>
    <w:qFormat/>
    <w:uiPriority w:val="99"/>
    <w:pPr>
      <w:spacing w:line="240" w:lineRule="auto"/>
    </w:pPr>
    <w:rPr>
      <w:sz w:val="18"/>
      <w:szCs w:val="18"/>
    </w:rPr>
  </w:style>
  <w:style w:type="paragraph" w:styleId="21">
    <w:name w:val="footer"/>
    <w:basedOn w:val="1"/>
    <w:link w:val="41"/>
    <w:semiHidden/>
    <w:unhideWhenUsed/>
    <w:qFormat/>
    <w:uiPriority w:val="99"/>
    <w:pPr>
      <w:tabs>
        <w:tab w:val="center" w:pos="4153"/>
        <w:tab w:val="right" w:pos="8306"/>
      </w:tabs>
      <w:snapToGrid w:val="0"/>
    </w:pPr>
    <w:rPr>
      <w:sz w:val="18"/>
      <w:szCs w:val="18"/>
    </w:rPr>
  </w:style>
  <w:style w:type="paragraph" w:styleId="22">
    <w:name w:val="header"/>
    <w:basedOn w:val="1"/>
    <w:link w:val="4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semiHidden/>
    <w:unhideWhenUsed/>
    <w:qFormat/>
    <w:uiPriority w:val="39"/>
    <w:pPr>
      <w:tabs>
        <w:tab w:val="left" w:pos="426"/>
        <w:tab w:val="right" w:leader="dot" w:pos="8296"/>
      </w:tabs>
      <w:jc w:val="both"/>
    </w:pPr>
  </w:style>
  <w:style w:type="paragraph" w:styleId="24">
    <w:name w:val="Subtitle"/>
    <w:basedOn w:val="1"/>
    <w:next w:val="1"/>
    <w:link w:val="45"/>
    <w:qFormat/>
    <w:uiPriority w:val="11"/>
    <w:pPr>
      <w:outlineLvl w:val="3"/>
    </w:pPr>
    <w:rPr>
      <w:rFonts w:cstheme="majorBidi"/>
      <w:bCs/>
      <w:kern w:val="28"/>
      <w:szCs w:val="32"/>
    </w:rPr>
  </w:style>
  <w:style w:type="paragraph" w:styleId="25">
    <w:name w:val="toc 2"/>
    <w:basedOn w:val="1"/>
    <w:next w:val="1"/>
    <w:semiHidden/>
    <w:unhideWhenUsed/>
    <w:qFormat/>
    <w:uiPriority w:val="39"/>
    <w:pPr>
      <w:ind w:left="200" w:leftChars="200"/>
      <w:jc w:val="both"/>
    </w:pPr>
  </w:style>
  <w:style w:type="paragraph" w:styleId="26">
    <w:name w:val="Body Text 2"/>
    <w:basedOn w:val="1"/>
    <w:semiHidden/>
    <w:unhideWhenUsed/>
    <w:qFormat/>
    <w:uiPriority w:val="99"/>
    <w:pPr>
      <w:spacing w:after="120" w:afterLines="0" w:line="480" w:lineRule="auto"/>
    </w:pPr>
    <w:rPr>
      <w:kern w:val="0"/>
      <w:sz w:val="20"/>
    </w:rPr>
  </w:style>
  <w:style w:type="paragraph" w:styleId="27">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9">
    <w:name w:val="Title"/>
    <w:basedOn w:val="1"/>
    <w:next w:val="1"/>
    <w:link w:val="44"/>
    <w:qFormat/>
    <w:uiPriority w:val="10"/>
    <w:pPr>
      <w:outlineLvl w:val="2"/>
    </w:pPr>
    <w:rPr>
      <w:rFonts w:cstheme="majorBidi"/>
      <w:b/>
      <w:bCs/>
      <w:szCs w:val="32"/>
    </w:rPr>
  </w:style>
  <w:style w:type="paragraph" w:styleId="30">
    <w:name w:val="annotation subject"/>
    <w:basedOn w:val="16"/>
    <w:next w:val="16"/>
    <w:link w:val="69"/>
    <w:semiHidden/>
    <w:unhideWhenUsed/>
    <w:qFormat/>
    <w:uiPriority w:val="99"/>
    <w:rPr>
      <w:b/>
      <w:bCs/>
    </w:rPr>
  </w:style>
  <w:style w:type="paragraph" w:styleId="31">
    <w:name w:val="Body Text First Indent"/>
    <w:basedOn w:val="17"/>
    <w:next w:val="1"/>
    <w:semiHidden/>
    <w:unhideWhenUsed/>
    <w:qFormat/>
    <w:uiPriority w:val="99"/>
    <w:pPr>
      <w:adjustRightInd w:val="0"/>
      <w:spacing w:line="312" w:lineRule="atLeast"/>
      <w:ind w:firstLine="420" w:firstLineChars="100"/>
      <w:textAlignment w:val="baseline"/>
    </w:pPr>
    <w:rPr>
      <w:kern w:val="0"/>
      <w:szCs w:val="20"/>
    </w:rPr>
  </w:style>
  <w:style w:type="paragraph" w:styleId="32">
    <w:name w:val="Body Text First Indent 2"/>
    <w:basedOn w:val="2"/>
    <w:next w:val="1"/>
    <w:semiHidden/>
    <w:unhideWhenUsed/>
    <w:qFormat/>
    <w:uiPriority w:val="99"/>
    <w:pPr>
      <w:adjustRightInd w:val="0"/>
      <w:ind w:left="480"/>
    </w:pPr>
  </w:style>
  <w:style w:type="table" w:styleId="34">
    <w:name w:val="Table Grid"/>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Hyperlink"/>
    <w:basedOn w:val="35"/>
    <w:semiHidden/>
    <w:unhideWhenUsed/>
    <w:qFormat/>
    <w:uiPriority w:val="99"/>
    <w:rPr>
      <w:color w:val="0000FF" w:themeColor="hyperlink"/>
      <w:u w:val="single"/>
      <w14:textFill>
        <w14:solidFill>
          <w14:schemeClr w14:val="hlink"/>
        </w14:solidFill>
      </w14:textFill>
    </w:rPr>
  </w:style>
  <w:style w:type="character" w:styleId="37">
    <w:name w:val="annotation reference"/>
    <w:basedOn w:val="35"/>
    <w:semiHidden/>
    <w:unhideWhenUsed/>
    <w:qFormat/>
    <w:uiPriority w:val="99"/>
    <w:rPr>
      <w:sz w:val="21"/>
      <w:szCs w:val="21"/>
    </w:rPr>
  </w:style>
  <w:style w:type="paragraph" w:customStyle="1" w:styleId="38">
    <w:name w:val="基准样式（生物城）"/>
    <w:basedOn w:val="1"/>
    <w:next w:val="1"/>
    <w:qFormat/>
    <w:uiPriority w:val="0"/>
  </w:style>
  <w:style w:type="paragraph" w:styleId="39">
    <w:name w:val="List Paragraph"/>
    <w:basedOn w:val="1"/>
    <w:qFormat/>
    <w:uiPriority w:val="34"/>
    <w:pPr>
      <w:spacing w:line="240" w:lineRule="auto"/>
      <w:ind w:firstLine="420" w:firstLineChars="200"/>
      <w:jc w:val="both"/>
    </w:pPr>
    <w:rPr>
      <w:rFonts w:asciiTheme="minorHAnsi" w:hAnsiTheme="minorHAnsi"/>
      <w:sz w:val="21"/>
    </w:rPr>
  </w:style>
  <w:style w:type="character" w:customStyle="1" w:styleId="40">
    <w:name w:val="页眉 Char"/>
    <w:basedOn w:val="35"/>
    <w:link w:val="22"/>
    <w:semiHidden/>
    <w:qFormat/>
    <w:uiPriority w:val="99"/>
    <w:rPr>
      <w:sz w:val="18"/>
      <w:szCs w:val="18"/>
    </w:rPr>
  </w:style>
  <w:style w:type="character" w:customStyle="1" w:styleId="41">
    <w:name w:val="页脚 Char"/>
    <w:basedOn w:val="35"/>
    <w:link w:val="21"/>
    <w:qFormat/>
    <w:uiPriority w:val="99"/>
    <w:rPr>
      <w:sz w:val="18"/>
      <w:szCs w:val="18"/>
    </w:rPr>
  </w:style>
  <w:style w:type="character" w:customStyle="1" w:styleId="42">
    <w:name w:val="标题 1 Char"/>
    <w:basedOn w:val="35"/>
    <w:link w:val="4"/>
    <w:qFormat/>
    <w:uiPriority w:val="9"/>
    <w:rPr>
      <w:rFonts w:ascii="Times New Roman" w:hAnsi="Times New Roman"/>
      <w:b/>
      <w:bCs/>
      <w:kern w:val="44"/>
      <w:sz w:val="32"/>
      <w:szCs w:val="44"/>
    </w:rPr>
  </w:style>
  <w:style w:type="character" w:customStyle="1" w:styleId="43">
    <w:name w:val="标题 2 Char"/>
    <w:basedOn w:val="35"/>
    <w:link w:val="5"/>
    <w:qFormat/>
    <w:uiPriority w:val="9"/>
    <w:rPr>
      <w:rFonts w:ascii="Times New Roman" w:hAnsi="Times New Roman" w:eastAsiaTheme="majorEastAsia" w:cstheme="majorBidi"/>
      <w:b/>
      <w:bCs/>
      <w:sz w:val="28"/>
      <w:szCs w:val="32"/>
    </w:rPr>
  </w:style>
  <w:style w:type="character" w:customStyle="1" w:styleId="44">
    <w:name w:val="标题 Char"/>
    <w:basedOn w:val="35"/>
    <w:link w:val="29"/>
    <w:qFormat/>
    <w:uiPriority w:val="10"/>
    <w:rPr>
      <w:rFonts w:ascii="Times New Roman" w:hAnsi="Times New Roman" w:eastAsia="宋体" w:cstheme="majorBidi"/>
      <w:b/>
      <w:bCs/>
      <w:sz w:val="24"/>
      <w:szCs w:val="32"/>
    </w:rPr>
  </w:style>
  <w:style w:type="character" w:customStyle="1" w:styleId="45">
    <w:name w:val="副标题 Char"/>
    <w:basedOn w:val="35"/>
    <w:link w:val="24"/>
    <w:qFormat/>
    <w:uiPriority w:val="11"/>
    <w:rPr>
      <w:rFonts w:ascii="Times New Roman" w:hAnsi="Times New Roman" w:eastAsia="宋体" w:cstheme="majorBidi"/>
      <w:bCs/>
      <w:kern w:val="28"/>
      <w:sz w:val="24"/>
      <w:szCs w:val="32"/>
    </w:rPr>
  </w:style>
  <w:style w:type="character" w:customStyle="1" w:styleId="46">
    <w:name w:val="批注框文本 Char"/>
    <w:basedOn w:val="35"/>
    <w:link w:val="20"/>
    <w:semiHidden/>
    <w:qFormat/>
    <w:uiPriority w:val="99"/>
    <w:rPr>
      <w:rFonts w:ascii="Times New Roman" w:hAnsi="Times New Roman"/>
      <w:sz w:val="18"/>
      <w:szCs w:val="18"/>
    </w:rPr>
  </w:style>
  <w:style w:type="paragraph" w:customStyle="1" w:styleId="47">
    <w:name w:val="TOC 标题1"/>
    <w:basedOn w:val="4"/>
    <w:next w:val="1"/>
    <w:semiHidden/>
    <w:unhideWhenUsed/>
    <w:qFormat/>
    <w:uiPriority w:val="39"/>
    <w:pPr>
      <w:widowControl/>
      <w:numPr>
        <w:numId w:val="0"/>
      </w:numPr>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8">
    <w:name w:val="文档结构图 Char"/>
    <w:basedOn w:val="35"/>
    <w:link w:val="15"/>
    <w:semiHidden/>
    <w:qFormat/>
    <w:uiPriority w:val="99"/>
    <w:rPr>
      <w:rFonts w:ascii="宋体" w:hAnsi="Times New Roman" w:eastAsia="宋体"/>
      <w:sz w:val="18"/>
      <w:szCs w:val="18"/>
    </w:rPr>
  </w:style>
  <w:style w:type="paragraph" w:customStyle="1" w:styleId="49">
    <w:name w:val="样式 仿宋_GB2312 居中 首行缩进:  1.27 厘米 行距: 固定值 27 磅"/>
    <w:basedOn w:val="1"/>
    <w:qFormat/>
    <w:uiPriority w:val="0"/>
    <w:pPr>
      <w:widowControl/>
      <w:adjustRightInd w:val="0"/>
      <w:ind w:firstLine="198"/>
      <w:jc w:val="center"/>
    </w:pPr>
    <w:rPr>
      <w:rFonts w:ascii="仿宋_GB2312" w:eastAsia="仿宋_GB2312" w:cs="宋体"/>
      <w:spacing w:val="20"/>
      <w:kern w:val="0"/>
      <w:szCs w:val="20"/>
    </w:rPr>
  </w:style>
  <w:style w:type="character" w:customStyle="1" w:styleId="50">
    <w:name w:val="标题 3 Char"/>
    <w:basedOn w:val="35"/>
    <w:link w:val="6"/>
    <w:qFormat/>
    <w:uiPriority w:val="9"/>
    <w:rPr>
      <w:rFonts w:ascii="Times New Roman" w:hAnsi="Times New Roman" w:eastAsiaTheme="minorEastAsia"/>
      <w:b/>
      <w:bCs/>
      <w:sz w:val="24"/>
      <w:szCs w:val="32"/>
    </w:rPr>
  </w:style>
  <w:style w:type="character" w:customStyle="1" w:styleId="51">
    <w:name w:val="fontstyle01"/>
    <w:basedOn w:val="35"/>
    <w:qFormat/>
    <w:uiPriority w:val="0"/>
    <w:rPr>
      <w:rFonts w:hint="eastAsia" w:ascii="仿宋_GB2312" w:eastAsia="仿宋_GB2312"/>
      <w:color w:val="000000"/>
      <w:sz w:val="24"/>
      <w:szCs w:val="24"/>
    </w:rPr>
  </w:style>
  <w:style w:type="character" w:customStyle="1" w:styleId="52">
    <w:name w:val="fontstyle11"/>
    <w:basedOn w:val="35"/>
    <w:qFormat/>
    <w:uiPriority w:val="0"/>
    <w:rPr>
      <w:rFonts w:hint="default" w:ascii="ArialMT" w:hAnsi="ArialMT"/>
      <w:color w:val="000000"/>
      <w:sz w:val="24"/>
      <w:szCs w:val="24"/>
    </w:rPr>
  </w:style>
  <w:style w:type="character" w:customStyle="1" w:styleId="53">
    <w:name w:val="fontstyle21"/>
    <w:basedOn w:val="35"/>
    <w:qFormat/>
    <w:uiPriority w:val="0"/>
    <w:rPr>
      <w:rFonts w:hint="default" w:ascii="ArialMT" w:hAnsi="ArialMT"/>
      <w:color w:val="000000"/>
      <w:sz w:val="24"/>
      <w:szCs w:val="24"/>
    </w:rPr>
  </w:style>
  <w:style w:type="paragraph" w:customStyle="1" w:styleId="54">
    <w:name w:val="编号-图"/>
    <w:basedOn w:val="1"/>
    <w:next w:val="1"/>
    <w:qFormat/>
    <w:uiPriority w:val="0"/>
    <w:pPr>
      <w:tabs>
        <w:tab w:val="left" w:pos="567"/>
      </w:tabs>
      <w:ind w:left="420" w:hanging="420"/>
      <w:jc w:val="center"/>
    </w:pPr>
    <w:rPr>
      <w:rFonts w:eastAsia="宋体" w:cs="Times New Roman"/>
      <w:b/>
    </w:rPr>
  </w:style>
  <w:style w:type="paragraph" w:customStyle="1" w:styleId="55">
    <w:name w:val="表"/>
    <w:basedOn w:val="1"/>
    <w:qFormat/>
    <w:uiPriority w:val="0"/>
    <w:pPr>
      <w:tabs>
        <w:tab w:val="left" w:pos="567"/>
      </w:tabs>
      <w:jc w:val="center"/>
    </w:pPr>
    <w:rPr>
      <w:b/>
    </w:rPr>
  </w:style>
  <w:style w:type="character" w:customStyle="1" w:styleId="56">
    <w:name w:val="标题 4 Char"/>
    <w:basedOn w:val="35"/>
    <w:link w:val="7"/>
    <w:qFormat/>
    <w:uiPriority w:val="9"/>
    <w:rPr>
      <w:rFonts w:ascii="Times New Roman" w:hAnsi="Times New Roman" w:eastAsiaTheme="majorEastAsia" w:cstheme="majorBidi"/>
      <w:bCs/>
      <w:sz w:val="24"/>
      <w:szCs w:val="28"/>
    </w:rPr>
  </w:style>
  <w:style w:type="paragraph" w:customStyle="1" w:styleId="57">
    <w:name w:val="正文 黑色"/>
    <w:basedOn w:val="1"/>
    <w:link w:val="58"/>
    <w:qFormat/>
    <w:uiPriority w:val="0"/>
    <w:pPr>
      <w:ind w:firstLine="480" w:firstLineChars="200"/>
      <w:jc w:val="both"/>
    </w:pPr>
    <w:rPr>
      <w:rFonts w:ascii="宋体" w:hAnsi="宋体" w:eastAsia="宋体" w:cs="Times New Roman"/>
      <w:szCs w:val="20"/>
    </w:rPr>
  </w:style>
  <w:style w:type="character" w:customStyle="1" w:styleId="58">
    <w:name w:val="正文 黑色 Char"/>
    <w:link w:val="57"/>
    <w:qFormat/>
    <w:uiPriority w:val="0"/>
    <w:rPr>
      <w:rFonts w:ascii="宋体" w:hAnsi="宋体" w:eastAsia="宋体" w:cs="Times New Roman"/>
      <w:sz w:val="24"/>
      <w:szCs w:val="20"/>
    </w:rPr>
  </w:style>
  <w:style w:type="paragraph" w:customStyle="1" w:styleId="59">
    <w:name w:val="列出段落1"/>
    <w:basedOn w:val="1"/>
    <w:qFormat/>
    <w:uiPriority w:val="34"/>
    <w:pPr>
      <w:ind w:firstLine="200" w:firstLineChars="200"/>
      <w:jc w:val="both"/>
    </w:pPr>
  </w:style>
  <w:style w:type="paragraph" w:customStyle="1" w:styleId="60">
    <w:name w:val="xl29"/>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top"/>
    </w:pPr>
    <w:rPr>
      <w:rFonts w:ascii="Arial Unicode MS" w:hAnsi="Arial Unicode MS" w:eastAsia="Arial Unicode MS" w:cs="Arial Unicode MS"/>
      <w:kern w:val="0"/>
      <w:szCs w:val="24"/>
    </w:rPr>
  </w:style>
  <w:style w:type="character" w:customStyle="1" w:styleId="61">
    <w:name w:val="纯文本 Char"/>
    <w:basedOn w:val="35"/>
    <w:link w:val="19"/>
    <w:qFormat/>
    <w:uiPriority w:val="0"/>
    <w:rPr>
      <w:rFonts w:ascii="宋体" w:hAnsi="Courier New" w:eastAsia="宋体" w:cs="Times New Roman"/>
      <w:szCs w:val="20"/>
    </w:rPr>
  </w:style>
  <w:style w:type="paragraph" w:customStyle="1" w:styleId="62">
    <w:name w:val="BIAO1"/>
    <w:basedOn w:val="4"/>
    <w:qFormat/>
    <w:uiPriority w:val="0"/>
    <w:pPr>
      <w:numPr>
        <w:numId w:val="0"/>
      </w:numPr>
      <w:spacing w:before="62" w:after="62" w:line="240" w:lineRule="auto"/>
      <w:jc w:val="both"/>
    </w:pPr>
    <w:rPr>
      <w:rFonts w:ascii="黑体" w:eastAsia="黑体" w:cs="宋体"/>
      <w:b w:val="0"/>
      <w:bCs w:val="0"/>
      <w:sz w:val="24"/>
      <w:szCs w:val="20"/>
    </w:rPr>
  </w:style>
  <w:style w:type="character" w:customStyle="1" w:styleId="63">
    <w:name w:val="apple-converted-space"/>
    <w:basedOn w:val="35"/>
    <w:qFormat/>
    <w:uiPriority w:val="0"/>
  </w:style>
  <w:style w:type="paragraph" w:customStyle="1" w:styleId="64">
    <w:name w:val="编号-表"/>
    <w:basedOn w:val="1"/>
    <w:next w:val="1"/>
    <w:qFormat/>
    <w:uiPriority w:val="0"/>
    <w:pPr>
      <w:tabs>
        <w:tab w:val="left" w:pos="558"/>
      </w:tabs>
      <w:ind w:left="-9"/>
      <w:jc w:val="center"/>
    </w:pPr>
  </w:style>
  <w:style w:type="paragraph" w:customStyle="1" w:styleId="65">
    <w:name w:val="表格内容+居中"/>
    <w:basedOn w:val="1"/>
    <w:link w:val="66"/>
    <w:qFormat/>
    <w:uiPriority w:val="0"/>
    <w:pPr>
      <w:spacing w:line="340" w:lineRule="exact"/>
      <w:jc w:val="center"/>
    </w:pPr>
    <w:rPr>
      <w:rFonts w:ascii="宋体" w:hAnsi="宋体" w:eastAsia="宋体" w:cs="Times New Roman"/>
      <w:sz w:val="21"/>
      <w:szCs w:val="20"/>
    </w:rPr>
  </w:style>
  <w:style w:type="character" w:customStyle="1" w:styleId="66">
    <w:name w:val="表格内容+居中 Char"/>
    <w:link w:val="65"/>
    <w:qFormat/>
    <w:uiPriority w:val="0"/>
    <w:rPr>
      <w:rFonts w:ascii="宋体" w:hAnsi="宋体" w:eastAsia="宋体" w:cs="Times New Roman"/>
      <w:szCs w:val="20"/>
    </w:rPr>
  </w:style>
  <w:style w:type="paragraph" w:customStyle="1" w:styleId="67">
    <w:name w:val="列出段落11"/>
    <w:basedOn w:val="1"/>
    <w:qFormat/>
    <w:uiPriority w:val="34"/>
    <w:pPr>
      <w:ind w:firstLine="420" w:firstLineChars="200"/>
    </w:pPr>
  </w:style>
  <w:style w:type="character" w:customStyle="1" w:styleId="68">
    <w:name w:val="批注文字 Char"/>
    <w:basedOn w:val="35"/>
    <w:link w:val="16"/>
    <w:semiHidden/>
    <w:qFormat/>
    <w:uiPriority w:val="99"/>
    <w:rPr>
      <w:rFonts w:ascii="Times New Roman" w:hAnsi="Times New Roman" w:eastAsiaTheme="minorEastAsia" w:cstheme="minorBidi"/>
      <w:kern w:val="2"/>
      <w:sz w:val="24"/>
      <w:szCs w:val="22"/>
    </w:rPr>
  </w:style>
  <w:style w:type="character" w:customStyle="1" w:styleId="69">
    <w:name w:val="批注主题 Char"/>
    <w:basedOn w:val="68"/>
    <w:link w:val="30"/>
    <w:semiHidden/>
    <w:qFormat/>
    <w:uiPriority w:val="99"/>
    <w:rPr>
      <w:rFonts w:ascii="Times New Roman" w:hAnsi="Times New Roman" w:eastAsiaTheme="minorEastAsia" w:cstheme="minorBidi"/>
      <w:b/>
      <w:bCs/>
      <w:kern w:val="2"/>
      <w:sz w:val="24"/>
      <w:szCs w:val="22"/>
    </w:rPr>
  </w:style>
  <w:style w:type="paragraph" w:customStyle="1" w:styleId="70">
    <w:name w:val="表格--居中"/>
    <w:qFormat/>
    <w:uiPriority w:val="0"/>
    <w:pPr>
      <w:adjustRightInd w:val="0"/>
      <w:snapToGrid w:val="0"/>
      <w:spacing w:before="156" w:beforeLines="50" w:after="156" w:afterLines="50"/>
      <w:jc w:val="center"/>
    </w:pPr>
    <w:rPr>
      <w:rFonts w:ascii="宋体" w:hAnsi="宋体" w:eastAsiaTheme="minorEastAsia" w:cstheme="minorBidi"/>
      <w:bCs/>
      <w:kern w:val="2"/>
      <w:sz w:val="21"/>
      <w:szCs w:val="24"/>
      <w:lang w:val="en-US" w:eastAsia="zh-CN" w:bidi="ar-SA"/>
    </w:rPr>
  </w:style>
  <w:style w:type="paragraph" w:customStyle="1" w:styleId="71">
    <w:name w:val="余杭图表"/>
    <w:autoRedefine/>
    <w:qFormat/>
    <w:uiPriority w:val="6"/>
    <w:pPr>
      <w:snapToGrid w:val="0"/>
      <w:spacing w:before="113" w:beforeAutospacing="0" w:afterAutospacing="0"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72">
    <w:name w:val="表格内文字"/>
    <w:autoRedefine/>
    <w:qFormat/>
    <w:uiPriority w:val="0"/>
    <w:rPr>
      <w:rFonts w:ascii="Times New Roman" w:hAnsi="Times New Roman" w:eastAsia="宋体"/>
      <w:color w:val="auto"/>
      <w:sz w:val="21"/>
    </w:rPr>
  </w:style>
  <w:style w:type="paragraph" w:customStyle="1" w:styleId="73">
    <w:name w:val="表格内容"/>
    <w:basedOn w:val="1"/>
    <w:autoRedefine/>
    <w:qFormat/>
    <w:uiPriority w:val="0"/>
    <w:pPr>
      <w:widowControl/>
      <w:snapToGrid w:val="0"/>
      <w:spacing w:before="20" w:beforeLines="20" w:after="20" w:afterLines="20" w:line="240" w:lineRule="auto"/>
      <w:ind w:firstLine="0" w:firstLineChars="0"/>
      <w:jc w:val="center"/>
    </w:pPr>
    <w:rPr>
      <w:bCs/>
      <w:color w:val="000000"/>
      <w:sz w:val="21"/>
    </w:rPr>
  </w:style>
  <w:style w:type="paragraph" w:customStyle="1" w:styleId="74">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5">
    <w:name w:val="方案正文"/>
    <w:basedOn w:val="17"/>
    <w:qFormat/>
    <w:uiPriority w:val="99"/>
    <w:pPr>
      <w:ind w:firstLine="200"/>
      <w:jc w:val="left"/>
    </w:pPr>
    <w:rPr>
      <w:rFonts w:hAnsi="宋体"/>
    </w:rPr>
  </w:style>
  <w:style w:type="character" w:customStyle="1" w:styleId="76">
    <w:name w:val="font31"/>
    <w:basedOn w:val="35"/>
    <w:qFormat/>
    <w:uiPriority w:val="0"/>
    <w:rPr>
      <w:rFonts w:ascii="新宋体" w:hAnsi="新宋体" w:eastAsia="新宋体" w:cs="新宋体"/>
      <w:color w:val="000000"/>
      <w:sz w:val="20"/>
      <w:szCs w:val="20"/>
      <w:u w:val="none"/>
    </w:rPr>
  </w:style>
  <w:style w:type="character" w:customStyle="1" w:styleId="77">
    <w:name w:val="font11"/>
    <w:basedOn w:val="35"/>
    <w:qFormat/>
    <w:uiPriority w:val="0"/>
    <w:rPr>
      <w:rFonts w:hint="default" w:ascii="Times New Roman" w:hAnsi="Times New Roman" w:cs="Times New Roman"/>
      <w:color w:val="000000"/>
      <w:sz w:val="20"/>
      <w:szCs w:val="20"/>
      <w:u w:val="none"/>
    </w:rPr>
  </w:style>
  <w:style w:type="paragraph" w:customStyle="1" w:styleId="78">
    <w:name w:val="JYB正文"/>
    <w:qFormat/>
    <w:uiPriority w:val="0"/>
    <w:pPr>
      <w:widowControl w:val="0"/>
      <w:spacing w:line="360" w:lineRule="auto"/>
      <w:ind w:firstLine="480" w:firstLineChars="200"/>
    </w:pPr>
    <w:rPr>
      <w:rFonts w:ascii="宋体" w:hAnsi="宋体" w:eastAsia="宋体" w:cs="宋体"/>
      <w:bCs/>
      <w:color w:val="000000"/>
      <w:sz w:val="24"/>
      <w:szCs w:val="16"/>
      <w:lang w:val="zh-CN" w:eastAsia="zh-CN" w:bidi="ar-SA"/>
    </w:rPr>
  </w:style>
  <w:style w:type="character" w:customStyle="1" w:styleId="79">
    <w:name w:val="font21"/>
    <w:basedOn w:val="35"/>
    <w:qFormat/>
    <w:uiPriority w:val="0"/>
    <w:rPr>
      <w:rFonts w:ascii="新宋体" w:hAnsi="新宋体" w:eastAsia="新宋体" w:cs="新宋体"/>
      <w:color w:val="000000"/>
      <w:sz w:val="18"/>
      <w:szCs w:val="18"/>
      <w:u w:val="none"/>
    </w:rPr>
  </w:style>
  <w:style w:type="paragraph" w:customStyle="1" w:styleId="80">
    <w:name w:val="正文C"/>
    <w:basedOn w:val="1"/>
    <w:autoRedefine/>
    <w:qFormat/>
    <w:uiPriority w:val="0"/>
    <w:pPr>
      <w:adjustRightInd w:val="0"/>
      <w:snapToGrid w:val="0"/>
      <w:spacing w:beforeAutospacing="0" w:afterAutospacing="0" w:line="360" w:lineRule="auto"/>
      <w:ind w:firstLine="200" w:firstLineChars="200"/>
      <w:jc w:val="left"/>
    </w:pPr>
    <w:rPr>
      <w:rFonts w:ascii="宋体" w:hAnsi="宋体" w:eastAsia="宋体" w:cs="宋体"/>
      <w:color w:val="4F6228" w:themeColor="accent3" w:themeShade="80"/>
      <w:kern w:val="0"/>
      <w:sz w:val="24"/>
      <w:szCs w:val="24"/>
    </w:rPr>
  </w:style>
  <w:style w:type="table" w:customStyle="1" w:styleId="81">
    <w:name w:val="网格型1"/>
    <w:basedOn w:val="33"/>
    <w:qFormat/>
    <w:uiPriority w:val="0"/>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2">
    <w:name w:val="图表标题"/>
    <w:basedOn w:val="83"/>
    <w:autoRedefine/>
    <w:qFormat/>
    <w:uiPriority w:val="0"/>
    <w:pPr>
      <w:adjustRightInd w:val="0"/>
      <w:snapToGrid w:val="0"/>
      <w:jc w:val="center"/>
    </w:pPr>
    <w:rPr>
      <w:rFonts w:eastAsia="黑体" w:asciiTheme="minorHAnsi" w:hAnsiTheme="minorHAnsi"/>
      <w:color w:val="0000FF"/>
      <w:sz w:val="21"/>
    </w:rPr>
  </w:style>
  <w:style w:type="paragraph" w:customStyle="1" w:styleId="83">
    <w:name w:val="正文部分"/>
    <w:basedOn w:val="1"/>
    <w:qFormat/>
    <w:uiPriority w:val="0"/>
    <w:rPr>
      <w:rFonts w:eastAsia="仿宋_GB2312"/>
      <w:szCs w:val="22"/>
    </w:rPr>
  </w:style>
  <w:style w:type="table" w:customStyle="1" w:styleId="84">
    <w:name w:val="方案表格"/>
    <w:basedOn w:val="33"/>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85">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paragraph" w:customStyle="1" w:styleId="86">
    <w:name w:val="表格居中"/>
    <w:autoRedefine/>
    <w:qFormat/>
    <w:uiPriority w:val="0"/>
    <w:pPr>
      <w:adjustRightInd w:val="0"/>
      <w:snapToGrid w:val="0"/>
      <w:spacing w:beforeLines="25" w:beforeAutospacing="0" w:afterAutospacing="0"/>
      <w:jc w:val="center"/>
    </w:pPr>
    <w:rPr>
      <w:rFonts w:ascii="宋体" w:hAnsi="宋体" w:eastAsiaTheme="minorEastAsia" w:cstheme="minorBidi"/>
      <w:kern w:val="2"/>
      <w:sz w:val="21"/>
      <w:szCs w:val="21"/>
      <w:lang w:val="en-US" w:eastAsia="zh-CN" w:bidi="ar-SA"/>
    </w:rPr>
  </w:style>
  <w:style w:type="table" w:customStyle="1" w:styleId="87">
    <w:name w:val="样式1"/>
    <w:basedOn w:val="33"/>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
    <w:tcPr>
      <w:shd w:val="clear" w:color="auto" w:fill="auto"/>
    </w:tcPr>
  </w:style>
  <w:style w:type="paragraph" w:customStyle="1" w:styleId="88">
    <w:name w:val="表头"/>
    <w:basedOn w:val="89"/>
    <w:autoRedefine/>
    <w:qFormat/>
    <w:uiPriority w:val="0"/>
    <w:pPr>
      <w:spacing w:beforeAutospacing="0" w:afterAutospacing="0" w:line="320" w:lineRule="exact"/>
      <w:jc w:val="center"/>
    </w:pPr>
    <w:rPr>
      <w:rFonts w:ascii="宋体" w:hAnsi="宋体"/>
      <w:sz w:val="21"/>
      <w:szCs w:val="21"/>
    </w:rPr>
  </w:style>
  <w:style w:type="paragraph" w:customStyle="1" w:styleId="89">
    <w:name w:val="表格方字"/>
    <w:basedOn w:val="1"/>
    <w:autoRedefine/>
    <w:qFormat/>
    <w:uiPriority w:val="0"/>
    <w:pPr>
      <w:adjustRightInd w:val="0"/>
      <w:spacing w:before="60" w:beforeAutospacing="0" w:after="60" w:afterAutospacing="0" w:line="420" w:lineRule="atLeast"/>
      <w:jc w:val="left"/>
      <w:textAlignment w:val="baseline"/>
    </w:pPr>
    <w:rPr>
      <w:kern w:val="0"/>
      <w:sz w:val="21"/>
      <w:szCs w:val="20"/>
    </w:rPr>
  </w:style>
  <w:style w:type="paragraph" w:customStyle="1" w:styleId="90">
    <w:name w:val="燕矶图表名"/>
    <w:basedOn w:val="1"/>
    <w:next w:val="1"/>
    <w:qFormat/>
    <w:uiPriority w:val="0"/>
    <w:pPr>
      <w:spacing w:line="240" w:lineRule="auto"/>
      <w:ind w:firstLine="0" w:firstLineChars="0"/>
      <w:jc w:val="center"/>
    </w:pPr>
    <w:rPr>
      <w:rFonts w:hint="eastAsia"/>
      <w:b/>
      <w:bCs/>
      <w:color w:val="000000" w:themeColor="text1"/>
      <w:sz w:val="21"/>
      <w14:textFill>
        <w14:solidFill>
          <w14:schemeClr w14:val="tx1"/>
        </w14:solidFill>
      </w14:textFill>
    </w:rPr>
  </w:style>
  <w:style w:type="paragraph" w:customStyle="1" w:styleId="91">
    <w:name w:val="分类号"/>
    <w:basedOn w:val="1"/>
    <w:qFormat/>
    <w:uiPriority w:val="0"/>
    <w:pPr>
      <w:spacing w:line="240" w:lineRule="auto"/>
      <w:jc w:val="both"/>
    </w:pPr>
    <w:rPr>
      <w:rFonts w:ascii="仿宋_GB2312" w:hAnsi="Times New Roman" w:eastAsia="仿宋_GB2312" w:cs="Times New Roman"/>
      <w:sz w:val="28"/>
      <w:szCs w:val="28"/>
    </w:rPr>
  </w:style>
  <w:style w:type="paragraph" w:customStyle="1" w:styleId="92">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93">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94">
    <w:name w:val="硕士学位论文"/>
    <w:basedOn w:val="1"/>
    <w:qFormat/>
    <w:uiPriority w:val="0"/>
    <w:pPr>
      <w:spacing w:before="240" w:line="240" w:lineRule="auto"/>
      <w:jc w:val="center"/>
    </w:pPr>
    <w:rPr>
      <w:rFonts w:ascii="Times New Roman" w:hAnsi="Times New Roman" w:eastAsia="宋体" w:cs="Times New Roman"/>
      <w:sz w:val="44"/>
      <w:szCs w:val="44"/>
    </w:rPr>
  </w:style>
  <w:style w:type="paragraph" w:customStyle="1" w:styleId="95">
    <w:name w:val="研究生姓名"/>
    <w:basedOn w:val="1"/>
    <w:qFormat/>
    <w:uiPriority w:val="0"/>
    <w:pPr>
      <w:spacing w:line="240" w:lineRule="auto"/>
      <w:ind w:firstLine="700" w:firstLineChars="700"/>
      <w:jc w:val="both"/>
    </w:pPr>
    <w:rPr>
      <w:rFonts w:ascii="Times New Roman" w:hAnsi="Times New Roman" w:eastAsia="宋体" w:cs="Times New Roman"/>
      <w:sz w:val="28"/>
      <w:szCs w:val="28"/>
    </w:rPr>
  </w:style>
  <w:style w:type="character" w:customStyle="1" w:styleId="96">
    <w:name w:val="s13"/>
    <w:basedOn w:val="35"/>
    <w:qFormat/>
    <w:uiPriority w:val="0"/>
  </w:style>
  <w:style w:type="character" w:customStyle="1" w:styleId="97">
    <w:name w:val="s7"/>
    <w:basedOn w:val="35"/>
    <w:qFormat/>
    <w:uiPriority w:val="0"/>
  </w:style>
  <w:style w:type="paragraph" w:customStyle="1" w:styleId="98">
    <w:name w:val="图表文字"/>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paragraph" w:customStyle="1" w:styleId="99">
    <w:name w:val="题注—图片"/>
    <w:basedOn w:val="12"/>
    <w:next w:val="1"/>
    <w:autoRedefine/>
    <w:qFormat/>
    <w:uiPriority w:val="0"/>
    <w:pPr>
      <w:keepNext w:val="0"/>
    </w:pPr>
  </w:style>
  <w:style w:type="table" w:customStyle="1" w:styleId="100">
    <w:name w:val="表格标准13"/>
    <w:basedOn w:val="33"/>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jpe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84CC34-356E-43E5-9F0D-C95D9A99D2DF}">
  <ds:schemaRefs/>
</ds:datastoreItem>
</file>

<file path=docProps/app.xml><?xml version="1.0" encoding="utf-8"?>
<Properties xmlns="http://schemas.openxmlformats.org/officeDocument/2006/extended-properties" xmlns:vt="http://schemas.openxmlformats.org/officeDocument/2006/docPropsVTypes">
  <Template>Normal</Template>
  <Manager>19950215781</Manager>
  <Company>成都恒塔机械技术服务有限公司</Company>
  <Pages>114</Pages>
  <Words>44499</Words>
  <Characters>50342</Characters>
  <Lines>142</Lines>
  <Paragraphs>40</Paragraphs>
  <TotalTime>13</TotalTime>
  <ScaleCrop>false</ScaleCrop>
  <LinksUpToDate>false</LinksUpToDate>
  <CharactersWithSpaces>51029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2020-03-30T03:21:00Z</dcterms:created>
  <dc:creator>19950215781</dc:creator>
  <dc:description>成都恒塔机械技术服务有限公司</dc:description>
  <cp:lastModifiedBy>杭州渝港机械施工有限公司</cp:lastModifiedBy>
  <cp:lastPrinted>2018-11-15T05:58:00Z</cp:lastPrinted>
  <dcterms:modified xsi:type="dcterms:W3CDTF">2025-05-06T09:31:05Z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eyJoZGlkIjoiYjNhNmFhNjMwYzJiZmY0YzA5ZjEwOTY2YWYzYjdmYTAiLCJ1c2VySWQiOiIyMDEyMTQ5OSJ9</vt:lpwstr>
  </property>
  <property fmtid="{D5CDD505-2E9C-101B-9397-08002B2CF9AE}" pid="4" name="ICV">
    <vt:lpwstr>A6ED1D30E0F64ABAA550843F1BB81B16_13</vt:lpwstr>
  </property>
</Properties>
</file>