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6F34CC">
      <w:pPr>
        <w:jc w:val="left"/>
        <w:rPr>
          <w:rFonts w:hint="eastAsia" w:ascii="仿宋" w:hAnsi="仿宋" w:eastAsia="宋体"/>
          <w:bCs/>
          <w:sz w:val="28"/>
          <w:szCs w:val="28"/>
          <w:highlight w:val="none"/>
          <w:lang w:val="en-US" w:eastAsia="zh-CN"/>
        </w:rPr>
      </w:pPr>
      <w:r>
        <w:rPr>
          <w:rFonts w:hint="eastAsia" w:ascii="仿宋" w:hAnsi="仿宋"/>
          <w:bCs/>
          <w:sz w:val="28"/>
          <w:szCs w:val="28"/>
          <w:highlight w:val="none"/>
          <w:lang w:val="en-US" w:eastAsia="zh-CN"/>
        </w:rPr>
        <w:t xml:space="preserve"> </w:t>
      </w:r>
    </w:p>
    <w:p w14:paraId="38AA1519">
      <w:pPr>
        <w:jc w:val="center"/>
        <w:outlineLvl w:val="9"/>
        <w:rPr>
          <w:rFonts w:hint="eastAsia" w:ascii="宋体" w:hAnsi="宋体" w:eastAsia="宋体" w:cs="宋体"/>
          <w:b/>
          <w:bCs/>
          <w:sz w:val="32"/>
          <w:szCs w:val="32"/>
          <w:highlight w:val="none"/>
        </w:rPr>
      </w:pPr>
      <w:bookmarkStart w:id="0" w:name="_Toc12146"/>
      <w:bookmarkStart w:id="1" w:name="_Toc26943"/>
      <w:bookmarkStart w:id="2" w:name="_Toc8830"/>
      <w:r>
        <w:rPr>
          <w:rFonts w:hint="eastAsia" w:ascii="宋体" w:hAnsi="宋体" w:eastAsia="宋体" w:cs="宋体"/>
          <w:b/>
          <w:bCs/>
          <w:sz w:val="32"/>
          <w:szCs w:val="32"/>
          <w:highlight w:val="none"/>
        </w:rPr>
        <w:t>桂林-恭城-贺州公路（桂林至钟山段）№7</w:t>
      </w:r>
      <w:bookmarkEnd w:id="0"/>
      <w:r>
        <w:rPr>
          <w:rFonts w:hint="eastAsia" w:ascii="宋体" w:hAnsi="宋体" w:eastAsia="宋体" w:cs="宋体"/>
          <w:b/>
          <w:bCs/>
          <w:sz w:val="32"/>
          <w:szCs w:val="32"/>
          <w:highlight w:val="none"/>
        </w:rPr>
        <w:t>合同段</w:t>
      </w:r>
      <w:bookmarkEnd w:id="1"/>
      <w:bookmarkEnd w:id="2"/>
    </w:p>
    <w:p w14:paraId="35D76337">
      <w:pPr>
        <w:jc w:val="center"/>
        <w:rPr>
          <w:rFonts w:hint="eastAsia" w:ascii="宋体" w:hAnsi="宋体" w:eastAsia="宋体" w:cs="宋体"/>
          <w:b/>
          <w:bCs/>
          <w:sz w:val="32"/>
          <w:szCs w:val="32"/>
          <w:highlight w:val="none"/>
          <w:lang w:val="en-US" w:eastAsia="zh-CN"/>
        </w:rPr>
      </w:pPr>
      <w:bookmarkStart w:id="3" w:name="_Toc9816"/>
      <w:r>
        <w:rPr>
          <w:rFonts w:hint="eastAsia" w:cs="宋体"/>
          <w:b/>
          <w:bCs/>
          <w:sz w:val="32"/>
          <w:szCs w:val="32"/>
          <w:highlight w:val="none"/>
          <w:lang w:val="en-US" w:eastAsia="zh-CN"/>
        </w:rPr>
        <w:t>杨梅冲2号桥右幅3#</w:t>
      </w:r>
      <w:r>
        <w:rPr>
          <w:rFonts w:hint="eastAsia" w:ascii="宋体" w:hAnsi="宋体" w:eastAsia="宋体" w:cs="宋体"/>
          <w:b/>
          <w:bCs/>
          <w:sz w:val="32"/>
          <w:szCs w:val="32"/>
          <w:highlight w:val="none"/>
          <w:lang w:val="en-US" w:eastAsia="zh-CN"/>
        </w:rPr>
        <w:t>墩</w:t>
      </w:r>
    </w:p>
    <w:bookmarkEnd w:id="3"/>
    <w:p w14:paraId="770C77E4">
      <w:pPr>
        <w:jc w:val="center"/>
        <w:rPr>
          <w:rFonts w:ascii="仿宋" w:hAnsi="仿宋" w:cs="仿宋"/>
          <w:b/>
          <w:bCs/>
          <w:sz w:val="32"/>
          <w:szCs w:val="32"/>
          <w:highlight w:val="none"/>
        </w:rPr>
      </w:pPr>
      <w:r>
        <w:rPr>
          <w:rFonts w:hint="eastAsia" w:ascii="仿宋" w:hAnsi="仿宋"/>
          <w:b/>
          <w:bCs/>
          <w:sz w:val="32"/>
          <w:szCs w:val="32"/>
          <w:highlight w:val="none"/>
          <w:lang w:val="en-US" w:eastAsia="zh-CN"/>
        </w:rPr>
        <w:t>XGT7020-10S1</w:t>
      </w:r>
      <w:r>
        <w:rPr>
          <w:rFonts w:hint="eastAsia" w:ascii="仿宋" w:hAnsi="仿宋"/>
          <w:b/>
          <w:bCs/>
          <w:sz w:val="32"/>
          <w:szCs w:val="32"/>
          <w:highlight w:val="none"/>
        </w:rPr>
        <w:t>塔式起重机</w:t>
      </w:r>
      <w:r>
        <w:rPr>
          <w:rFonts w:hint="eastAsia" w:ascii="仿宋" w:hAnsi="仿宋"/>
          <w:b/>
          <w:bCs/>
          <w:sz w:val="32"/>
          <w:szCs w:val="32"/>
          <w:highlight w:val="none"/>
          <w:lang w:val="en-US" w:eastAsia="zh-CN"/>
        </w:rPr>
        <w:t>拆除</w:t>
      </w:r>
      <w:r>
        <w:rPr>
          <w:rFonts w:hint="eastAsia" w:ascii="仿宋" w:hAnsi="仿宋"/>
          <w:b/>
          <w:bCs/>
          <w:sz w:val="32"/>
          <w:szCs w:val="32"/>
          <w:highlight w:val="none"/>
        </w:rPr>
        <w:t>专项施工</w:t>
      </w:r>
      <w:r>
        <w:rPr>
          <w:rFonts w:hint="eastAsia" w:ascii="仿宋" w:hAnsi="仿宋" w:cs="仿宋"/>
          <w:b/>
          <w:bCs/>
          <w:sz w:val="32"/>
          <w:szCs w:val="32"/>
          <w:highlight w:val="none"/>
        </w:rPr>
        <w:t>方案</w:t>
      </w:r>
    </w:p>
    <w:p w14:paraId="7EFD6EF1">
      <w:pPr>
        <w:jc w:val="center"/>
        <w:rPr>
          <w:rFonts w:hint="eastAsia" w:ascii="宋体" w:hAnsi="宋体" w:eastAsia="宋体" w:cs="宋体"/>
          <w:b/>
          <w:bCs/>
          <w:sz w:val="32"/>
          <w:szCs w:val="32"/>
          <w:highlight w:val="none"/>
        </w:rPr>
      </w:pPr>
    </w:p>
    <w:p w14:paraId="0F6C1F8C">
      <w:pPr>
        <w:ind w:firstLine="562" w:firstLineChars="201"/>
        <w:jc w:val="left"/>
        <w:rPr>
          <w:rFonts w:ascii="仿宋" w:hAnsi="仿宋"/>
          <w:sz w:val="28"/>
          <w:szCs w:val="28"/>
          <w:highlight w:val="none"/>
        </w:rPr>
      </w:pPr>
    </w:p>
    <w:p w14:paraId="1506E44E">
      <w:pPr>
        <w:bidi w:val="0"/>
        <w:rPr>
          <w:highlight w:val="none"/>
        </w:rPr>
      </w:pPr>
    </w:p>
    <w:p w14:paraId="63AFCDF3">
      <w:pPr>
        <w:ind w:firstLine="562" w:firstLineChars="201"/>
        <w:jc w:val="center"/>
        <w:rPr>
          <w:rFonts w:ascii="仿宋" w:hAnsi="仿宋"/>
          <w:sz w:val="28"/>
          <w:szCs w:val="28"/>
          <w:highlight w:val="none"/>
        </w:rPr>
      </w:pPr>
      <w:r>
        <w:rPr>
          <w:rFonts w:hint="eastAsia" w:eastAsia="宋体"/>
          <w:bCs/>
          <w:color w:val="000000" w:themeColor="text1"/>
          <w:sz w:val="28"/>
          <w:szCs w:val="28"/>
          <w:highlight w:val="none"/>
          <w:lang w:eastAsia="zh-CN"/>
          <w14:textFill>
            <w14:solidFill>
              <w14:schemeClr w14:val="tx1"/>
            </w14:solidFill>
          </w14:textFill>
        </w:rPr>
        <w:drawing>
          <wp:inline distT="0" distB="0" distL="114300" distR="114300">
            <wp:extent cx="2338070" cy="3043555"/>
            <wp:effectExtent l="0" t="0" r="5080" b="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15"/>
                    <a:stretch>
                      <a:fillRect/>
                    </a:stretch>
                  </pic:blipFill>
                  <pic:spPr>
                    <a:xfrm>
                      <a:off x="0" y="0"/>
                      <a:ext cx="2338070" cy="3043555"/>
                    </a:xfrm>
                    <a:prstGeom prst="rect">
                      <a:avLst/>
                    </a:prstGeom>
                  </pic:spPr>
                </pic:pic>
              </a:graphicData>
            </a:graphic>
          </wp:inline>
        </w:drawing>
      </w:r>
    </w:p>
    <w:p w14:paraId="213308BF">
      <w:pPr>
        <w:ind w:firstLine="565" w:firstLineChars="201"/>
        <w:jc w:val="left"/>
        <w:rPr>
          <w:rFonts w:ascii="仿宋" w:hAnsi="仿宋"/>
          <w:b/>
          <w:sz w:val="28"/>
          <w:szCs w:val="28"/>
          <w:highlight w:val="none"/>
        </w:rPr>
      </w:pPr>
    </w:p>
    <w:p w14:paraId="642F567F">
      <w:pPr>
        <w:pStyle w:val="11"/>
        <w:rPr>
          <w:rFonts w:ascii="仿宋" w:hAnsi="仿宋"/>
          <w:b/>
          <w:sz w:val="28"/>
          <w:szCs w:val="28"/>
          <w:highlight w:val="none"/>
        </w:rPr>
      </w:pPr>
    </w:p>
    <w:p w14:paraId="10E6BFDB">
      <w:pPr>
        <w:jc w:val="left"/>
        <w:rPr>
          <w:rFonts w:ascii="仿宋" w:hAnsi="仿宋"/>
          <w:b/>
          <w:sz w:val="28"/>
          <w:szCs w:val="28"/>
          <w:highlight w:val="none"/>
        </w:rPr>
      </w:pPr>
    </w:p>
    <w:p w14:paraId="1DFB1846">
      <w:pPr>
        <w:jc w:val="center"/>
        <w:rPr>
          <w:rFonts w:hint="eastAsia" w:ascii="Times New Roman" w:hAnsi="Times New Roman" w:cs="Times New Roman"/>
          <w:b/>
          <w:color w:val="000000"/>
          <w:sz w:val="28"/>
          <w:szCs w:val="28"/>
          <w:highlight w:val="none"/>
        </w:rPr>
      </w:pPr>
      <w:r>
        <w:rPr>
          <w:rFonts w:hint="eastAsia" w:ascii="Times New Roman" w:hAnsi="Times New Roman" w:cs="Times New Roman"/>
          <w:b/>
          <w:color w:val="000000"/>
          <w:sz w:val="28"/>
          <w:szCs w:val="28"/>
          <w:highlight w:val="none"/>
        </w:rPr>
        <w:t>中交第二航务工程局有限公司</w:t>
      </w:r>
    </w:p>
    <w:p w14:paraId="2F88C1BD">
      <w:pPr>
        <w:jc w:val="center"/>
        <w:rPr>
          <w:rFonts w:ascii="Times New Roman" w:hAnsi="Times New Roman" w:cs="Times New Roman"/>
          <w:b/>
          <w:color w:val="000000"/>
          <w:sz w:val="28"/>
          <w:szCs w:val="28"/>
          <w:highlight w:val="none"/>
        </w:rPr>
      </w:pPr>
      <w:bookmarkStart w:id="4" w:name="_Hlk51263647"/>
      <w:r>
        <w:rPr>
          <w:rFonts w:hint="eastAsia" w:ascii="Times New Roman" w:hAnsi="Times New Roman" w:cs="Times New Roman"/>
          <w:b/>
          <w:color w:val="000000"/>
          <w:sz w:val="28"/>
          <w:szCs w:val="28"/>
          <w:highlight w:val="none"/>
        </w:rPr>
        <w:t>桂林-恭城-贺州公路（桂林</w:t>
      </w:r>
      <w:r>
        <w:rPr>
          <w:rFonts w:hint="eastAsia" w:ascii="Times New Roman" w:hAnsi="Times New Roman" w:eastAsia="宋体" w:cs="Times New Roman"/>
          <w:b/>
          <w:color w:val="000000"/>
          <w:sz w:val="28"/>
          <w:szCs w:val="28"/>
          <w:highlight w:val="none"/>
        </w:rPr>
        <w:t>至钟山段）</w:t>
      </w:r>
      <w:bookmarkEnd w:id="4"/>
      <w:r>
        <w:rPr>
          <w:rFonts w:hint="eastAsia" w:ascii="Times New Roman" w:hAnsi="Times New Roman" w:eastAsia="宋体" w:cs="Times New Roman"/>
          <w:b/>
          <w:color w:val="000000"/>
          <w:sz w:val="28"/>
          <w:szCs w:val="28"/>
          <w:highlight w:val="none"/>
        </w:rPr>
        <w:t>№7</w:t>
      </w:r>
      <w:r>
        <w:rPr>
          <w:rFonts w:hint="eastAsia" w:ascii="Times New Roman" w:hAnsi="Times New Roman" w:eastAsia="宋体" w:cs="Times New Roman"/>
          <w:b/>
          <w:color w:val="000000"/>
          <w:sz w:val="28"/>
          <w:szCs w:val="28"/>
          <w:highlight w:val="none"/>
          <w:lang w:val="en-US" w:eastAsia="zh-CN"/>
        </w:rPr>
        <w:t>合同段工程总</w:t>
      </w:r>
      <w:r>
        <w:rPr>
          <w:rFonts w:hint="eastAsia" w:ascii="Times New Roman" w:hAnsi="Times New Roman" w:cs="Times New Roman"/>
          <w:b/>
          <w:color w:val="000000"/>
          <w:sz w:val="28"/>
          <w:szCs w:val="28"/>
          <w:highlight w:val="none"/>
          <w:lang w:val="en-US" w:eastAsia="zh-CN"/>
        </w:rPr>
        <w:t>承包</w:t>
      </w:r>
      <w:r>
        <w:rPr>
          <w:rFonts w:ascii="Times New Roman" w:hAnsi="Times New Roman" w:cs="Times New Roman"/>
          <w:b/>
          <w:color w:val="000000"/>
          <w:sz w:val="28"/>
          <w:szCs w:val="28"/>
          <w:highlight w:val="none"/>
        </w:rPr>
        <w:t>部</w:t>
      </w:r>
    </w:p>
    <w:p w14:paraId="66FB938B">
      <w:pPr>
        <w:jc w:val="center"/>
        <w:rPr>
          <w:rFonts w:hint="eastAsia" w:ascii="Times New Roman" w:hAnsi="Times New Roman" w:cs="Times New Roman"/>
          <w:b/>
          <w:color w:val="000000"/>
          <w:sz w:val="28"/>
          <w:szCs w:val="28"/>
          <w:highlight w:val="none"/>
        </w:rPr>
      </w:pPr>
      <w:r>
        <w:rPr>
          <w:rFonts w:hint="eastAsia" w:ascii="Times New Roman" w:hAnsi="Times New Roman" w:cs="Times New Roman"/>
          <w:b/>
          <w:color w:val="000000"/>
          <w:sz w:val="28"/>
          <w:szCs w:val="28"/>
          <w:highlight w:val="none"/>
        </w:rPr>
        <w:t>二〇二</w:t>
      </w:r>
      <w:r>
        <w:rPr>
          <w:rFonts w:hint="eastAsia" w:ascii="Times New Roman" w:hAnsi="Times New Roman" w:cs="Times New Roman"/>
          <w:b/>
          <w:color w:val="000000"/>
          <w:sz w:val="28"/>
          <w:szCs w:val="28"/>
          <w:highlight w:val="none"/>
          <w:lang w:val="en-US" w:eastAsia="zh-CN"/>
        </w:rPr>
        <w:t>六</w:t>
      </w:r>
      <w:r>
        <w:rPr>
          <w:rFonts w:hint="eastAsia" w:ascii="Times New Roman" w:hAnsi="Times New Roman" w:cs="Times New Roman"/>
          <w:b/>
          <w:color w:val="000000"/>
          <w:sz w:val="28"/>
          <w:szCs w:val="28"/>
          <w:highlight w:val="none"/>
        </w:rPr>
        <w:t>年</w:t>
      </w:r>
      <w:r>
        <w:rPr>
          <w:rFonts w:hint="eastAsia" w:ascii="Times New Roman" w:hAnsi="Times New Roman" w:cs="Times New Roman"/>
          <w:b/>
          <w:color w:val="000000"/>
          <w:sz w:val="28"/>
          <w:szCs w:val="28"/>
          <w:highlight w:val="none"/>
          <w:lang w:val="en-US" w:eastAsia="zh-CN"/>
        </w:rPr>
        <w:t>二</w:t>
      </w:r>
      <w:r>
        <w:rPr>
          <w:rFonts w:hint="eastAsia" w:ascii="Times New Roman" w:hAnsi="Times New Roman" w:cs="Times New Roman"/>
          <w:b/>
          <w:color w:val="000000"/>
          <w:sz w:val="28"/>
          <w:szCs w:val="28"/>
          <w:highlight w:val="none"/>
        </w:rPr>
        <w:t>月</w:t>
      </w:r>
    </w:p>
    <w:p w14:paraId="03278FD4">
      <w:pPr>
        <w:jc w:val="center"/>
        <w:rPr>
          <w:rFonts w:hint="eastAsia" w:ascii="Times New Roman" w:hAnsi="Times New Roman" w:cs="Times New Roman"/>
          <w:b/>
          <w:color w:val="000000"/>
          <w:sz w:val="28"/>
          <w:szCs w:val="28"/>
          <w:highlight w:val="none"/>
        </w:rPr>
      </w:pPr>
    </w:p>
    <w:p w14:paraId="6B1F31D2">
      <w:pPr>
        <w:rPr>
          <w:rFonts w:ascii="仿宋" w:hAnsi="仿宋"/>
          <w:sz w:val="28"/>
          <w:szCs w:val="28"/>
          <w:highlight w:val="none"/>
        </w:rPr>
      </w:pPr>
      <w:r>
        <w:rPr>
          <w:rFonts w:ascii="仿宋" w:hAnsi="仿宋"/>
          <w:sz w:val="28"/>
          <w:szCs w:val="28"/>
          <w:highlight w:val="none"/>
        </w:rPr>
        <w:br w:type="page"/>
      </w:r>
    </w:p>
    <w:p w14:paraId="7667ABF2">
      <w:pPr>
        <w:pStyle w:val="20"/>
        <w:rPr>
          <w:highlight w:val="yellow"/>
        </w:rPr>
      </w:pPr>
      <w:r>
        <w:rPr>
          <w:highlight w:val="none"/>
        </w:rPr>
        <w:drawing>
          <wp:inline distT="0" distB="0" distL="114300" distR="114300">
            <wp:extent cx="5447030" cy="7485380"/>
            <wp:effectExtent l="0" t="0" r="1270" b="1270"/>
            <wp:docPr id="1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
                    <pic:cNvPicPr>
                      <a:picLocks noChangeAspect="1"/>
                    </pic:cNvPicPr>
                  </pic:nvPicPr>
                  <pic:blipFill>
                    <a:blip r:embed="rId16"/>
                    <a:stretch>
                      <a:fillRect/>
                    </a:stretch>
                  </pic:blipFill>
                  <pic:spPr>
                    <a:xfrm>
                      <a:off x="0" y="0"/>
                      <a:ext cx="5447030" cy="7485380"/>
                    </a:xfrm>
                    <a:prstGeom prst="rect">
                      <a:avLst/>
                    </a:prstGeom>
                    <a:noFill/>
                    <a:ln>
                      <a:noFill/>
                    </a:ln>
                  </pic:spPr>
                </pic:pic>
              </a:graphicData>
            </a:graphic>
          </wp:inline>
        </w:drawing>
      </w:r>
    </w:p>
    <w:p w14:paraId="5D99695D">
      <w:r>
        <w:br w:type="page"/>
      </w:r>
    </w:p>
    <w:p w14:paraId="103FB3A6">
      <w:pPr>
        <w:pStyle w:val="20"/>
      </w:pPr>
    </w:p>
    <w:p w14:paraId="0EA8E298">
      <w:pPr>
        <w:pStyle w:val="24"/>
        <w:tabs>
          <w:tab w:val="right" w:leader="dot" w:pos="8306"/>
        </w:tabs>
      </w:pPr>
      <w:r>
        <w:rPr>
          <w:highlight w:val="none"/>
        </w:rPr>
        <w:fldChar w:fldCharType="begin"/>
      </w:r>
      <w:r>
        <w:rPr>
          <w:highlight w:val="none"/>
        </w:rPr>
        <w:instrText xml:space="preserve"> TOC \o "1-2" \h \z \u </w:instrText>
      </w:r>
      <w:r>
        <w:rPr>
          <w:highlight w:val="none"/>
        </w:rPr>
        <w:fldChar w:fldCharType="separate"/>
      </w:r>
      <w:r>
        <w:rPr>
          <w:highlight w:val="none"/>
        </w:rPr>
        <w:fldChar w:fldCharType="begin"/>
      </w:r>
      <w:r>
        <w:rPr>
          <w:highlight w:val="none"/>
        </w:rPr>
        <w:instrText xml:space="preserve"> HYPERLINK \l _Toc3723 </w:instrText>
      </w:r>
      <w:r>
        <w:rPr>
          <w:highlight w:val="none"/>
        </w:rPr>
        <w:fldChar w:fldCharType="separate"/>
      </w:r>
      <w:r>
        <w:rPr>
          <w:rFonts w:hint="default"/>
        </w:rPr>
        <w:t xml:space="preserve">1. </w:t>
      </w:r>
      <w:r>
        <w:rPr>
          <w:rFonts w:hint="eastAsia"/>
        </w:rPr>
        <w:t>编制依据</w:t>
      </w:r>
      <w:r>
        <w:tab/>
      </w:r>
      <w:r>
        <w:fldChar w:fldCharType="begin"/>
      </w:r>
      <w:r>
        <w:instrText xml:space="preserve"> PAGEREF _Toc3723 \h </w:instrText>
      </w:r>
      <w:r>
        <w:fldChar w:fldCharType="separate"/>
      </w:r>
      <w:r>
        <w:t>1</w:t>
      </w:r>
      <w:r>
        <w:fldChar w:fldCharType="end"/>
      </w:r>
      <w:r>
        <w:rPr>
          <w:highlight w:val="none"/>
        </w:rPr>
        <w:fldChar w:fldCharType="end"/>
      </w:r>
    </w:p>
    <w:p w14:paraId="44472C39">
      <w:pPr>
        <w:pStyle w:val="25"/>
        <w:tabs>
          <w:tab w:val="right" w:leader="dot" w:pos="8306"/>
        </w:tabs>
      </w:pPr>
      <w:r>
        <w:rPr>
          <w:highlight w:val="none"/>
        </w:rPr>
        <w:fldChar w:fldCharType="begin"/>
      </w:r>
      <w:r>
        <w:rPr>
          <w:highlight w:val="none"/>
        </w:rPr>
        <w:instrText xml:space="preserve"> HYPERLINK \l _Toc25307 </w:instrText>
      </w:r>
      <w:r>
        <w:rPr>
          <w:highlight w:val="none"/>
        </w:rPr>
        <w:fldChar w:fldCharType="separate"/>
      </w:r>
      <w:r>
        <w:rPr>
          <w:rFonts w:hint="default"/>
          <w:lang w:val="en-US" w:eastAsia="zh-CN"/>
        </w:rPr>
        <w:t xml:space="preserve">1.1. </w:t>
      </w:r>
      <w:r>
        <w:rPr>
          <w:rFonts w:hint="eastAsia"/>
        </w:rPr>
        <w:t>编制</w:t>
      </w:r>
      <w:r>
        <w:rPr>
          <w:rFonts w:hint="eastAsia"/>
          <w:lang w:val="en-US" w:eastAsia="zh-CN"/>
        </w:rPr>
        <w:t>说明</w:t>
      </w:r>
      <w:r>
        <w:tab/>
      </w:r>
      <w:r>
        <w:fldChar w:fldCharType="begin"/>
      </w:r>
      <w:r>
        <w:instrText xml:space="preserve"> PAGEREF _Toc25307 \h </w:instrText>
      </w:r>
      <w:r>
        <w:fldChar w:fldCharType="separate"/>
      </w:r>
      <w:r>
        <w:t>1</w:t>
      </w:r>
      <w:r>
        <w:fldChar w:fldCharType="end"/>
      </w:r>
      <w:r>
        <w:rPr>
          <w:highlight w:val="none"/>
        </w:rPr>
        <w:fldChar w:fldCharType="end"/>
      </w:r>
    </w:p>
    <w:p w14:paraId="30A9317E">
      <w:pPr>
        <w:pStyle w:val="25"/>
        <w:tabs>
          <w:tab w:val="right" w:leader="dot" w:pos="8306"/>
        </w:tabs>
      </w:pPr>
      <w:r>
        <w:rPr>
          <w:highlight w:val="none"/>
        </w:rPr>
        <w:fldChar w:fldCharType="begin"/>
      </w:r>
      <w:r>
        <w:rPr>
          <w:highlight w:val="none"/>
        </w:rPr>
        <w:instrText xml:space="preserve"> HYPERLINK \l _Toc16998 </w:instrText>
      </w:r>
      <w:r>
        <w:rPr>
          <w:highlight w:val="none"/>
        </w:rPr>
        <w:fldChar w:fldCharType="separate"/>
      </w:r>
      <w:r>
        <w:rPr>
          <w:rFonts w:hint="default"/>
          <w:lang w:val="en-US" w:eastAsia="zh-CN"/>
        </w:rPr>
        <w:t xml:space="preserve">1.2. </w:t>
      </w:r>
      <w:r>
        <w:rPr>
          <w:rFonts w:hint="eastAsia"/>
          <w:lang w:val="en-US" w:eastAsia="zh-CN"/>
        </w:rPr>
        <w:t>引用文件</w:t>
      </w:r>
      <w:r>
        <w:tab/>
      </w:r>
      <w:r>
        <w:fldChar w:fldCharType="begin"/>
      </w:r>
      <w:r>
        <w:instrText xml:space="preserve"> PAGEREF _Toc16998 \h </w:instrText>
      </w:r>
      <w:r>
        <w:fldChar w:fldCharType="separate"/>
      </w:r>
      <w:r>
        <w:t>1</w:t>
      </w:r>
      <w:r>
        <w:fldChar w:fldCharType="end"/>
      </w:r>
      <w:r>
        <w:rPr>
          <w:highlight w:val="none"/>
        </w:rPr>
        <w:fldChar w:fldCharType="end"/>
      </w:r>
    </w:p>
    <w:p w14:paraId="7609AA83">
      <w:pPr>
        <w:pStyle w:val="25"/>
        <w:tabs>
          <w:tab w:val="right" w:leader="dot" w:pos="8306"/>
        </w:tabs>
      </w:pPr>
      <w:r>
        <w:rPr>
          <w:highlight w:val="none"/>
        </w:rPr>
        <w:fldChar w:fldCharType="begin"/>
      </w:r>
      <w:r>
        <w:rPr>
          <w:highlight w:val="none"/>
        </w:rPr>
        <w:instrText xml:space="preserve"> HYPERLINK \l _Toc6915 </w:instrText>
      </w:r>
      <w:r>
        <w:rPr>
          <w:highlight w:val="none"/>
        </w:rPr>
        <w:fldChar w:fldCharType="separate"/>
      </w:r>
      <w:r>
        <w:rPr>
          <w:rFonts w:hint="default"/>
        </w:rPr>
        <w:t xml:space="preserve">1.3. </w:t>
      </w:r>
      <w:r>
        <w:rPr>
          <w:rFonts w:hint="eastAsia"/>
        </w:rPr>
        <w:t>编制原则</w:t>
      </w:r>
      <w:r>
        <w:tab/>
      </w:r>
      <w:r>
        <w:fldChar w:fldCharType="begin"/>
      </w:r>
      <w:r>
        <w:instrText xml:space="preserve"> PAGEREF _Toc6915 \h </w:instrText>
      </w:r>
      <w:r>
        <w:fldChar w:fldCharType="separate"/>
      </w:r>
      <w:r>
        <w:t>2</w:t>
      </w:r>
      <w:r>
        <w:fldChar w:fldCharType="end"/>
      </w:r>
      <w:r>
        <w:rPr>
          <w:highlight w:val="none"/>
        </w:rPr>
        <w:fldChar w:fldCharType="end"/>
      </w:r>
    </w:p>
    <w:p w14:paraId="0A0C01D2">
      <w:pPr>
        <w:pStyle w:val="25"/>
        <w:tabs>
          <w:tab w:val="right" w:leader="dot" w:pos="8306"/>
        </w:tabs>
      </w:pPr>
      <w:r>
        <w:rPr>
          <w:highlight w:val="none"/>
        </w:rPr>
        <w:fldChar w:fldCharType="begin"/>
      </w:r>
      <w:r>
        <w:rPr>
          <w:highlight w:val="none"/>
        </w:rPr>
        <w:instrText xml:space="preserve"> HYPERLINK \l _Toc17762 </w:instrText>
      </w:r>
      <w:r>
        <w:rPr>
          <w:highlight w:val="none"/>
        </w:rPr>
        <w:fldChar w:fldCharType="separate"/>
      </w:r>
      <w:r>
        <w:rPr>
          <w:rFonts w:hint="default"/>
        </w:rPr>
        <w:t xml:space="preserve">1.4. </w:t>
      </w:r>
      <w:r>
        <w:rPr>
          <w:rFonts w:hint="eastAsia"/>
        </w:rPr>
        <w:t>隶属关系</w:t>
      </w:r>
      <w:r>
        <w:tab/>
      </w:r>
      <w:r>
        <w:fldChar w:fldCharType="begin"/>
      </w:r>
      <w:r>
        <w:instrText xml:space="preserve"> PAGEREF _Toc17762 \h </w:instrText>
      </w:r>
      <w:r>
        <w:fldChar w:fldCharType="separate"/>
      </w:r>
      <w:r>
        <w:t>2</w:t>
      </w:r>
      <w:r>
        <w:fldChar w:fldCharType="end"/>
      </w:r>
      <w:r>
        <w:rPr>
          <w:highlight w:val="none"/>
        </w:rPr>
        <w:fldChar w:fldCharType="end"/>
      </w:r>
    </w:p>
    <w:p w14:paraId="09D47D0B">
      <w:pPr>
        <w:pStyle w:val="25"/>
        <w:tabs>
          <w:tab w:val="right" w:leader="dot" w:pos="8306"/>
        </w:tabs>
      </w:pPr>
      <w:r>
        <w:rPr>
          <w:highlight w:val="none"/>
        </w:rPr>
        <w:fldChar w:fldCharType="begin"/>
      </w:r>
      <w:r>
        <w:rPr>
          <w:highlight w:val="none"/>
        </w:rPr>
        <w:instrText xml:space="preserve"> HYPERLINK \l _Toc7120 </w:instrText>
      </w:r>
      <w:r>
        <w:rPr>
          <w:highlight w:val="none"/>
        </w:rPr>
        <w:fldChar w:fldCharType="separate"/>
      </w:r>
      <w:r>
        <w:rPr>
          <w:rFonts w:hint="default"/>
        </w:rPr>
        <w:t xml:space="preserve">1.5. </w:t>
      </w:r>
      <w:r>
        <w:rPr>
          <w:rFonts w:hint="eastAsia"/>
        </w:rPr>
        <w:t>适用范围</w:t>
      </w:r>
      <w:r>
        <w:tab/>
      </w:r>
      <w:r>
        <w:fldChar w:fldCharType="begin"/>
      </w:r>
      <w:r>
        <w:instrText xml:space="preserve"> PAGEREF _Toc7120 \h </w:instrText>
      </w:r>
      <w:r>
        <w:fldChar w:fldCharType="separate"/>
      </w:r>
      <w:r>
        <w:t>3</w:t>
      </w:r>
      <w:r>
        <w:fldChar w:fldCharType="end"/>
      </w:r>
      <w:r>
        <w:rPr>
          <w:highlight w:val="none"/>
        </w:rPr>
        <w:fldChar w:fldCharType="end"/>
      </w:r>
    </w:p>
    <w:p w14:paraId="2BBEC485">
      <w:pPr>
        <w:pStyle w:val="24"/>
        <w:tabs>
          <w:tab w:val="right" w:leader="dot" w:pos="8306"/>
        </w:tabs>
      </w:pPr>
      <w:r>
        <w:rPr>
          <w:highlight w:val="none"/>
        </w:rPr>
        <w:fldChar w:fldCharType="begin"/>
      </w:r>
      <w:r>
        <w:rPr>
          <w:highlight w:val="none"/>
        </w:rPr>
        <w:instrText xml:space="preserve"> HYPERLINK \l _Toc340 </w:instrText>
      </w:r>
      <w:r>
        <w:rPr>
          <w:highlight w:val="none"/>
        </w:rPr>
        <w:fldChar w:fldCharType="separate"/>
      </w:r>
      <w:r>
        <w:rPr>
          <w:rFonts w:hint="default"/>
        </w:rPr>
        <w:t xml:space="preserve">2. </w:t>
      </w:r>
      <w:r>
        <w:rPr>
          <w:rFonts w:hint="eastAsia"/>
        </w:rPr>
        <w:t>工程概况</w:t>
      </w:r>
      <w:r>
        <w:tab/>
      </w:r>
      <w:r>
        <w:fldChar w:fldCharType="begin"/>
      </w:r>
      <w:r>
        <w:instrText xml:space="preserve"> PAGEREF _Toc340 \h </w:instrText>
      </w:r>
      <w:r>
        <w:fldChar w:fldCharType="separate"/>
      </w:r>
      <w:r>
        <w:t>4</w:t>
      </w:r>
      <w:r>
        <w:fldChar w:fldCharType="end"/>
      </w:r>
      <w:r>
        <w:rPr>
          <w:highlight w:val="none"/>
        </w:rPr>
        <w:fldChar w:fldCharType="end"/>
      </w:r>
    </w:p>
    <w:p w14:paraId="6654F2A1">
      <w:pPr>
        <w:pStyle w:val="25"/>
        <w:tabs>
          <w:tab w:val="right" w:leader="dot" w:pos="8306"/>
        </w:tabs>
      </w:pPr>
      <w:r>
        <w:rPr>
          <w:highlight w:val="none"/>
        </w:rPr>
        <w:fldChar w:fldCharType="begin"/>
      </w:r>
      <w:r>
        <w:rPr>
          <w:highlight w:val="none"/>
        </w:rPr>
        <w:instrText xml:space="preserve"> HYPERLINK \l _Toc6672 </w:instrText>
      </w:r>
      <w:r>
        <w:rPr>
          <w:highlight w:val="none"/>
        </w:rPr>
        <w:fldChar w:fldCharType="separate"/>
      </w:r>
      <w:r>
        <w:rPr>
          <w:rFonts w:hint="default"/>
        </w:rPr>
        <w:t xml:space="preserve">2.1. </w:t>
      </w:r>
      <w:r>
        <w:rPr>
          <w:rFonts w:hint="eastAsia"/>
        </w:rPr>
        <w:t>工程概况</w:t>
      </w:r>
      <w:r>
        <w:tab/>
      </w:r>
      <w:r>
        <w:fldChar w:fldCharType="begin"/>
      </w:r>
      <w:r>
        <w:instrText xml:space="preserve"> PAGEREF _Toc6672 \h </w:instrText>
      </w:r>
      <w:r>
        <w:fldChar w:fldCharType="separate"/>
      </w:r>
      <w:r>
        <w:t>4</w:t>
      </w:r>
      <w:r>
        <w:fldChar w:fldCharType="end"/>
      </w:r>
      <w:r>
        <w:rPr>
          <w:highlight w:val="none"/>
        </w:rPr>
        <w:fldChar w:fldCharType="end"/>
      </w:r>
    </w:p>
    <w:p w14:paraId="5A2D3653">
      <w:pPr>
        <w:pStyle w:val="25"/>
        <w:tabs>
          <w:tab w:val="right" w:leader="dot" w:pos="8306"/>
        </w:tabs>
      </w:pPr>
      <w:r>
        <w:rPr>
          <w:highlight w:val="none"/>
        </w:rPr>
        <w:fldChar w:fldCharType="begin"/>
      </w:r>
      <w:r>
        <w:rPr>
          <w:highlight w:val="none"/>
        </w:rPr>
        <w:instrText xml:space="preserve"> HYPERLINK \l _Toc10484 </w:instrText>
      </w:r>
      <w:r>
        <w:rPr>
          <w:highlight w:val="none"/>
        </w:rPr>
        <w:fldChar w:fldCharType="separate"/>
      </w:r>
      <w:r>
        <w:rPr>
          <w:rFonts w:hint="default"/>
        </w:rPr>
        <w:t xml:space="preserve">2.2. </w:t>
      </w:r>
      <w:r>
        <w:rPr>
          <w:rFonts w:hint="eastAsia"/>
        </w:rPr>
        <w:t>自然条件</w:t>
      </w:r>
      <w:r>
        <w:tab/>
      </w:r>
      <w:r>
        <w:fldChar w:fldCharType="begin"/>
      </w:r>
      <w:r>
        <w:instrText xml:space="preserve"> PAGEREF _Toc10484 \h </w:instrText>
      </w:r>
      <w:r>
        <w:fldChar w:fldCharType="separate"/>
      </w:r>
      <w:r>
        <w:t>4</w:t>
      </w:r>
      <w:r>
        <w:fldChar w:fldCharType="end"/>
      </w:r>
      <w:r>
        <w:rPr>
          <w:highlight w:val="none"/>
        </w:rPr>
        <w:fldChar w:fldCharType="end"/>
      </w:r>
    </w:p>
    <w:p w14:paraId="2C69B24C">
      <w:pPr>
        <w:pStyle w:val="25"/>
        <w:tabs>
          <w:tab w:val="right" w:leader="dot" w:pos="8306"/>
        </w:tabs>
      </w:pPr>
      <w:r>
        <w:rPr>
          <w:highlight w:val="none"/>
        </w:rPr>
        <w:fldChar w:fldCharType="begin"/>
      </w:r>
      <w:r>
        <w:rPr>
          <w:highlight w:val="none"/>
        </w:rPr>
        <w:instrText xml:space="preserve"> HYPERLINK \l _Toc4659 </w:instrText>
      </w:r>
      <w:r>
        <w:rPr>
          <w:highlight w:val="none"/>
        </w:rPr>
        <w:fldChar w:fldCharType="separate"/>
      </w:r>
      <w:r>
        <w:rPr>
          <w:rFonts w:hint="default"/>
        </w:rPr>
        <w:t xml:space="preserve">2.3. </w:t>
      </w:r>
      <w:r>
        <w:rPr>
          <w:rFonts w:hint="eastAsia"/>
          <w:lang w:val="en-US" w:eastAsia="zh-CN"/>
        </w:rPr>
        <w:t>拆除</w:t>
      </w:r>
      <w:r>
        <w:rPr>
          <w:rFonts w:hint="eastAsia"/>
        </w:rPr>
        <w:t>现场工作环境及条件</w:t>
      </w:r>
      <w:r>
        <w:tab/>
      </w:r>
      <w:r>
        <w:fldChar w:fldCharType="begin"/>
      </w:r>
      <w:r>
        <w:instrText xml:space="preserve"> PAGEREF _Toc4659 \h </w:instrText>
      </w:r>
      <w:r>
        <w:fldChar w:fldCharType="separate"/>
      </w:r>
      <w:r>
        <w:t>6</w:t>
      </w:r>
      <w:r>
        <w:fldChar w:fldCharType="end"/>
      </w:r>
      <w:r>
        <w:rPr>
          <w:highlight w:val="none"/>
        </w:rPr>
        <w:fldChar w:fldCharType="end"/>
      </w:r>
    </w:p>
    <w:p w14:paraId="081F271D">
      <w:pPr>
        <w:pStyle w:val="25"/>
        <w:tabs>
          <w:tab w:val="right" w:leader="dot" w:pos="8306"/>
        </w:tabs>
      </w:pPr>
      <w:r>
        <w:rPr>
          <w:highlight w:val="none"/>
        </w:rPr>
        <w:fldChar w:fldCharType="begin"/>
      </w:r>
      <w:r>
        <w:rPr>
          <w:highlight w:val="none"/>
        </w:rPr>
        <w:instrText xml:space="preserve"> HYPERLINK \l _Toc28961 </w:instrText>
      </w:r>
      <w:r>
        <w:rPr>
          <w:highlight w:val="none"/>
        </w:rPr>
        <w:fldChar w:fldCharType="separate"/>
      </w:r>
      <w:r>
        <w:rPr>
          <w:rFonts w:hint="default"/>
        </w:rPr>
        <w:t xml:space="preserve">2.4. </w:t>
      </w:r>
      <w:r>
        <w:rPr>
          <w:rFonts w:hint="eastAsia"/>
        </w:rPr>
        <w:t>塔式起重机概况</w:t>
      </w:r>
      <w:r>
        <w:tab/>
      </w:r>
      <w:r>
        <w:fldChar w:fldCharType="begin"/>
      </w:r>
      <w:r>
        <w:instrText xml:space="preserve"> PAGEREF _Toc28961 \h </w:instrText>
      </w:r>
      <w:r>
        <w:fldChar w:fldCharType="separate"/>
      </w:r>
      <w:r>
        <w:t>8</w:t>
      </w:r>
      <w:r>
        <w:fldChar w:fldCharType="end"/>
      </w:r>
      <w:r>
        <w:rPr>
          <w:highlight w:val="none"/>
        </w:rPr>
        <w:fldChar w:fldCharType="end"/>
      </w:r>
    </w:p>
    <w:p w14:paraId="530CD9B2">
      <w:pPr>
        <w:pStyle w:val="25"/>
        <w:tabs>
          <w:tab w:val="right" w:leader="dot" w:pos="8306"/>
        </w:tabs>
      </w:pPr>
      <w:r>
        <w:rPr>
          <w:highlight w:val="none"/>
        </w:rPr>
        <w:fldChar w:fldCharType="begin"/>
      </w:r>
      <w:r>
        <w:rPr>
          <w:highlight w:val="none"/>
        </w:rPr>
        <w:instrText xml:space="preserve"> HYPERLINK \l _Toc12038 </w:instrText>
      </w:r>
      <w:r>
        <w:rPr>
          <w:highlight w:val="none"/>
        </w:rPr>
        <w:fldChar w:fldCharType="separate"/>
      </w:r>
      <w:r>
        <w:rPr>
          <w:rFonts w:hint="default"/>
        </w:rPr>
        <w:t xml:space="preserve">2.5. </w:t>
      </w:r>
      <w:r>
        <w:rPr>
          <w:rFonts w:hint="eastAsia"/>
        </w:rPr>
        <w:t>施工要求和技术保证条件</w:t>
      </w:r>
      <w:r>
        <w:tab/>
      </w:r>
      <w:r>
        <w:fldChar w:fldCharType="begin"/>
      </w:r>
      <w:r>
        <w:instrText xml:space="preserve"> PAGEREF _Toc12038 \h </w:instrText>
      </w:r>
      <w:r>
        <w:fldChar w:fldCharType="separate"/>
      </w:r>
      <w:r>
        <w:t>11</w:t>
      </w:r>
      <w:r>
        <w:fldChar w:fldCharType="end"/>
      </w:r>
      <w:r>
        <w:rPr>
          <w:highlight w:val="none"/>
        </w:rPr>
        <w:fldChar w:fldCharType="end"/>
      </w:r>
    </w:p>
    <w:p w14:paraId="76A7F3CD">
      <w:pPr>
        <w:pStyle w:val="25"/>
        <w:tabs>
          <w:tab w:val="right" w:leader="dot" w:pos="8306"/>
        </w:tabs>
      </w:pPr>
      <w:r>
        <w:rPr>
          <w:highlight w:val="none"/>
        </w:rPr>
        <w:fldChar w:fldCharType="begin"/>
      </w:r>
      <w:r>
        <w:rPr>
          <w:highlight w:val="none"/>
        </w:rPr>
        <w:instrText xml:space="preserve"> HYPERLINK \l _Toc9529 </w:instrText>
      </w:r>
      <w:r>
        <w:rPr>
          <w:highlight w:val="none"/>
        </w:rPr>
        <w:fldChar w:fldCharType="separate"/>
      </w:r>
      <w:r>
        <w:rPr>
          <w:rFonts w:hint="default" w:ascii="宋体" w:hAnsi="宋体" w:eastAsia="宋体" w:cs="Times New Roman"/>
        </w:rPr>
        <w:t xml:space="preserve">2.6. </w:t>
      </w:r>
      <w:r>
        <w:rPr>
          <w:rFonts w:hint="eastAsia" w:ascii="宋体" w:hAnsi="宋体" w:eastAsia="宋体" w:cs="Times New Roman"/>
        </w:rPr>
        <w:t>危险源辨识</w:t>
      </w:r>
      <w:r>
        <w:tab/>
      </w:r>
      <w:r>
        <w:fldChar w:fldCharType="begin"/>
      </w:r>
      <w:r>
        <w:instrText xml:space="preserve"> PAGEREF _Toc9529 \h </w:instrText>
      </w:r>
      <w:r>
        <w:fldChar w:fldCharType="separate"/>
      </w:r>
      <w:r>
        <w:t>13</w:t>
      </w:r>
      <w:r>
        <w:fldChar w:fldCharType="end"/>
      </w:r>
      <w:r>
        <w:rPr>
          <w:highlight w:val="none"/>
        </w:rPr>
        <w:fldChar w:fldCharType="end"/>
      </w:r>
    </w:p>
    <w:p w14:paraId="18B1DC5C">
      <w:pPr>
        <w:pStyle w:val="24"/>
        <w:tabs>
          <w:tab w:val="right" w:leader="dot" w:pos="8306"/>
        </w:tabs>
      </w:pPr>
      <w:r>
        <w:rPr>
          <w:highlight w:val="none"/>
        </w:rPr>
        <w:fldChar w:fldCharType="begin"/>
      </w:r>
      <w:r>
        <w:rPr>
          <w:highlight w:val="none"/>
        </w:rPr>
        <w:instrText xml:space="preserve"> HYPERLINK \l _Toc13097 </w:instrText>
      </w:r>
      <w:r>
        <w:rPr>
          <w:highlight w:val="none"/>
        </w:rPr>
        <w:fldChar w:fldCharType="separate"/>
      </w:r>
      <w:r>
        <w:rPr>
          <w:rFonts w:hint="default"/>
        </w:rPr>
        <w:t xml:space="preserve">3. </w:t>
      </w:r>
      <w:r>
        <w:rPr>
          <w:rFonts w:hint="eastAsia"/>
        </w:rPr>
        <w:t>施工计划</w:t>
      </w:r>
      <w:r>
        <w:tab/>
      </w:r>
      <w:r>
        <w:fldChar w:fldCharType="begin"/>
      </w:r>
      <w:r>
        <w:instrText xml:space="preserve"> PAGEREF _Toc13097 \h </w:instrText>
      </w:r>
      <w:r>
        <w:fldChar w:fldCharType="separate"/>
      </w:r>
      <w:r>
        <w:t>22</w:t>
      </w:r>
      <w:r>
        <w:fldChar w:fldCharType="end"/>
      </w:r>
      <w:r>
        <w:rPr>
          <w:highlight w:val="none"/>
        </w:rPr>
        <w:fldChar w:fldCharType="end"/>
      </w:r>
    </w:p>
    <w:p w14:paraId="215DECAE">
      <w:pPr>
        <w:pStyle w:val="25"/>
        <w:tabs>
          <w:tab w:val="right" w:leader="dot" w:pos="8306"/>
        </w:tabs>
      </w:pPr>
      <w:r>
        <w:rPr>
          <w:highlight w:val="none"/>
        </w:rPr>
        <w:fldChar w:fldCharType="begin"/>
      </w:r>
      <w:r>
        <w:rPr>
          <w:highlight w:val="none"/>
        </w:rPr>
        <w:instrText xml:space="preserve"> HYPERLINK \l _Toc25427 </w:instrText>
      </w:r>
      <w:r>
        <w:rPr>
          <w:highlight w:val="none"/>
        </w:rPr>
        <w:fldChar w:fldCharType="separate"/>
      </w:r>
      <w:r>
        <w:rPr>
          <w:rFonts w:hint="default"/>
          <w:lang w:val="en-US" w:eastAsia="zh-CN"/>
        </w:rPr>
        <w:t xml:space="preserve">3.1. </w:t>
      </w:r>
      <w:r>
        <w:rPr>
          <w:rFonts w:hint="eastAsia"/>
          <w:lang w:val="en-US" w:eastAsia="zh-CN"/>
        </w:rPr>
        <w:t>施工总体部署</w:t>
      </w:r>
      <w:r>
        <w:tab/>
      </w:r>
      <w:r>
        <w:fldChar w:fldCharType="begin"/>
      </w:r>
      <w:r>
        <w:instrText xml:space="preserve"> PAGEREF _Toc25427 \h </w:instrText>
      </w:r>
      <w:r>
        <w:fldChar w:fldCharType="separate"/>
      </w:r>
      <w:r>
        <w:t>22</w:t>
      </w:r>
      <w:r>
        <w:fldChar w:fldCharType="end"/>
      </w:r>
      <w:r>
        <w:rPr>
          <w:highlight w:val="none"/>
        </w:rPr>
        <w:fldChar w:fldCharType="end"/>
      </w:r>
    </w:p>
    <w:p w14:paraId="55EA12F6">
      <w:pPr>
        <w:pStyle w:val="25"/>
        <w:tabs>
          <w:tab w:val="right" w:leader="dot" w:pos="8306"/>
        </w:tabs>
      </w:pPr>
      <w:r>
        <w:rPr>
          <w:highlight w:val="none"/>
        </w:rPr>
        <w:fldChar w:fldCharType="begin"/>
      </w:r>
      <w:r>
        <w:rPr>
          <w:highlight w:val="none"/>
        </w:rPr>
        <w:instrText xml:space="preserve"> HYPERLINK \l _Toc12604 </w:instrText>
      </w:r>
      <w:r>
        <w:rPr>
          <w:highlight w:val="none"/>
        </w:rPr>
        <w:fldChar w:fldCharType="separate"/>
      </w:r>
      <w:r>
        <w:rPr>
          <w:rFonts w:hint="default"/>
          <w:lang w:val="en-US" w:eastAsia="zh-CN"/>
        </w:rPr>
        <w:t xml:space="preserve">3.2. </w:t>
      </w:r>
      <w:r>
        <w:rPr>
          <w:rFonts w:hint="eastAsia"/>
          <w:lang w:val="en-US" w:eastAsia="zh-CN"/>
        </w:rPr>
        <w:t>施工进度计划</w:t>
      </w:r>
      <w:r>
        <w:tab/>
      </w:r>
      <w:r>
        <w:fldChar w:fldCharType="begin"/>
      </w:r>
      <w:r>
        <w:instrText xml:space="preserve"> PAGEREF _Toc12604 \h </w:instrText>
      </w:r>
      <w:r>
        <w:fldChar w:fldCharType="separate"/>
      </w:r>
      <w:r>
        <w:t>23</w:t>
      </w:r>
      <w:r>
        <w:fldChar w:fldCharType="end"/>
      </w:r>
      <w:r>
        <w:rPr>
          <w:highlight w:val="none"/>
        </w:rPr>
        <w:fldChar w:fldCharType="end"/>
      </w:r>
    </w:p>
    <w:p w14:paraId="60FE7733">
      <w:pPr>
        <w:pStyle w:val="25"/>
        <w:tabs>
          <w:tab w:val="right" w:leader="dot" w:pos="8306"/>
        </w:tabs>
      </w:pPr>
      <w:r>
        <w:rPr>
          <w:highlight w:val="none"/>
        </w:rPr>
        <w:fldChar w:fldCharType="begin"/>
      </w:r>
      <w:r>
        <w:rPr>
          <w:highlight w:val="none"/>
        </w:rPr>
        <w:instrText xml:space="preserve"> HYPERLINK \l _Toc8100 </w:instrText>
      </w:r>
      <w:r>
        <w:rPr>
          <w:highlight w:val="none"/>
        </w:rPr>
        <w:fldChar w:fldCharType="separate"/>
      </w:r>
      <w:r>
        <w:rPr>
          <w:rFonts w:hint="default" w:ascii="宋体" w:hAnsi="宋体" w:eastAsia="宋体" w:cs="Times New Roman"/>
          <w:kern w:val="2"/>
          <w:szCs w:val="22"/>
          <w:lang w:val="en-US" w:eastAsia="zh-CN" w:bidi="ar-SA"/>
        </w:rPr>
        <w:t xml:space="preserve">3.3. </w:t>
      </w:r>
      <w:r>
        <w:rPr>
          <w:rFonts w:hint="eastAsia" w:cs="Times New Roman"/>
          <w:kern w:val="2"/>
          <w:szCs w:val="22"/>
          <w:lang w:val="en-US" w:eastAsia="zh-CN" w:bidi="ar-SA"/>
        </w:rPr>
        <w:t>劳动力计划</w:t>
      </w:r>
      <w:r>
        <w:tab/>
      </w:r>
      <w:r>
        <w:fldChar w:fldCharType="begin"/>
      </w:r>
      <w:r>
        <w:instrText xml:space="preserve"> PAGEREF _Toc8100 \h </w:instrText>
      </w:r>
      <w:r>
        <w:fldChar w:fldCharType="separate"/>
      </w:r>
      <w:r>
        <w:t>23</w:t>
      </w:r>
      <w:r>
        <w:fldChar w:fldCharType="end"/>
      </w:r>
      <w:r>
        <w:rPr>
          <w:highlight w:val="none"/>
        </w:rPr>
        <w:fldChar w:fldCharType="end"/>
      </w:r>
    </w:p>
    <w:p w14:paraId="2499A496">
      <w:pPr>
        <w:pStyle w:val="25"/>
        <w:tabs>
          <w:tab w:val="right" w:leader="dot" w:pos="8306"/>
        </w:tabs>
      </w:pPr>
      <w:r>
        <w:rPr>
          <w:highlight w:val="none"/>
        </w:rPr>
        <w:fldChar w:fldCharType="begin"/>
      </w:r>
      <w:r>
        <w:rPr>
          <w:highlight w:val="none"/>
        </w:rPr>
        <w:instrText xml:space="preserve"> HYPERLINK \l _Toc24182 </w:instrText>
      </w:r>
      <w:r>
        <w:rPr>
          <w:highlight w:val="none"/>
        </w:rPr>
        <w:fldChar w:fldCharType="separate"/>
      </w:r>
      <w:r>
        <w:rPr>
          <w:rFonts w:hint="default"/>
        </w:rPr>
        <w:t xml:space="preserve">3.4. </w:t>
      </w:r>
      <w:r>
        <w:rPr>
          <w:rFonts w:hint="eastAsia"/>
          <w:lang w:val="en-US" w:eastAsia="zh-CN"/>
        </w:rPr>
        <w:t>施工设备计划</w:t>
      </w:r>
      <w:r>
        <w:tab/>
      </w:r>
      <w:r>
        <w:fldChar w:fldCharType="begin"/>
      </w:r>
      <w:r>
        <w:instrText xml:space="preserve"> PAGEREF _Toc24182 \h </w:instrText>
      </w:r>
      <w:r>
        <w:fldChar w:fldCharType="separate"/>
      </w:r>
      <w:r>
        <w:t>25</w:t>
      </w:r>
      <w:r>
        <w:fldChar w:fldCharType="end"/>
      </w:r>
      <w:r>
        <w:rPr>
          <w:highlight w:val="none"/>
        </w:rPr>
        <w:fldChar w:fldCharType="end"/>
      </w:r>
    </w:p>
    <w:p w14:paraId="3BB0A76E">
      <w:pPr>
        <w:pStyle w:val="24"/>
        <w:tabs>
          <w:tab w:val="right" w:leader="dot" w:pos="8306"/>
        </w:tabs>
      </w:pPr>
      <w:r>
        <w:rPr>
          <w:highlight w:val="none"/>
        </w:rPr>
        <w:fldChar w:fldCharType="begin"/>
      </w:r>
      <w:r>
        <w:rPr>
          <w:highlight w:val="none"/>
        </w:rPr>
        <w:instrText xml:space="preserve"> HYPERLINK \l _Toc3218 </w:instrText>
      </w:r>
      <w:r>
        <w:rPr>
          <w:highlight w:val="none"/>
        </w:rPr>
        <w:fldChar w:fldCharType="separate"/>
      </w:r>
      <w:r>
        <w:rPr>
          <w:rFonts w:hint="default"/>
        </w:rPr>
        <w:t xml:space="preserve">4. </w:t>
      </w:r>
      <w:r>
        <w:rPr>
          <w:rFonts w:hint="eastAsia"/>
          <w:highlight w:val="none"/>
        </w:rPr>
        <w:t>施工工艺</w:t>
      </w:r>
      <w:r>
        <w:tab/>
      </w:r>
      <w:r>
        <w:fldChar w:fldCharType="begin"/>
      </w:r>
      <w:r>
        <w:instrText xml:space="preserve"> PAGEREF _Toc3218 \h </w:instrText>
      </w:r>
      <w:r>
        <w:fldChar w:fldCharType="separate"/>
      </w:r>
      <w:r>
        <w:t>26</w:t>
      </w:r>
      <w:r>
        <w:fldChar w:fldCharType="end"/>
      </w:r>
      <w:r>
        <w:rPr>
          <w:highlight w:val="none"/>
        </w:rPr>
        <w:fldChar w:fldCharType="end"/>
      </w:r>
    </w:p>
    <w:p w14:paraId="0F7E0A72">
      <w:pPr>
        <w:pStyle w:val="25"/>
        <w:tabs>
          <w:tab w:val="right" w:leader="dot" w:pos="8306"/>
        </w:tabs>
      </w:pPr>
      <w:r>
        <w:rPr>
          <w:highlight w:val="none"/>
        </w:rPr>
        <w:fldChar w:fldCharType="begin"/>
      </w:r>
      <w:r>
        <w:rPr>
          <w:highlight w:val="none"/>
        </w:rPr>
        <w:instrText xml:space="preserve"> HYPERLINK \l _Toc26747 </w:instrText>
      </w:r>
      <w:r>
        <w:rPr>
          <w:highlight w:val="none"/>
        </w:rPr>
        <w:fldChar w:fldCharType="separate"/>
      </w:r>
      <w:r>
        <w:rPr>
          <w:rFonts w:hint="default"/>
        </w:rPr>
        <w:t xml:space="preserve">4.1. </w:t>
      </w:r>
      <w:r>
        <w:rPr>
          <w:rFonts w:hint="eastAsia"/>
        </w:rPr>
        <w:t>塔机</w:t>
      </w:r>
      <w:r>
        <w:rPr>
          <w:rFonts w:hint="eastAsia"/>
          <w:lang w:val="en-US" w:eastAsia="zh-CN"/>
        </w:rPr>
        <w:t>拆除</w:t>
      </w:r>
      <w:r>
        <w:rPr>
          <w:rFonts w:hint="eastAsia"/>
        </w:rPr>
        <w:t>施工工艺流程</w:t>
      </w:r>
      <w:r>
        <w:tab/>
      </w:r>
      <w:r>
        <w:fldChar w:fldCharType="begin"/>
      </w:r>
      <w:r>
        <w:instrText xml:space="preserve"> PAGEREF _Toc26747 \h </w:instrText>
      </w:r>
      <w:r>
        <w:fldChar w:fldCharType="separate"/>
      </w:r>
      <w:r>
        <w:t>26</w:t>
      </w:r>
      <w:r>
        <w:fldChar w:fldCharType="end"/>
      </w:r>
      <w:r>
        <w:rPr>
          <w:highlight w:val="none"/>
        </w:rPr>
        <w:fldChar w:fldCharType="end"/>
      </w:r>
    </w:p>
    <w:p w14:paraId="70C734A3">
      <w:pPr>
        <w:pStyle w:val="25"/>
        <w:tabs>
          <w:tab w:val="right" w:leader="dot" w:pos="8306"/>
        </w:tabs>
      </w:pPr>
      <w:r>
        <w:rPr>
          <w:highlight w:val="none"/>
        </w:rPr>
        <w:fldChar w:fldCharType="begin"/>
      </w:r>
      <w:r>
        <w:rPr>
          <w:highlight w:val="none"/>
        </w:rPr>
        <w:instrText xml:space="preserve"> HYPERLINK \l _Toc28725 </w:instrText>
      </w:r>
      <w:r>
        <w:rPr>
          <w:highlight w:val="none"/>
        </w:rPr>
        <w:fldChar w:fldCharType="separate"/>
      </w:r>
      <w:r>
        <w:rPr>
          <w:rFonts w:hint="default"/>
          <w:lang w:val="en-US" w:eastAsia="zh-CN"/>
        </w:rPr>
        <w:t xml:space="preserve">4.2. </w:t>
      </w:r>
      <w:r>
        <w:rPr>
          <w:rFonts w:hint="eastAsia"/>
          <w:lang w:val="en-US" w:eastAsia="zh-CN"/>
        </w:rPr>
        <w:t>主要设备选型</w:t>
      </w:r>
      <w:r>
        <w:tab/>
      </w:r>
      <w:r>
        <w:fldChar w:fldCharType="begin"/>
      </w:r>
      <w:r>
        <w:instrText xml:space="preserve"> PAGEREF _Toc28725 \h </w:instrText>
      </w:r>
      <w:r>
        <w:fldChar w:fldCharType="separate"/>
      </w:r>
      <w:r>
        <w:t>26</w:t>
      </w:r>
      <w:r>
        <w:fldChar w:fldCharType="end"/>
      </w:r>
      <w:r>
        <w:rPr>
          <w:highlight w:val="none"/>
        </w:rPr>
        <w:fldChar w:fldCharType="end"/>
      </w:r>
    </w:p>
    <w:p w14:paraId="11E95657">
      <w:pPr>
        <w:pStyle w:val="25"/>
        <w:tabs>
          <w:tab w:val="right" w:leader="dot" w:pos="8306"/>
        </w:tabs>
      </w:pPr>
      <w:r>
        <w:rPr>
          <w:highlight w:val="none"/>
        </w:rPr>
        <w:fldChar w:fldCharType="begin"/>
      </w:r>
      <w:r>
        <w:rPr>
          <w:highlight w:val="none"/>
        </w:rPr>
        <w:instrText xml:space="preserve"> HYPERLINK \l _Toc23573 </w:instrText>
      </w:r>
      <w:r>
        <w:rPr>
          <w:highlight w:val="none"/>
        </w:rPr>
        <w:fldChar w:fldCharType="separate"/>
      </w:r>
      <w:r>
        <w:rPr>
          <w:rFonts w:hint="default"/>
          <w:lang w:val="en-US" w:eastAsia="zh-CN"/>
        </w:rPr>
        <w:t xml:space="preserve">4.3. </w:t>
      </w:r>
      <w:r>
        <w:rPr>
          <w:rFonts w:hint="eastAsia"/>
          <w:lang w:val="en-US" w:eastAsia="zh-CN"/>
        </w:rPr>
        <w:t>塔机拆除前施工准备</w:t>
      </w:r>
      <w:r>
        <w:tab/>
      </w:r>
      <w:r>
        <w:fldChar w:fldCharType="begin"/>
      </w:r>
      <w:r>
        <w:instrText xml:space="preserve"> PAGEREF _Toc23573 \h </w:instrText>
      </w:r>
      <w:r>
        <w:fldChar w:fldCharType="separate"/>
      </w:r>
      <w:r>
        <w:t>31</w:t>
      </w:r>
      <w:r>
        <w:fldChar w:fldCharType="end"/>
      </w:r>
      <w:r>
        <w:rPr>
          <w:highlight w:val="none"/>
        </w:rPr>
        <w:fldChar w:fldCharType="end"/>
      </w:r>
    </w:p>
    <w:p w14:paraId="00A68C58">
      <w:pPr>
        <w:pStyle w:val="25"/>
        <w:tabs>
          <w:tab w:val="right" w:leader="dot" w:pos="8306"/>
        </w:tabs>
      </w:pPr>
      <w:r>
        <w:rPr>
          <w:highlight w:val="none"/>
        </w:rPr>
        <w:fldChar w:fldCharType="begin"/>
      </w:r>
      <w:r>
        <w:rPr>
          <w:highlight w:val="none"/>
        </w:rPr>
        <w:instrText xml:space="preserve"> HYPERLINK \l _Toc20222 </w:instrText>
      </w:r>
      <w:r>
        <w:rPr>
          <w:highlight w:val="none"/>
        </w:rPr>
        <w:fldChar w:fldCharType="separate"/>
      </w:r>
      <w:r>
        <w:rPr>
          <w:rFonts w:hint="default"/>
        </w:rPr>
        <w:t xml:space="preserve">4.4. </w:t>
      </w:r>
      <w:r>
        <w:rPr>
          <w:rFonts w:hint="eastAsia"/>
          <w:highlight w:val="none"/>
        </w:rPr>
        <w:t>塔机</w:t>
      </w:r>
      <w:r>
        <w:rPr>
          <w:rFonts w:hint="eastAsia"/>
          <w:highlight w:val="none"/>
          <w:lang w:val="en-US" w:eastAsia="zh-CN"/>
        </w:rPr>
        <w:t>拆除</w:t>
      </w:r>
      <w:r>
        <w:rPr>
          <w:rFonts w:hint="eastAsia"/>
          <w:highlight w:val="none"/>
        </w:rPr>
        <w:t>具体步骤</w:t>
      </w:r>
      <w:r>
        <w:tab/>
      </w:r>
      <w:r>
        <w:fldChar w:fldCharType="begin"/>
      </w:r>
      <w:r>
        <w:instrText xml:space="preserve"> PAGEREF _Toc20222 \h </w:instrText>
      </w:r>
      <w:r>
        <w:fldChar w:fldCharType="separate"/>
      </w:r>
      <w:r>
        <w:t>31</w:t>
      </w:r>
      <w:r>
        <w:fldChar w:fldCharType="end"/>
      </w:r>
      <w:r>
        <w:rPr>
          <w:highlight w:val="none"/>
        </w:rPr>
        <w:fldChar w:fldCharType="end"/>
      </w:r>
    </w:p>
    <w:p w14:paraId="0277F729">
      <w:pPr>
        <w:pStyle w:val="24"/>
        <w:tabs>
          <w:tab w:val="right" w:leader="dot" w:pos="8306"/>
        </w:tabs>
      </w:pPr>
      <w:r>
        <w:rPr>
          <w:highlight w:val="none"/>
        </w:rPr>
        <w:fldChar w:fldCharType="begin"/>
      </w:r>
      <w:r>
        <w:rPr>
          <w:highlight w:val="none"/>
        </w:rPr>
        <w:instrText xml:space="preserve"> HYPERLINK \l _Toc21393 </w:instrText>
      </w:r>
      <w:r>
        <w:rPr>
          <w:highlight w:val="none"/>
        </w:rPr>
        <w:fldChar w:fldCharType="separate"/>
      </w:r>
      <w:r>
        <w:rPr>
          <w:rFonts w:hint="default"/>
        </w:rPr>
        <w:t xml:space="preserve">5. </w:t>
      </w:r>
      <w:r>
        <w:rPr>
          <w:rFonts w:hint="eastAsia"/>
          <w:lang w:val="en-US" w:eastAsia="zh-CN"/>
        </w:rPr>
        <w:t>施工安全保障措施</w:t>
      </w:r>
      <w:r>
        <w:tab/>
      </w:r>
      <w:r>
        <w:fldChar w:fldCharType="begin"/>
      </w:r>
      <w:r>
        <w:instrText xml:space="preserve"> PAGEREF _Toc21393 \h </w:instrText>
      </w:r>
      <w:r>
        <w:fldChar w:fldCharType="separate"/>
      </w:r>
      <w:r>
        <w:t>43</w:t>
      </w:r>
      <w:r>
        <w:fldChar w:fldCharType="end"/>
      </w:r>
      <w:r>
        <w:rPr>
          <w:highlight w:val="none"/>
        </w:rPr>
        <w:fldChar w:fldCharType="end"/>
      </w:r>
    </w:p>
    <w:p w14:paraId="2C939438">
      <w:pPr>
        <w:pStyle w:val="25"/>
        <w:tabs>
          <w:tab w:val="right" w:leader="dot" w:pos="8306"/>
        </w:tabs>
      </w:pPr>
      <w:r>
        <w:rPr>
          <w:highlight w:val="none"/>
        </w:rPr>
        <w:fldChar w:fldCharType="begin"/>
      </w:r>
      <w:r>
        <w:rPr>
          <w:highlight w:val="none"/>
        </w:rPr>
        <w:instrText xml:space="preserve"> HYPERLINK \l _Toc27425 </w:instrText>
      </w:r>
      <w:r>
        <w:rPr>
          <w:highlight w:val="none"/>
        </w:rPr>
        <w:fldChar w:fldCharType="separate"/>
      </w:r>
      <w:r>
        <w:rPr>
          <w:rFonts w:hint="default" w:ascii="宋体" w:hAnsi="宋体" w:eastAsia="宋体" w:cs="Times New Roman"/>
          <w:kern w:val="2"/>
          <w:szCs w:val="22"/>
          <w:lang w:val="en-US" w:eastAsia="zh-CN" w:bidi="ar-SA"/>
        </w:rPr>
        <w:t xml:space="preserve">5.1. </w:t>
      </w:r>
      <w:r>
        <w:rPr>
          <w:rFonts w:hint="eastAsia" w:cs="Times New Roman"/>
          <w:kern w:val="2"/>
          <w:szCs w:val="22"/>
          <w:lang w:val="en-US" w:eastAsia="zh-CN" w:bidi="ar-SA"/>
        </w:rPr>
        <w:t>组织保障措施</w:t>
      </w:r>
      <w:r>
        <w:tab/>
      </w:r>
      <w:r>
        <w:fldChar w:fldCharType="begin"/>
      </w:r>
      <w:r>
        <w:instrText xml:space="preserve"> PAGEREF _Toc27425 \h </w:instrText>
      </w:r>
      <w:r>
        <w:fldChar w:fldCharType="separate"/>
      </w:r>
      <w:r>
        <w:t>43</w:t>
      </w:r>
      <w:r>
        <w:fldChar w:fldCharType="end"/>
      </w:r>
      <w:r>
        <w:rPr>
          <w:highlight w:val="none"/>
        </w:rPr>
        <w:fldChar w:fldCharType="end"/>
      </w:r>
    </w:p>
    <w:p w14:paraId="279A9206">
      <w:pPr>
        <w:pStyle w:val="25"/>
        <w:tabs>
          <w:tab w:val="right" w:leader="dot" w:pos="8306"/>
        </w:tabs>
      </w:pPr>
      <w:r>
        <w:rPr>
          <w:highlight w:val="none"/>
        </w:rPr>
        <w:fldChar w:fldCharType="begin"/>
      </w:r>
      <w:r>
        <w:rPr>
          <w:highlight w:val="none"/>
        </w:rPr>
        <w:instrText xml:space="preserve"> HYPERLINK \l _Toc15628 </w:instrText>
      </w:r>
      <w:r>
        <w:rPr>
          <w:highlight w:val="none"/>
        </w:rPr>
        <w:fldChar w:fldCharType="separate"/>
      </w:r>
      <w:r>
        <w:rPr>
          <w:rFonts w:hint="default" w:ascii="宋体" w:hAnsi="宋体" w:eastAsia="宋体" w:cs="Times New Roman"/>
          <w:kern w:val="2"/>
          <w:szCs w:val="22"/>
          <w:lang w:val="en-US" w:eastAsia="zh-CN" w:bidi="ar-SA"/>
        </w:rPr>
        <w:t xml:space="preserve">5.2. </w:t>
      </w:r>
      <w:r>
        <w:rPr>
          <w:rFonts w:hint="eastAsia" w:cs="Times New Roman"/>
          <w:kern w:val="2"/>
          <w:szCs w:val="22"/>
          <w:lang w:val="en-US" w:eastAsia="zh-CN" w:bidi="ar-SA"/>
        </w:rPr>
        <w:t>制度保障措施</w:t>
      </w:r>
      <w:r>
        <w:tab/>
      </w:r>
      <w:r>
        <w:fldChar w:fldCharType="begin"/>
      </w:r>
      <w:r>
        <w:instrText xml:space="preserve"> PAGEREF _Toc15628 \h </w:instrText>
      </w:r>
      <w:r>
        <w:fldChar w:fldCharType="separate"/>
      </w:r>
      <w:r>
        <w:t>51</w:t>
      </w:r>
      <w:r>
        <w:fldChar w:fldCharType="end"/>
      </w:r>
      <w:r>
        <w:rPr>
          <w:highlight w:val="none"/>
        </w:rPr>
        <w:fldChar w:fldCharType="end"/>
      </w:r>
    </w:p>
    <w:p w14:paraId="5BDCB6ED">
      <w:pPr>
        <w:pStyle w:val="25"/>
        <w:tabs>
          <w:tab w:val="right" w:leader="dot" w:pos="8306"/>
        </w:tabs>
      </w:pPr>
      <w:r>
        <w:rPr>
          <w:highlight w:val="none"/>
        </w:rPr>
        <w:fldChar w:fldCharType="begin"/>
      </w:r>
      <w:r>
        <w:rPr>
          <w:highlight w:val="none"/>
        </w:rPr>
        <w:instrText xml:space="preserve"> HYPERLINK \l _Toc9261 </w:instrText>
      </w:r>
      <w:r>
        <w:rPr>
          <w:highlight w:val="none"/>
        </w:rPr>
        <w:fldChar w:fldCharType="separate"/>
      </w:r>
      <w:r>
        <w:rPr>
          <w:rFonts w:hint="default" w:ascii="宋体" w:hAnsi="宋体" w:eastAsia="宋体" w:cs="Times New Roman"/>
          <w:kern w:val="2"/>
          <w:szCs w:val="22"/>
          <w:lang w:val="en-US" w:eastAsia="zh-CN" w:bidi="ar-SA"/>
        </w:rPr>
        <w:t xml:space="preserve">5.3. </w:t>
      </w:r>
      <w:r>
        <w:rPr>
          <w:rFonts w:hint="eastAsia" w:cs="Times New Roman"/>
          <w:kern w:val="2"/>
          <w:szCs w:val="22"/>
          <w:lang w:val="en-US" w:eastAsia="zh-CN" w:bidi="ar-SA"/>
        </w:rPr>
        <w:t>监管措施</w:t>
      </w:r>
      <w:r>
        <w:tab/>
      </w:r>
      <w:r>
        <w:fldChar w:fldCharType="begin"/>
      </w:r>
      <w:r>
        <w:instrText xml:space="preserve"> PAGEREF _Toc9261 \h </w:instrText>
      </w:r>
      <w:r>
        <w:fldChar w:fldCharType="separate"/>
      </w:r>
      <w:r>
        <w:t>54</w:t>
      </w:r>
      <w:r>
        <w:fldChar w:fldCharType="end"/>
      </w:r>
      <w:r>
        <w:rPr>
          <w:highlight w:val="none"/>
        </w:rPr>
        <w:fldChar w:fldCharType="end"/>
      </w:r>
    </w:p>
    <w:p w14:paraId="71C6FE95">
      <w:pPr>
        <w:pStyle w:val="25"/>
        <w:tabs>
          <w:tab w:val="right" w:leader="dot" w:pos="8306"/>
        </w:tabs>
      </w:pPr>
      <w:r>
        <w:rPr>
          <w:highlight w:val="none"/>
        </w:rPr>
        <w:fldChar w:fldCharType="begin"/>
      </w:r>
      <w:r>
        <w:rPr>
          <w:highlight w:val="none"/>
        </w:rPr>
        <w:instrText xml:space="preserve"> HYPERLINK \l _Toc9234 </w:instrText>
      </w:r>
      <w:r>
        <w:rPr>
          <w:highlight w:val="none"/>
        </w:rPr>
        <w:fldChar w:fldCharType="separate"/>
      </w:r>
      <w:r>
        <w:rPr>
          <w:rFonts w:hint="default" w:ascii="宋体" w:hAnsi="宋体" w:eastAsia="宋体" w:cs="Times New Roman"/>
          <w:kern w:val="2"/>
          <w:szCs w:val="22"/>
          <w:lang w:val="en-US" w:eastAsia="zh-CN" w:bidi="ar-SA"/>
        </w:rPr>
        <w:t xml:space="preserve">5.4. </w:t>
      </w:r>
      <w:r>
        <w:rPr>
          <w:rFonts w:hint="eastAsia" w:cs="Times New Roman"/>
          <w:kern w:val="2"/>
          <w:szCs w:val="22"/>
          <w:lang w:val="en-US" w:eastAsia="zh-CN" w:bidi="ar-SA"/>
        </w:rPr>
        <w:t>施工安全技术管控措施</w:t>
      </w:r>
      <w:r>
        <w:tab/>
      </w:r>
      <w:r>
        <w:fldChar w:fldCharType="begin"/>
      </w:r>
      <w:r>
        <w:instrText xml:space="preserve"> PAGEREF _Toc9234 \h </w:instrText>
      </w:r>
      <w:r>
        <w:fldChar w:fldCharType="separate"/>
      </w:r>
      <w:r>
        <w:t>54</w:t>
      </w:r>
      <w:r>
        <w:fldChar w:fldCharType="end"/>
      </w:r>
      <w:r>
        <w:rPr>
          <w:highlight w:val="none"/>
        </w:rPr>
        <w:fldChar w:fldCharType="end"/>
      </w:r>
    </w:p>
    <w:p w14:paraId="6E19B02C">
      <w:pPr>
        <w:pStyle w:val="25"/>
        <w:tabs>
          <w:tab w:val="right" w:leader="dot" w:pos="8306"/>
        </w:tabs>
      </w:pPr>
      <w:r>
        <w:rPr>
          <w:highlight w:val="none"/>
        </w:rPr>
        <w:fldChar w:fldCharType="begin"/>
      </w:r>
      <w:r>
        <w:rPr>
          <w:highlight w:val="none"/>
        </w:rPr>
        <w:instrText xml:space="preserve"> HYPERLINK \l _Toc24758 </w:instrText>
      </w:r>
      <w:r>
        <w:rPr>
          <w:highlight w:val="none"/>
        </w:rPr>
        <w:fldChar w:fldCharType="separate"/>
      </w:r>
      <w:r>
        <w:rPr>
          <w:rFonts w:hint="default" w:ascii="宋体" w:hAnsi="宋体" w:eastAsia="宋体" w:cs="Times New Roman"/>
          <w:kern w:val="2"/>
          <w:szCs w:val="22"/>
          <w:lang w:val="en-US" w:eastAsia="zh-CN" w:bidi="ar-SA"/>
        </w:rPr>
        <w:t xml:space="preserve">5.5. </w:t>
      </w:r>
      <w:r>
        <w:rPr>
          <w:rFonts w:hint="eastAsia" w:cs="Times New Roman"/>
          <w:kern w:val="2"/>
          <w:szCs w:val="22"/>
          <w:lang w:val="en-US" w:eastAsia="zh-CN" w:bidi="ar-SA"/>
        </w:rPr>
        <w:t>应急处置措施</w:t>
      </w:r>
      <w:r>
        <w:tab/>
      </w:r>
      <w:r>
        <w:fldChar w:fldCharType="begin"/>
      </w:r>
      <w:r>
        <w:instrText xml:space="preserve"> PAGEREF _Toc24758 \h </w:instrText>
      </w:r>
      <w:r>
        <w:fldChar w:fldCharType="separate"/>
      </w:r>
      <w:r>
        <w:t>61</w:t>
      </w:r>
      <w:r>
        <w:fldChar w:fldCharType="end"/>
      </w:r>
      <w:r>
        <w:rPr>
          <w:highlight w:val="none"/>
        </w:rPr>
        <w:fldChar w:fldCharType="end"/>
      </w:r>
    </w:p>
    <w:p w14:paraId="656DA9BB">
      <w:pPr>
        <w:pStyle w:val="25"/>
        <w:tabs>
          <w:tab w:val="right" w:leader="dot" w:pos="8306"/>
        </w:tabs>
      </w:pPr>
      <w:r>
        <w:rPr>
          <w:highlight w:val="none"/>
        </w:rPr>
        <w:fldChar w:fldCharType="begin"/>
      </w:r>
      <w:r>
        <w:rPr>
          <w:highlight w:val="none"/>
        </w:rPr>
        <w:instrText xml:space="preserve"> HYPERLINK \l _Toc8510 </w:instrText>
      </w:r>
      <w:r>
        <w:rPr>
          <w:highlight w:val="none"/>
        </w:rPr>
        <w:fldChar w:fldCharType="separate"/>
      </w:r>
      <w:r>
        <w:rPr>
          <w:rFonts w:hint="default" w:ascii="宋体" w:hAnsi="宋体" w:eastAsia="宋体" w:cs="宋体"/>
          <w:lang w:val="en-US" w:eastAsia="zh-CN"/>
        </w:rPr>
        <w:t xml:space="preserve">5.6. </w:t>
      </w:r>
      <w:r>
        <w:rPr>
          <w:rFonts w:hint="eastAsia" w:ascii="宋体" w:hAnsi="宋体" w:eastAsia="宋体" w:cs="宋体"/>
          <w:highlight w:val="none"/>
          <w:lang w:val="en-US" w:eastAsia="zh-CN"/>
        </w:rPr>
        <w:t>应急保障</w:t>
      </w:r>
      <w:r>
        <w:tab/>
      </w:r>
      <w:r>
        <w:fldChar w:fldCharType="begin"/>
      </w:r>
      <w:r>
        <w:instrText xml:space="preserve"> PAGEREF _Toc8510 \h </w:instrText>
      </w:r>
      <w:r>
        <w:fldChar w:fldCharType="separate"/>
      </w:r>
      <w:r>
        <w:t>73</w:t>
      </w:r>
      <w:r>
        <w:fldChar w:fldCharType="end"/>
      </w:r>
      <w:r>
        <w:rPr>
          <w:highlight w:val="none"/>
        </w:rPr>
        <w:fldChar w:fldCharType="end"/>
      </w:r>
    </w:p>
    <w:p w14:paraId="57FF29B8">
      <w:pPr>
        <w:pStyle w:val="25"/>
        <w:tabs>
          <w:tab w:val="right" w:leader="dot" w:pos="8306"/>
        </w:tabs>
      </w:pPr>
      <w:r>
        <w:rPr>
          <w:highlight w:val="none"/>
        </w:rPr>
        <w:fldChar w:fldCharType="begin"/>
      </w:r>
      <w:r>
        <w:rPr>
          <w:highlight w:val="none"/>
        </w:rPr>
        <w:instrText xml:space="preserve"> HYPERLINK \l _Toc14843 </w:instrText>
      </w:r>
      <w:r>
        <w:rPr>
          <w:highlight w:val="none"/>
        </w:rPr>
        <w:fldChar w:fldCharType="separate"/>
      </w:r>
      <w:r>
        <w:rPr>
          <w:rFonts w:hint="default" w:ascii="宋体" w:hAnsi="宋体" w:eastAsia="宋体" w:cs="宋体"/>
        </w:rPr>
        <w:t xml:space="preserve">5.7. </w:t>
      </w:r>
      <w:r>
        <w:rPr>
          <w:rFonts w:hint="eastAsia" w:ascii="宋体" w:hAnsi="宋体" w:eastAsia="宋体" w:cs="宋体"/>
          <w:highlight w:val="none"/>
        </w:rPr>
        <w:t>事故善后及恢复生产</w:t>
      </w:r>
      <w:r>
        <w:tab/>
      </w:r>
      <w:r>
        <w:fldChar w:fldCharType="begin"/>
      </w:r>
      <w:r>
        <w:instrText xml:space="preserve"> PAGEREF _Toc14843 \h </w:instrText>
      </w:r>
      <w:r>
        <w:fldChar w:fldCharType="separate"/>
      </w:r>
      <w:r>
        <w:t>74</w:t>
      </w:r>
      <w:r>
        <w:fldChar w:fldCharType="end"/>
      </w:r>
      <w:r>
        <w:rPr>
          <w:highlight w:val="none"/>
        </w:rPr>
        <w:fldChar w:fldCharType="end"/>
      </w:r>
    </w:p>
    <w:p w14:paraId="302FE711">
      <w:pPr>
        <w:pStyle w:val="24"/>
        <w:tabs>
          <w:tab w:val="right" w:leader="dot" w:pos="8306"/>
        </w:tabs>
      </w:pPr>
      <w:r>
        <w:rPr>
          <w:highlight w:val="none"/>
        </w:rPr>
        <w:fldChar w:fldCharType="begin"/>
      </w:r>
      <w:r>
        <w:rPr>
          <w:highlight w:val="none"/>
        </w:rPr>
        <w:instrText xml:space="preserve"> HYPERLINK \l _Toc26551 </w:instrText>
      </w:r>
      <w:r>
        <w:rPr>
          <w:highlight w:val="none"/>
        </w:rPr>
        <w:fldChar w:fldCharType="separate"/>
      </w:r>
      <w:r>
        <w:rPr>
          <w:rFonts w:hint="default" w:ascii="Times New Roman" w:hAnsi="Times New Roman" w:eastAsia="宋体" w:cs="Times New Roman"/>
          <w:caps w:val="0"/>
          <w:smallCaps w:val="0"/>
          <w:kern w:val="44"/>
          <w:szCs w:val="22"/>
          <w:lang w:val="en-US" w:eastAsia="zh-CN" w:bidi="ar-SA"/>
        </w:rPr>
        <w:t xml:space="preserve">6. </w:t>
      </w:r>
      <w:r>
        <w:rPr>
          <w:rFonts w:hint="eastAsia" w:ascii="Times New Roman" w:hAnsi="Times New Roman" w:cs="Times New Roman"/>
          <w:caps w:val="0"/>
          <w:smallCaps w:val="0"/>
          <w:kern w:val="44"/>
          <w:szCs w:val="22"/>
          <w:highlight w:val="none"/>
          <w:lang w:val="en-US" w:eastAsia="zh-CN" w:bidi="ar-SA"/>
        </w:rPr>
        <w:t>质量控制措施</w:t>
      </w:r>
      <w:r>
        <w:tab/>
      </w:r>
      <w:r>
        <w:fldChar w:fldCharType="begin"/>
      </w:r>
      <w:r>
        <w:instrText xml:space="preserve"> PAGEREF _Toc26551 \h </w:instrText>
      </w:r>
      <w:r>
        <w:fldChar w:fldCharType="separate"/>
      </w:r>
      <w:r>
        <w:t>76</w:t>
      </w:r>
      <w:r>
        <w:fldChar w:fldCharType="end"/>
      </w:r>
      <w:r>
        <w:rPr>
          <w:highlight w:val="none"/>
        </w:rPr>
        <w:fldChar w:fldCharType="end"/>
      </w:r>
    </w:p>
    <w:p w14:paraId="2C65276F">
      <w:pPr>
        <w:pStyle w:val="25"/>
        <w:tabs>
          <w:tab w:val="right" w:leader="dot" w:pos="8306"/>
        </w:tabs>
      </w:pPr>
      <w:r>
        <w:rPr>
          <w:highlight w:val="none"/>
        </w:rPr>
        <w:fldChar w:fldCharType="begin"/>
      </w:r>
      <w:r>
        <w:rPr>
          <w:highlight w:val="none"/>
        </w:rPr>
        <w:instrText xml:space="preserve"> HYPERLINK \l _Toc8671 </w:instrText>
      </w:r>
      <w:r>
        <w:rPr>
          <w:highlight w:val="none"/>
        </w:rPr>
        <w:fldChar w:fldCharType="separate"/>
      </w:r>
      <w:r>
        <w:rPr>
          <w:rFonts w:hint="default" w:ascii="宋体" w:hAnsi="宋体" w:eastAsia="宋体" w:cs="宋体"/>
        </w:rPr>
        <w:t xml:space="preserve">6.1. </w:t>
      </w:r>
      <w:r>
        <w:rPr>
          <w:rFonts w:hint="eastAsia" w:ascii="宋体" w:hAnsi="宋体" w:eastAsia="宋体" w:cs="宋体"/>
          <w:highlight w:val="none"/>
        </w:rPr>
        <w:t>质量管理组织机构</w:t>
      </w:r>
      <w:r>
        <w:tab/>
      </w:r>
      <w:r>
        <w:fldChar w:fldCharType="begin"/>
      </w:r>
      <w:r>
        <w:instrText xml:space="preserve"> PAGEREF _Toc8671 \h </w:instrText>
      </w:r>
      <w:r>
        <w:fldChar w:fldCharType="separate"/>
      </w:r>
      <w:r>
        <w:t>76</w:t>
      </w:r>
      <w:r>
        <w:fldChar w:fldCharType="end"/>
      </w:r>
      <w:r>
        <w:rPr>
          <w:highlight w:val="none"/>
        </w:rPr>
        <w:fldChar w:fldCharType="end"/>
      </w:r>
    </w:p>
    <w:p w14:paraId="70959946">
      <w:pPr>
        <w:pStyle w:val="25"/>
        <w:tabs>
          <w:tab w:val="right" w:leader="dot" w:pos="8306"/>
        </w:tabs>
      </w:pPr>
      <w:r>
        <w:rPr>
          <w:highlight w:val="none"/>
        </w:rPr>
        <w:fldChar w:fldCharType="begin"/>
      </w:r>
      <w:r>
        <w:rPr>
          <w:highlight w:val="none"/>
        </w:rPr>
        <w:instrText xml:space="preserve"> HYPERLINK \l _Toc26559 </w:instrText>
      </w:r>
      <w:r>
        <w:rPr>
          <w:highlight w:val="none"/>
        </w:rPr>
        <w:fldChar w:fldCharType="separate"/>
      </w:r>
      <w:r>
        <w:rPr>
          <w:rFonts w:hint="default" w:ascii="宋体" w:hAnsi="宋体" w:eastAsia="宋体" w:cs="宋体"/>
        </w:rPr>
        <w:t xml:space="preserve">6.2. </w:t>
      </w:r>
      <w:r>
        <w:rPr>
          <w:rFonts w:hint="eastAsia" w:ascii="宋体" w:hAnsi="宋体" w:eastAsia="宋体" w:cs="宋体"/>
          <w:highlight w:val="none"/>
        </w:rPr>
        <w:t>质量通病及质量通病预防</w:t>
      </w:r>
      <w:r>
        <w:tab/>
      </w:r>
      <w:r>
        <w:fldChar w:fldCharType="begin"/>
      </w:r>
      <w:r>
        <w:instrText xml:space="preserve"> PAGEREF _Toc26559 \h </w:instrText>
      </w:r>
      <w:r>
        <w:fldChar w:fldCharType="separate"/>
      </w:r>
      <w:r>
        <w:t>76</w:t>
      </w:r>
      <w:r>
        <w:fldChar w:fldCharType="end"/>
      </w:r>
      <w:r>
        <w:rPr>
          <w:highlight w:val="none"/>
        </w:rPr>
        <w:fldChar w:fldCharType="end"/>
      </w:r>
    </w:p>
    <w:p w14:paraId="13CBA5C2">
      <w:pPr>
        <w:pStyle w:val="25"/>
        <w:tabs>
          <w:tab w:val="right" w:leader="dot" w:pos="8306"/>
        </w:tabs>
      </w:pPr>
      <w:r>
        <w:rPr>
          <w:highlight w:val="none"/>
        </w:rPr>
        <w:fldChar w:fldCharType="begin"/>
      </w:r>
      <w:r>
        <w:rPr>
          <w:highlight w:val="none"/>
        </w:rPr>
        <w:instrText xml:space="preserve"> HYPERLINK \l _Toc15812 </w:instrText>
      </w:r>
      <w:r>
        <w:rPr>
          <w:highlight w:val="none"/>
        </w:rPr>
        <w:fldChar w:fldCharType="separate"/>
      </w:r>
      <w:r>
        <w:rPr>
          <w:rFonts w:hint="default" w:ascii="宋体" w:hAnsi="宋体" w:eastAsia="宋体" w:cs="宋体"/>
        </w:rPr>
        <w:t xml:space="preserve">6.3. </w:t>
      </w:r>
      <w:r>
        <w:rPr>
          <w:rFonts w:hint="eastAsia" w:ascii="宋体" w:hAnsi="宋体" w:eastAsia="宋体" w:cs="宋体"/>
          <w:highlight w:val="none"/>
        </w:rPr>
        <w:t>质量保证措施</w:t>
      </w:r>
      <w:r>
        <w:tab/>
      </w:r>
      <w:r>
        <w:fldChar w:fldCharType="begin"/>
      </w:r>
      <w:r>
        <w:instrText xml:space="preserve"> PAGEREF _Toc15812 \h </w:instrText>
      </w:r>
      <w:r>
        <w:fldChar w:fldCharType="separate"/>
      </w:r>
      <w:r>
        <w:t>77</w:t>
      </w:r>
      <w:r>
        <w:fldChar w:fldCharType="end"/>
      </w:r>
      <w:r>
        <w:rPr>
          <w:highlight w:val="none"/>
        </w:rPr>
        <w:fldChar w:fldCharType="end"/>
      </w:r>
    </w:p>
    <w:p w14:paraId="1A102D60">
      <w:pPr>
        <w:pStyle w:val="25"/>
        <w:tabs>
          <w:tab w:val="right" w:leader="dot" w:pos="8306"/>
        </w:tabs>
      </w:pPr>
      <w:r>
        <w:rPr>
          <w:highlight w:val="none"/>
        </w:rPr>
        <w:fldChar w:fldCharType="begin"/>
      </w:r>
      <w:r>
        <w:rPr>
          <w:highlight w:val="none"/>
        </w:rPr>
        <w:instrText xml:space="preserve"> HYPERLINK \l _Toc30395 </w:instrText>
      </w:r>
      <w:r>
        <w:rPr>
          <w:highlight w:val="none"/>
        </w:rPr>
        <w:fldChar w:fldCharType="separate"/>
      </w:r>
      <w:r>
        <w:rPr>
          <w:rFonts w:hint="default" w:ascii="宋体" w:hAnsi="宋体" w:eastAsia="宋体" w:cs="宋体"/>
        </w:rPr>
        <w:t xml:space="preserve">6.4. </w:t>
      </w:r>
      <w:r>
        <w:rPr>
          <w:rFonts w:hint="eastAsia" w:ascii="宋体" w:hAnsi="宋体" w:eastAsia="宋体" w:cs="宋体"/>
          <w:highlight w:val="none"/>
        </w:rPr>
        <w:t>作业过程中控制点的设置</w:t>
      </w:r>
      <w:r>
        <w:tab/>
      </w:r>
      <w:r>
        <w:fldChar w:fldCharType="begin"/>
      </w:r>
      <w:r>
        <w:instrText xml:space="preserve"> PAGEREF _Toc30395 \h </w:instrText>
      </w:r>
      <w:r>
        <w:fldChar w:fldCharType="separate"/>
      </w:r>
      <w:r>
        <w:t>78</w:t>
      </w:r>
      <w:r>
        <w:fldChar w:fldCharType="end"/>
      </w:r>
      <w:r>
        <w:rPr>
          <w:highlight w:val="none"/>
        </w:rPr>
        <w:fldChar w:fldCharType="end"/>
      </w:r>
    </w:p>
    <w:p w14:paraId="6557639C">
      <w:pPr>
        <w:pStyle w:val="24"/>
        <w:tabs>
          <w:tab w:val="right" w:leader="dot" w:pos="8306"/>
        </w:tabs>
      </w:pPr>
      <w:r>
        <w:rPr>
          <w:highlight w:val="none"/>
        </w:rPr>
        <w:fldChar w:fldCharType="begin"/>
      </w:r>
      <w:r>
        <w:rPr>
          <w:highlight w:val="none"/>
        </w:rPr>
        <w:instrText xml:space="preserve"> HYPERLINK \l _Toc17655 </w:instrText>
      </w:r>
      <w:r>
        <w:rPr>
          <w:highlight w:val="none"/>
        </w:rPr>
        <w:fldChar w:fldCharType="separate"/>
      </w:r>
      <w:r>
        <w:rPr>
          <w:rFonts w:hint="default" w:ascii="Times New Roman" w:hAnsi="Times New Roman" w:eastAsia="宋体" w:cs="Times New Roman"/>
          <w:caps w:val="0"/>
          <w:smallCaps w:val="0"/>
          <w:kern w:val="44"/>
          <w:szCs w:val="22"/>
          <w:lang w:val="en-US" w:eastAsia="zh-CN" w:bidi="ar-SA"/>
        </w:rPr>
        <w:t xml:space="preserve">7. </w:t>
      </w:r>
      <w:r>
        <w:rPr>
          <w:rFonts w:hint="eastAsia" w:ascii="Times New Roman" w:hAnsi="Times New Roman" w:cs="Times New Roman"/>
          <w:caps w:val="0"/>
          <w:smallCaps w:val="0"/>
          <w:kern w:val="44"/>
          <w:szCs w:val="22"/>
          <w:highlight w:val="none"/>
          <w:lang w:val="en-US" w:eastAsia="zh-CN" w:bidi="ar-SA"/>
        </w:rPr>
        <w:t>环境保障措施</w:t>
      </w:r>
      <w:r>
        <w:tab/>
      </w:r>
      <w:r>
        <w:fldChar w:fldCharType="begin"/>
      </w:r>
      <w:r>
        <w:instrText xml:space="preserve"> PAGEREF _Toc17655 \h </w:instrText>
      </w:r>
      <w:r>
        <w:fldChar w:fldCharType="separate"/>
      </w:r>
      <w:r>
        <w:t>79</w:t>
      </w:r>
      <w:r>
        <w:fldChar w:fldCharType="end"/>
      </w:r>
      <w:r>
        <w:rPr>
          <w:highlight w:val="none"/>
        </w:rPr>
        <w:fldChar w:fldCharType="end"/>
      </w:r>
    </w:p>
    <w:p w14:paraId="74E4CF6F">
      <w:pPr>
        <w:pStyle w:val="25"/>
        <w:tabs>
          <w:tab w:val="right" w:leader="dot" w:pos="8306"/>
        </w:tabs>
      </w:pPr>
      <w:r>
        <w:rPr>
          <w:highlight w:val="none"/>
        </w:rPr>
        <w:fldChar w:fldCharType="begin"/>
      </w:r>
      <w:r>
        <w:rPr>
          <w:highlight w:val="none"/>
        </w:rPr>
        <w:instrText xml:space="preserve"> HYPERLINK \l _Toc12366 </w:instrText>
      </w:r>
      <w:r>
        <w:rPr>
          <w:highlight w:val="none"/>
        </w:rPr>
        <w:fldChar w:fldCharType="separate"/>
      </w:r>
      <w:r>
        <w:rPr>
          <w:rFonts w:hint="default" w:ascii="宋体" w:hAnsi="宋体" w:eastAsia="宋体" w:cs="宋体"/>
          <w:lang w:val="en-US" w:eastAsia="zh-CN"/>
        </w:rPr>
        <w:t xml:space="preserve">7.1. </w:t>
      </w:r>
      <w:r>
        <w:rPr>
          <w:rFonts w:hint="eastAsia" w:ascii="宋体" w:hAnsi="宋体" w:eastAsia="宋体" w:cs="宋体"/>
          <w:highlight w:val="none"/>
          <w:lang w:val="en-US" w:eastAsia="zh-CN"/>
        </w:rPr>
        <w:t>绿色施工</w:t>
      </w:r>
      <w:r>
        <w:tab/>
      </w:r>
      <w:r>
        <w:fldChar w:fldCharType="begin"/>
      </w:r>
      <w:r>
        <w:instrText xml:space="preserve"> PAGEREF _Toc12366 \h </w:instrText>
      </w:r>
      <w:r>
        <w:fldChar w:fldCharType="separate"/>
      </w:r>
      <w:r>
        <w:t>79</w:t>
      </w:r>
      <w:r>
        <w:fldChar w:fldCharType="end"/>
      </w:r>
      <w:r>
        <w:rPr>
          <w:highlight w:val="none"/>
        </w:rPr>
        <w:fldChar w:fldCharType="end"/>
      </w:r>
    </w:p>
    <w:p w14:paraId="4274F68D">
      <w:pPr>
        <w:pStyle w:val="25"/>
        <w:tabs>
          <w:tab w:val="right" w:leader="dot" w:pos="8306"/>
        </w:tabs>
      </w:pPr>
      <w:r>
        <w:rPr>
          <w:highlight w:val="none"/>
        </w:rPr>
        <w:fldChar w:fldCharType="begin"/>
      </w:r>
      <w:r>
        <w:rPr>
          <w:highlight w:val="none"/>
        </w:rPr>
        <w:instrText xml:space="preserve"> HYPERLINK \l _Toc26582 </w:instrText>
      </w:r>
      <w:r>
        <w:rPr>
          <w:highlight w:val="none"/>
        </w:rPr>
        <w:fldChar w:fldCharType="separate"/>
      </w:r>
      <w:r>
        <w:rPr>
          <w:rFonts w:hint="default" w:ascii="宋体" w:hAnsi="宋体" w:eastAsia="宋体" w:cs="宋体"/>
          <w:lang w:val="en-US" w:eastAsia="zh-CN"/>
        </w:rPr>
        <w:t xml:space="preserve">7.2. </w:t>
      </w:r>
      <w:r>
        <w:rPr>
          <w:rFonts w:hint="eastAsia" w:ascii="宋体" w:hAnsi="宋体" w:eastAsia="宋体" w:cs="宋体"/>
          <w:highlight w:val="none"/>
          <w:lang w:val="en-US" w:eastAsia="zh-CN"/>
        </w:rPr>
        <w:t>文明施工</w:t>
      </w:r>
      <w:r>
        <w:tab/>
      </w:r>
      <w:r>
        <w:fldChar w:fldCharType="begin"/>
      </w:r>
      <w:r>
        <w:instrText xml:space="preserve"> PAGEREF _Toc26582 \h </w:instrText>
      </w:r>
      <w:r>
        <w:fldChar w:fldCharType="separate"/>
      </w:r>
      <w:r>
        <w:t>85</w:t>
      </w:r>
      <w:r>
        <w:fldChar w:fldCharType="end"/>
      </w:r>
      <w:r>
        <w:rPr>
          <w:highlight w:val="none"/>
        </w:rPr>
        <w:fldChar w:fldCharType="end"/>
      </w:r>
    </w:p>
    <w:p w14:paraId="757C98CC">
      <w:pPr>
        <w:pStyle w:val="24"/>
        <w:tabs>
          <w:tab w:val="right" w:leader="dot" w:pos="8306"/>
        </w:tabs>
      </w:pPr>
      <w:r>
        <w:rPr>
          <w:highlight w:val="none"/>
        </w:rPr>
        <w:fldChar w:fldCharType="begin"/>
      </w:r>
      <w:r>
        <w:rPr>
          <w:highlight w:val="none"/>
        </w:rPr>
        <w:instrText xml:space="preserve"> HYPERLINK \l _Toc8580 </w:instrText>
      </w:r>
      <w:r>
        <w:rPr>
          <w:highlight w:val="none"/>
        </w:rPr>
        <w:fldChar w:fldCharType="separate"/>
      </w:r>
      <w:r>
        <w:rPr>
          <w:rFonts w:hint="default" w:ascii="Times New Roman" w:hAnsi="Times New Roman" w:eastAsia="宋体" w:cs="Times New Roman"/>
          <w:caps w:val="0"/>
          <w:smallCaps w:val="0"/>
          <w:kern w:val="44"/>
          <w:szCs w:val="22"/>
          <w:lang w:val="en-US" w:eastAsia="zh-CN" w:bidi="ar-SA"/>
        </w:rPr>
        <w:t xml:space="preserve">8. </w:t>
      </w:r>
      <w:r>
        <w:rPr>
          <w:rFonts w:hint="eastAsia" w:ascii="Times New Roman" w:hAnsi="Times New Roman" w:cs="Times New Roman"/>
          <w:caps w:val="0"/>
          <w:smallCaps w:val="0"/>
          <w:kern w:val="44"/>
          <w:szCs w:val="22"/>
          <w:highlight w:val="none"/>
          <w:lang w:val="en-US" w:eastAsia="zh-CN" w:bidi="ar-SA"/>
        </w:rPr>
        <w:t>施工管理及作业人员配备和分工</w:t>
      </w:r>
      <w:r>
        <w:tab/>
      </w:r>
      <w:r>
        <w:fldChar w:fldCharType="begin"/>
      </w:r>
      <w:r>
        <w:instrText xml:space="preserve"> PAGEREF _Toc8580 \h </w:instrText>
      </w:r>
      <w:r>
        <w:fldChar w:fldCharType="separate"/>
      </w:r>
      <w:r>
        <w:t>95</w:t>
      </w:r>
      <w:r>
        <w:fldChar w:fldCharType="end"/>
      </w:r>
      <w:r>
        <w:rPr>
          <w:highlight w:val="none"/>
        </w:rPr>
        <w:fldChar w:fldCharType="end"/>
      </w:r>
    </w:p>
    <w:p w14:paraId="6B5FA0E6">
      <w:pPr>
        <w:pStyle w:val="25"/>
        <w:tabs>
          <w:tab w:val="right" w:leader="dot" w:pos="8306"/>
        </w:tabs>
      </w:pPr>
      <w:r>
        <w:rPr>
          <w:highlight w:val="none"/>
        </w:rPr>
        <w:fldChar w:fldCharType="begin"/>
      </w:r>
      <w:r>
        <w:rPr>
          <w:highlight w:val="none"/>
        </w:rPr>
        <w:instrText xml:space="preserve"> HYPERLINK \l _Toc11483 </w:instrText>
      </w:r>
      <w:r>
        <w:rPr>
          <w:highlight w:val="none"/>
        </w:rPr>
        <w:fldChar w:fldCharType="separate"/>
      </w:r>
      <w:r>
        <w:rPr>
          <w:rFonts w:hint="default" w:ascii="宋体" w:hAnsi="宋体" w:eastAsia="宋体" w:cs="宋体"/>
          <w:lang w:val="en-US" w:eastAsia="zh-CN"/>
        </w:rPr>
        <w:t xml:space="preserve">8.1. </w:t>
      </w:r>
      <w:r>
        <w:rPr>
          <w:rFonts w:hint="eastAsia" w:ascii="宋体" w:hAnsi="宋体" w:eastAsia="宋体" w:cs="宋体"/>
          <w:highlight w:val="none"/>
          <w:lang w:val="en-US" w:eastAsia="zh-CN"/>
        </w:rPr>
        <w:t>施工组织机构</w:t>
      </w:r>
      <w:r>
        <w:tab/>
      </w:r>
      <w:r>
        <w:fldChar w:fldCharType="begin"/>
      </w:r>
      <w:r>
        <w:instrText xml:space="preserve"> PAGEREF _Toc11483 \h </w:instrText>
      </w:r>
      <w:r>
        <w:fldChar w:fldCharType="separate"/>
      </w:r>
      <w:r>
        <w:t>95</w:t>
      </w:r>
      <w:r>
        <w:fldChar w:fldCharType="end"/>
      </w:r>
      <w:r>
        <w:rPr>
          <w:highlight w:val="none"/>
        </w:rPr>
        <w:fldChar w:fldCharType="end"/>
      </w:r>
    </w:p>
    <w:p w14:paraId="6CE623A2">
      <w:pPr>
        <w:pStyle w:val="25"/>
        <w:tabs>
          <w:tab w:val="right" w:leader="dot" w:pos="8306"/>
        </w:tabs>
      </w:pPr>
      <w:r>
        <w:rPr>
          <w:highlight w:val="none"/>
        </w:rPr>
        <w:fldChar w:fldCharType="begin"/>
      </w:r>
      <w:r>
        <w:rPr>
          <w:highlight w:val="none"/>
        </w:rPr>
        <w:instrText xml:space="preserve"> HYPERLINK \l _Toc5664 </w:instrText>
      </w:r>
      <w:r>
        <w:rPr>
          <w:highlight w:val="none"/>
        </w:rPr>
        <w:fldChar w:fldCharType="separate"/>
      </w:r>
      <w:r>
        <w:rPr>
          <w:rFonts w:hint="default" w:ascii="宋体" w:hAnsi="宋体" w:eastAsia="宋体" w:cs="宋体"/>
          <w:lang w:val="en-US" w:eastAsia="zh-CN"/>
        </w:rPr>
        <w:t xml:space="preserve">8.2. </w:t>
      </w:r>
      <w:r>
        <w:rPr>
          <w:rFonts w:hint="eastAsia" w:ascii="宋体" w:hAnsi="宋体" w:eastAsia="宋体" w:cs="宋体"/>
          <w:highlight w:val="none"/>
          <w:lang w:val="en-US" w:eastAsia="zh-CN"/>
        </w:rPr>
        <w:t>人员配置</w:t>
      </w:r>
      <w:r>
        <w:tab/>
      </w:r>
      <w:r>
        <w:fldChar w:fldCharType="begin"/>
      </w:r>
      <w:r>
        <w:instrText xml:space="preserve"> PAGEREF _Toc5664 \h </w:instrText>
      </w:r>
      <w:r>
        <w:fldChar w:fldCharType="separate"/>
      </w:r>
      <w:r>
        <w:t>95</w:t>
      </w:r>
      <w:r>
        <w:fldChar w:fldCharType="end"/>
      </w:r>
      <w:r>
        <w:rPr>
          <w:highlight w:val="none"/>
        </w:rPr>
        <w:fldChar w:fldCharType="end"/>
      </w:r>
    </w:p>
    <w:p w14:paraId="661CE2F7">
      <w:pPr>
        <w:pStyle w:val="24"/>
        <w:tabs>
          <w:tab w:val="right" w:leader="dot" w:pos="8306"/>
        </w:tabs>
      </w:pPr>
      <w:r>
        <w:rPr>
          <w:highlight w:val="none"/>
        </w:rPr>
        <w:fldChar w:fldCharType="begin"/>
      </w:r>
      <w:r>
        <w:rPr>
          <w:highlight w:val="none"/>
        </w:rPr>
        <w:instrText xml:space="preserve"> HYPERLINK \l _Toc23333 </w:instrText>
      </w:r>
      <w:r>
        <w:rPr>
          <w:highlight w:val="none"/>
        </w:rPr>
        <w:fldChar w:fldCharType="separate"/>
      </w:r>
      <w:r>
        <w:rPr>
          <w:rFonts w:hint="default"/>
          <w:lang w:val="en-US" w:eastAsia="zh-CN"/>
        </w:rPr>
        <w:t xml:space="preserve">9. </w:t>
      </w:r>
      <w:r>
        <w:rPr>
          <w:rFonts w:hint="eastAsia" w:ascii="Times New Roman" w:hAnsi="Times New Roman" w:cs="Times New Roman"/>
          <w:caps w:val="0"/>
          <w:smallCaps w:val="0"/>
          <w:kern w:val="44"/>
          <w:szCs w:val="22"/>
          <w:highlight w:val="none"/>
          <w:lang w:val="en-US" w:eastAsia="zh-CN" w:bidi="ar-SA"/>
        </w:rPr>
        <w:t>验收要求</w:t>
      </w:r>
      <w:r>
        <w:tab/>
      </w:r>
      <w:r>
        <w:fldChar w:fldCharType="begin"/>
      </w:r>
      <w:r>
        <w:instrText xml:space="preserve"> PAGEREF _Toc23333 \h </w:instrText>
      </w:r>
      <w:r>
        <w:fldChar w:fldCharType="separate"/>
      </w:r>
      <w:r>
        <w:t>98</w:t>
      </w:r>
      <w:r>
        <w:fldChar w:fldCharType="end"/>
      </w:r>
      <w:r>
        <w:rPr>
          <w:highlight w:val="none"/>
        </w:rPr>
        <w:fldChar w:fldCharType="end"/>
      </w:r>
    </w:p>
    <w:p w14:paraId="588C4CCE">
      <w:pPr>
        <w:pStyle w:val="25"/>
        <w:tabs>
          <w:tab w:val="right" w:leader="dot" w:pos="8306"/>
        </w:tabs>
      </w:pPr>
      <w:r>
        <w:rPr>
          <w:highlight w:val="none"/>
        </w:rPr>
        <w:fldChar w:fldCharType="begin"/>
      </w:r>
      <w:r>
        <w:rPr>
          <w:highlight w:val="none"/>
        </w:rPr>
        <w:instrText xml:space="preserve"> HYPERLINK \l _Toc24966 </w:instrText>
      </w:r>
      <w:r>
        <w:rPr>
          <w:highlight w:val="none"/>
        </w:rPr>
        <w:fldChar w:fldCharType="separate"/>
      </w:r>
      <w:r>
        <w:rPr>
          <w:rFonts w:hint="default"/>
        </w:rPr>
        <w:t xml:space="preserve">9.1. </w:t>
      </w:r>
      <w:r>
        <w:rPr>
          <w:rFonts w:hint="eastAsia"/>
          <w:lang w:val="en-US" w:eastAsia="zh-CN"/>
        </w:rPr>
        <w:t>验收标准</w:t>
      </w:r>
      <w:r>
        <w:tab/>
      </w:r>
      <w:r>
        <w:fldChar w:fldCharType="begin"/>
      </w:r>
      <w:r>
        <w:instrText xml:space="preserve"> PAGEREF _Toc24966 \h </w:instrText>
      </w:r>
      <w:r>
        <w:fldChar w:fldCharType="separate"/>
      </w:r>
      <w:r>
        <w:t>98</w:t>
      </w:r>
      <w:r>
        <w:fldChar w:fldCharType="end"/>
      </w:r>
      <w:r>
        <w:rPr>
          <w:highlight w:val="none"/>
        </w:rPr>
        <w:fldChar w:fldCharType="end"/>
      </w:r>
    </w:p>
    <w:p w14:paraId="35E82E6F">
      <w:pPr>
        <w:pStyle w:val="25"/>
        <w:tabs>
          <w:tab w:val="right" w:leader="dot" w:pos="8306"/>
        </w:tabs>
      </w:pPr>
      <w:r>
        <w:rPr>
          <w:highlight w:val="none"/>
        </w:rPr>
        <w:fldChar w:fldCharType="begin"/>
      </w:r>
      <w:r>
        <w:rPr>
          <w:highlight w:val="none"/>
        </w:rPr>
        <w:instrText xml:space="preserve"> HYPERLINK \l _Toc1603 </w:instrText>
      </w:r>
      <w:r>
        <w:rPr>
          <w:highlight w:val="none"/>
        </w:rPr>
        <w:fldChar w:fldCharType="separate"/>
      </w:r>
      <w:r>
        <w:rPr>
          <w:rFonts w:hint="default" w:ascii="宋体" w:hAnsi="宋体" w:eastAsia="宋体" w:cs="宋体"/>
          <w:lang w:val="en-US" w:eastAsia="zh-CN"/>
        </w:rPr>
        <w:t xml:space="preserve">9.2. </w:t>
      </w:r>
      <w:r>
        <w:rPr>
          <w:rFonts w:hint="eastAsia" w:ascii="宋体" w:hAnsi="宋体" w:eastAsia="宋体" w:cs="宋体"/>
          <w:highlight w:val="none"/>
          <w:lang w:val="en-US" w:eastAsia="zh-CN"/>
        </w:rPr>
        <w:t>验收程序</w:t>
      </w:r>
      <w:r>
        <w:tab/>
      </w:r>
      <w:r>
        <w:fldChar w:fldCharType="begin"/>
      </w:r>
      <w:r>
        <w:instrText xml:space="preserve"> PAGEREF _Toc1603 \h </w:instrText>
      </w:r>
      <w:r>
        <w:fldChar w:fldCharType="separate"/>
      </w:r>
      <w:r>
        <w:t>101</w:t>
      </w:r>
      <w:r>
        <w:fldChar w:fldCharType="end"/>
      </w:r>
      <w:r>
        <w:rPr>
          <w:highlight w:val="none"/>
        </w:rPr>
        <w:fldChar w:fldCharType="end"/>
      </w:r>
    </w:p>
    <w:p w14:paraId="247B07E0">
      <w:pPr>
        <w:pStyle w:val="25"/>
        <w:tabs>
          <w:tab w:val="right" w:leader="dot" w:pos="8306"/>
        </w:tabs>
      </w:pPr>
      <w:r>
        <w:rPr>
          <w:highlight w:val="none"/>
        </w:rPr>
        <w:fldChar w:fldCharType="begin"/>
      </w:r>
      <w:r>
        <w:rPr>
          <w:highlight w:val="none"/>
        </w:rPr>
        <w:instrText xml:space="preserve"> HYPERLINK \l _Toc2016 </w:instrText>
      </w:r>
      <w:r>
        <w:rPr>
          <w:highlight w:val="none"/>
        </w:rPr>
        <w:fldChar w:fldCharType="separate"/>
      </w:r>
      <w:r>
        <w:rPr>
          <w:rFonts w:hint="default" w:ascii="宋体" w:hAnsi="宋体" w:eastAsia="宋体" w:cs="宋体"/>
          <w:lang w:val="en-US" w:eastAsia="zh-CN"/>
        </w:rPr>
        <w:t xml:space="preserve">9.3. </w:t>
      </w:r>
      <w:r>
        <w:rPr>
          <w:rFonts w:hint="eastAsia" w:ascii="宋体" w:hAnsi="宋体" w:eastAsia="宋体" w:cs="宋体"/>
          <w:highlight w:val="none"/>
          <w:lang w:val="en-US" w:eastAsia="zh-CN"/>
        </w:rPr>
        <w:t>检查内容</w:t>
      </w:r>
      <w:r>
        <w:tab/>
      </w:r>
      <w:r>
        <w:fldChar w:fldCharType="begin"/>
      </w:r>
      <w:r>
        <w:instrText xml:space="preserve"> PAGEREF _Toc2016 \h </w:instrText>
      </w:r>
      <w:r>
        <w:fldChar w:fldCharType="separate"/>
      </w:r>
      <w:r>
        <w:t>102</w:t>
      </w:r>
      <w:r>
        <w:fldChar w:fldCharType="end"/>
      </w:r>
      <w:r>
        <w:rPr>
          <w:highlight w:val="none"/>
        </w:rPr>
        <w:fldChar w:fldCharType="end"/>
      </w:r>
    </w:p>
    <w:p w14:paraId="7041DAC1">
      <w:pPr>
        <w:pStyle w:val="25"/>
        <w:tabs>
          <w:tab w:val="right" w:leader="dot" w:pos="8306"/>
        </w:tabs>
      </w:pPr>
      <w:r>
        <w:rPr>
          <w:highlight w:val="none"/>
        </w:rPr>
        <w:fldChar w:fldCharType="begin"/>
      </w:r>
      <w:r>
        <w:rPr>
          <w:highlight w:val="none"/>
        </w:rPr>
        <w:instrText xml:space="preserve"> HYPERLINK \l _Toc11585 </w:instrText>
      </w:r>
      <w:r>
        <w:rPr>
          <w:highlight w:val="none"/>
        </w:rPr>
        <w:fldChar w:fldCharType="separate"/>
      </w:r>
      <w:r>
        <w:rPr>
          <w:rFonts w:hint="default" w:ascii="宋体" w:hAnsi="宋体" w:eastAsia="宋体" w:cs="宋体"/>
          <w:bCs/>
          <w:lang w:val="en-US" w:eastAsia="zh-CN"/>
        </w:rPr>
        <w:t xml:space="preserve">9.4. </w:t>
      </w:r>
      <w:r>
        <w:rPr>
          <w:rFonts w:hint="eastAsia" w:ascii="宋体" w:hAnsi="宋体" w:eastAsia="宋体" w:cs="宋体"/>
          <w:bCs/>
          <w:highlight w:val="none"/>
          <w:lang w:val="en-US" w:eastAsia="zh-CN"/>
        </w:rPr>
        <w:t>验收人员</w:t>
      </w:r>
      <w:r>
        <w:tab/>
      </w:r>
      <w:r>
        <w:fldChar w:fldCharType="begin"/>
      </w:r>
      <w:r>
        <w:instrText xml:space="preserve"> PAGEREF _Toc11585 \h </w:instrText>
      </w:r>
      <w:r>
        <w:fldChar w:fldCharType="separate"/>
      </w:r>
      <w:r>
        <w:t>105</w:t>
      </w:r>
      <w:r>
        <w:fldChar w:fldCharType="end"/>
      </w:r>
      <w:r>
        <w:rPr>
          <w:highlight w:val="none"/>
        </w:rPr>
        <w:fldChar w:fldCharType="end"/>
      </w:r>
    </w:p>
    <w:p w14:paraId="0B9ACFBF">
      <w:pPr>
        <w:pStyle w:val="24"/>
        <w:tabs>
          <w:tab w:val="right" w:leader="dot" w:pos="8306"/>
        </w:tabs>
      </w:pPr>
      <w:r>
        <w:rPr>
          <w:highlight w:val="none"/>
        </w:rPr>
        <w:fldChar w:fldCharType="begin"/>
      </w:r>
      <w:r>
        <w:rPr>
          <w:highlight w:val="none"/>
        </w:rPr>
        <w:instrText xml:space="preserve"> HYPERLINK \l _Toc4453 </w:instrText>
      </w:r>
      <w:r>
        <w:rPr>
          <w:highlight w:val="none"/>
        </w:rPr>
        <w:fldChar w:fldCharType="separate"/>
      </w:r>
      <w:r>
        <w:rPr>
          <w:rFonts w:hint="default" w:ascii="宋体" w:hAnsi="宋体" w:eastAsia="宋体" w:cs="Times New Roman"/>
          <w:lang w:val="en-US"/>
        </w:rPr>
        <w:t xml:space="preserve">10. </w:t>
      </w:r>
      <w:r>
        <w:rPr>
          <w:rFonts w:hint="eastAsia" w:ascii="宋体" w:hAnsi="宋体" w:eastAsia="宋体" w:cs="Times New Roman"/>
          <w:lang w:val="en-US" w:eastAsia="zh-CN"/>
        </w:rPr>
        <w:t>相关附件</w:t>
      </w:r>
      <w:r>
        <w:tab/>
      </w:r>
      <w:r>
        <w:fldChar w:fldCharType="begin"/>
      </w:r>
      <w:r>
        <w:instrText xml:space="preserve"> PAGEREF _Toc4453 \h </w:instrText>
      </w:r>
      <w:r>
        <w:fldChar w:fldCharType="separate"/>
      </w:r>
      <w:r>
        <w:t>106</w:t>
      </w:r>
      <w:r>
        <w:fldChar w:fldCharType="end"/>
      </w:r>
      <w:r>
        <w:rPr>
          <w:highlight w:val="none"/>
        </w:rPr>
        <w:fldChar w:fldCharType="end"/>
      </w:r>
    </w:p>
    <w:p w14:paraId="38DFED27">
      <w:pPr>
        <w:pStyle w:val="25"/>
        <w:tabs>
          <w:tab w:val="right" w:leader="dot" w:pos="8306"/>
        </w:tabs>
      </w:pPr>
      <w:r>
        <w:rPr>
          <w:highlight w:val="none"/>
        </w:rPr>
        <w:fldChar w:fldCharType="begin"/>
      </w:r>
      <w:r>
        <w:rPr>
          <w:highlight w:val="none"/>
        </w:rPr>
        <w:instrText xml:space="preserve"> HYPERLINK \l _Toc12114 </w:instrText>
      </w:r>
      <w:r>
        <w:rPr>
          <w:highlight w:val="none"/>
        </w:rPr>
        <w:fldChar w:fldCharType="separate"/>
      </w:r>
      <w:r>
        <w:rPr>
          <w:rFonts w:hint="eastAsia"/>
          <w:lang w:val="en-US" w:eastAsia="zh-CN"/>
        </w:rPr>
        <w:t>附件1：XGT7020-10S1塔机立面图</w:t>
      </w:r>
      <w:r>
        <w:tab/>
      </w:r>
      <w:r>
        <w:fldChar w:fldCharType="begin"/>
      </w:r>
      <w:r>
        <w:instrText xml:space="preserve"> PAGEREF _Toc12114 \h </w:instrText>
      </w:r>
      <w:r>
        <w:fldChar w:fldCharType="separate"/>
      </w:r>
      <w:r>
        <w:t>106</w:t>
      </w:r>
      <w:r>
        <w:fldChar w:fldCharType="end"/>
      </w:r>
      <w:r>
        <w:rPr>
          <w:highlight w:val="none"/>
        </w:rPr>
        <w:fldChar w:fldCharType="end"/>
      </w:r>
    </w:p>
    <w:p w14:paraId="368BAE60">
      <w:pPr>
        <w:pStyle w:val="25"/>
        <w:tabs>
          <w:tab w:val="right" w:leader="dot" w:pos="8306"/>
        </w:tabs>
      </w:pPr>
      <w:r>
        <w:rPr>
          <w:highlight w:val="none"/>
        </w:rPr>
        <w:fldChar w:fldCharType="begin"/>
      </w:r>
      <w:r>
        <w:rPr>
          <w:highlight w:val="none"/>
        </w:rPr>
        <w:instrText xml:space="preserve"> HYPERLINK \l _Toc24819 </w:instrText>
      </w:r>
      <w:r>
        <w:rPr>
          <w:highlight w:val="none"/>
        </w:rPr>
        <w:fldChar w:fldCharType="separate"/>
      </w:r>
      <w:r>
        <w:rPr>
          <w:rFonts w:hint="eastAsia"/>
          <w:lang w:val="en-US" w:eastAsia="zh-CN"/>
        </w:rPr>
        <w:t>附件2：XGT7020-10S1型塔机平面布置示意图</w:t>
      </w:r>
      <w:r>
        <w:tab/>
      </w:r>
      <w:r>
        <w:fldChar w:fldCharType="begin"/>
      </w:r>
      <w:r>
        <w:instrText xml:space="preserve"> PAGEREF _Toc24819 \h </w:instrText>
      </w:r>
      <w:r>
        <w:fldChar w:fldCharType="separate"/>
      </w:r>
      <w:r>
        <w:t>107</w:t>
      </w:r>
      <w:r>
        <w:fldChar w:fldCharType="end"/>
      </w:r>
      <w:r>
        <w:rPr>
          <w:highlight w:val="none"/>
        </w:rPr>
        <w:fldChar w:fldCharType="end"/>
      </w:r>
    </w:p>
    <w:p w14:paraId="507C66D6">
      <w:pPr>
        <w:pStyle w:val="25"/>
        <w:tabs>
          <w:tab w:val="right" w:leader="dot" w:pos="8306"/>
        </w:tabs>
      </w:pPr>
      <w:r>
        <w:rPr>
          <w:highlight w:val="none"/>
        </w:rPr>
        <w:fldChar w:fldCharType="begin"/>
      </w:r>
      <w:r>
        <w:rPr>
          <w:highlight w:val="none"/>
        </w:rPr>
        <w:instrText xml:space="preserve"> HYPERLINK \l _Toc10886 </w:instrText>
      </w:r>
      <w:r>
        <w:rPr>
          <w:highlight w:val="none"/>
        </w:rPr>
        <w:fldChar w:fldCharType="separate"/>
      </w:r>
      <w:r>
        <w:rPr>
          <w:rFonts w:hint="eastAsia"/>
          <w:lang w:val="en-US" w:eastAsia="zh-CN"/>
        </w:rPr>
        <w:t>附件3：相关人员、资质文件</w:t>
      </w:r>
      <w:r>
        <w:tab/>
      </w:r>
      <w:r>
        <w:fldChar w:fldCharType="begin"/>
      </w:r>
      <w:r>
        <w:instrText xml:space="preserve"> PAGEREF _Toc10886 \h </w:instrText>
      </w:r>
      <w:r>
        <w:fldChar w:fldCharType="separate"/>
      </w:r>
      <w:r>
        <w:t>108</w:t>
      </w:r>
      <w:r>
        <w:fldChar w:fldCharType="end"/>
      </w:r>
      <w:r>
        <w:rPr>
          <w:highlight w:val="none"/>
        </w:rPr>
        <w:fldChar w:fldCharType="end"/>
      </w:r>
    </w:p>
    <w:p w14:paraId="59FCD416">
      <w:pPr>
        <w:jc w:val="center"/>
        <w:rPr>
          <w:highlight w:val="none"/>
        </w:rPr>
      </w:pPr>
      <w:r>
        <w:rPr>
          <w:highlight w:val="none"/>
        </w:rPr>
        <w:fldChar w:fldCharType="end"/>
      </w:r>
    </w:p>
    <w:p w14:paraId="3DAA3756">
      <w:pPr>
        <w:rPr>
          <w:rFonts w:ascii="宋体" w:hAnsi="宋体" w:eastAsia="宋体"/>
          <w:b/>
          <w:bCs/>
          <w:sz w:val="28"/>
          <w:szCs w:val="32"/>
          <w:highlight w:val="none"/>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5D66614D">
      <w:pPr>
        <w:pStyle w:val="2"/>
        <w:bidi w:val="0"/>
        <w:ind w:left="432" w:leftChars="0" w:hanging="432" w:firstLineChars="0"/>
      </w:pPr>
      <w:bookmarkStart w:id="5" w:name="_Toc1014"/>
      <w:bookmarkStart w:id="6" w:name="_Toc15972"/>
      <w:bookmarkStart w:id="7" w:name="_Toc10409763"/>
      <w:bookmarkStart w:id="8" w:name="_Toc12526"/>
      <w:bookmarkStart w:id="9" w:name="_Toc3723"/>
      <w:bookmarkStart w:id="10" w:name="_Toc10409769"/>
      <w:r>
        <w:rPr>
          <w:rFonts w:hint="eastAsia"/>
        </w:rPr>
        <w:t>编制依据</w:t>
      </w:r>
      <w:bookmarkEnd w:id="5"/>
      <w:bookmarkEnd w:id="6"/>
      <w:bookmarkEnd w:id="7"/>
      <w:bookmarkEnd w:id="8"/>
      <w:bookmarkEnd w:id="9"/>
    </w:p>
    <w:p w14:paraId="40FA6556">
      <w:pPr>
        <w:pStyle w:val="3"/>
        <w:bidi w:val="0"/>
        <w:ind w:left="575" w:leftChars="0" w:hanging="575" w:firstLineChars="0"/>
        <w:rPr>
          <w:rFonts w:hint="eastAsia"/>
          <w:lang w:val="en-US" w:eastAsia="zh-CN"/>
        </w:rPr>
      </w:pPr>
      <w:bookmarkStart w:id="11" w:name="_Toc10409764"/>
      <w:bookmarkStart w:id="12" w:name="_Toc4543"/>
      <w:bookmarkStart w:id="13" w:name="_Toc10283"/>
      <w:r>
        <w:rPr>
          <w:rFonts w:hint="eastAsia"/>
        </w:rPr>
        <w:t xml:space="preserve"> </w:t>
      </w:r>
      <w:bookmarkStart w:id="14" w:name="_Toc6371"/>
      <w:bookmarkStart w:id="15" w:name="_Toc25307"/>
      <w:r>
        <w:rPr>
          <w:rFonts w:hint="eastAsia"/>
        </w:rPr>
        <w:t>编制</w:t>
      </w:r>
      <w:bookmarkEnd w:id="11"/>
      <w:r>
        <w:rPr>
          <w:rFonts w:hint="eastAsia"/>
          <w:lang w:val="en-US" w:eastAsia="zh-CN"/>
        </w:rPr>
        <w:t>说明</w:t>
      </w:r>
      <w:bookmarkEnd w:id="12"/>
      <w:bookmarkEnd w:id="13"/>
      <w:bookmarkEnd w:id="14"/>
      <w:bookmarkEnd w:id="15"/>
    </w:p>
    <w:p w14:paraId="3B2EA34F">
      <w:pPr>
        <w:bidi w:val="0"/>
        <w:ind w:firstLine="480" w:firstLineChars="200"/>
        <w:rPr>
          <w:highlight w:val="none"/>
        </w:rPr>
      </w:pPr>
      <w:r>
        <w:rPr>
          <w:rFonts w:hint="eastAsia"/>
          <w:highlight w:val="none"/>
        </w:rPr>
        <w:t>中交二航局桂林-恭城-贺州公路（桂林至钟山段）№7合同段项目需采用</w:t>
      </w:r>
      <w:r>
        <w:rPr>
          <w:rFonts w:hint="eastAsia"/>
          <w:highlight w:val="none"/>
          <w:lang w:val="en-US" w:eastAsia="zh-CN"/>
        </w:rPr>
        <w:t>XGT7020-10S1</w:t>
      </w:r>
      <w:r>
        <w:rPr>
          <w:highlight w:val="none"/>
        </w:rPr>
        <w:t>塔式起重机进行桥梁施工吊装作业，</w:t>
      </w:r>
      <w:r>
        <w:rPr>
          <w:rFonts w:hint="eastAsia"/>
          <w:highlight w:val="none"/>
          <w:lang w:val="en-US" w:eastAsia="zh-CN"/>
        </w:rPr>
        <w:t>现已完成需求，</w:t>
      </w:r>
      <w:r>
        <w:rPr>
          <w:highlight w:val="none"/>
        </w:rPr>
        <w:t>为认真、全面、系统地做好起重机的</w:t>
      </w:r>
      <w:r>
        <w:rPr>
          <w:rFonts w:hint="eastAsia"/>
          <w:highlight w:val="none"/>
          <w:lang w:val="en-US" w:eastAsia="zh-CN"/>
        </w:rPr>
        <w:t>拆除</w:t>
      </w:r>
      <w:r>
        <w:rPr>
          <w:highlight w:val="none"/>
        </w:rPr>
        <w:t>作业，确保过程质量和安全，合理安排施工工期，</w:t>
      </w:r>
      <w:r>
        <w:rPr>
          <w:rFonts w:hint="eastAsia"/>
          <w:highlight w:val="none"/>
          <w:lang w:eastAsia="zh-CN"/>
        </w:rPr>
        <w:t>四川科斗文智能装备有限公司</w:t>
      </w:r>
      <w:r>
        <w:rPr>
          <w:highlight w:val="none"/>
        </w:rPr>
        <w:t>受项目部委托</w:t>
      </w:r>
      <w:r>
        <w:rPr>
          <w:rFonts w:hint="eastAsia"/>
          <w:highlight w:val="none"/>
        </w:rPr>
        <w:t>特编制本塔式起重机</w:t>
      </w:r>
      <w:r>
        <w:rPr>
          <w:rFonts w:hint="eastAsia"/>
          <w:highlight w:val="none"/>
          <w:lang w:val="en-US" w:eastAsia="zh-CN"/>
        </w:rPr>
        <w:t>拆除</w:t>
      </w:r>
      <w:r>
        <w:rPr>
          <w:highlight w:val="none"/>
        </w:rPr>
        <w:t>专项施工方案。</w:t>
      </w:r>
    </w:p>
    <w:p w14:paraId="43173BD4">
      <w:pPr>
        <w:pStyle w:val="3"/>
        <w:bidi w:val="0"/>
        <w:ind w:left="575" w:leftChars="0" w:hanging="575" w:firstLineChars="0"/>
        <w:rPr>
          <w:rFonts w:hint="default"/>
          <w:lang w:val="en-US" w:eastAsia="zh-CN"/>
        </w:rPr>
      </w:pPr>
      <w:bookmarkStart w:id="16" w:name="_Toc10409765"/>
      <w:bookmarkStart w:id="17" w:name="_Toc934"/>
      <w:bookmarkStart w:id="18" w:name="_Toc7022"/>
      <w:r>
        <w:rPr>
          <w:rFonts w:hint="eastAsia"/>
        </w:rPr>
        <w:t xml:space="preserve"> </w:t>
      </w:r>
      <w:bookmarkEnd w:id="16"/>
      <w:bookmarkStart w:id="19" w:name="_Toc10765"/>
      <w:bookmarkStart w:id="20" w:name="_Toc16998"/>
      <w:r>
        <w:rPr>
          <w:rFonts w:hint="eastAsia"/>
          <w:lang w:val="en-US" w:eastAsia="zh-CN"/>
        </w:rPr>
        <w:t>引用文件</w:t>
      </w:r>
      <w:bookmarkEnd w:id="17"/>
      <w:bookmarkEnd w:id="18"/>
      <w:bookmarkEnd w:id="19"/>
      <w:bookmarkEnd w:id="20"/>
    </w:p>
    <w:p w14:paraId="192ACC68">
      <w:pPr>
        <w:pStyle w:val="4"/>
        <w:bidi w:val="0"/>
        <w:ind w:left="720" w:leftChars="0" w:hanging="720" w:firstLineChars="0"/>
        <w:rPr>
          <w:b/>
          <w:bCs/>
        </w:rPr>
      </w:pPr>
      <w:bookmarkStart w:id="21" w:name="_Toc6806"/>
      <w:bookmarkStart w:id="22" w:name="_Hlk42526096"/>
      <w:r>
        <w:rPr>
          <w:rFonts w:hint="eastAsia"/>
          <w:b/>
          <w:bCs/>
        </w:rPr>
        <w:t>主要法律法规</w:t>
      </w:r>
    </w:p>
    <w:p w14:paraId="350CC49F">
      <w:pPr>
        <w:pStyle w:val="49"/>
        <w:numPr>
          <w:ilvl w:val="0"/>
          <w:numId w:val="5"/>
        </w:numPr>
        <w:ind w:firstLineChars="0"/>
        <w:rPr>
          <w:rFonts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w:t>
      </w:r>
      <w:r>
        <w:rPr>
          <w:rFonts w:ascii="宋体" w:hAnsi="宋体" w:eastAsia="宋体" w:cs="Times New Roman"/>
          <w:color w:val="auto"/>
          <w:kern w:val="2"/>
          <w:sz w:val="24"/>
          <w:szCs w:val="22"/>
          <w:highlight w:val="none"/>
          <w:lang w:val="en-US" w:eastAsia="zh-CN" w:bidi="ar-SA"/>
        </w:rPr>
        <w:t>中华人民共和国特种设备安全法</w:t>
      </w:r>
      <w:r>
        <w:rPr>
          <w:rFonts w:hint="eastAsia" w:ascii="宋体" w:hAnsi="宋体" w:eastAsia="宋体" w:cs="Times New Roman"/>
          <w:color w:val="auto"/>
          <w:kern w:val="2"/>
          <w:sz w:val="24"/>
          <w:szCs w:val="22"/>
          <w:highlight w:val="none"/>
          <w:lang w:val="en-US" w:eastAsia="zh-CN" w:bidi="ar-SA"/>
        </w:rPr>
        <w:t>》（中华人民共和国主席令第</w:t>
      </w:r>
      <w:r>
        <w:rPr>
          <w:rFonts w:ascii="宋体" w:hAnsi="宋体" w:eastAsia="宋体" w:cs="Times New Roman"/>
          <w:color w:val="auto"/>
          <w:kern w:val="2"/>
          <w:sz w:val="24"/>
          <w:szCs w:val="22"/>
          <w:highlight w:val="none"/>
          <w:lang w:val="en-US" w:eastAsia="zh-CN" w:bidi="ar-SA"/>
        </w:rPr>
        <w:t>4</w:t>
      </w:r>
      <w:r>
        <w:rPr>
          <w:rFonts w:hint="eastAsia" w:ascii="宋体" w:hAnsi="宋体" w:eastAsia="宋体" w:cs="Times New Roman"/>
          <w:color w:val="auto"/>
          <w:kern w:val="2"/>
          <w:sz w:val="24"/>
          <w:szCs w:val="22"/>
          <w:highlight w:val="none"/>
          <w:lang w:val="en-US" w:eastAsia="zh-CN" w:bidi="ar-SA"/>
        </w:rPr>
        <w:t>号）</w:t>
      </w:r>
    </w:p>
    <w:p w14:paraId="4776883D">
      <w:pPr>
        <w:pStyle w:val="49"/>
        <w:numPr>
          <w:ilvl w:val="0"/>
          <w:numId w:val="5"/>
        </w:numPr>
        <w:ind w:firstLineChars="0"/>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《中华人民共和国安全生产法》（中华人民共和国主席令第88号）</w:t>
      </w:r>
    </w:p>
    <w:p w14:paraId="4F5BA8EB">
      <w:pPr>
        <w:pStyle w:val="49"/>
        <w:numPr>
          <w:ilvl w:val="0"/>
          <w:numId w:val="5"/>
        </w:numPr>
        <w:ind w:firstLineChars="0"/>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《特种设备安全监察条例》（国务院令第549号）</w:t>
      </w:r>
    </w:p>
    <w:p w14:paraId="7691DF19">
      <w:pPr>
        <w:pStyle w:val="49"/>
        <w:numPr>
          <w:ilvl w:val="0"/>
          <w:numId w:val="5"/>
        </w:numPr>
        <w:ind w:firstLineChars="0"/>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《起重机械安全监察规定》（质监总局令第92号）</w:t>
      </w:r>
    </w:p>
    <w:p w14:paraId="42988A1D">
      <w:pPr>
        <w:pStyle w:val="49"/>
        <w:numPr>
          <w:ilvl w:val="0"/>
          <w:numId w:val="5"/>
        </w:numPr>
        <w:ind w:firstLineChars="0"/>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《特种设备作业人员监督管理办法》（质监总局令第140号）</w:t>
      </w:r>
    </w:p>
    <w:p w14:paraId="74DA5BF9">
      <w:pPr>
        <w:pStyle w:val="4"/>
        <w:bidi w:val="0"/>
        <w:ind w:left="720" w:leftChars="0" w:hanging="720" w:firstLineChars="0"/>
        <w:rPr>
          <w:b/>
          <w:bCs/>
        </w:rPr>
      </w:pPr>
      <w:r>
        <w:rPr>
          <w:rFonts w:hint="eastAsia"/>
          <w:b/>
          <w:bCs/>
        </w:rPr>
        <w:t>主要规范、规程</w:t>
      </w:r>
    </w:p>
    <w:p w14:paraId="37715E12">
      <w:pPr>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900" w:leftChars="0" w:hanging="420" w:firstLineChars="0"/>
        <w:textAlignment w:val="auto"/>
        <w:rPr>
          <w:rFonts w:hint="eastAsia" w:ascii="宋体" w:hAnsi="宋体" w:eastAsia="宋体" w:cs="宋体"/>
          <w:color w:val="auto"/>
          <w:highlight w:val="none"/>
        </w:rPr>
      </w:pPr>
      <w:r>
        <w:rPr>
          <w:rFonts w:hint="eastAsia" w:ascii="宋体" w:hAnsi="宋体" w:eastAsia="宋体" w:cs="宋体"/>
          <w:color w:val="auto"/>
          <w:kern w:val="2"/>
          <w:sz w:val="24"/>
          <w:szCs w:val="22"/>
          <w:highlight w:val="none"/>
          <w:lang w:val="en-US" w:eastAsia="zh-CN" w:bidi="ar-SA"/>
        </w:rPr>
        <w:t>6)</w:t>
      </w:r>
      <w:r>
        <w:rPr>
          <w:rFonts w:hint="eastAsia" w:ascii="宋体" w:hAnsi="宋体" w:eastAsia="宋体" w:cs="宋体"/>
          <w:color w:val="auto"/>
          <w:highlight w:val="none"/>
        </w:rPr>
        <w:t>《塔式起重机安全规程》（GB 5144-20</w:t>
      </w:r>
      <w:r>
        <w:rPr>
          <w:rFonts w:hint="eastAsia" w:ascii="宋体" w:hAnsi="宋体" w:eastAsia="宋体" w:cs="宋体"/>
          <w:color w:val="auto"/>
          <w:highlight w:val="none"/>
          <w:lang w:val="en-US" w:eastAsia="zh-CN"/>
        </w:rPr>
        <w:t>06</w:t>
      </w:r>
      <w:r>
        <w:rPr>
          <w:rFonts w:hint="eastAsia" w:ascii="宋体" w:hAnsi="宋体" w:eastAsia="宋体" w:cs="宋体"/>
          <w:color w:val="auto"/>
          <w:highlight w:val="none"/>
        </w:rPr>
        <w:t>）</w:t>
      </w:r>
    </w:p>
    <w:p w14:paraId="32C5B797">
      <w:pPr>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900" w:leftChars="0" w:hanging="420" w:firstLineChars="0"/>
        <w:textAlignment w:val="auto"/>
        <w:rPr>
          <w:rFonts w:hint="eastAsia" w:ascii="宋体" w:hAnsi="宋体" w:eastAsia="宋体" w:cs="宋体"/>
          <w:color w:val="auto"/>
          <w:highlight w:val="none"/>
        </w:rPr>
      </w:pPr>
      <w:r>
        <w:rPr>
          <w:rFonts w:hint="eastAsia" w:ascii="宋体" w:hAnsi="宋体" w:eastAsia="宋体" w:cs="宋体"/>
          <w:color w:val="auto"/>
          <w:kern w:val="2"/>
          <w:sz w:val="24"/>
          <w:szCs w:val="22"/>
          <w:highlight w:val="none"/>
          <w:lang w:val="en-US" w:eastAsia="zh-CN" w:bidi="ar-SA"/>
        </w:rPr>
        <w:t>7)</w:t>
      </w:r>
      <w:r>
        <w:rPr>
          <w:rFonts w:hint="eastAsia" w:ascii="宋体" w:hAnsi="宋体" w:eastAsia="宋体" w:cs="宋体"/>
          <w:color w:val="auto"/>
          <w:highlight w:val="none"/>
        </w:rPr>
        <w:t>《重要用途钢丝绳》（GB 8918-2006）</w:t>
      </w:r>
    </w:p>
    <w:p w14:paraId="0AB9930C">
      <w:pPr>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900" w:leftChars="0" w:hanging="420" w:firstLineChars="0"/>
        <w:textAlignment w:val="auto"/>
        <w:rPr>
          <w:rFonts w:hint="eastAsia" w:ascii="宋体" w:hAnsi="宋体" w:eastAsia="宋体" w:cs="宋体"/>
          <w:color w:val="auto"/>
          <w:highlight w:val="none"/>
        </w:rPr>
      </w:pPr>
      <w:r>
        <w:rPr>
          <w:rFonts w:hint="eastAsia" w:ascii="宋体" w:hAnsi="宋体" w:eastAsia="宋体" w:cs="宋体"/>
          <w:color w:val="auto"/>
          <w:kern w:val="2"/>
          <w:sz w:val="24"/>
          <w:szCs w:val="22"/>
          <w:highlight w:val="none"/>
          <w:lang w:val="en-US" w:eastAsia="zh-CN" w:bidi="ar-SA"/>
        </w:rPr>
        <w:t>8)</w:t>
      </w:r>
      <w:r>
        <w:rPr>
          <w:rFonts w:hint="eastAsia" w:ascii="宋体" w:hAnsi="宋体" w:eastAsia="宋体" w:cs="宋体"/>
          <w:color w:val="auto"/>
          <w:highlight w:val="none"/>
        </w:rPr>
        <w:t>《起重设备</w:t>
      </w:r>
      <w:bookmarkStart w:id="329" w:name="_GoBack"/>
      <w:r>
        <w:rPr>
          <w:rFonts w:hint="eastAsia" w:ascii="宋体" w:hAnsi="宋体" w:eastAsia="宋体" w:cs="宋体"/>
          <w:color w:val="auto"/>
          <w:highlight w:val="none"/>
        </w:rPr>
        <w:t>安装</w:t>
      </w:r>
      <w:bookmarkEnd w:id="329"/>
      <w:r>
        <w:rPr>
          <w:rFonts w:hint="eastAsia" w:ascii="宋体" w:hAnsi="宋体" w:eastAsia="宋体" w:cs="宋体"/>
          <w:color w:val="auto"/>
          <w:highlight w:val="none"/>
        </w:rPr>
        <w:t>工程施工及验收规范》（GB 50278-2010）</w:t>
      </w:r>
    </w:p>
    <w:p w14:paraId="7733950B">
      <w:pPr>
        <w:keepNext w:val="0"/>
        <w:keepLines w:val="0"/>
        <w:pageBreakBefore w:val="0"/>
        <w:widowControl w:val="0"/>
        <w:numPr>
          <w:ilvl w:val="0"/>
          <w:numId w:val="0"/>
        </w:numPr>
        <w:shd w:val="clear"/>
        <w:kinsoku/>
        <w:wordWrap/>
        <w:overflowPunct/>
        <w:topLinePunct w:val="0"/>
        <w:autoSpaceDE/>
        <w:autoSpaceDN/>
        <w:bidi w:val="0"/>
        <w:adjustRightInd/>
        <w:snapToGrid w:val="0"/>
        <w:spacing w:line="360" w:lineRule="auto"/>
        <w:ind w:left="900" w:leftChars="0" w:hanging="420" w:firstLineChars="0"/>
        <w:textAlignment w:val="auto"/>
        <w:rPr>
          <w:rFonts w:hint="eastAsia" w:ascii="宋体" w:hAnsi="宋体" w:eastAsia="宋体" w:cs="宋体"/>
          <w:color w:val="auto"/>
          <w:highlight w:val="none"/>
        </w:rPr>
      </w:pPr>
      <w:r>
        <w:rPr>
          <w:rFonts w:hint="eastAsia" w:ascii="宋体" w:hAnsi="宋体" w:eastAsia="宋体" w:cs="宋体"/>
          <w:color w:val="auto"/>
          <w:kern w:val="2"/>
          <w:sz w:val="24"/>
          <w:szCs w:val="22"/>
          <w:highlight w:val="none"/>
          <w:lang w:val="en-US" w:eastAsia="zh-CN" w:bidi="ar-SA"/>
        </w:rPr>
        <w:t>9)</w:t>
      </w:r>
      <w:r>
        <w:rPr>
          <w:rFonts w:hint="eastAsia" w:ascii="宋体" w:hAnsi="宋体" w:eastAsia="宋体" w:cs="宋体"/>
          <w:color w:val="auto"/>
          <w:highlight w:val="none"/>
        </w:rPr>
        <w:t>《起重机 安全使用 第3部分：塔式起重机》（GB/T 23723.3-2010）</w:t>
      </w:r>
    </w:p>
    <w:p w14:paraId="740C2655">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kern w:val="2"/>
          <w:sz w:val="24"/>
          <w:szCs w:val="22"/>
          <w:highlight w:val="none"/>
          <w:lang w:val="en-US" w:eastAsia="zh-CN" w:bidi="ar-SA"/>
        </w:rPr>
        <w:t>10)</w:t>
      </w:r>
      <w:r>
        <w:rPr>
          <w:rFonts w:hint="eastAsia" w:ascii="宋体" w:hAnsi="宋体" w:eastAsia="宋体" w:cs="宋体"/>
          <w:color w:val="auto"/>
          <w:highlight w:val="none"/>
        </w:rPr>
        <w:t>《塔式起重机》（GB/T 5031-2019）</w:t>
      </w:r>
    </w:p>
    <w:p w14:paraId="17FC9DD1">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《塔式起重机 安装、拆卸与爬升规则》（GB</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T 26471-2023）</w:t>
      </w:r>
    </w:p>
    <w:p w14:paraId="05CB3B08">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《塔式起重机设计规范》（GB/T 13752-2017）</w:t>
      </w:r>
    </w:p>
    <w:p w14:paraId="5B980AF0">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13)</w:t>
      </w:r>
      <w:r>
        <w:rPr>
          <w:rFonts w:hint="eastAsia" w:ascii="宋体" w:hAnsi="宋体" w:eastAsia="宋体" w:cs="宋体"/>
          <w:color w:val="auto"/>
          <w:highlight w:val="none"/>
        </w:rPr>
        <w:t>《起重机械</w:t>
      </w:r>
      <w:r>
        <w:rPr>
          <w:rFonts w:hint="eastAsia" w:ascii="宋体" w:hAnsi="宋体" w:eastAsia="宋体" w:cs="宋体"/>
          <w:color w:val="auto"/>
          <w:highlight w:val="none"/>
          <w:lang w:val="en-US" w:eastAsia="zh-CN"/>
        </w:rPr>
        <w:t>安全技术规程</w:t>
      </w:r>
      <w:r>
        <w:rPr>
          <w:rFonts w:hint="eastAsia" w:ascii="宋体" w:hAnsi="宋体" w:eastAsia="宋体" w:cs="宋体"/>
          <w:color w:val="auto"/>
          <w:highlight w:val="none"/>
        </w:rPr>
        <w:t xml:space="preserve">》（TSG </w:t>
      </w:r>
      <w:r>
        <w:rPr>
          <w:rFonts w:hint="eastAsia" w:ascii="宋体" w:hAnsi="宋体" w:eastAsia="宋体" w:cs="宋体"/>
          <w:color w:val="auto"/>
          <w:highlight w:val="none"/>
          <w:lang w:val="en-US" w:eastAsia="zh-CN"/>
        </w:rPr>
        <w:t>51-2023</w:t>
      </w:r>
      <w:r>
        <w:rPr>
          <w:rFonts w:hint="eastAsia" w:ascii="宋体" w:hAnsi="宋体" w:eastAsia="宋体" w:cs="宋体"/>
          <w:color w:val="auto"/>
          <w:highlight w:val="none"/>
        </w:rPr>
        <w:t>）</w:t>
      </w:r>
    </w:p>
    <w:p w14:paraId="5703E931">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《建设工程施工重大危险源辨识与监控技术规程》DBJ/T13-91-2017</w:t>
      </w:r>
    </w:p>
    <w:p w14:paraId="4163D94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900" w:leftChars="0" w:hanging="420" w:firstLineChars="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《焊缝无损检测 超声检测 技术、检测等级和评定》GB/T11345－20</w:t>
      </w:r>
      <w:r>
        <w:rPr>
          <w:rFonts w:hint="eastAsia" w:ascii="宋体" w:hAnsi="宋体" w:eastAsia="宋体" w:cs="宋体"/>
          <w:color w:val="auto"/>
          <w:highlight w:val="none"/>
          <w:lang w:val="en-US" w:eastAsia="zh-CN"/>
        </w:rPr>
        <w:t>23</w:t>
      </w:r>
    </w:p>
    <w:p w14:paraId="53923874">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16)</w:t>
      </w:r>
      <w:r>
        <w:rPr>
          <w:rFonts w:hint="eastAsia" w:ascii="宋体" w:hAnsi="宋体" w:eastAsia="宋体" w:cs="宋体"/>
          <w:color w:val="auto"/>
          <w:highlight w:val="none"/>
        </w:rPr>
        <w:t>《电气装置安装工程起重机电气装置施工及验收规范》GB5</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256-2014</w:t>
      </w:r>
    </w:p>
    <w:p w14:paraId="52CE3D30">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highlight w:val="none"/>
          <w:lang w:val="en-US" w:eastAsia="zh-CN"/>
        </w:rPr>
        <w:sectPr>
          <w:head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宋体" w:hAnsi="宋体" w:eastAsia="宋体" w:cs="宋体"/>
          <w:color w:val="auto"/>
          <w:highlight w:val="none"/>
          <w:lang w:val="en-US" w:eastAsia="zh-CN"/>
        </w:rPr>
        <w:t>17)</w:t>
      </w:r>
      <w:r>
        <w:rPr>
          <w:rFonts w:hint="eastAsia" w:ascii="宋体" w:hAnsi="宋体" w:eastAsia="宋体" w:cs="宋体"/>
          <w:color w:val="auto"/>
          <w:highlight w:val="none"/>
        </w:rPr>
        <w:t>《危险性较大的分部分项工程安全管理规定》住房城乡建设部令第3</w:t>
      </w:r>
      <w:r>
        <w:rPr>
          <w:rFonts w:hint="eastAsia" w:ascii="宋体" w:hAnsi="宋体" w:eastAsia="宋体" w:cs="宋体"/>
          <w:color w:val="auto"/>
          <w:highlight w:val="none"/>
          <w:lang w:val="en-US" w:eastAsia="zh-CN"/>
        </w:rPr>
        <w:t>7</w:t>
      </w:r>
    </w:p>
    <w:p w14:paraId="3EC2AFA0">
      <w:pPr>
        <w:keepNext w:val="0"/>
        <w:keepLines w:val="0"/>
        <w:pageBreakBefore w:val="0"/>
        <w:widowControl w:val="0"/>
        <w:shd w:val="clear"/>
        <w:kinsoku/>
        <w:wordWrap/>
        <w:overflowPunct/>
        <w:topLinePunct w:val="0"/>
        <w:autoSpaceDE/>
        <w:autoSpaceDN/>
        <w:bidi w:val="0"/>
        <w:adjustRightInd/>
        <w:snapToGrid w:val="0"/>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号</w:t>
      </w:r>
    </w:p>
    <w:p w14:paraId="2E0DE601">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18)</w:t>
      </w:r>
      <w:r>
        <w:rPr>
          <w:rFonts w:hint="eastAsia" w:ascii="宋体" w:hAnsi="宋体" w:eastAsia="宋体" w:cs="宋体"/>
          <w:color w:val="auto"/>
          <w:highlight w:val="none"/>
        </w:rPr>
        <w:t>《住房城乡建设部办公厅关于实施&lt;危险性较大分部分项工程安全管理规定&gt;有关问题的通知》建办质[2018]31号文件</w:t>
      </w:r>
    </w:p>
    <w:p w14:paraId="46552136">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19）</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公路水运工程临时用电技术规程</w:t>
      </w:r>
      <w:r>
        <w:rPr>
          <w:rFonts w:hint="eastAsia" w:ascii="宋体" w:hAnsi="宋体" w:eastAsia="宋体" w:cs="宋体"/>
          <w:color w:val="auto"/>
          <w:highlight w:val="none"/>
        </w:rPr>
        <w:t>》（JGJ46-20</w:t>
      </w:r>
      <w:r>
        <w:rPr>
          <w:rFonts w:hint="eastAsia" w:ascii="宋体" w:hAnsi="宋体" w:eastAsia="宋体" w:cs="宋体"/>
          <w:color w:val="auto"/>
          <w:highlight w:val="none"/>
          <w:lang w:val="en-US" w:eastAsia="zh-CN"/>
        </w:rPr>
        <w:t>24</w:t>
      </w:r>
      <w:r>
        <w:rPr>
          <w:rFonts w:hint="eastAsia" w:ascii="宋体" w:hAnsi="宋体" w:eastAsia="宋体" w:cs="宋体"/>
          <w:color w:val="auto"/>
          <w:highlight w:val="none"/>
        </w:rPr>
        <w:t>）</w:t>
      </w:r>
    </w:p>
    <w:p w14:paraId="22C9707E">
      <w:pPr>
        <w:pStyle w:val="4"/>
        <w:bidi w:val="0"/>
        <w:ind w:left="720" w:leftChars="0" w:hanging="720" w:firstLineChars="0"/>
        <w:rPr>
          <w:b/>
          <w:bCs/>
        </w:rPr>
      </w:pPr>
      <w:r>
        <w:rPr>
          <w:rFonts w:hint="eastAsia"/>
          <w:b/>
          <w:bCs/>
        </w:rPr>
        <w:t>其他</w:t>
      </w:r>
    </w:p>
    <w:p w14:paraId="5D710185">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20)中交二航局桂林-恭城-贺州公路（桂林至钟山段）№7合同段施工组织设计</w:t>
      </w:r>
    </w:p>
    <w:p w14:paraId="78C04412">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21)桂林-恭城-贺州公路（桂林至钟山段）№7合同段施工图</w:t>
      </w:r>
    </w:p>
    <w:p w14:paraId="2B9DC0C2">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22)桂林-恭城-贺州公路（桂林至钟山段）№7合同段高墩身专项施工方案</w:t>
      </w:r>
    </w:p>
    <w:p w14:paraId="12F7A3FC">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23)桂林-恭城-贺州公路（桂林至钟山段）№7合同段桥梁工程施工安全专项风险评估报告</w:t>
      </w:r>
    </w:p>
    <w:p w14:paraId="6EAAE832">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24)桂林-恭城-贺州公路（桂林至钟山段）№7合同段专项应急预案、现场处置方案</w:t>
      </w:r>
    </w:p>
    <w:p w14:paraId="6DCCA127">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25) XGT7020-10S1塔式起重机安装手册</w:t>
      </w:r>
    </w:p>
    <w:p w14:paraId="22DBBEBB">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26）中交二航局第四工程有限公司装备分公司起重机常用标准汇编(上册)</w:t>
      </w:r>
    </w:p>
    <w:p w14:paraId="5DD872F5">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Times New Roman"/>
          <w:color w:val="auto"/>
          <w:highlight w:val="none"/>
          <w:lang w:val="en-US" w:eastAsia="zh-CN"/>
        </w:rPr>
      </w:pPr>
      <w:r>
        <w:rPr>
          <w:rFonts w:hint="eastAsia"/>
          <w:color w:val="auto"/>
          <w:highlight w:val="none"/>
          <w:lang w:val="en-US" w:eastAsia="zh-CN"/>
        </w:rPr>
        <w:t>27）中交二航局第四工程有限公司装备分公司起重机常用标准汇编(下册)</w:t>
      </w:r>
    </w:p>
    <w:bookmarkEnd w:id="21"/>
    <w:bookmarkEnd w:id="22"/>
    <w:p w14:paraId="3CE8DC3F">
      <w:pPr>
        <w:pStyle w:val="3"/>
        <w:bidi w:val="0"/>
        <w:ind w:left="575" w:leftChars="0" w:hanging="575" w:firstLineChars="0"/>
      </w:pPr>
      <w:bookmarkStart w:id="23" w:name="_Toc20926"/>
      <w:bookmarkStart w:id="24" w:name="_Toc10409766"/>
      <w:bookmarkStart w:id="25" w:name="_Toc2530"/>
      <w:r>
        <w:rPr>
          <w:rFonts w:hint="eastAsia"/>
        </w:rPr>
        <w:t xml:space="preserve"> </w:t>
      </w:r>
      <w:bookmarkStart w:id="26" w:name="_Toc24812"/>
      <w:bookmarkStart w:id="27" w:name="_Toc6915"/>
      <w:r>
        <w:rPr>
          <w:rFonts w:hint="eastAsia"/>
        </w:rPr>
        <w:t>编制原则</w:t>
      </w:r>
      <w:bookmarkEnd w:id="23"/>
      <w:bookmarkEnd w:id="24"/>
      <w:bookmarkEnd w:id="25"/>
      <w:bookmarkEnd w:id="26"/>
      <w:bookmarkEnd w:id="27"/>
    </w:p>
    <w:p w14:paraId="060AC864">
      <w:pPr>
        <w:keepNext w:val="0"/>
        <w:keepLines w:val="0"/>
        <w:pageBreakBefore w:val="0"/>
        <w:widowControl w:val="0"/>
        <w:kinsoku/>
        <w:wordWrap/>
        <w:overflowPunct/>
        <w:topLinePunct w:val="0"/>
        <w:autoSpaceDE/>
        <w:autoSpaceDN/>
        <w:bidi w:val="0"/>
        <w:adjustRightInd/>
        <w:snapToGrid/>
        <w:ind w:firstLine="480" w:firstLineChars="200"/>
        <w:textAlignment w:val="auto"/>
        <w:rPr>
          <w:highlight w:val="none"/>
        </w:rPr>
      </w:pPr>
      <w:r>
        <w:rPr>
          <w:highlight w:val="none"/>
        </w:rPr>
        <w:t>1）严格贯彻“安全第一”的原则，针对风险细化安全技术措施，预防和杜绝安全事故的发生；</w:t>
      </w:r>
    </w:p>
    <w:p w14:paraId="7C61FC7A">
      <w:pPr>
        <w:keepNext w:val="0"/>
        <w:keepLines w:val="0"/>
        <w:pageBreakBefore w:val="0"/>
        <w:widowControl w:val="0"/>
        <w:kinsoku/>
        <w:wordWrap/>
        <w:overflowPunct/>
        <w:topLinePunct w:val="0"/>
        <w:autoSpaceDE/>
        <w:autoSpaceDN/>
        <w:bidi w:val="0"/>
        <w:adjustRightInd/>
        <w:snapToGrid/>
        <w:ind w:firstLine="480" w:firstLineChars="200"/>
        <w:textAlignment w:val="auto"/>
        <w:rPr>
          <w:highlight w:val="none"/>
        </w:rPr>
      </w:pPr>
      <w:r>
        <w:rPr>
          <w:highlight w:val="none"/>
        </w:rPr>
        <w:t>2）严格按照ISO9001标准质量体系质量程序控制原则，实施</w:t>
      </w:r>
      <w:r>
        <w:rPr>
          <w:rFonts w:hint="eastAsia"/>
          <w:highlight w:val="none"/>
          <w:lang w:val="en-US" w:eastAsia="zh-CN"/>
        </w:rPr>
        <w:t>拆除</w:t>
      </w:r>
      <w:r>
        <w:rPr>
          <w:highlight w:val="none"/>
        </w:rPr>
        <w:t>过程动态管理；</w:t>
      </w:r>
    </w:p>
    <w:p w14:paraId="63B113E2">
      <w:pPr>
        <w:keepNext w:val="0"/>
        <w:keepLines w:val="0"/>
        <w:pageBreakBefore w:val="0"/>
        <w:widowControl w:val="0"/>
        <w:kinsoku/>
        <w:wordWrap/>
        <w:overflowPunct/>
        <w:topLinePunct w:val="0"/>
        <w:autoSpaceDE/>
        <w:autoSpaceDN/>
        <w:bidi w:val="0"/>
        <w:adjustRightInd/>
        <w:snapToGrid/>
        <w:ind w:firstLine="480" w:firstLineChars="200"/>
        <w:textAlignment w:val="auto"/>
        <w:rPr>
          <w:highlight w:val="none"/>
        </w:rPr>
      </w:pPr>
      <w:r>
        <w:rPr>
          <w:highlight w:val="none"/>
        </w:rPr>
        <w:t>3）科学合理制定</w:t>
      </w:r>
      <w:r>
        <w:rPr>
          <w:rFonts w:hint="eastAsia"/>
          <w:highlight w:val="none"/>
          <w:lang w:val="en-US" w:eastAsia="zh-CN"/>
        </w:rPr>
        <w:t>拆除</w:t>
      </w:r>
      <w:r>
        <w:rPr>
          <w:highlight w:val="none"/>
        </w:rPr>
        <w:t>计划，提高</w:t>
      </w:r>
      <w:r>
        <w:rPr>
          <w:rFonts w:hint="eastAsia"/>
          <w:highlight w:val="none"/>
          <w:lang w:val="en-US" w:eastAsia="zh-CN"/>
        </w:rPr>
        <w:t>拆除</w:t>
      </w:r>
      <w:r>
        <w:rPr>
          <w:highlight w:val="none"/>
        </w:rPr>
        <w:t>功效；</w:t>
      </w:r>
    </w:p>
    <w:p w14:paraId="22387B69">
      <w:pPr>
        <w:keepNext w:val="0"/>
        <w:keepLines w:val="0"/>
        <w:pageBreakBefore w:val="0"/>
        <w:widowControl w:val="0"/>
        <w:kinsoku/>
        <w:wordWrap/>
        <w:overflowPunct/>
        <w:topLinePunct w:val="0"/>
        <w:autoSpaceDE/>
        <w:autoSpaceDN/>
        <w:bidi w:val="0"/>
        <w:adjustRightInd/>
        <w:snapToGrid/>
        <w:ind w:firstLine="480" w:firstLineChars="200"/>
        <w:textAlignment w:val="auto"/>
        <w:rPr>
          <w:highlight w:val="none"/>
        </w:rPr>
      </w:pPr>
      <w:r>
        <w:rPr>
          <w:rFonts w:hint="eastAsia"/>
          <w:highlight w:val="none"/>
          <w:lang w:val="en-US" w:eastAsia="zh-CN"/>
        </w:rPr>
        <w:t>4）</w:t>
      </w:r>
      <w:r>
        <w:rPr>
          <w:highlight w:val="none"/>
        </w:rPr>
        <w:t>加强过程管控，合理配置</w:t>
      </w:r>
      <w:r>
        <w:rPr>
          <w:rFonts w:hint="eastAsia"/>
          <w:highlight w:val="none"/>
          <w:lang w:val="en-US" w:eastAsia="zh-CN"/>
        </w:rPr>
        <w:t>拆除</w:t>
      </w:r>
      <w:r>
        <w:rPr>
          <w:highlight w:val="none"/>
        </w:rPr>
        <w:t>资源，合理降低</w:t>
      </w:r>
      <w:r>
        <w:rPr>
          <w:rFonts w:hint="eastAsia"/>
          <w:highlight w:val="none"/>
          <w:lang w:val="en-US" w:eastAsia="zh-CN"/>
        </w:rPr>
        <w:t>拆除</w:t>
      </w:r>
      <w:r>
        <w:rPr>
          <w:highlight w:val="none"/>
        </w:rPr>
        <w:t>成本。</w:t>
      </w:r>
    </w:p>
    <w:p w14:paraId="134DEFA7">
      <w:pPr>
        <w:pStyle w:val="3"/>
        <w:bidi w:val="0"/>
        <w:ind w:left="575" w:leftChars="0" w:hanging="575" w:firstLineChars="0"/>
      </w:pPr>
      <w:bookmarkStart w:id="28" w:name="_Toc1278"/>
      <w:bookmarkStart w:id="29" w:name="_Toc11324"/>
      <w:bookmarkStart w:id="30" w:name="_Toc10409767"/>
      <w:r>
        <w:rPr>
          <w:rFonts w:hint="eastAsia"/>
        </w:rPr>
        <w:t xml:space="preserve"> </w:t>
      </w:r>
      <w:bookmarkStart w:id="31" w:name="_Toc11944"/>
      <w:bookmarkStart w:id="32" w:name="_Toc17762"/>
      <w:r>
        <w:rPr>
          <w:rFonts w:hint="eastAsia"/>
        </w:rPr>
        <w:t>隶属关系</w:t>
      </w:r>
      <w:bookmarkEnd w:id="28"/>
      <w:bookmarkEnd w:id="29"/>
      <w:bookmarkEnd w:id="30"/>
      <w:bookmarkEnd w:id="31"/>
      <w:bookmarkEnd w:id="32"/>
    </w:p>
    <w:p w14:paraId="7B5F241E">
      <w:pPr>
        <w:pStyle w:val="42"/>
        <w:bidi w:val="0"/>
        <w:rPr>
          <w:highlight w:val="none"/>
        </w:rPr>
      </w:pPr>
      <w:r>
        <w:rPr>
          <w:rFonts w:hint="eastAsia"/>
          <w:highlight w:val="none"/>
        </w:rPr>
        <w:t>表</w:t>
      </w:r>
      <w:r>
        <w:rPr>
          <w:rFonts w:hint="eastAsia"/>
          <w:highlight w:val="none"/>
          <w:lang w:val="en-US" w:eastAsia="zh-CN"/>
        </w:rPr>
        <w:t>1</w:t>
      </w:r>
      <w:r>
        <w:rPr>
          <w:highlight w:val="none"/>
        </w:rPr>
        <w:t xml:space="preserve">.4-1 </w:t>
      </w:r>
      <w:r>
        <w:rPr>
          <w:rFonts w:hint="eastAsia"/>
          <w:highlight w:val="none"/>
        </w:rPr>
        <w:t>项目参与单位概况</w:t>
      </w:r>
    </w:p>
    <w:tbl>
      <w:tblPr>
        <w:tblStyle w:val="30"/>
        <w:tblW w:w="4999" w:type="pct"/>
        <w:jc w:val="center"/>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Layout w:type="autofit"/>
        <w:tblCellMar>
          <w:top w:w="0" w:type="dxa"/>
          <w:left w:w="108" w:type="dxa"/>
          <w:bottom w:w="0" w:type="dxa"/>
          <w:right w:w="108" w:type="dxa"/>
        </w:tblCellMar>
      </w:tblPr>
      <w:tblGrid>
        <w:gridCol w:w="1012"/>
        <w:gridCol w:w="2860"/>
        <w:gridCol w:w="6088"/>
      </w:tblGrid>
      <w:tr w14:paraId="0ECC6B4A">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23" w:hRule="atLeast"/>
          <w:jc w:val="center"/>
        </w:trPr>
        <w:tc>
          <w:tcPr>
            <w:tcW w:w="508" w:type="pct"/>
            <w:tcBorders>
              <w:tl2br w:val="nil"/>
              <w:tr2bl w:val="nil"/>
            </w:tcBorders>
            <w:vAlign w:val="center"/>
          </w:tcPr>
          <w:p w14:paraId="45F62FB1">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序号</w:t>
            </w:r>
          </w:p>
        </w:tc>
        <w:tc>
          <w:tcPr>
            <w:tcW w:w="1435" w:type="pct"/>
            <w:tcBorders>
              <w:tl2br w:val="nil"/>
              <w:tr2bl w:val="nil"/>
            </w:tcBorders>
            <w:vAlign w:val="center"/>
          </w:tcPr>
          <w:p w14:paraId="658DB58F">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项目</w:t>
            </w:r>
          </w:p>
        </w:tc>
        <w:tc>
          <w:tcPr>
            <w:tcW w:w="3055" w:type="pct"/>
            <w:tcBorders>
              <w:tl2br w:val="nil"/>
              <w:tr2bl w:val="nil"/>
            </w:tcBorders>
            <w:vAlign w:val="center"/>
          </w:tcPr>
          <w:p w14:paraId="69C17FB9">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内容</w:t>
            </w:r>
          </w:p>
        </w:tc>
      </w:tr>
      <w:tr w14:paraId="12AC8BA2">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23" w:hRule="atLeast"/>
          <w:jc w:val="center"/>
        </w:trPr>
        <w:tc>
          <w:tcPr>
            <w:tcW w:w="508" w:type="pct"/>
            <w:tcBorders>
              <w:tl2br w:val="nil"/>
              <w:tr2bl w:val="nil"/>
            </w:tcBorders>
            <w:vAlign w:val="center"/>
          </w:tcPr>
          <w:p w14:paraId="51428EF6">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1</w:t>
            </w:r>
          </w:p>
        </w:tc>
        <w:tc>
          <w:tcPr>
            <w:tcW w:w="1435" w:type="pct"/>
            <w:tcBorders>
              <w:tl2br w:val="nil"/>
              <w:tr2bl w:val="nil"/>
            </w:tcBorders>
            <w:vAlign w:val="center"/>
          </w:tcPr>
          <w:p w14:paraId="04BEF594">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建设单位</w:t>
            </w:r>
          </w:p>
        </w:tc>
        <w:tc>
          <w:tcPr>
            <w:tcW w:w="3055" w:type="pct"/>
            <w:tcBorders>
              <w:tl2br w:val="nil"/>
              <w:tr2bl w:val="nil"/>
            </w:tcBorders>
            <w:vAlign w:val="center"/>
          </w:tcPr>
          <w:p w14:paraId="1BCE72C9">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仿宋" w:hAnsi="仿宋" w:eastAsia="仿宋" w:cs="仿宋"/>
                <w:highlight w:val="none"/>
                <w:lang w:val="en-US" w:eastAsia="zh-CN"/>
              </w:rPr>
            </w:pPr>
            <w:r>
              <w:rPr>
                <w:rFonts w:hint="eastAsia" w:ascii="仿宋" w:hAnsi="仿宋" w:eastAsia="仿宋" w:cs="仿宋"/>
                <w:highlight w:val="none"/>
                <w:lang w:val="en-US" w:eastAsia="zh-CN"/>
              </w:rPr>
              <w:t>广西桂贺高速公路有限公司</w:t>
            </w:r>
          </w:p>
        </w:tc>
      </w:tr>
      <w:tr w14:paraId="302E7476">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23" w:hRule="atLeast"/>
          <w:jc w:val="center"/>
        </w:trPr>
        <w:tc>
          <w:tcPr>
            <w:tcW w:w="508" w:type="pct"/>
            <w:tcBorders>
              <w:tl2br w:val="nil"/>
              <w:tr2bl w:val="nil"/>
            </w:tcBorders>
            <w:vAlign w:val="center"/>
          </w:tcPr>
          <w:p w14:paraId="10550B38">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2</w:t>
            </w:r>
          </w:p>
        </w:tc>
        <w:tc>
          <w:tcPr>
            <w:tcW w:w="1435" w:type="pct"/>
            <w:tcBorders>
              <w:tl2br w:val="nil"/>
              <w:tr2bl w:val="nil"/>
            </w:tcBorders>
            <w:vAlign w:val="center"/>
          </w:tcPr>
          <w:p w14:paraId="74BDA558">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勘察</w:t>
            </w:r>
            <w:r>
              <w:rPr>
                <w:rFonts w:hint="eastAsia" w:ascii="仿宋" w:hAnsi="仿宋" w:eastAsia="仿宋" w:cs="仿宋"/>
                <w:highlight w:val="none"/>
                <w:lang w:eastAsia="zh-CN"/>
              </w:rPr>
              <w:t>、</w:t>
            </w:r>
            <w:r>
              <w:rPr>
                <w:rFonts w:hint="eastAsia" w:ascii="仿宋" w:hAnsi="仿宋" w:eastAsia="仿宋" w:cs="仿宋"/>
                <w:highlight w:val="none"/>
              </w:rPr>
              <w:t>设计单位</w:t>
            </w:r>
          </w:p>
        </w:tc>
        <w:tc>
          <w:tcPr>
            <w:tcW w:w="3055" w:type="pct"/>
            <w:tcBorders>
              <w:tl2br w:val="nil"/>
              <w:tr2bl w:val="nil"/>
            </w:tcBorders>
            <w:vAlign w:val="center"/>
          </w:tcPr>
          <w:p w14:paraId="059373C1">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仿宋" w:hAnsi="仿宋" w:eastAsia="仿宋" w:cs="仿宋"/>
                <w:highlight w:val="none"/>
                <w:lang w:val="en-US"/>
              </w:rPr>
            </w:pPr>
            <w:r>
              <w:rPr>
                <w:rFonts w:hint="eastAsia" w:ascii="仿宋" w:hAnsi="仿宋" w:eastAsia="仿宋" w:cs="仿宋"/>
                <w:highlight w:val="none"/>
                <w:lang w:val="en-US" w:eastAsia="zh-CN"/>
              </w:rPr>
              <w:t>广西交通设计集团有限公司</w:t>
            </w:r>
          </w:p>
        </w:tc>
      </w:tr>
      <w:tr w14:paraId="6F96DDCB">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23" w:hRule="atLeast"/>
          <w:jc w:val="center"/>
        </w:trPr>
        <w:tc>
          <w:tcPr>
            <w:tcW w:w="508" w:type="pct"/>
            <w:tcBorders>
              <w:tl2br w:val="nil"/>
              <w:tr2bl w:val="nil"/>
            </w:tcBorders>
            <w:vAlign w:val="center"/>
          </w:tcPr>
          <w:p w14:paraId="290B4B66">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3</w:t>
            </w:r>
          </w:p>
        </w:tc>
        <w:tc>
          <w:tcPr>
            <w:tcW w:w="1435" w:type="pct"/>
            <w:tcBorders>
              <w:tl2br w:val="nil"/>
              <w:tr2bl w:val="nil"/>
            </w:tcBorders>
            <w:vAlign w:val="center"/>
          </w:tcPr>
          <w:p w14:paraId="6897316B">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snapToGrid w:val="0"/>
                <w:kern w:val="0"/>
                <w:sz w:val="21"/>
                <w:szCs w:val="24"/>
                <w:highlight w:val="none"/>
                <w:lang w:val="en-US" w:eastAsia="zh-CN" w:bidi="ar-SA"/>
              </w:rPr>
            </w:pPr>
            <w:r>
              <w:rPr>
                <w:rFonts w:hint="eastAsia" w:ascii="仿宋" w:hAnsi="仿宋" w:eastAsia="仿宋" w:cs="仿宋"/>
                <w:highlight w:val="none"/>
              </w:rPr>
              <w:t>监理单位</w:t>
            </w:r>
          </w:p>
        </w:tc>
        <w:tc>
          <w:tcPr>
            <w:tcW w:w="3055" w:type="pct"/>
            <w:tcBorders>
              <w:tl2br w:val="nil"/>
              <w:tr2bl w:val="nil"/>
            </w:tcBorders>
            <w:vAlign w:val="center"/>
          </w:tcPr>
          <w:p w14:paraId="5D73976F">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lang w:val="en-US" w:eastAsia="zh-CN"/>
              </w:rPr>
              <w:t>四川盛达兴工程项目管理</w:t>
            </w:r>
            <w:r>
              <w:rPr>
                <w:rFonts w:hint="eastAsia" w:ascii="仿宋" w:hAnsi="仿宋" w:eastAsia="仿宋" w:cs="仿宋"/>
                <w:highlight w:val="none"/>
              </w:rPr>
              <w:t>有限公司</w:t>
            </w:r>
          </w:p>
        </w:tc>
      </w:tr>
      <w:tr w14:paraId="5A4D77E9">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23" w:hRule="atLeast"/>
          <w:jc w:val="center"/>
        </w:trPr>
        <w:tc>
          <w:tcPr>
            <w:tcW w:w="508" w:type="pct"/>
            <w:tcBorders>
              <w:tl2br w:val="nil"/>
              <w:tr2bl w:val="nil"/>
            </w:tcBorders>
            <w:vAlign w:val="center"/>
          </w:tcPr>
          <w:p w14:paraId="006D4DA1">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4</w:t>
            </w:r>
          </w:p>
        </w:tc>
        <w:tc>
          <w:tcPr>
            <w:tcW w:w="1435" w:type="pct"/>
            <w:tcBorders>
              <w:tl2br w:val="nil"/>
              <w:tr2bl w:val="nil"/>
            </w:tcBorders>
            <w:vAlign w:val="center"/>
          </w:tcPr>
          <w:p w14:paraId="2174197C">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snapToGrid w:val="0"/>
                <w:kern w:val="0"/>
                <w:sz w:val="21"/>
                <w:szCs w:val="24"/>
                <w:highlight w:val="none"/>
                <w:lang w:val="en-US" w:eastAsia="zh-CN" w:bidi="ar-SA"/>
              </w:rPr>
            </w:pPr>
            <w:r>
              <w:rPr>
                <w:rFonts w:hint="eastAsia" w:ascii="仿宋" w:hAnsi="仿宋" w:eastAsia="仿宋" w:cs="仿宋"/>
                <w:highlight w:val="none"/>
              </w:rPr>
              <w:t>施工单位</w:t>
            </w:r>
          </w:p>
        </w:tc>
        <w:tc>
          <w:tcPr>
            <w:tcW w:w="3055" w:type="pct"/>
            <w:tcBorders>
              <w:tl2br w:val="nil"/>
              <w:tr2bl w:val="nil"/>
            </w:tcBorders>
            <w:vAlign w:val="center"/>
          </w:tcPr>
          <w:p w14:paraId="4FD98045">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中交第二航务工程局有限公司</w:t>
            </w:r>
          </w:p>
        </w:tc>
      </w:tr>
      <w:tr w14:paraId="3DE6C287">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23" w:hRule="atLeast"/>
          <w:jc w:val="center"/>
        </w:trPr>
        <w:tc>
          <w:tcPr>
            <w:tcW w:w="508" w:type="pct"/>
            <w:tcBorders>
              <w:tl2br w:val="nil"/>
              <w:tr2bl w:val="nil"/>
            </w:tcBorders>
            <w:vAlign w:val="center"/>
          </w:tcPr>
          <w:p w14:paraId="23145462">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rPr>
            </w:pPr>
            <w:r>
              <w:rPr>
                <w:rFonts w:hint="eastAsia" w:ascii="仿宋" w:hAnsi="仿宋" w:eastAsia="仿宋" w:cs="仿宋"/>
                <w:highlight w:val="none"/>
              </w:rPr>
              <w:t>5</w:t>
            </w:r>
          </w:p>
        </w:tc>
        <w:tc>
          <w:tcPr>
            <w:tcW w:w="1435" w:type="pct"/>
            <w:tcBorders>
              <w:tl2br w:val="nil"/>
              <w:tr2bl w:val="nil"/>
            </w:tcBorders>
            <w:vAlign w:val="center"/>
          </w:tcPr>
          <w:p w14:paraId="64F3244A">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snapToGrid w:val="0"/>
                <w:kern w:val="0"/>
                <w:sz w:val="21"/>
                <w:szCs w:val="24"/>
                <w:highlight w:val="none"/>
                <w:lang w:val="en-US" w:eastAsia="zh-CN" w:bidi="ar-SA"/>
              </w:rPr>
            </w:pPr>
            <w:r>
              <w:rPr>
                <w:rFonts w:hint="eastAsia" w:ascii="仿宋" w:hAnsi="仿宋" w:eastAsia="仿宋" w:cs="仿宋"/>
                <w:highlight w:val="none"/>
                <w:lang w:val="en-US" w:eastAsia="zh-CN"/>
              </w:rPr>
              <w:t>拆除</w:t>
            </w:r>
            <w:r>
              <w:rPr>
                <w:rFonts w:hint="eastAsia" w:ascii="仿宋" w:hAnsi="仿宋" w:eastAsia="仿宋" w:cs="仿宋"/>
                <w:highlight w:val="none"/>
              </w:rPr>
              <w:t>单位</w:t>
            </w:r>
          </w:p>
        </w:tc>
        <w:tc>
          <w:tcPr>
            <w:tcW w:w="3055" w:type="pct"/>
            <w:tcBorders>
              <w:tl2br w:val="nil"/>
              <w:tr2bl w:val="nil"/>
            </w:tcBorders>
            <w:vAlign w:val="center"/>
          </w:tcPr>
          <w:p w14:paraId="19CA923E">
            <w:pPr>
              <w:pStyle w:val="106"/>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 w:hAnsi="仿宋" w:eastAsia="仿宋" w:cs="仿宋"/>
                <w:highlight w:val="none"/>
                <w:lang w:eastAsia="zh-CN"/>
              </w:rPr>
            </w:pPr>
            <w:r>
              <w:rPr>
                <w:rFonts w:hint="eastAsia" w:ascii="仿宋" w:hAnsi="仿宋" w:eastAsia="仿宋" w:cs="仿宋"/>
                <w:highlight w:val="none"/>
                <w:lang w:eastAsia="zh-CN"/>
              </w:rPr>
              <w:t>四川科斗文智能装备有限公司</w:t>
            </w:r>
          </w:p>
        </w:tc>
      </w:tr>
    </w:tbl>
    <w:p w14:paraId="73B59B24">
      <w:pPr>
        <w:pStyle w:val="3"/>
        <w:bidi w:val="0"/>
        <w:ind w:left="575" w:leftChars="0" w:hanging="575" w:firstLineChars="0"/>
      </w:pPr>
      <w:bookmarkStart w:id="33" w:name="_Toc10409768"/>
      <w:bookmarkStart w:id="34" w:name="_Toc26819"/>
      <w:bookmarkStart w:id="35" w:name="_Toc14295"/>
      <w:r>
        <w:rPr>
          <w:rFonts w:hint="eastAsia"/>
        </w:rPr>
        <w:t xml:space="preserve"> </w:t>
      </w:r>
      <w:bookmarkStart w:id="36" w:name="_Toc6687"/>
      <w:bookmarkStart w:id="37" w:name="_Toc7120"/>
      <w:r>
        <w:rPr>
          <w:rFonts w:hint="eastAsia"/>
        </w:rPr>
        <w:t>适用范围</w:t>
      </w:r>
      <w:bookmarkEnd w:id="33"/>
      <w:bookmarkEnd w:id="34"/>
      <w:bookmarkEnd w:id="35"/>
      <w:bookmarkEnd w:id="36"/>
      <w:bookmarkEnd w:id="37"/>
    </w:p>
    <w:p w14:paraId="69D8B936">
      <w:pPr>
        <w:bidi w:val="0"/>
        <w:ind w:firstLine="480" w:firstLineChars="200"/>
        <w:rPr>
          <w:highlight w:val="none"/>
        </w:rPr>
      </w:pPr>
      <w:r>
        <w:rPr>
          <w:rFonts w:hint="eastAsia"/>
          <w:highlight w:val="none"/>
        </w:rPr>
        <w:t>本方案适用于中交二航局桂林-恭城-贺州公路（桂林至钟山段）№7合同段</w:t>
      </w:r>
      <w:r>
        <w:rPr>
          <w:highlight w:val="none"/>
        </w:rPr>
        <w:t>项目</w:t>
      </w:r>
      <w:r>
        <w:rPr>
          <w:rFonts w:hint="eastAsia"/>
          <w:highlight w:val="none"/>
          <w:lang w:val="en-US" w:eastAsia="zh-CN"/>
        </w:rPr>
        <w:t>杨梅冲2号桥右幅3#墩XGT7020-10S1</w:t>
      </w:r>
      <w:r>
        <w:rPr>
          <w:highlight w:val="none"/>
        </w:rPr>
        <w:t>塔式起重机</w:t>
      </w:r>
      <w:r>
        <w:rPr>
          <w:rFonts w:hint="eastAsia"/>
          <w:highlight w:val="none"/>
          <w:lang w:val="en-US" w:eastAsia="zh-CN"/>
        </w:rPr>
        <w:t>拆除</w:t>
      </w:r>
      <w:r>
        <w:rPr>
          <w:highlight w:val="none"/>
        </w:rPr>
        <w:t>安全施工作业。</w:t>
      </w:r>
    </w:p>
    <w:p w14:paraId="522D2077">
      <w:pPr>
        <w:rPr>
          <w:highlight w:val="none"/>
        </w:rPr>
      </w:pPr>
      <w:r>
        <w:rPr>
          <w:highlight w:val="none"/>
        </w:rPr>
        <w:br w:type="page"/>
      </w:r>
    </w:p>
    <w:p w14:paraId="66BCE898">
      <w:pPr>
        <w:pStyle w:val="2"/>
        <w:bidi w:val="0"/>
        <w:ind w:left="432" w:leftChars="0" w:hanging="432" w:firstLineChars="0"/>
        <w:rPr>
          <w:rFonts w:hint="eastAsia"/>
        </w:rPr>
      </w:pPr>
      <w:bookmarkStart w:id="38" w:name="_Toc5802"/>
      <w:bookmarkStart w:id="39" w:name="_Toc2545"/>
      <w:bookmarkStart w:id="40" w:name="_Toc16987"/>
      <w:bookmarkStart w:id="41" w:name="_Toc340"/>
      <w:r>
        <w:rPr>
          <w:rFonts w:hint="eastAsia"/>
        </w:rPr>
        <w:t>工程概况</w:t>
      </w:r>
      <w:bookmarkEnd w:id="10"/>
      <w:bookmarkEnd w:id="38"/>
      <w:bookmarkEnd w:id="39"/>
      <w:bookmarkEnd w:id="40"/>
      <w:bookmarkEnd w:id="41"/>
    </w:p>
    <w:p w14:paraId="3ABB5EF7">
      <w:pPr>
        <w:pStyle w:val="3"/>
        <w:bidi w:val="0"/>
        <w:ind w:left="575" w:leftChars="0" w:hanging="575" w:firstLineChars="0"/>
      </w:pPr>
      <w:bookmarkStart w:id="42" w:name="_Toc23094"/>
      <w:bookmarkStart w:id="43" w:name="_Toc10409770"/>
      <w:bookmarkStart w:id="44" w:name="_Toc8807"/>
      <w:r>
        <w:rPr>
          <w:rFonts w:hint="eastAsia"/>
        </w:rPr>
        <w:t xml:space="preserve"> </w:t>
      </w:r>
      <w:bookmarkStart w:id="45" w:name="_Toc28006"/>
      <w:bookmarkStart w:id="46" w:name="_Toc6672"/>
      <w:r>
        <w:rPr>
          <w:rFonts w:hint="eastAsia"/>
        </w:rPr>
        <w:t>工程概况</w:t>
      </w:r>
      <w:bookmarkEnd w:id="42"/>
      <w:bookmarkEnd w:id="43"/>
      <w:bookmarkEnd w:id="44"/>
      <w:bookmarkEnd w:id="45"/>
      <w:bookmarkEnd w:id="46"/>
    </w:p>
    <w:p w14:paraId="15BFA1BC">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拟建桂林-钟山-贺州公路（桂林至钟山段）ZK110+000／K110+000 杨梅冲 2 号大桥位于桂林市恭城县莲花镇新杨梅村附近，跨越势江河沟谷。</w:t>
      </w:r>
    </w:p>
    <w:p w14:paraId="2730413B">
      <w:pPr>
        <w:bidi w:val="0"/>
        <w:ind w:firstLine="480" w:firstLineChars="200"/>
        <w:rPr>
          <w:rFonts w:hint="eastAsia"/>
          <w:highlight w:val="none"/>
        </w:rPr>
      </w:pPr>
      <w:r>
        <w:rPr>
          <w:rFonts w:hint="eastAsia" w:ascii="宋体" w:hAnsi="宋体" w:eastAsia="宋体" w:cs="宋体"/>
          <w:color w:val="000000"/>
          <w:kern w:val="0"/>
          <w:sz w:val="24"/>
          <w:szCs w:val="24"/>
          <w:lang w:val="en-US" w:eastAsia="zh-CN" w:bidi="ar"/>
        </w:rPr>
        <w:t>桥位区属低山丘陵～河谷地貌，地形起伏较大。设计路线大致呈西～东走向，拟建桥梁跨越河势江河和河谷阶地。桥梁 0#台～1#墩处于桂林侧斜坡， 2#～3#墩位于河谷阶地，4#墩～5#台处于钟山侧斜坡。桂林侧斜坡上覆的残坡积土层，生长松树、杂树等，覆盖层薄，可见基岩出露，斜坡坡角 30°～55°。河谷阶地覆盖第四系冲洪积土层，地形较平坦，为村庄，地面高程 206.00～210.00m。钟山侧斜坡上覆的残坡积土层，生长松树、杂树等，斜坡坡角 15°～30°。2#、3#墩位于势江河河谷阶地，桥位区为南～北流向，河宽 45.00～70.00m，水深 0.20～1.00m。桥梁区未见滑坡、崩塌等不良地质现象</w:t>
      </w:r>
      <w:r>
        <w:rPr>
          <w:rFonts w:hint="eastAsia"/>
          <w:highlight w:val="none"/>
        </w:rPr>
        <w:t>。</w:t>
      </w:r>
    </w:p>
    <w:p w14:paraId="03D37B00">
      <w:pPr>
        <w:bidi w:val="0"/>
        <w:ind w:firstLine="240" w:firstLineChars="100"/>
        <w:rPr>
          <w:rFonts w:hint="eastAsia"/>
          <w:highlight w:val="none"/>
          <w:lang w:val="en-US" w:eastAsia="zh-CN"/>
        </w:rPr>
      </w:pPr>
      <w:r>
        <w:rPr>
          <w:rFonts w:hint="eastAsia"/>
          <w:highlight w:val="none"/>
          <w:lang w:val="en-US" w:eastAsia="zh-CN"/>
        </w:rPr>
        <w:t>经综合考虑，本项目计划于杨梅冲2号桥右幅3#墩布置XGT7020-10S1</w:t>
      </w:r>
      <w:r>
        <w:rPr>
          <w:rFonts w:hint="eastAsia"/>
          <w:highlight w:val="none"/>
        </w:rPr>
        <w:t>塔式起重机</w:t>
      </w:r>
      <w:r>
        <w:rPr>
          <w:rFonts w:hint="eastAsia"/>
          <w:highlight w:val="none"/>
          <w:lang w:val="en-US" w:eastAsia="zh-CN"/>
        </w:rPr>
        <w:t>进行作业。</w:t>
      </w:r>
    </w:p>
    <w:p w14:paraId="62B04685">
      <w:pPr>
        <w:pStyle w:val="3"/>
        <w:bidi w:val="0"/>
        <w:ind w:left="575" w:leftChars="0" w:hanging="575" w:firstLineChars="0"/>
      </w:pPr>
      <w:bookmarkStart w:id="47" w:name="_Toc28203"/>
      <w:bookmarkStart w:id="48" w:name="_Toc10409771"/>
      <w:bookmarkStart w:id="49" w:name="_Toc168"/>
      <w:r>
        <w:rPr>
          <w:rFonts w:hint="eastAsia"/>
        </w:rPr>
        <w:t xml:space="preserve"> </w:t>
      </w:r>
      <w:bookmarkStart w:id="50" w:name="_Toc10375"/>
      <w:bookmarkStart w:id="51" w:name="_Toc10484"/>
      <w:r>
        <w:rPr>
          <w:rFonts w:hint="eastAsia"/>
        </w:rPr>
        <w:t>自然条件</w:t>
      </w:r>
      <w:bookmarkEnd w:id="47"/>
      <w:bookmarkEnd w:id="48"/>
      <w:bookmarkEnd w:id="49"/>
      <w:bookmarkEnd w:id="50"/>
      <w:bookmarkEnd w:id="51"/>
    </w:p>
    <w:p w14:paraId="17875853">
      <w:pPr>
        <w:pStyle w:val="4"/>
        <w:bidi w:val="0"/>
        <w:ind w:left="720" w:leftChars="0" w:hanging="720" w:firstLineChars="0"/>
        <w:rPr>
          <w:b/>
          <w:bCs/>
        </w:rPr>
      </w:pPr>
      <w:bookmarkStart w:id="52" w:name="_Toc17689"/>
      <w:bookmarkStart w:id="53" w:name="_Toc492907359"/>
      <w:bookmarkStart w:id="54" w:name="_Toc496071095"/>
      <w:bookmarkStart w:id="55" w:name="_Toc17986"/>
      <w:bookmarkStart w:id="56" w:name="_Toc2198"/>
      <w:bookmarkStart w:id="57" w:name="_Toc25768"/>
      <w:bookmarkStart w:id="58" w:name="_Toc494007915"/>
      <w:bookmarkStart w:id="59" w:name="_Toc30067"/>
      <w:bookmarkStart w:id="60" w:name="_Toc30608"/>
      <w:bookmarkStart w:id="61" w:name="_Toc14203"/>
      <w:bookmarkStart w:id="62" w:name="_Toc14274"/>
      <w:bookmarkStart w:id="63" w:name="_Toc23792"/>
      <w:bookmarkStart w:id="64" w:name="_Toc17515"/>
      <w:bookmarkStart w:id="65" w:name="_Toc29865"/>
      <w:bookmarkStart w:id="66" w:name="_Toc23914"/>
      <w:bookmarkStart w:id="67" w:name="_Toc14307"/>
      <w:bookmarkStart w:id="68" w:name="_Toc24351"/>
      <w:bookmarkStart w:id="69" w:name="_Toc15055"/>
      <w:bookmarkStart w:id="70" w:name="_Toc9111"/>
      <w:bookmarkStart w:id="71" w:name="_Toc6405"/>
      <w:r>
        <w:rPr>
          <w:b/>
          <w:bCs/>
        </w:rPr>
        <w:t xml:space="preserve"> </w:t>
      </w:r>
      <w:r>
        <w:rPr>
          <w:rFonts w:hint="eastAsia"/>
          <w:b/>
          <w:bCs/>
        </w:rPr>
        <w:t>地形地貌</w:t>
      </w:r>
    </w:p>
    <w:p w14:paraId="0CE98318">
      <w:pPr>
        <w:pageBreakBefore w:val="0"/>
        <w:widowControl w:val="0"/>
        <w:kinsoku/>
        <w:wordWrap/>
        <w:overflowPunct/>
        <w:topLinePunct w:val="0"/>
        <w:autoSpaceDE/>
        <w:autoSpaceDN/>
        <w:bidi w:val="0"/>
        <w:adjustRightInd/>
        <w:snapToGrid/>
        <w:ind w:firstLine="480" w:firstLineChars="200"/>
        <w:textAlignment w:val="auto"/>
        <w:rPr>
          <w:szCs w:val="21"/>
          <w:highlight w:val="none"/>
        </w:rPr>
      </w:pPr>
      <w:r>
        <w:rPr>
          <w:szCs w:val="21"/>
          <w:highlight w:val="none"/>
        </w:rPr>
        <w:t>桥位区属低山丘陵~河谷地貌，地形起伏较大。设计路线大致呈西~东走向，拟建桥梁跨越 冲沟、河流。拟建桥梁墩台多位于低山丘陵斜坡，其地表高程 300~480m，覆盖第四系残坡积层，</w:t>
      </w:r>
    </w:p>
    <w:p w14:paraId="52B6F852">
      <w:pPr>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szCs w:val="21"/>
          <w:highlight w:val="none"/>
        </w:rPr>
        <w:t>覆盖层较薄，主要种植松树、杂树等经济林。 K117+250~300 段可见大型滑坡堆积体。</w:t>
      </w:r>
    </w:p>
    <w:p w14:paraId="5483EC23">
      <w:pPr>
        <w:pStyle w:val="4"/>
        <w:bidi w:val="0"/>
        <w:ind w:left="720" w:leftChars="0" w:hanging="720" w:firstLineChars="0"/>
        <w:rPr>
          <w:b/>
          <w:bCs/>
        </w:rPr>
      </w:pPr>
      <w:r>
        <w:rPr>
          <w:b/>
          <w:bCs/>
        </w:rPr>
        <w:t xml:space="preserve"> </w:t>
      </w:r>
      <w:r>
        <w:rPr>
          <w:rFonts w:hint="eastAsia"/>
          <w:b/>
          <w:bCs/>
        </w:rPr>
        <w:t>水文</w:t>
      </w:r>
    </w:p>
    <w:p w14:paraId="7F32A5D8">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1）地表水本桥位地表水体主要为势江河，大致呈西～东流向，桥位处为北～南流向，勘察期间水流相对较少，中间可见裸露河床，水面宽 20.0～30.0m，水深 0.30～1.00m，勘察期间水位为 202.82m，历史最高水位 209.10m。</w:t>
      </w:r>
    </w:p>
    <w:p w14:paraId="136D1194">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地下水根据地下水的埋藏条件、赋存介质和分布范围，场地地下水类型有孔隙水、基岩裂隙水。孔隙水，属潜水，主要赋存于卵石中，中等～强富水，主要受大气降水或地表水补给，以蒸发、垂直向下渗流至基岩裂隙水或以补给地表水的方式排泄，水位随季节而变化。基岩裂隙水，赋存于岩石中的基岩裂隙中，中等富水，受地表水和孔隙水补给，在接受补给后，以泉眼、越流等形式分散排泄于低洼部位，其水量因岩石裂隙发育程度不同而差异较大。勘察期间钻孔混合稳定地下水位高程为 203.83～223.30m，水位埋深为 2.60～24.50m。根据地质调查结果，结合地区经验，粉质黏土（Qal+pl-2）、粉质黏土（Qel+dl）、为弱透水层，素填土（Qml）为中等透水，卵石（Q al+pl-1）为强透水层，基岩的透水性因岩石风化程度和裂隙发育程度不同而差异较大。</w:t>
      </w:r>
    </w:p>
    <w:p w14:paraId="71F539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highlight w:val="none"/>
        </w:rPr>
      </w:pPr>
      <w:r>
        <w:rPr>
          <w:rFonts w:hint="eastAsia" w:ascii="宋体" w:hAnsi="宋体" w:eastAsia="宋体" w:cs="宋体"/>
          <w:color w:val="000000"/>
          <w:kern w:val="0"/>
          <w:sz w:val="24"/>
          <w:szCs w:val="24"/>
          <w:lang w:val="en-US" w:eastAsia="zh-CN" w:bidi="ar"/>
        </w:rPr>
        <w:t>3）环境水的腐蚀性根据本工点所取水样的试验结果《水质分析试验检测报告》，桥址区地表水对砼结构具有微腐蚀，对钢筋混凝土中的钢筋具有微腐蚀</w:t>
      </w:r>
      <w:r>
        <w:rPr>
          <w:szCs w:val="21"/>
          <w:highlight w:val="none"/>
        </w:rPr>
        <w:t>。</w:t>
      </w:r>
    </w:p>
    <w:p w14:paraId="5B196EB2">
      <w:pPr>
        <w:pStyle w:val="4"/>
        <w:bidi w:val="0"/>
        <w:ind w:left="720" w:leftChars="0" w:hanging="720" w:firstLineChars="0"/>
        <w:rPr>
          <w:b/>
          <w:bCs/>
        </w:rPr>
      </w:pPr>
      <w:bookmarkStart w:id="72" w:name="_Toc22832"/>
      <w:bookmarkEnd w:id="72"/>
      <w:r>
        <w:rPr>
          <w:b/>
          <w:bCs/>
        </w:rPr>
        <w:t xml:space="preserve"> </w:t>
      </w:r>
      <w:r>
        <w:rPr>
          <w:rFonts w:hint="eastAsia"/>
          <w:b/>
          <w:bCs/>
        </w:rPr>
        <w:t>地震</w:t>
      </w:r>
    </w:p>
    <w:p w14:paraId="3A373C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根据《中国地震动参数区划图》(GB18306-2015)，场地的基本地震动峰值加速度为5g，对应的地震基本烈度为Ⅵ度，基本地震动加速度反应谱特征周期为5s。</w:t>
      </w:r>
    </w:p>
    <w:p w14:paraId="61DE56E7">
      <w:pPr>
        <w:pStyle w:val="4"/>
        <w:bidi w:val="0"/>
        <w:ind w:left="720" w:leftChars="0" w:hanging="720" w:firstLineChars="0"/>
        <w:rPr>
          <w:b/>
          <w:bCs/>
        </w:rPr>
      </w:pPr>
      <w:r>
        <w:rPr>
          <w:b/>
          <w:bCs/>
        </w:rPr>
        <w:t xml:space="preserve"> </w:t>
      </w:r>
      <w:r>
        <w:rPr>
          <w:rFonts w:hint="eastAsia"/>
          <w:b/>
          <w:bCs/>
        </w:rPr>
        <w:t>气象</w:t>
      </w:r>
    </w:p>
    <w:p w14:paraId="6BBE23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highlight w:val="none"/>
        </w:rPr>
      </w:pPr>
      <w:r>
        <w:rPr>
          <w:szCs w:val="21"/>
          <w:highlight w:val="none"/>
        </w:rPr>
        <w:t>拟建项目本项目区属于亚热带季风气候区，太阳辐射较大，降水充沛，夏季多暴雨高温。项目区境内平均地面温度 1℃ 。最热月 7 月平均 2℃ ，最冷月 1 月平均℃ 。 日照时数年平 均为 171 小时， 日照百分率年平均 39％ 。一年中日照时数 6 月最多， 为 19 小时。多年平 均降水量约 1200~1600mm。一年中 11 月至翌年 2 月降水量最少；4~8 月为丰水期， 占全年降水 量的 60~65%；3、9、10 月为平水期。多年平均蒸发量为 130~1413mm，最高 1561mm，最低 130mm。年平均风速为 m/s，一年中春季风速大， 秋季风速小，盛行偏东风。</w:t>
      </w:r>
    </w:p>
    <w:p w14:paraId="5F199242">
      <w:pPr>
        <w:pStyle w:val="4"/>
        <w:bidi w:val="0"/>
        <w:ind w:left="720" w:leftChars="0" w:hanging="720" w:firstLineChars="0"/>
        <w:rPr>
          <w:b/>
          <w:bCs/>
        </w:rPr>
      </w:pPr>
      <w:r>
        <w:rPr>
          <w:b/>
          <w:bCs/>
        </w:rPr>
        <w:t xml:space="preserve"> </w:t>
      </w:r>
      <w:r>
        <w:rPr>
          <w:rFonts w:hint="eastAsia"/>
          <w:b/>
          <w:bCs/>
        </w:rPr>
        <w:t>地质</w:t>
      </w:r>
    </w:p>
    <w:p w14:paraId="46531582">
      <w:pPr>
        <w:keepNext w:val="0"/>
        <w:keepLines w:val="0"/>
        <w:widowControl/>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第四系人工堆积层（Q</w:t>
      </w:r>
      <w:r>
        <w:rPr>
          <w:rFonts w:hint="eastAsia" w:ascii="宋体" w:hAnsi="宋体" w:eastAsia="宋体" w:cs="宋体"/>
          <w:b/>
          <w:bCs/>
          <w:color w:val="000000"/>
          <w:kern w:val="0"/>
          <w:sz w:val="12"/>
          <w:szCs w:val="12"/>
          <w:lang w:val="en-US" w:eastAsia="zh-CN" w:bidi="ar"/>
        </w:rPr>
        <w:t>ml</w:t>
      </w:r>
      <w:r>
        <w:rPr>
          <w:rFonts w:hint="eastAsia" w:ascii="宋体" w:hAnsi="宋体" w:eastAsia="宋体" w:cs="宋体"/>
          <w:b/>
          <w:bCs/>
          <w:color w:val="000000"/>
          <w:kern w:val="0"/>
          <w:sz w:val="24"/>
          <w:szCs w:val="24"/>
          <w:lang w:val="en-US" w:eastAsia="zh-CN" w:bidi="ar"/>
        </w:rPr>
        <w:t>）</w:t>
      </w:r>
    </w:p>
    <w:p w14:paraId="0491ED58">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素填土，杂色，稍湿，主要由黏性土、漂石及砂砾组成，结构松散，堆填时间约 5 年，系修建房子填土。该层主要分布于村庄、水泥道路基础范围，本次勘察钻孔 SZZK1083-1 有揭示，揭示厚度 1.80m。</w:t>
      </w:r>
    </w:p>
    <w:p w14:paraId="3464BC3C">
      <w:pPr>
        <w:keepNext w:val="0"/>
        <w:keepLines w:val="0"/>
        <w:widowControl/>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第四系冲洪积层（Q</w:t>
      </w:r>
      <w:r>
        <w:rPr>
          <w:rFonts w:hint="eastAsia" w:ascii="宋体" w:hAnsi="宋体" w:eastAsia="宋体" w:cs="宋体"/>
          <w:b/>
          <w:bCs/>
          <w:color w:val="000000"/>
          <w:kern w:val="0"/>
          <w:sz w:val="12"/>
          <w:szCs w:val="12"/>
          <w:lang w:val="en-US" w:eastAsia="zh-CN" w:bidi="ar"/>
        </w:rPr>
        <w:t>al+pl</w:t>
      </w:r>
      <w:r>
        <w:rPr>
          <w:rFonts w:hint="eastAsia" w:ascii="宋体" w:hAnsi="宋体" w:eastAsia="宋体" w:cs="宋体"/>
          <w:b/>
          <w:bCs/>
          <w:color w:val="000000"/>
          <w:kern w:val="0"/>
          <w:sz w:val="24"/>
          <w:szCs w:val="24"/>
          <w:lang w:val="en-US" w:eastAsia="zh-CN" w:bidi="ar"/>
        </w:rPr>
        <w:t>）</w:t>
      </w:r>
    </w:p>
    <w:p w14:paraId="1BC17BC0">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1)冲洪积层第 2 层（Qal+pl-2）粉质黏土，褐黄色，可塑状，干强度及韧性中等，土质不均匀，含 5～10%强风化碎石，垂直分布不均匀，粒径 5～30mm，次棱角状。该层主要分布于河谷阶地表层，本次勘察钻孔 SK1084-1、SZK1084-1、SZZK1082-1 有揭示，揭示厚度 0.50～3.70m。</w:t>
      </w:r>
    </w:p>
    <w:p w14:paraId="188FEB06">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2)冲洪积层第 1 层（Qal+pl-1）卵石，局部含漂石，杂色，饱和，稍密，卵石含量约 60～80%，粒径为 20～60mm，多呈亚圆形，母岩为砂岩，间隙充填圆砾、砂及黏性土。该层主要分布于河床及河谷阶地次层，</w:t>
      </w:r>
      <w:r>
        <w:rPr>
          <w:rFonts w:hint="eastAsia" w:cs="宋体"/>
          <w:color w:val="000000"/>
          <w:kern w:val="0"/>
          <w:sz w:val="24"/>
          <w:szCs w:val="24"/>
          <w:lang w:val="en-US" w:eastAsia="zh-CN" w:bidi="ar"/>
        </w:rPr>
        <w:t>右幅</w:t>
      </w:r>
      <w:r>
        <w:rPr>
          <w:rFonts w:hint="eastAsia" w:ascii="宋体" w:hAnsi="宋体" w:eastAsia="宋体" w:cs="宋体"/>
          <w:color w:val="000000"/>
          <w:kern w:val="0"/>
          <w:sz w:val="24"/>
          <w:szCs w:val="24"/>
          <w:lang w:val="en-US" w:eastAsia="zh-CN" w:bidi="ar"/>
        </w:rPr>
        <w:t xml:space="preserve"> 2#～5#墩、右幅 2#～3#墩的钻孔 SKK1083-1、SZK1084-1 及 SZZK1083-1 有揭示，揭示厚度 3.20～7.60m。</w:t>
      </w:r>
    </w:p>
    <w:p w14:paraId="40322EE8">
      <w:pPr>
        <w:keepNext w:val="0"/>
        <w:keepLines w:val="0"/>
        <w:widowControl/>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第四系残坡积层（Q</w:t>
      </w:r>
      <w:r>
        <w:rPr>
          <w:rFonts w:hint="eastAsia" w:ascii="宋体" w:hAnsi="宋体" w:eastAsia="宋体" w:cs="宋体"/>
          <w:b/>
          <w:bCs/>
          <w:color w:val="000000"/>
          <w:kern w:val="0"/>
          <w:sz w:val="12"/>
          <w:szCs w:val="12"/>
          <w:lang w:val="en-US" w:eastAsia="zh-CN" w:bidi="ar"/>
        </w:rPr>
        <w:t>el+dl</w:t>
      </w:r>
      <w:r>
        <w:rPr>
          <w:rFonts w:hint="eastAsia" w:ascii="宋体" w:hAnsi="宋体" w:eastAsia="宋体" w:cs="宋体"/>
          <w:b/>
          <w:bCs/>
          <w:color w:val="000000"/>
          <w:kern w:val="0"/>
          <w:sz w:val="24"/>
          <w:szCs w:val="24"/>
          <w:lang w:val="en-US" w:eastAsia="zh-CN" w:bidi="ar"/>
        </w:rPr>
        <w:t>）</w:t>
      </w:r>
    </w:p>
    <w:p w14:paraId="06E7A7A5">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粉质黏土，褐红色，可塑～硬塑状，干强度及韧性中等，土质不均匀，含 5～20%强风化碎石，垂直分布不均匀，次棱角状。该层主要分布于丘陵斜坡表层，本次勘察钻孔 SKK1084-2、SZZK1085-1均有揭示，揭示厚度 2.10～2.60m。</w:t>
      </w:r>
    </w:p>
    <w:p w14:paraId="5C6C28EC">
      <w:pPr>
        <w:keepNext w:val="0"/>
        <w:keepLines w:val="0"/>
        <w:widowControl/>
        <w:suppressLineNumbers w:val="0"/>
        <w:jc w:val="left"/>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泥盆莲花山组（D</w:t>
      </w:r>
      <w:r>
        <w:rPr>
          <w:rFonts w:hint="eastAsia" w:ascii="宋体" w:hAnsi="宋体" w:eastAsia="宋体" w:cs="宋体"/>
          <w:b/>
          <w:bCs/>
          <w:color w:val="000000"/>
          <w:kern w:val="0"/>
          <w:sz w:val="12"/>
          <w:szCs w:val="12"/>
          <w:lang w:val="en-US" w:eastAsia="zh-CN" w:bidi="ar"/>
        </w:rPr>
        <w:t>1</w:t>
      </w:r>
      <w:r>
        <w:rPr>
          <w:rFonts w:hint="eastAsia" w:ascii="宋体" w:hAnsi="宋体" w:eastAsia="宋体" w:cs="宋体"/>
          <w:b/>
          <w:bCs/>
          <w:color w:val="000000"/>
          <w:kern w:val="0"/>
          <w:sz w:val="24"/>
          <w:szCs w:val="24"/>
          <w:lang w:val="en-US" w:eastAsia="zh-CN" w:bidi="ar"/>
        </w:rPr>
        <w:t>l）基岩</w:t>
      </w:r>
    </w:p>
    <w:p w14:paraId="665BDDDF">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根据地质调查及钻探资料，场地内岩性为砂岩，根据岩性及岩石风化程度不同，分强风化、中风化二层，分述如下：</w:t>
      </w:r>
    </w:p>
    <w:p w14:paraId="06021464">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1）强风化砂岩，紫红、青灰色，薄～中厚层状构造，粉砂质结构，节理裂隙发育，泥质充填，岩质较软，泥质充填，岩体破碎，岩芯多呈块状，局部为砂状，水钻进尺稍快。该层局部有缺失，本次勘察钻孔 SK1084-1、SKK1084-2、SZZK1083-1 及 SZZK1085-1 有揭示，揭示厚度 12.90～24.90m，岩体基本质量等级为Ⅴ级。</w:t>
      </w:r>
    </w:p>
    <w:p w14:paraId="0FD7A904">
      <w:pPr>
        <w:pageBreakBefore w:val="0"/>
        <w:widowControl w:val="0"/>
        <w:kinsoku/>
        <w:wordWrap/>
        <w:overflowPunct/>
        <w:topLinePunct w:val="0"/>
        <w:autoSpaceDE/>
        <w:autoSpaceDN/>
        <w:bidi w:val="0"/>
        <w:adjustRightInd/>
        <w:snapToGrid/>
        <w:ind w:firstLine="480" w:firstLineChars="200"/>
        <w:textAlignment w:val="auto"/>
        <w:rPr>
          <w:szCs w:val="21"/>
          <w:highlight w:val="none"/>
        </w:rPr>
      </w:pPr>
      <w:r>
        <w:rPr>
          <w:rFonts w:hint="eastAsia" w:ascii="宋体" w:hAnsi="宋体" w:eastAsia="宋体" w:cs="宋体"/>
          <w:color w:val="000000"/>
          <w:kern w:val="0"/>
          <w:sz w:val="24"/>
          <w:szCs w:val="24"/>
          <w:lang w:val="en-US" w:eastAsia="zh-CN" w:bidi="ar"/>
        </w:rPr>
        <w:t>2）中风化砂岩，紫红、青灰色，中厚层状构造，粉砂质结构，节理裂隙较发育，多为泥质充填，局部方解石脉穿插，岩质较软～较硬，岩体较完整，岩芯呈短～中柱状，少量块状。该层钻孔各有揭示，揭示厚度 7.75～30.80m，岩体基本质量等级为IV级。按灌注桩造孔难易程度分级属软石</w:t>
      </w:r>
      <w:r>
        <w:rPr>
          <w:szCs w:val="21"/>
          <w:highlight w:val="none"/>
        </w:rPr>
        <w:t>。</w:t>
      </w:r>
    </w:p>
    <w:p w14:paraId="280F6727">
      <w:pPr>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szCs w:val="21"/>
          <w:highlight w:val="none"/>
        </w:rPr>
        <w:t>根据区域地质资料并结合地质调查及钻孔资料，勘察区内未见区域性断裂构造和软弱构造破碎带，区域稳定性较好。</w:t>
      </w:r>
    </w:p>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14:paraId="51E8C50E">
      <w:pPr>
        <w:pStyle w:val="3"/>
        <w:bidi w:val="0"/>
        <w:ind w:left="575" w:leftChars="0" w:hanging="575" w:firstLineChars="0"/>
      </w:pPr>
      <w:bookmarkStart w:id="73" w:name="_Toc13099"/>
      <w:bookmarkStart w:id="74" w:name="_Toc10409772"/>
      <w:bookmarkStart w:id="75" w:name="_Toc878"/>
      <w:r>
        <w:rPr>
          <w:rFonts w:hint="eastAsia"/>
        </w:rPr>
        <w:t xml:space="preserve"> </w:t>
      </w:r>
      <w:bookmarkStart w:id="76" w:name="_Toc3030"/>
      <w:bookmarkStart w:id="77" w:name="_Toc4659"/>
      <w:r>
        <w:rPr>
          <w:rFonts w:hint="eastAsia"/>
          <w:lang w:val="en-US" w:eastAsia="zh-CN"/>
        </w:rPr>
        <w:t>拆除</w:t>
      </w:r>
      <w:r>
        <w:rPr>
          <w:rFonts w:hint="eastAsia"/>
        </w:rPr>
        <w:t>现场工作环境及条件</w:t>
      </w:r>
      <w:bookmarkEnd w:id="73"/>
      <w:bookmarkEnd w:id="74"/>
      <w:bookmarkEnd w:id="75"/>
      <w:bookmarkEnd w:id="76"/>
      <w:bookmarkEnd w:id="77"/>
    </w:p>
    <w:p w14:paraId="14C403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lang w:val="en-US" w:eastAsia="zh-CN"/>
        </w:rPr>
      </w:pPr>
      <w:r>
        <w:rPr>
          <w:rFonts w:hint="eastAsia"/>
          <w:lang w:val="en-US" w:eastAsia="zh-CN"/>
        </w:rPr>
        <w:t>根据杨梅冲2号桥桥位布置及高墩结构特点、现场地形条件，结合高墩施工安装最大起吊重量、爬架施工最大起吊重量及塔机最大施工悬臂要求，塔机主要承担高墩钢筋、劲性骨架以及辅助材料等吊装，待施工完成盖梁后拆除。现已完成需求，拟在杨梅冲2号桥拆除一台徐工XGT7020-10S1塔机。</w:t>
      </w:r>
    </w:p>
    <w:p w14:paraId="43F2EC26">
      <w:pPr>
        <w:pStyle w:val="14"/>
      </w:pPr>
      <w:r>
        <w:t xml:space="preserve">表 </w:t>
      </w:r>
      <w:r>
        <w:fldChar w:fldCharType="begin"/>
      </w:r>
      <w:r>
        <w:instrText xml:space="preserve"> STYLEREF 2 \s </w:instrText>
      </w:r>
      <w:r>
        <w:fldChar w:fldCharType="separate"/>
      </w:r>
      <w:r>
        <w:t>2.3</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lang w:val="en-US" w:eastAsia="zh-CN"/>
        </w:rPr>
        <w:t xml:space="preserve"> </w:t>
      </w:r>
      <w:r>
        <w:rPr>
          <w:rFonts w:hint="eastAsia" w:ascii="Times New Roman" w:hAnsi="Times New Roman" w:eastAsia="黑体" w:cs="Times New Roman"/>
          <w:kern w:val="2"/>
          <w:sz w:val="21"/>
          <w:szCs w:val="21"/>
          <w:highlight w:val="none"/>
          <w:lang w:val="en-US" w:eastAsia="zh-CN" w:bidi="ar-SA"/>
        </w:rPr>
        <w:t>塔式起重机分布统计表</w:t>
      </w:r>
    </w:p>
    <w:tbl>
      <w:tblPr>
        <w:tblStyle w:val="29"/>
        <w:tblW w:w="5047" w:type="pct"/>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autofit"/>
        <w:tblCellMar>
          <w:top w:w="0" w:type="dxa"/>
          <w:left w:w="108" w:type="dxa"/>
          <w:bottom w:w="0" w:type="dxa"/>
          <w:right w:w="108" w:type="dxa"/>
        </w:tblCellMar>
      </w:tblPr>
      <w:tblGrid>
        <w:gridCol w:w="1754"/>
        <w:gridCol w:w="1857"/>
        <w:gridCol w:w="1392"/>
        <w:gridCol w:w="1233"/>
        <w:gridCol w:w="1535"/>
        <w:gridCol w:w="2285"/>
      </w:tblGrid>
      <w:tr w14:paraId="4604EAD3">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376" w:hRule="atLeast"/>
          <w:tblHeader/>
          <w:jc w:val="center"/>
        </w:trPr>
        <w:tc>
          <w:tcPr>
            <w:tcW w:w="872" w:type="pct"/>
            <w:tcBorders>
              <w:tl2br w:val="nil"/>
              <w:tr2bl w:val="nil"/>
            </w:tcBorders>
            <w:shd w:val="clear" w:color="auto" w:fill="DAE3F3" w:themeFill="accent5" w:themeFillTint="32"/>
            <w:vAlign w:val="center"/>
          </w:tcPr>
          <w:p w14:paraId="5347E5F9">
            <w:pPr>
              <w:spacing w:after="0" w:afterLines="0" w:line="240" w:lineRule="auto"/>
              <w:ind w:firstLine="0" w:firstLineChars="0"/>
              <w:jc w:val="center"/>
              <w:rPr>
                <w:rFonts w:hint="eastAsia" w:ascii="仿宋" w:hAnsi="仿宋" w:eastAsia="仿宋" w:cs="仿宋"/>
                <w:b/>
                <w:bCs/>
                <w:sz w:val="13"/>
                <w:szCs w:val="13"/>
                <w:highlight w:val="none"/>
              </w:rPr>
            </w:pPr>
            <w:r>
              <w:rPr>
                <w:rFonts w:hint="eastAsia" w:ascii="宋体" w:hAnsi="宋体" w:eastAsia="宋体" w:cs="宋体"/>
                <w:bCs/>
                <w:color w:val="000000" w:themeColor="text1"/>
                <w:sz w:val="16"/>
                <w:szCs w:val="16"/>
                <w:highlight w:val="none"/>
                <w14:textFill>
                  <w14:solidFill>
                    <w14:schemeClr w14:val="tx1"/>
                  </w14:solidFill>
                </w14:textFill>
              </w:rPr>
              <w:t>塔机编号</w:t>
            </w:r>
          </w:p>
        </w:tc>
        <w:tc>
          <w:tcPr>
            <w:tcW w:w="923" w:type="pct"/>
            <w:tcBorders>
              <w:tl2br w:val="nil"/>
              <w:tr2bl w:val="nil"/>
            </w:tcBorders>
            <w:shd w:val="clear" w:color="auto" w:fill="DAE3F3" w:themeFill="accent5" w:themeFillTint="32"/>
            <w:vAlign w:val="center"/>
          </w:tcPr>
          <w:p w14:paraId="0D73D1C1">
            <w:pPr>
              <w:spacing w:after="0" w:afterLines="0" w:line="240" w:lineRule="auto"/>
              <w:ind w:firstLine="0" w:firstLineChars="0"/>
              <w:jc w:val="center"/>
              <w:rPr>
                <w:rFonts w:hint="default" w:ascii="仿宋" w:hAnsi="仿宋" w:eastAsia="仿宋" w:cs="仿宋"/>
                <w:b/>
                <w:bCs/>
                <w:sz w:val="13"/>
                <w:szCs w:val="13"/>
                <w:highlight w:val="none"/>
                <w:lang w:val="en-US" w:eastAsia="zh-CN"/>
              </w:rPr>
            </w:pPr>
            <w:r>
              <w:rPr>
                <w:rFonts w:hint="eastAsia" w:ascii="宋体" w:hAnsi="宋体" w:eastAsia="宋体" w:cs="宋体"/>
                <w:bCs/>
                <w:color w:val="000000" w:themeColor="text1"/>
                <w:sz w:val="16"/>
                <w:szCs w:val="16"/>
                <w:highlight w:val="none"/>
                <w14:textFill>
                  <w14:solidFill>
                    <w14:schemeClr w14:val="tx1"/>
                  </w14:solidFill>
                </w14:textFill>
              </w:rPr>
              <w:t>塔机型号</w:t>
            </w:r>
          </w:p>
        </w:tc>
        <w:tc>
          <w:tcPr>
            <w:tcW w:w="692" w:type="pct"/>
            <w:tcBorders>
              <w:tl2br w:val="nil"/>
              <w:tr2bl w:val="nil"/>
            </w:tcBorders>
            <w:shd w:val="clear" w:color="auto" w:fill="DAE3F3" w:themeFill="accent5" w:themeFillTint="32"/>
            <w:vAlign w:val="center"/>
          </w:tcPr>
          <w:p w14:paraId="1CFF14C1">
            <w:pPr>
              <w:spacing w:after="0" w:afterLines="0" w:line="240" w:lineRule="auto"/>
              <w:ind w:firstLine="0" w:firstLineChars="0"/>
              <w:jc w:val="center"/>
              <w:rPr>
                <w:rFonts w:hint="eastAsia" w:ascii="仿宋" w:hAnsi="仿宋" w:eastAsia="宋体" w:cs="仿宋"/>
                <w:b/>
                <w:bCs/>
                <w:sz w:val="13"/>
                <w:szCs w:val="13"/>
                <w:highlight w:val="none"/>
                <w:lang w:val="en-US" w:eastAsia="zh-CN"/>
              </w:rPr>
            </w:pPr>
            <w:r>
              <w:rPr>
                <w:rFonts w:hint="eastAsia" w:cs="宋体"/>
                <w:bCs/>
                <w:color w:val="000000" w:themeColor="text1"/>
                <w:sz w:val="16"/>
                <w:szCs w:val="16"/>
                <w:highlight w:val="none"/>
                <w:lang w:val="en-US" w:eastAsia="zh-CN"/>
                <w14:textFill>
                  <w14:solidFill>
                    <w14:schemeClr w14:val="tx1"/>
                  </w14:solidFill>
                </w14:textFill>
              </w:rPr>
              <w:t>拆除</w:t>
            </w:r>
            <w:r>
              <w:rPr>
                <w:rFonts w:hint="eastAsia" w:ascii="宋体" w:hAnsi="宋体" w:eastAsia="宋体" w:cs="宋体"/>
                <w:bCs/>
                <w:color w:val="000000" w:themeColor="text1"/>
                <w:sz w:val="16"/>
                <w:szCs w:val="16"/>
                <w:highlight w:val="none"/>
                <w14:textFill>
                  <w14:solidFill>
                    <w14:schemeClr w14:val="tx1"/>
                  </w14:solidFill>
                </w14:textFill>
              </w:rPr>
              <w:t>高度</w:t>
            </w:r>
            <w:r>
              <w:rPr>
                <w:rFonts w:hint="eastAsia" w:ascii="宋体" w:hAnsi="宋体" w:cs="宋体"/>
                <w:bCs/>
                <w:color w:val="000000" w:themeColor="text1"/>
                <w:sz w:val="16"/>
                <w:szCs w:val="16"/>
                <w:highlight w:val="none"/>
                <w:lang w:val="en-US" w:eastAsia="zh-CN"/>
                <w14:textFill>
                  <w14:solidFill>
                    <w14:schemeClr w14:val="tx1"/>
                  </w14:solidFill>
                </w14:textFill>
              </w:rPr>
              <w:t>m</w:t>
            </w:r>
          </w:p>
        </w:tc>
        <w:tc>
          <w:tcPr>
            <w:tcW w:w="613" w:type="pct"/>
            <w:tcBorders>
              <w:tl2br w:val="nil"/>
              <w:tr2bl w:val="nil"/>
            </w:tcBorders>
            <w:shd w:val="clear" w:color="auto" w:fill="DAE3F3" w:themeFill="accent5" w:themeFillTint="32"/>
            <w:vAlign w:val="center"/>
          </w:tcPr>
          <w:p w14:paraId="648C6C86">
            <w:pPr>
              <w:spacing w:after="0" w:afterLines="0" w:line="240" w:lineRule="auto"/>
              <w:ind w:firstLine="0" w:firstLineChars="0"/>
              <w:jc w:val="center"/>
              <w:rPr>
                <w:rFonts w:hint="default" w:ascii="仿宋" w:hAnsi="仿宋" w:eastAsia="仿宋" w:cs="仿宋"/>
                <w:b/>
                <w:bCs/>
                <w:sz w:val="13"/>
                <w:szCs w:val="13"/>
                <w:highlight w:val="none"/>
                <w:lang w:val="en-US" w:eastAsia="zh-CN"/>
              </w:rPr>
            </w:pPr>
            <w:r>
              <w:rPr>
                <w:rFonts w:hint="eastAsia" w:ascii="宋体" w:hAnsi="宋体" w:eastAsia="宋体" w:cs="宋体"/>
                <w:bCs/>
                <w:color w:val="000000" w:themeColor="text1"/>
                <w:sz w:val="16"/>
                <w:szCs w:val="16"/>
                <w:highlight w:val="none"/>
                <w14:textFill>
                  <w14:solidFill>
                    <w14:schemeClr w14:val="tx1"/>
                  </w14:solidFill>
                </w14:textFill>
              </w:rPr>
              <w:t>预埋形式</w:t>
            </w:r>
          </w:p>
        </w:tc>
        <w:tc>
          <w:tcPr>
            <w:tcW w:w="763" w:type="pct"/>
            <w:tcBorders>
              <w:tl2br w:val="nil"/>
              <w:tr2bl w:val="nil"/>
            </w:tcBorders>
            <w:shd w:val="clear" w:color="auto" w:fill="DAE3F3" w:themeFill="accent5" w:themeFillTint="32"/>
            <w:vAlign w:val="center"/>
          </w:tcPr>
          <w:p w14:paraId="0EAC9BCD">
            <w:pPr>
              <w:spacing w:after="0" w:afterLines="0" w:line="240" w:lineRule="auto"/>
              <w:ind w:firstLine="0" w:firstLineChars="0"/>
              <w:jc w:val="center"/>
              <w:rPr>
                <w:rFonts w:hint="default" w:ascii="仿宋" w:hAnsi="仿宋" w:eastAsia="仿宋" w:cs="仿宋"/>
                <w:b/>
                <w:bCs/>
                <w:sz w:val="13"/>
                <w:szCs w:val="13"/>
                <w:highlight w:val="none"/>
                <w:lang w:val="en-US" w:eastAsia="zh-CN"/>
              </w:rPr>
            </w:pPr>
            <w:r>
              <w:rPr>
                <w:rFonts w:hint="eastAsia" w:ascii="宋体" w:hAnsi="宋体" w:eastAsia="宋体" w:cs="宋体"/>
                <w:bCs/>
                <w:color w:val="000000" w:themeColor="text1"/>
                <w:sz w:val="16"/>
                <w:szCs w:val="16"/>
                <w:highlight w:val="none"/>
                <w14:textFill>
                  <w14:solidFill>
                    <w14:schemeClr w14:val="tx1"/>
                  </w14:solidFill>
                </w14:textFill>
              </w:rPr>
              <w:t>起重臂长度</w:t>
            </w:r>
          </w:p>
        </w:tc>
        <w:tc>
          <w:tcPr>
            <w:tcW w:w="1135" w:type="pct"/>
            <w:tcBorders>
              <w:tl2br w:val="nil"/>
              <w:tr2bl w:val="nil"/>
            </w:tcBorders>
            <w:shd w:val="clear" w:color="auto" w:fill="DAE3F3" w:themeFill="accent5" w:themeFillTint="32"/>
            <w:vAlign w:val="center"/>
          </w:tcPr>
          <w:p w14:paraId="6A50D808">
            <w:pPr>
              <w:spacing w:after="0" w:afterLines="0" w:line="240" w:lineRule="auto"/>
              <w:ind w:firstLine="0" w:firstLineChars="0"/>
              <w:jc w:val="center"/>
              <w:rPr>
                <w:rFonts w:hint="default" w:ascii="仿宋" w:hAnsi="仿宋" w:eastAsia="仿宋" w:cs="仿宋"/>
                <w:b/>
                <w:bCs/>
                <w:sz w:val="13"/>
                <w:szCs w:val="13"/>
                <w:highlight w:val="none"/>
                <w:lang w:val="en-US" w:eastAsia="zh-CN"/>
              </w:rPr>
            </w:pPr>
            <w:r>
              <w:rPr>
                <w:rFonts w:hint="eastAsia" w:ascii="宋体" w:hAnsi="宋体" w:eastAsia="宋体" w:cs="宋体"/>
                <w:bCs/>
                <w:color w:val="000000" w:themeColor="text1"/>
                <w:sz w:val="16"/>
                <w:szCs w:val="16"/>
                <w:highlight w:val="none"/>
                <w14:textFill>
                  <w14:solidFill>
                    <w14:schemeClr w14:val="tx1"/>
                  </w14:solidFill>
                </w14:textFill>
              </w:rPr>
              <w:t>基础顶标高</w:t>
            </w:r>
          </w:p>
        </w:tc>
      </w:tr>
      <w:tr w14:paraId="2F335C3C">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707" w:hRule="atLeast"/>
          <w:jc w:val="center"/>
        </w:trPr>
        <w:tc>
          <w:tcPr>
            <w:tcW w:w="872" w:type="pct"/>
            <w:tcBorders>
              <w:tl2br w:val="nil"/>
              <w:tr2bl w:val="nil"/>
            </w:tcBorders>
            <w:vAlign w:val="center"/>
          </w:tcPr>
          <w:p w14:paraId="3A96CED8">
            <w:pPr>
              <w:spacing w:after="0" w:afterLines="0" w:line="240" w:lineRule="auto"/>
              <w:ind w:firstLine="0" w:firstLineChars="0"/>
              <w:jc w:val="center"/>
              <w:rPr>
                <w:rFonts w:hint="eastAsia" w:ascii="宋体" w:hAnsi="宋体" w:eastAsia="宋体" w:cs="宋体"/>
                <w:bCs/>
                <w:color w:val="000000" w:themeColor="text1"/>
                <w:sz w:val="16"/>
                <w:szCs w:val="16"/>
                <w:highlight w:val="none"/>
                <w:lang w:val="en-US" w:eastAsia="zh-CN"/>
                <w14:textFill>
                  <w14:solidFill>
                    <w14:schemeClr w14:val="tx1"/>
                  </w14:solidFill>
                </w14:textFill>
              </w:rPr>
            </w:pPr>
            <w:bookmarkStart w:id="78" w:name="_Toc18009"/>
            <w:r>
              <w:rPr>
                <w:rFonts w:hint="eastAsia" w:cs="宋体"/>
                <w:bCs/>
                <w:color w:val="000000" w:themeColor="text1"/>
                <w:sz w:val="16"/>
                <w:szCs w:val="16"/>
                <w:highlight w:val="none"/>
                <w:lang w:val="en-US" w:eastAsia="zh-CN"/>
                <w14:textFill>
                  <w14:solidFill>
                    <w14:schemeClr w14:val="tx1"/>
                  </w14:solidFill>
                </w14:textFill>
              </w:rPr>
              <w:t>杨梅冲2号大桥右幅3#墩</w:t>
            </w:r>
          </w:p>
        </w:tc>
        <w:tc>
          <w:tcPr>
            <w:tcW w:w="923" w:type="pct"/>
            <w:tcBorders>
              <w:tl2br w:val="nil"/>
              <w:tr2bl w:val="nil"/>
            </w:tcBorders>
            <w:vAlign w:val="center"/>
          </w:tcPr>
          <w:p w14:paraId="239C685C">
            <w:pPr>
              <w:spacing w:after="0" w:afterLines="0" w:line="240" w:lineRule="auto"/>
              <w:ind w:firstLine="0" w:firstLineChars="0"/>
              <w:jc w:val="center"/>
              <w:rPr>
                <w:rFonts w:hint="eastAsia" w:ascii="仿宋" w:hAnsi="仿宋" w:eastAsia="仿宋" w:cs="仿宋"/>
                <w:sz w:val="13"/>
                <w:szCs w:val="13"/>
                <w:highlight w:val="none"/>
                <w:lang w:val="en-US" w:eastAsia="zh-CN"/>
              </w:rPr>
            </w:pPr>
            <w:r>
              <w:rPr>
                <w:rFonts w:hint="eastAsia" w:ascii="宋体" w:hAnsi="宋体" w:eastAsia="宋体" w:cs="宋体"/>
                <w:color w:val="000000" w:themeColor="text1"/>
                <w:sz w:val="16"/>
                <w:szCs w:val="16"/>
                <w:highlight w:val="none"/>
                <w:lang w:val="en-US" w:eastAsia="zh-CN"/>
                <w14:textFill>
                  <w14:solidFill>
                    <w14:schemeClr w14:val="tx1"/>
                  </w14:solidFill>
                </w14:textFill>
              </w:rPr>
              <w:t>徐工</w:t>
            </w:r>
            <w:r>
              <w:rPr>
                <w:rFonts w:hint="eastAsia" w:cs="宋体"/>
                <w:color w:val="000000" w:themeColor="text1"/>
                <w:sz w:val="16"/>
                <w:szCs w:val="16"/>
                <w:highlight w:val="none"/>
                <w:lang w:val="en-US" w:eastAsia="zh-CN"/>
                <w14:textFill>
                  <w14:solidFill>
                    <w14:schemeClr w14:val="tx1"/>
                  </w14:solidFill>
                </w14:textFill>
              </w:rPr>
              <w:t>XGT7020-10S1</w:t>
            </w:r>
          </w:p>
        </w:tc>
        <w:tc>
          <w:tcPr>
            <w:tcW w:w="692" w:type="pct"/>
            <w:tcBorders>
              <w:tl2br w:val="nil"/>
              <w:tr2bl w:val="nil"/>
            </w:tcBorders>
            <w:vAlign w:val="center"/>
          </w:tcPr>
          <w:p w14:paraId="3ABE97DF">
            <w:pPr>
              <w:spacing w:after="0" w:afterLines="0" w:line="240" w:lineRule="auto"/>
              <w:ind w:firstLine="0" w:firstLineChars="0"/>
              <w:jc w:val="center"/>
              <w:rPr>
                <w:rFonts w:hint="default" w:ascii="宋体" w:hAnsi="宋体" w:eastAsia="宋体" w:cs="宋体"/>
                <w:color w:val="000000" w:themeColor="text1"/>
                <w:sz w:val="16"/>
                <w:szCs w:val="16"/>
                <w:highlight w:val="none"/>
                <w:lang w:val="en-US" w:eastAsia="zh-CN"/>
                <w14:textFill>
                  <w14:solidFill>
                    <w14:schemeClr w14:val="tx1"/>
                  </w14:solidFill>
                </w14:textFill>
              </w:rPr>
            </w:pPr>
            <w:r>
              <w:rPr>
                <w:rFonts w:hint="eastAsia" w:cs="宋体"/>
                <w:color w:val="000000" w:themeColor="text1"/>
                <w:sz w:val="16"/>
                <w:szCs w:val="16"/>
                <w:highlight w:val="none"/>
                <w:lang w:val="en-US" w:eastAsia="zh-CN"/>
                <w14:textFill>
                  <w14:solidFill>
                    <w14:schemeClr w14:val="tx1"/>
                  </w14:solidFill>
                </w14:textFill>
              </w:rPr>
              <w:t>54</w:t>
            </w:r>
          </w:p>
        </w:tc>
        <w:tc>
          <w:tcPr>
            <w:tcW w:w="613" w:type="pct"/>
            <w:tcBorders>
              <w:tl2br w:val="nil"/>
              <w:tr2bl w:val="nil"/>
            </w:tcBorders>
            <w:vAlign w:val="center"/>
          </w:tcPr>
          <w:p w14:paraId="78F45902">
            <w:pPr>
              <w:spacing w:after="0" w:afterLines="0" w:line="240" w:lineRule="auto"/>
              <w:ind w:left="0" w:leftChars="0" w:firstLine="0" w:firstLineChars="0"/>
              <w:jc w:val="center"/>
              <w:rPr>
                <w:rFonts w:hint="default" w:ascii="仿宋" w:hAnsi="仿宋" w:eastAsia="仿宋" w:cs="仿宋"/>
                <w:sz w:val="13"/>
                <w:szCs w:val="13"/>
                <w:highlight w:val="none"/>
                <w:lang w:val="en-US" w:eastAsia="zh-CN"/>
              </w:rPr>
            </w:pPr>
            <w:r>
              <w:rPr>
                <w:rFonts w:hint="eastAsia" w:ascii="宋体" w:hAnsi="宋体" w:eastAsia="宋体" w:cs="宋体"/>
                <w:bCs/>
                <w:kern w:val="2"/>
                <w:sz w:val="16"/>
                <w:szCs w:val="16"/>
                <w:highlight w:val="none"/>
                <w:lang w:val="en-US" w:eastAsia="zh-CN" w:bidi="ar-SA"/>
              </w:rPr>
              <w:t>预埋螺栓</w:t>
            </w:r>
          </w:p>
        </w:tc>
        <w:tc>
          <w:tcPr>
            <w:tcW w:w="763" w:type="pct"/>
            <w:tcBorders>
              <w:tl2br w:val="nil"/>
              <w:tr2bl w:val="nil"/>
            </w:tcBorders>
            <w:vAlign w:val="center"/>
          </w:tcPr>
          <w:p w14:paraId="5375FBF3">
            <w:pPr>
              <w:spacing w:after="0" w:afterLines="0" w:line="240" w:lineRule="auto"/>
              <w:ind w:left="0" w:leftChars="0" w:firstLine="320" w:firstLineChars="200"/>
              <w:jc w:val="both"/>
              <w:rPr>
                <w:rFonts w:hint="default" w:ascii="宋体" w:hAnsi="宋体" w:cs="宋体"/>
                <w:bCs/>
                <w:color w:val="000000" w:themeColor="text1"/>
                <w:sz w:val="16"/>
                <w:szCs w:val="16"/>
                <w:highlight w:val="none"/>
                <w:lang w:val="en-US" w:eastAsia="zh-CN"/>
                <w14:textFill>
                  <w14:solidFill>
                    <w14:schemeClr w14:val="tx1"/>
                  </w14:solidFill>
                </w14:textFill>
              </w:rPr>
            </w:pPr>
            <w:r>
              <w:rPr>
                <w:rFonts w:hint="eastAsia" w:cs="宋体"/>
                <w:bCs/>
                <w:color w:val="000000" w:themeColor="text1"/>
                <w:sz w:val="16"/>
                <w:szCs w:val="16"/>
                <w:highlight w:val="none"/>
                <w:lang w:val="en-US" w:eastAsia="zh-CN"/>
                <w14:textFill>
                  <w14:solidFill>
                    <w14:schemeClr w14:val="tx1"/>
                  </w14:solidFill>
                </w14:textFill>
              </w:rPr>
              <w:t>45</w:t>
            </w:r>
            <w:r>
              <w:rPr>
                <w:rFonts w:hint="eastAsia" w:ascii="宋体" w:hAnsi="宋体" w:cs="宋体"/>
                <w:bCs/>
                <w:color w:val="000000" w:themeColor="text1"/>
                <w:sz w:val="16"/>
                <w:szCs w:val="16"/>
                <w:highlight w:val="none"/>
                <w:lang w:val="en-US" w:eastAsia="zh-CN"/>
                <w14:textFill>
                  <w14:solidFill>
                    <w14:schemeClr w14:val="tx1"/>
                  </w14:solidFill>
                </w14:textFill>
              </w:rPr>
              <w:t>m</w:t>
            </w:r>
          </w:p>
        </w:tc>
        <w:tc>
          <w:tcPr>
            <w:tcW w:w="1135" w:type="pct"/>
            <w:tcBorders>
              <w:tl2br w:val="nil"/>
              <w:tr2bl w:val="nil"/>
            </w:tcBorders>
            <w:vAlign w:val="center"/>
          </w:tcPr>
          <w:p w14:paraId="28ED9570">
            <w:pPr>
              <w:spacing w:after="0" w:afterLines="0" w:line="240" w:lineRule="auto"/>
              <w:ind w:firstLine="0" w:firstLineChars="0"/>
              <w:jc w:val="center"/>
              <w:rPr>
                <w:rFonts w:hint="default" w:ascii="仿宋" w:hAnsi="仿宋" w:eastAsia="仿宋" w:cs="仿宋"/>
                <w:sz w:val="13"/>
                <w:szCs w:val="13"/>
                <w:highlight w:val="none"/>
                <w:lang w:val="en-US" w:eastAsia="zh-CN"/>
              </w:rPr>
            </w:pPr>
            <w:r>
              <w:rPr>
                <w:rFonts w:hint="eastAsia" w:ascii="宋体" w:hAnsi="宋体" w:eastAsia="宋体" w:cs="宋体"/>
                <w:bCs/>
                <w:color w:val="000000" w:themeColor="text1"/>
                <w:sz w:val="16"/>
                <w:szCs w:val="16"/>
                <w:highlight w:val="none"/>
                <w14:textFill>
                  <w14:solidFill>
                    <w14:schemeClr w14:val="tx1"/>
                  </w14:solidFill>
                </w14:textFill>
              </w:rPr>
              <w:t>与</w:t>
            </w:r>
            <w:r>
              <w:rPr>
                <w:rFonts w:hint="eastAsia" w:ascii="宋体" w:hAnsi="宋体" w:eastAsia="宋体" w:cs="宋体"/>
                <w:bCs/>
                <w:color w:val="000000" w:themeColor="text1"/>
                <w:sz w:val="16"/>
                <w:szCs w:val="16"/>
                <w:highlight w:val="none"/>
                <w:lang w:val="en-US" w:eastAsia="zh-CN"/>
                <w14:textFill>
                  <w14:solidFill>
                    <w14:schemeClr w14:val="tx1"/>
                  </w14:solidFill>
                </w14:textFill>
              </w:rPr>
              <w:t>墩身承台顶标高一致</w:t>
            </w:r>
          </w:p>
        </w:tc>
      </w:tr>
      <w:bookmarkEnd w:id="78"/>
    </w:tbl>
    <w:p w14:paraId="10810302">
      <w:pPr>
        <w:keepNext w:val="0"/>
        <w:keepLines w:val="0"/>
        <w:widowControl/>
        <w:suppressLineNumbers w:val="0"/>
        <w:jc w:val="center"/>
      </w:pPr>
      <w:r>
        <w:drawing>
          <wp:inline distT="0" distB="0" distL="114300" distR="114300">
            <wp:extent cx="2996565" cy="3119755"/>
            <wp:effectExtent l="0" t="0" r="13335" b="4445"/>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17"/>
                    <a:srcRect t="2946"/>
                    <a:stretch>
                      <a:fillRect/>
                    </a:stretch>
                  </pic:blipFill>
                  <pic:spPr>
                    <a:xfrm>
                      <a:off x="0" y="0"/>
                      <a:ext cx="2996565" cy="3119755"/>
                    </a:xfrm>
                    <a:prstGeom prst="rect">
                      <a:avLst/>
                    </a:prstGeom>
                    <a:noFill/>
                    <a:ln>
                      <a:noFill/>
                    </a:ln>
                  </pic:spPr>
                </pic:pic>
              </a:graphicData>
            </a:graphic>
          </wp:inline>
        </w:drawing>
      </w:r>
    </w:p>
    <w:p w14:paraId="2FBA180C">
      <w:pPr>
        <w:pStyle w:val="14"/>
        <w:bidi w:val="0"/>
        <w:rPr>
          <w:rFonts w:hint="eastAsia"/>
          <w:highlight w:val="none"/>
          <w:lang w:val="en-US" w:eastAsia="zh-CN"/>
        </w:rPr>
      </w:pPr>
      <w:r>
        <w:t xml:space="preserve">图 </w:t>
      </w:r>
      <w:r>
        <w:fldChar w:fldCharType="begin"/>
      </w:r>
      <w:r>
        <w:instrText xml:space="preserve"> STYLEREF 2 \s </w:instrText>
      </w:r>
      <w:r>
        <w:fldChar w:fldCharType="separate"/>
      </w:r>
      <w:r>
        <w:t>2.3</w:t>
      </w:r>
      <w:r>
        <w:fldChar w:fldCharType="end"/>
      </w:r>
      <w:r>
        <w:rPr>
          <w:rFonts w:hint="eastAsia"/>
          <w:lang w:eastAsia="zh-CN"/>
        </w:rPr>
        <w:t>-</w:t>
      </w:r>
      <w:r>
        <w:fldChar w:fldCharType="begin"/>
      </w:r>
      <w:r>
        <w:instrText xml:space="preserve"> SEQ 图 \* ARABIC \s 2 </w:instrText>
      </w:r>
      <w:r>
        <w:fldChar w:fldCharType="separate"/>
      </w:r>
      <w:r>
        <w:t>1</w:t>
      </w:r>
      <w:r>
        <w:fldChar w:fldCharType="end"/>
      </w:r>
      <w:r>
        <w:rPr>
          <w:rFonts w:hint="eastAsia"/>
          <w:lang w:val="en-US" w:eastAsia="zh-CN"/>
        </w:rPr>
        <w:t xml:space="preserve"> </w:t>
      </w:r>
      <w:r>
        <w:rPr>
          <w:rFonts w:hint="eastAsia"/>
          <w:highlight w:val="none"/>
          <w:lang w:val="en-US" w:eastAsia="zh-CN"/>
        </w:rPr>
        <w:t>塔式起重机立面布置示意图</w:t>
      </w:r>
    </w:p>
    <w:p w14:paraId="5045A6FB">
      <w:pPr>
        <w:pStyle w:val="14"/>
        <w:keepNext w:val="0"/>
        <w:keepLines w:val="0"/>
        <w:pageBreakBefore w:val="0"/>
        <w:widowControl w:val="0"/>
        <w:kinsoku/>
        <w:wordWrap/>
        <w:overflowPunct/>
        <w:topLinePunct w:val="0"/>
        <w:autoSpaceDE/>
        <w:autoSpaceDN/>
        <w:bidi w:val="0"/>
        <w:adjustRightInd/>
        <w:snapToGrid/>
        <w:spacing w:line="240" w:lineRule="auto"/>
        <w:textAlignment w:val="auto"/>
      </w:pPr>
      <w:r>
        <w:drawing>
          <wp:inline distT="0" distB="0" distL="114300" distR="114300">
            <wp:extent cx="3338195" cy="3290570"/>
            <wp:effectExtent l="0" t="0" r="14605"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8"/>
                    <a:stretch>
                      <a:fillRect/>
                    </a:stretch>
                  </pic:blipFill>
                  <pic:spPr>
                    <a:xfrm>
                      <a:off x="0" y="0"/>
                      <a:ext cx="3338195" cy="3290570"/>
                    </a:xfrm>
                    <a:prstGeom prst="rect">
                      <a:avLst/>
                    </a:prstGeom>
                    <a:noFill/>
                    <a:ln>
                      <a:noFill/>
                    </a:ln>
                  </pic:spPr>
                </pic:pic>
              </a:graphicData>
            </a:graphic>
          </wp:inline>
        </w:drawing>
      </w:r>
    </w:p>
    <w:p w14:paraId="1C888391">
      <w:pPr>
        <w:pStyle w:val="14"/>
        <w:bidi w:val="0"/>
        <w:rPr>
          <w:rFonts w:hint="eastAsia"/>
          <w:highlight w:val="none"/>
          <w:lang w:val="en-US" w:eastAsia="zh-CN"/>
        </w:rPr>
      </w:pPr>
      <w:r>
        <w:t xml:space="preserve">图 </w:t>
      </w:r>
      <w:r>
        <w:fldChar w:fldCharType="begin"/>
      </w:r>
      <w:r>
        <w:instrText xml:space="preserve"> STYLEREF 2 \s </w:instrText>
      </w:r>
      <w:r>
        <w:fldChar w:fldCharType="separate"/>
      </w:r>
      <w:r>
        <w:t>2.3</w:t>
      </w:r>
      <w:r>
        <w:fldChar w:fldCharType="end"/>
      </w:r>
      <w:r>
        <w:rPr>
          <w:rFonts w:hint="eastAsia"/>
          <w:lang w:eastAsia="zh-CN"/>
        </w:rPr>
        <w:t>-</w:t>
      </w:r>
      <w:r>
        <w:fldChar w:fldCharType="begin"/>
      </w:r>
      <w:r>
        <w:instrText xml:space="preserve"> SEQ 图 \* ARABIC \s 2 </w:instrText>
      </w:r>
      <w:r>
        <w:fldChar w:fldCharType="separate"/>
      </w:r>
      <w:r>
        <w:t>2</w:t>
      </w:r>
      <w:r>
        <w:fldChar w:fldCharType="end"/>
      </w:r>
      <w:r>
        <w:rPr>
          <w:rFonts w:hint="eastAsia"/>
          <w:highlight w:val="none"/>
          <w:lang w:val="en-US" w:eastAsia="zh-CN"/>
        </w:rPr>
        <w:t xml:space="preserve"> 塔式起重机平面布置示意图</w:t>
      </w:r>
    </w:p>
    <w:p w14:paraId="44ADD6CC">
      <w:pPr>
        <w:pStyle w:val="3"/>
        <w:bidi w:val="0"/>
        <w:ind w:left="575" w:leftChars="0" w:hanging="575" w:firstLineChars="0"/>
      </w:pPr>
      <w:bookmarkStart w:id="79" w:name="_Toc25907"/>
      <w:bookmarkStart w:id="80" w:name="_Toc10409773"/>
      <w:bookmarkStart w:id="81" w:name="_Toc10047"/>
      <w:r>
        <w:rPr>
          <w:rFonts w:hint="eastAsia"/>
        </w:rPr>
        <w:t xml:space="preserve"> </w:t>
      </w:r>
      <w:bookmarkStart w:id="82" w:name="_Toc27589"/>
      <w:bookmarkStart w:id="83" w:name="_Toc28961"/>
      <w:r>
        <w:rPr>
          <w:rFonts w:hint="eastAsia"/>
        </w:rPr>
        <w:t>塔式起重机概况</w:t>
      </w:r>
      <w:bookmarkEnd w:id="79"/>
      <w:bookmarkEnd w:id="80"/>
      <w:bookmarkEnd w:id="81"/>
      <w:bookmarkEnd w:id="82"/>
      <w:bookmarkEnd w:id="83"/>
    </w:p>
    <w:p w14:paraId="73D2FD6D">
      <w:pPr>
        <w:pStyle w:val="4"/>
        <w:bidi w:val="0"/>
        <w:ind w:left="720" w:leftChars="0" w:hanging="720" w:firstLineChars="0"/>
        <w:rPr>
          <w:b/>
          <w:bCs/>
        </w:rPr>
      </w:pPr>
      <w:bookmarkStart w:id="84" w:name="_Toc10409774"/>
      <w:r>
        <w:rPr>
          <w:rFonts w:hint="eastAsia"/>
          <w:b/>
          <w:bCs/>
        </w:rPr>
        <w:t>塔式起重机用途</w:t>
      </w:r>
      <w:r>
        <w:rPr>
          <w:b/>
          <w:bCs/>
        </w:rPr>
        <w:t>和</w:t>
      </w:r>
      <w:r>
        <w:rPr>
          <w:rFonts w:hint="eastAsia"/>
          <w:b/>
          <w:bCs/>
        </w:rPr>
        <w:t>使用环境</w:t>
      </w:r>
      <w:bookmarkEnd w:id="84"/>
    </w:p>
    <w:p w14:paraId="1EAFCB3B">
      <w:pPr>
        <w:pStyle w:val="49"/>
        <w:ind w:firstLine="480"/>
        <w:rPr>
          <w:rFonts w:ascii="宋体" w:hAnsi="宋体" w:eastAsia="宋体" w:cs="Times New Roman"/>
          <w:color w:val="auto"/>
          <w:kern w:val="2"/>
          <w:sz w:val="24"/>
          <w:szCs w:val="22"/>
          <w:highlight w:val="none"/>
          <w:lang w:val="en-US" w:eastAsia="zh-CN" w:bidi="ar-SA"/>
        </w:rPr>
      </w:pPr>
      <w:r>
        <w:rPr>
          <w:rFonts w:hint="eastAsia" w:cs="Times New Roman"/>
          <w:color w:val="auto"/>
          <w:kern w:val="2"/>
          <w:sz w:val="24"/>
          <w:szCs w:val="22"/>
          <w:highlight w:val="none"/>
          <w:lang w:val="en-US" w:eastAsia="zh-CN" w:bidi="ar-SA"/>
        </w:rPr>
        <w:t>XGT7020-10S1</w:t>
      </w:r>
      <w:r>
        <w:rPr>
          <w:rFonts w:ascii="宋体" w:hAnsi="宋体" w:eastAsia="宋体" w:cs="Times New Roman"/>
          <w:color w:val="auto"/>
          <w:kern w:val="2"/>
          <w:sz w:val="24"/>
          <w:szCs w:val="22"/>
          <w:highlight w:val="none"/>
          <w:lang w:val="en-US" w:eastAsia="zh-CN" w:bidi="ar-SA"/>
        </w:rPr>
        <w:t>塔式起重机用于</w:t>
      </w:r>
      <w:r>
        <w:rPr>
          <w:rFonts w:hint="eastAsia" w:ascii="宋体" w:hAnsi="宋体" w:eastAsia="宋体" w:cs="Times New Roman"/>
          <w:color w:val="auto"/>
          <w:kern w:val="2"/>
          <w:sz w:val="24"/>
          <w:szCs w:val="22"/>
          <w:highlight w:val="none"/>
          <w:lang w:val="en-US" w:eastAsia="zh-CN" w:bidi="ar-SA"/>
        </w:rPr>
        <w:t>桂林-恭城-贺州公路（桂林至钟山段）№7合同段</w:t>
      </w:r>
      <w:r>
        <w:rPr>
          <w:rFonts w:ascii="宋体" w:hAnsi="宋体" w:eastAsia="宋体" w:cs="Times New Roman"/>
          <w:color w:val="auto"/>
          <w:kern w:val="2"/>
          <w:sz w:val="24"/>
          <w:szCs w:val="22"/>
          <w:highlight w:val="none"/>
          <w:lang w:val="en-US" w:eastAsia="zh-CN" w:bidi="ar-SA"/>
        </w:rPr>
        <w:t>项目</w:t>
      </w:r>
      <w:r>
        <w:rPr>
          <w:rFonts w:hint="eastAsia" w:ascii="宋体" w:hAnsi="宋体" w:eastAsia="宋体" w:cs="Times New Roman"/>
          <w:color w:val="auto"/>
          <w:kern w:val="2"/>
          <w:sz w:val="24"/>
          <w:szCs w:val="22"/>
          <w:highlight w:val="none"/>
          <w:lang w:val="en-US" w:eastAsia="zh-CN" w:bidi="ar-SA"/>
        </w:rPr>
        <w:t>桥梁施工吊装等工作。工作环境要求，最大工作风速≤</w:t>
      </w:r>
      <w:r>
        <w:rPr>
          <w:rFonts w:ascii="宋体" w:hAnsi="宋体" w:eastAsia="宋体" w:cs="Times New Roman"/>
          <w:color w:val="auto"/>
          <w:kern w:val="2"/>
          <w:sz w:val="24"/>
          <w:szCs w:val="22"/>
          <w:highlight w:val="none"/>
          <w:lang w:val="en-US" w:eastAsia="zh-CN" w:bidi="ar-SA"/>
        </w:rPr>
        <w:t>20m/s（6级风），工作环境温度10℃～42℃。</w:t>
      </w:r>
    </w:p>
    <w:p w14:paraId="7E03B6EA">
      <w:pPr>
        <w:pStyle w:val="4"/>
        <w:bidi w:val="0"/>
        <w:ind w:left="720" w:leftChars="0" w:hanging="720" w:firstLineChars="0"/>
        <w:rPr>
          <w:b/>
          <w:bCs/>
        </w:rPr>
      </w:pPr>
      <w:bookmarkStart w:id="85" w:name="_Toc10409775"/>
      <w:r>
        <w:rPr>
          <w:rFonts w:hint="eastAsia"/>
          <w:b/>
          <w:bCs/>
        </w:rPr>
        <w:t>塔式起重机技术参数</w:t>
      </w:r>
      <w:bookmarkEnd w:id="85"/>
    </w:p>
    <w:p w14:paraId="78203933">
      <w:pPr>
        <w:bidi w:val="0"/>
        <w:spacing w:line="360" w:lineRule="auto"/>
        <w:ind w:firstLine="480" w:firstLineChars="200"/>
        <w:rPr>
          <w:highlight w:val="none"/>
        </w:rPr>
      </w:pPr>
      <w:r>
        <w:rPr>
          <w:rFonts w:hint="eastAsia"/>
          <w:highlight w:val="none"/>
          <w:lang w:val="en-US" w:eastAsia="zh-CN"/>
        </w:rPr>
        <w:t>XGT7020-10S1</w:t>
      </w:r>
      <w:r>
        <w:rPr>
          <w:highlight w:val="none"/>
        </w:rPr>
        <w:t>塔式起重</w:t>
      </w:r>
      <w:r>
        <w:rPr>
          <w:rFonts w:hint="eastAsia"/>
          <w:highlight w:val="none"/>
          <w:lang w:val="en-US" w:eastAsia="zh-CN"/>
        </w:rPr>
        <w:t>机</w:t>
      </w:r>
      <w:r>
        <w:rPr>
          <w:highlight w:val="none"/>
        </w:rPr>
        <w:t>为</w:t>
      </w:r>
      <w:r>
        <w:rPr>
          <w:rFonts w:hint="eastAsia"/>
          <w:highlight w:val="none"/>
          <w:lang w:val="en-US" w:eastAsia="zh-CN"/>
        </w:rPr>
        <w:t>徐工</w:t>
      </w:r>
      <w:r>
        <w:rPr>
          <w:highlight w:val="none"/>
        </w:rPr>
        <w:t>生产的平头塔式起重机，产品最大</w:t>
      </w:r>
      <w:r>
        <w:rPr>
          <w:rFonts w:hint="eastAsia"/>
          <w:highlight w:val="none"/>
          <w:lang w:val="en-US" w:eastAsia="zh-CN"/>
        </w:rPr>
        <w:t>工作幅度70</w:t>
      </w:r>
      <w:r>
        <w:rPr>
          <w:highlight w:val="none"/>
        </w:rPr>
        <w:t>m,在臂端</w:t>
      </w:r>
      <w:r>
        <w:rPr>
          <w:rFonts w:hint="eastAsia"/>
          <w:highlight w:val="none"/>
          <w:lang w:val="en-US" w:eastAsia="zh-CN"/>
        </w:rPr>
        <w:t>70</w:t>
      </w:r>
      <w:r>
        <w:rPr>
          <w:highlight w:val="none"/>
        </w:rPr>
        <w:t>m幅度处最大起重量为</w:t>
      </w:r>
      <w:r>
        <w:rPr>
          <w:rFonts w:hint="eastAsia"/>
          <w:highlight w:val="none"/>
          <w:lang w:val="en-US" w:eastAsia="zh-CN"/>
        </w:rPr>
        <w:t>2</w:t>
      </w:r>
      <w:r>
        <w:rPr>
          <w:highlight w:val="none"/>
        </w:rPr>
        <w:t>t,整机最大起重量为</w:t>
      </w:r>
      <w:r>
        <w:rPr>
          <w:rFonts w:hint="eastAsia"/>
          <w:highlight w:val="none"/>
          <w:lang w:val="en-US" w:eastAsia="zh-CN"/>
        </w:rPr>
        <w:t>10</w:t>
      </w:r>
      <w:r>
        <w:rPr>
          <w:highlight w:val="none"/>
        </w:rPr>
        <w:t>t。</w:t>
      </w:r>
    </w:p>
    <w:p w14:paraId="29ACD344">
      <w:pPr>
        <w:ind w:left="0" w:leftChars="0" w:firstLine="0" w:firstLineChars="0"/>
        <w:jc w:val="center"/>
      </w:pPr>
      <w:bookmarkStart w:id="86" w:name="_Toc3545"/>
      <w:bookmarkStart w:id="87" w:name="_Toc10409778"/>
      <w:r>
        <w:drawing>
          <wp:inline distT="0" distB="0" distL="114300" distR="114300">
            <wp:extent cx="4579620" cy="3774440"/>
            <wp:effectExtent l="0" t="0" r="11430" b="1651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9"/>
                    <a:stretch>
                      <a:fillRect/>
                    </a:stretch>
                  </pic:blipFill>
                  <pic:spPr>
                    <a:xfrm>
                      <a:off x="0" y="0"/>
                      <a:ext cx="4579620" cy="3774440"/>
                    </a:xfrm>
                    <a:prstGeom prst="rect">
                      <a:avLst/>
                    </a:prstGeom>
                    <a:noFill/>
                    <a:ln>
                      <a:noFill/>
                    </a:ln>
                  </pic:spPr>
                </pic:pic>
              </a:graphicData>
            </a:graphic>
          </wp:inline>
        </w:drawing>
      </w:r>
      <w:r>
        <w:drawing>
          <wp:inline distT="0" distB="0" distL="114300" distR="114300">
            <wp:extent cx="4512945" cy="1656080"/>
            <wp:effectExtent l="0" t="0" r="1905" b="127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20"/>
                    <a:stretch>
                      <a:fillRect/>
                    </a:stretch>
                  </pic:blipFill>
                  <pic:spPr>
                    <a:xfrm>
                      <a:off x="0" y="0"/>
                      <a:ext cx="4512945" cy="1656080"/>
                    </a:xfrm>
                    <a:prstGeom prst="rect">
                      <a:avLst/>
                    </a:prstGeom>
                    <a:noFill/>
                    <a:ln>
                      <a:noFill/>
                    </a:ln>
                  </pic:spPr>
                </pic:pic>
              </a:graphicData>
            </a:graphic>
          </wp:inline>
        </w:drawing>
      </w:r>
    </w:p>
    <w:p w14:paraId="5D7B0007">
      <w:pPr>
        <w:pStyle w:val="14"/>
      </w:pPr>
      <w:r>
        <w:t xml:space="preserve">图 </w:t>
      </w:r>
      <w:r>
        <w:fldChar w:fldCharType="begin"/>
      </w:r>
      <w:r>
        <w:instrText xml:space="preserve"> STYLEREF 2 \s </w:instrText>
      </w:r>
      <w:r>
        <w:fldChar w:fldCharType="separate"/>
      </w:r>
      <w:r>
        <w:t>2.4</w:t>
      </w:r>
      <w:r>
        <w:fldChar w:fldCharType="end"/>
      </w:r>
      <w:r>
        <w:rPr>
          <w:rFonts w:hint="eastAsia"/>
          <w:lang w:eastAsia="zh-CN"/>
        </w:rPr>
        <w:t>-</w:t>
      </w:r>
      <w:r>
        <w:fldChar w:fldCharType="begin"/>
      </w:r>
      <w:r>
        <w:instrText xml:space="preserve"> SEQ 图 \* ARABIC \s 2 </w:instrText>
      </w:r>
      <w:r>
        <w:fldChar w:fldCharType="separate"/>
      </w:r>
      <w:r>
        <w:t>1</w:t>
      </w:r>
      <w:r>
        <w:fldChar w:fldCharType="end"/>
      </w:r>
      <w:r>
        <w:rPr>
          <w:rFonts w:hint="eastAsia"/>
          <w:lang w:val="en-US" w:eastAsia="zh-CN"/>
        </w:rPr>
        <w:t xml:space="preserve"> </w:t>
      </w:r>
      <w:r>
        <w:rPr>
          <w:rFonts w:hint="eastAsia"/>
          <w:highlight w:val="none"/>
          <w:lang w:val="en-US" w:eastAsia="zh-CN"/>
        </w:rPr>
        <w:t>塔机组成示意图</w:t>
      </w:r>
    </w:p>
    <w:p w14:paraId="4BDC5A7C">
      <w:pPr>
        <w:pStyle w:val="4"/>
        <w:bidi w:val="0"/>
        <w:ind w:left="720" w:leftChars="0" w:hanging="720" w:firstLineChars="0"/>
        <w:rPr>
          <w:rFonts w:hint="default"/>
          <w:b/>
          <w:bCs/>
          <w:lang w:val="en-US" w:eastAsia="zh-CN"/>
        </w:rPr>
      </w:pPr>
      <w:bookmarkStart w:id="88" w:name="_Toc5066"/>
      <w:bookmarkStart w:id="89" w:name="_Toc23068"/>
      <w:bookmarkStart w:id="90" w:name="_Toc1784"/>
      <w:r>
        <w:rPr>
          <w:rFonts w:hint="eastAsia"/>
          <w:b/>
          <w:bCs/>
          <w:lang w:val="en-US" w:eastAsia="zh-CN"/>
        </w:rPr>
        <w:t>整机外形尺寸</w:t>
      </w:r>
      <w:bookmarkEnd w:id="88"/>
      <w:bookmarkEnd w:id="89"/>
      <w:bookmarkEnd w:id="90"/>
    </w:p>
    <w:p w14:paraId="290F7869">
      <w:pPr>
        <w:pStyle w:val="14"/>
      </w:pPr>
      <w:r>
        <w:drawing>
          <wp:inline distT="0" distB="0" distL="114300" distR="114300">
            <wp:extent cx="5924550" cy="5934075"/>
            <wp:effectExtent l="0" t="0" r="0" b="952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21"/>
                    <a:stretch>
                      <a:fillRect/>
                    </a:stretch>
                  </pic:blipFill>
                  <pic:spPr>
                    <a:xfrm>
                      <a:off x="0" y="0"/>
                      <a:ext cx="5924550" cy="5934075"/>
                    </a:xfrm>
                    <a:prstGeom prst="rect">
                      <a:avLst/>
                    </a:prstGeom>
                    <a:noFill/>
                    <a:ln>
                      <a:noFill/>
                    </a:ln>
                  </pic:spPr>
                </pic:pic>
              </a:graphicData>
            </a:graphic>
          </wp:inline>
        </w:drawing>
      </w:r>
    </w:p>
    <w:p w14:paraId="5719E678">
      <w:pPr>
        <w:pStyle w:val="14"/>
      </w:pPr>
      <w:r>
        <w:t xml:space="preserve">图 </w:t>
      </w:r>
      <w:r>
        <w:fldChar w:fldCharType="begin"/>
      </w:r>
      <w:r>
        <w:instrText xml:space="preserve"> STYLEREF 2 \s </w:instrText>
      </w:r>
      <w:r>
        <w:fldChar w:fldCharType="separate"/>
      </w:r>
      <w:r>
        <w:t>2.4</w:t>
      </w:r>
      <w:r>
        <w:fldChar w:fldCharType="end"/>
      </w:r>
      <w:r>
        <w:rPr>
          <w:rFonts w:hint="eastAsia"/>
          <w:lang w:eastAsia="zh-CN"/>
        </w:rPr>
        <w:t>-</w:t>
      </w:r>
      <w:r>
        <w:fldChar w:fldCharType="begin"/>
      </w:r>
      <w:r>
        <w:instrText xml:space="preserve"> SEQ 图 \* ARABIC \s 2 </w:instrText>
      </w:r>
      <w:r>
        <w:fldChar w:fldCharType="separate"/>
      </w:r>
      <w:r>
        <w:t>2</w:t>
      </w:r>
      <w:r>
        <w:fldChar w:fldCharType="end"/>
      </w:r>
      <w:r>
        <w:rPr>
          <w:rFonts w:hint="eastAsia"/>
          <w:lang w:val="en-US" w:eastAsia="zh-CN"/>
        </w:rPr>
        <w:t xml:space="preserve"> </w:t>
      </w:r>
      <w:r>
        <w:rPr>
          <w:rFonts w:hint="eastAsia"/>
          <w:highlight w:val="none"/>
          <w:lang w:val="en-US" w:eastAsia="zh-CN"/>
        </w:rPr>
        <w:t>整机外形示意图</w:t>
      </w:r>
    </w:p>
    <w:p w14:paraId="60057F2F">
      <w:pPr>
        <w:rPr>
          <w:rFonts w:hint="default"/>
          <w:lang w:val="en-US" w:eastAsia="zh-CN"/>
        </w:rPr>
      </w:pPr>
      <w:bookmarkStart w:id="91" w:name="_Toc7342"/>
      <w:bookmarkStart w:id="92" w:name="_Toc24908"/>
      <w:bookmarkStart w:id="93" w:name="_Toc18527"/>
      <w:r>
        <w:rPr>
          <w:rFonts w:hint="eastAsia"/>
          <w:lang w:val="en-US" w:eastAsia="zh-CN"/>
        </w:rPr>
        <w:br w:type="page"/>
      </w:r>
    </w:p>
    <w:p w14:paraId="27F36EC7">
      <w:pPr>
        <w:pStyle w:val="4"/>
        <w:bidi w:val="0"/>
        <w:ind w:left="720" w:leftChars="0" w:hanging="720" w:firstLineChars="0"/>
        <w:rPr>
          <w:rFonts w:hint="default"/>
          <w:b/>
          <w:bCs/>
          <w:lang w:val="en-US" w:eastAsia="zh-CN"/>
        </w:rPr>
      </w:pPr>
      <w:r>
        <w:rPr>
          <w:rFonts w:hint="eastAsia"/>
          <w:b/>
          <w:bCs/>
          <w:lang w:val="en-US" w:eastAsia="zh-CN"/>
        </w:rPr>
        <w:t>整机主要技术参数</w:t>
      </w:r>
      <w:bookmarkEnd w:id="91"/>
      <w:bookmarkEnd w:id="92"/>
      <w:bookmarkEnd w:id="93"/>
    </w:p>
    <w:p w14:paraId="017A1A6D">
      <w:pPr>
        <w:pStyle w:val="14"/>
        <w:ind w:left="0" w:leftChars="0" w:firstLine="0" w:firstLineChars="0"/>
        <w:jc w:val="center"/>
      </w:pPr>
      <w:r>
        <w:t xml:space="preserve">表 </w:t>
      </w:r>
      <w:r>
        <w:fldChar w:fldCharType="begin"/>
      </w:r>
      <w:r>
        <w:instrText xml:space="preserve"> STYLEREF 2 \s </w:instrText>
      </w:r>
      <w:r>
        <w:fldChar w:fldCharType="separate"/>
      </w:r>
      <w:r>
        <w:t>2.4</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lang w:val="en-US" w:eastAsia="zh-CN"/>
        </w:rPr>
        <w:t xml:space="preserve"> </w:t>
      </w:r>
      <w:r>
        <w:rPr>
          <w:rFonts w:hint="eastAsia"/>
          <w:highlight w:val="none"/>
        </w:rPr>
        <w:t>主机性能参数表</w:t>
      </w:r>
    </w:p>
    <w:p w14:paraId="5B1F1DB1">
      <w:pPr>
        <w:ind w:left="0" w:leftChars="0" w:firstLine="0" w:firstLineChars="0"/>
        <w:jc w:val="center"/>
        <w:rPr>
          <w:highlight w:val="none"/>
        </w:rPr>
      </w:pPr>
      <w:r>
        <w:drawing>
          <wp:inline distT="0" distB="0" distL="114300" distR="114300">
            <wp:extent cx="5271135" cy="6987540"/>
            <wp:effectExtent l="0" t="0" r="5715" b="3810"/>
            <wp:docPr id="3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7"/>
                    <pic:cNvPicPr>
                      <a:picLocks noChangeAspect="1"/>
                    </pic:cNvPicPr>
                  </pic:nvPicPr>
                  <pic:blipFill>
                    <a:blip r:embed="rId22"/>
                    <a:stretch>
                      <a:fillRect/>
                    </a:stretch>
                  </pic:blipFill>
                  <pic:spPr>
                    <a:xfrm>
                      <a:off x="0" y="0"/>
                      <a:ext cx="5271135" cy="6987540"/>
                    </a:xfrm>
                    <a:prstGeom prst="rect">
                      <a:avLst/>
                    </a:prstGeom>
                    <a:noFill/>
                    <a:ln>
                      <a:noFill/>
                    </a:ln>
                  </pic:spPr>
                </pic:pic>
              </a:graphicData>
            </a:graphic>
          </wp:inline>
        </w:drawing>
      </w:r>
      <w:r>
        <w:drawing>
          <wp:inline distT="0" distB="0" distL="114300" distR="114300">
            <wp:extent cx="5273040" cy="2153285"/>
            <wp:effectExtent l="0" t="0" r="3810" b="18415"/>
            <wp:docPr id="4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8"/>
                    <pic:cNvPicPr>
                      <a:picLocks noChangeAspect="1"/>
                    </pic:cNvPicPr>
                  </pic:nvPicPr>
                  <pic:blipFill>
                    <a:blip r:embed="rId23"/>
                    <a:stretch>
                      <a:fillRect/>
                    </a:stretch>
                  </pic:blipFill>
                  <pic:spPr>
                    <a:xfrm>
                      <a:off x="0" y="0"/>
                      <a:ext cx="5273040" cy="2153285"/>
                    </a:xfrm>
                    <a:prstGeom prst="rect">
                      <a:avLst/>
                    </a:prstGeom>
                    <a:noFill/>
                    <a:ln>
                      <a:noFill/>
                    </a:ln>
                  </pic:spPr>
                </pic:pic>
              </a:graphicData>
            </a:graphic>
          </wp:inline>
        </w:drawing>
      </w:r>
    </w:p>
    <w:p w14:paraId="271FC124">
      <w:pPr>
        <w:ind w:left="0" w:leftChars="0" w:firstLine="0" w:firstLineChars="0"/>
        <w:jc w:val="center"/>
      </w:pPr>
      <w:r>
        <w:drawing>
          <wp:inline distT="0" distB="0" distL="114300" distR="114300">
            <wp:extent cx="5272405" cy="3667760"/>
            <wp:effectExtent l="0" t="0" r="4445" b="8890"/>
            <wp:docPr id="4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9"/>
                    <pic:cNvPicPr>
                      <a:picLocks noChangeAspect="1"/>
                    </pic:cNvPicPr>
                  </pic:nvPicPr>
                  <pic:blipFill>
                    <a:blip r:embed="rId24"/>
                    <a:stretch>
                      <a:fillRect/>
                    </a:stretch>
                  </pic:blipFill>
                  <pic:spPr>
                    <a:xfrm>
                      <a:off x="0" y="0"/>
                      <a:ext cx="5272405" cy="3667760"/>
                    </a:xfrm>
                    <a:prstGeom prst="rect">
                      <a:avLst/>
                    </a:prstGeom>
                    <a:noFill/>
                    <a:ln>
                      <a:noFill/>
                    </a:ln>
                  </pic:spPr>
                </pic:pic>
              </a:graphicData>
            </a:graphic>
          </wp:inline>
        </w:drawing>
      </w:r>
    </w:p>
    <w:p w14:paraId="75D8C1AD">
      <w:pPr>
        <w:pStyle w:val="14"/>
      </w:pPr>
      <w:r>
        <w:t xml:space="preserve">图 </w:t>
      </w:r>
      <w:r>
        <w:fldChar w:fldCharType="begin"/>
      </w:r>
      <w:r>
        <w:instrText xml:space="preserve"> STYLEREF 2 \s </w:instrText>
      </w:r>
      <w:r>
        <w:fldChar w:fldCharType="separate"/>
      </w:r>
      <w:r>
        <w:t>2.4</w:t>
      </w:r>
      <w:r>
        <w:fldChar w:fldCharType="end"/>
      </w:r>
      <w:r>
        <w:rPr>
          <w:rFonts w:hint="eastAsia"/>
          <w:lang w:eastAsia="zh-CN"/>
        </w:rPr>
        <w:t>-</w:t>
      </w:r>
      <w:r>
        <w:fldChar w:fldCharType="begin"/>
      </w:r>
      <w:r>
        <w:instrText xml:space="preserve"> SEQ 图 \* ARABIC \s 2 </w:instrText>
      </w:r>
      <w:r>
        <w:fldChar w:fldCharType="separate"/>
      </w:r>
      <w:r>
        <w:t>3</w:t>
      </w:r>
      <w:r>
        <w:fldChar w:fldCharType="end"/>
      </w:r>
      <w:r>
        <w:rPr>
          <w:rFonts w:hint="eastAsia"/>
          <w:lang w:val="en-US" w:eastAsia="zh-CN"/>
        </w:rPr>
        <w:t xml:space="preserve"> </w:t>
      </w:r>
      <w:r>
        <w:rPr>
          <w:rFonts w:hint="eastAsia"/>
          <w:highlight w:val="none"/>
          <w:lang w:val="en-US" w:eastAsia="zh-CN"/>
        </w:rPr>
        <w:t>起重性能表</w:t>
      </w:r>
    </w:p>
    <w:p w14:paraId="45709922">
      <w:pPr>
        <w:pStyle w:val="3"/>
        <w:bidi w:val="0"/>
        <w:ind w:left="575" w:leftChars="0" w:hanging="575" w:firstLineChars="0"/>
      </w:pPr>
      <w:bookmarkStart w:id="94" w:name="_Toc23656"/>
      <w:r>
        <w:rPr>
          <w:rFonts w:hint="eastAsia"/>
        </w:rPr>
        <w:t xml:space="preserve"> </w:t>
      </w:r>
      <w:bookmarkStart w:id="95" w:name="_Toc5781"/>
      <w:bookmarkStart w:id="96" w:name="_Toc12038"/>
      <w:r>
        <w:rPr>
          <w:rFonts w:hint="eastAsia"/>
        </w:rPr>
        <w:t>施工要求和技术保证条件</w:t>
      </w:r>
      <w:bookmarkEnd w:id="86"/>
      <w:bookmarkEnd w:id="94"/>
      <w:bookmarkEnd w:id="95"/>
      <w:bookmarkEnd w:id="96"/>
    </w:p>
    <w:p w14:paraId="0E21193E">
      <w:pPr>
        <w:pStyle w:val="4"/>
        <w:bidi w:val="0"/>
        <w:ind w:left="720" w:leftChars="0" w:hanging="720" w:firstLineChars="0"/>
        <w:rPr>
          <w:b/>
          <w:bCs/>
        </w:rPr>
      </w:pPr>
      <w:r>
        <w:rPr>
          <w:rFonts w:hint="eastAsia"/>
          <w:b/>
          <w:bCs/>
          <w:lang w:val="en-US" w:eastAsia="zh-CN"/>
        </w:rPr>
        <w:t>拆除</w:t>
      </w:r>
      <w:r>
        <w:rPr>
          <w:rFonts w:hint="eastAsia"/>
          <w:b/>
          <w:bCs/>
        </w:rPr>
        <w:t>的重点及难点</w:t>
      </w:r>
      <w:bookmarkEnd w:id="87"/>
    </w:p>
    <w:p w14:paraId="4A96FC02">
      <w:pPr>
        <w:pStyle w:val="49"/>
        <w:ind w:firstLine="480"/>
        <w:rPr>
          <w:color w:val="auto"/>
          <w:highlight w:val="none"/>
        </w:rPr>
      </w:pPr>
      <w:r>
        <w:rPr>
          <w:rFonts w:hint="eastAsia"/>
          <w:color w:val="auto"/>
          <w:highlight w:val="none"/>
        </w:rPr>
        <w:t>本方案充分考虑了以下重点和难点问题：</w:t>
      </w:r>
    </w:p>
    <w:p w14:paraId="1C4FD181">
      <w:pPr>
        <w:pStyle w:val="49"/>
        <w:ind w:firstLine="480"/>
        <w:rPr>
          <w:color w:val="auto"/>
          <w:highlight w:val="none"/>
        </w:rPr>
      </w:pPr>
      <w:r>
        <w:rPr>
          <w:rFonts w:hint="eastAsia"/>
          <w:color w:val="auto"/>
          <w:highlight w:val="none"/>
        </w:rPr>
        <w:t>（</w:t>
      </w:r>
      <w:r>
        <w:rPr>
          <w:rFonts w:hint="eastAsia"/>
          <w:color w:val="auto"/>
          <w:highlight w:val="none"/>
          <w:lang w:val="en-US" w:eastAsia="zh-CN"/>
        </w:rPr>
        <w:t>1</w:t>
      </w:r>
      <w:r>
        <w:rPr>
          <w:rFonts w:hint="eastAsia"/>
          <w:color w:val="auto"/>
          <w:highlight w:val="none"/>
        </w:rPr>
        <w:t>）起重臂重量重，吊装</w:t>
      </w:r>
      <w:r>
        <w:rPr>
          <w:rFonts w:hint="eastAsia"/>
          <w:color w:val="auto"/>
          <w:highlight w:val="none"/>
          <w:lang w:val="en-US" w:eastAsia="zh-CN"/>
        </w:rPr>
        <w:t>要求高</w:t>
      </w:r>
      <w:r>
        <w:rPr>
          <w:rFonts w:hint="eastAsia"/>
          <w:color w:val="auto"/>
          <w:highlight w:val="none"/>
        </w:rPr>
        <w:t>；</w:t>
      </w:r>
    </w:p>
    <w:p w14:paraId="410CBD04">
      <w:pPr>
        <w:pStyle w:val="49"/>
        <w:ind w:firstLine="48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）现场</w:t>
      </w:r>
      <w:r>
        <w:rPr>
          <w:rFonts w:hint="eastAsia"/>
          <w:color w:val="auto"/>
          <w:highlight w:val="none"/>
          <w:lang w:val="en-US" w:eastAsia="zh-CN"/>
        </w:rPr>
        <w:t>拆除</w:t>
      </w:r>
      <w:r>
        <w:rPr>
          <w:rFonts w:hint="eastAsia"/>
          <w:color w:val="auto"/>
          <w:highlight w:val="none"/>
        </w:rPr>
        <w:t>场地受限，大型设备吊装难度大；</w:t>
      </w:r>
    </w:p>
    <w:p w14:paraId="6AB8B957">
      <w:pPr>
        <w:pStyle w:val="49"/>
        <w:ind w:firstLine="48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）构建数量多，现场无法堆放，需多次进行转运；</w:t>
      </w:r>
    </w:p>
    <w:p w14:paraId="19EFC26F">
      <w:pPr>
        <w:pStyle w:val="49"/>
        <w:ind w:firstLine="480"/>
        <w:rPr>
          <w:rFonts w:hint="default" w:ascii="宋体" w:hAnsi="宋体" w:eastAsia="宋体" w:cs="Times New Roman"/>
          <w:color w:val="auto"/>
          <w:kern w:val="2"/>
          <w:sz w:val="24"/>
          <w:szCs w:val="22"/>
          <w:highlight w:val="none"/>
          <w:lang w:val="en-US" w:eastAsia="zh-CN" w:bidi="ar-SA"/>
        </w:rPr>
      </w:pPr>
      <w:r>
        <w:rPr>
          <w:rFonts w:hint="eastAsia"/>
          <w:color w:val="auto"/>
          <w:highlight w:val="none"/>
        </w:rPr>
        <w:t>（</w:t>
      </w:r>
      <w:r>
        <w:rPr>
          <w:rFonts w:hint="eastAsia"/>
          <w:color w:val="auto"/>
          <w:highlight w:val="none"/>
          <w:lang w:val="en-US" w:eastAsia="zh-CN"/>
        </w:rPr>
        <w:t>4</w:t>
      </w:r>
      <w:r>
        <w:rPr>
          <w:rFonts w:hint="eastAsia"/>
          <w:color w:val="auto"/>
          <w:highlight w:val="none"/>
        </w:rPr>
        <w:t>）高空作业安全风险大。</w:t>
      </w:r>
    </w:p>
    <w:p w14:paraId="2FF15175">
      <w:pPr>
        <w:pStyle w:val="4"/>
        <w:bidi w:val="0"/>
        <w:ind w:left="720" w:leftChars="0" w:hanging="720" w:firstLineChars="0"/>
        <w:rPr>
          <w:b/>
          <w:bCs/>
        </w:rPr>
      </w:pPr>
      <w:r>
        <w:rPr>
          <w:rFonts w:hint="eastAsia"/>
          <w:b/>
          <w:bCs/>
        </w:rPr>
        <w:t xml:space="preserve"> 技术保证条件</w:t>
      </w:r>
    </w:p>
    <w:p w14:paraId="4D7456AA">
      <w:pPr>
        <w:pStyle w:val="49"/>
        <w:ind w:firstLine="480"/>
        <w:rPr>
          <w:color w:val="auto"/>
          <w:highlight w:val="none"/>
        </w:rPr>
      </w:pPr>
      <w:r>
        <w:rPr>
          <w:rFonts w:hint="eastAsia"/>
          <w:color w:val="auto"/>
          <w:highlight w:val="none"/>
        </w:rPr>
        <w:t>本方案的技术保证条件主要有：</w:t>
      </w:r>
    </w:p>
    <w:p w14:paraId="0FBF8B8C">
      <w:pPr>
        <w:pStyle w:val="49"/>
        <w:ind w:firstLine="480"/>
        <w:rPr>
          <w:color w:val="auto"/>
          <w:highlight w:val="none"/>
        </w:rPr>
      </w:pPr>
      <w:r>
        <w:rPr>
          <w:rFonts w:hint="eastAsia"/>
          <w:color w:val="auto"/>
          <w:highlight w:val="none"/>
        </w:rPr>
        <w:t>（1）对</w:t>
      </w:r>
      <w:r>
        <w:rPr>
          <w:rFonts w:hint="eastAsia"/>
          <w:color w:val="auto"/>
          <w:highlight w:val="none"/>
          <w:lang w:val="en-US" w:eastAsia="zh-CN"/>
        </w:rPr>
        <w:t>拆除</w:t>
      </w:r>
      <w:r>
        <w:rPr>
          <w:rFonts w:hint="eastAsia"/>
          <w:color w:val="auto"/>
          <w:highlight w:val="none"/>
        </w:rPr>
        <w:t>的起吊构件的重量、幅度进行详细的核算；</w:t>
      </w:r>
    </w:p>
    <w:p w14:paraId="07F15E54">
      <w:pPr>
        <w:pStyle w:val="49"/>
        <w:ind w:firstLine="480"/>
        <w:rPr>
          <w:color w:val="auto"/>
          <w:highlight w:val="none"/>
        </w:rPr>
      </w:pPr>
      <w:r>
        <w:rPr>
          <w:rFonts w:hint="eastAsia"/>
          <w:color w:val="auto"/>
          <w:highlight w:val="none"/>
        </w:rPr>
        <w:t>（2）对进场设备进行进场检验，对地基进行验收，确保设备性能及施工条件可靠；</w:t>
      </w:r>
    </w:p>
    <w:p w14:paraId="4E166144">
      <w:pPr>
        <w:pStyle w:val="49"/>
        <w:ind w:firstLine="480"/>
        <w:rPr>
          <w:color w:val="auto"/>
          <w:highlight w:val="none"/>
        </w:rPr>
      </w:pPr>
      <w:r>
        <w:rPr>
          <w:rFonts w:hint="eastAsia"/>
          <w:color w:val="auto"/>
          <w:highlight w:val="none"/>
        </w:rPr>
        <w:t>（3）模拟现场的实际作业情况，保证</w:t>
      </w:r>
      <w:r>
        <w:rPr>
          <w:rFonts w:hint="eastAsia"/>
          <w:color w:val="auto"/>
          <w:highlight w:val="none"/>
          <w:lang w:eastAsia="zh-CN"/>
        </w:rPr>
        <w:t>拆除</w:t>
      </w:r>
      <w:r>
        <w:rPr>
          <w:rFonts w:hint="eastAsia"/>
          <w:color w:val="auto"/>
          <w:highlight w:val="none"/>
        </w:rPr>
        <w:t>场地空间足够，避免吊装过程中的干涉；</w:t>
      </w:r>
    </w:p>
    <w:p w14:paraId="16896A0D">
      <w:pPr>
        <w:pStyle w:val="49"/>
        <w:ind w:firstLine="480"/>
        <w:rPr>
          <w:color w:val="auto"/>
          <w:highlight w:val="none"/>
        </w:rPr>
      </w:pPr>
      <w:r>
        <w:rPr>
          <w:rFonts w:hint="eastAsia"/>
          <w:color w:val="auto"/>
          <w:highlight w:val="none"/>
        </w:rPr>
        <w:t>（4）合理安排</w:t>
      </w:r>
      <w:r>
        <w:rPr>
          <w:rFonts w:hint="eastAsia"/>
          <w:color w:val="auto"/>
          <w:highlight w:val="none"/>
          <w:lang w:val="en-US" w:eastAsia="zh-CN"/>
        </w:rPr>
        <w:t>拆除</w:t>
      </w:r>
      <w:r>
        <w:rPr>
          <w:rFonts w:hint="eastAsia"/>
          <w:color w:val="auto"/>
          <w:highlight w:val="none"/>
        </w:rPr>
        <w:t>工序，协调好场地堆放及构件倒运顺序；</w:t>
      </w:r>
    </w:p>
    <w:p w14:paraId="06B7A98F">
      <w:pPr>
        <w:pStyle w:val="49"/>
        <w:ind w:firstLine="480"/>
        <w:rPr>
          <w:rFonts w:hint="default" w:ascii="宋体" w:hAnsi="宋体" w:eastAsia="宋体" w:cs="Times New Roman"/>
          <w:color w:val="auto"/>
          <w:kern w:val="2"/>
          <w:sz w:val="24"/>
          <w:szCs w:val="22"/>
          <w:highlight w:val="none"/>
          <w:lang w:val="en-US" w:eastAsia="zh-CN" w:bidi="ar-SA"/>
        </w:rPr>
      </w:pPr>
      <w:r>
        <w:rPr>
          <w:rFonts w:hint="eastAsia"/>
          <w:color w:val="auto"/>
          <w:highlight w:val="none"/>
        </w:rPr>
        <w:t>（5）加强技术交底，确保作业过程安全。</w:t>
      </w:r>
    </w:p>
    <w:p w14:paraId="6138F805">
      <w:pPr>
        <w:rPr>
          <w:rFonts w:hint="eastAsia"/>
        </w:rPr>
      </w:pPr>
      <w:bookmarkStart w:id="97" w:name="_Toc10409780"/>
      <w:bookmarkStart w:id="98" w:name="_Toc23981"/>
      <w:bookmarkStart w:id="99" w:name="_Toc8311"/>
      <w:r>
        <w:rPr>
          <w:rFonts w:hint="eastAsia"/>
        </w:rPr>
        <w:br w:type="page"/>
      </w:r>
    </w:p>
    <w:p w14:paraId="5A3AE0EE">
      <w:pPr>
        <w:pStyle w:val="3"/>
        <w:bidi w:val="0"/>
        <w:ind w:left="575" w:leftChars="0" w:hanging="575" w:firstLineChars="0"/>
        <w:rPr>
          <w:rFonts w:hint="eastAsia" w:ascii="宋体" w:hAnsi="宋体" w:eastAsia="宋体" w:cs="Times New Roman"/>
        </w:rPr>
      </w:pPr>
      <w:bookmarkStart w:id="100" w:name="_Toc22211"/>
      <w:bookmarkStart w:id="101" w:name="_Toc9529"/>
      <w:bookmarkStart w:id="102" w:name="_Toc15811"/>
      <w:r>
        <w:rPr>
          <w:rFonts w:hint="eastAsia" w:ascii="宋体" w:hAnsi="宋体" w:eastAsia="宋体" w:cs="Times New Roman"/>
        </w:rPr>
        <w:t>危险源辨识</w:t>
      </w:r>
      <w:bookmarkEnd w:id="100"/>
      <w:bookmarkEnd w:id="101"/>
    </w:p>
    <w:p w14:paraId="2A4B56D1">
      <w:pPr>
        <w:pStyle w:val="4"/>
        <w:tabs>
          <w:tab w:val="left" w:pos="0"/>
          <w:tab w:val="left" w:pos="630"/>
        </w:tabs>
        <w:bidi w:val="0"/>
        <w:rPr>
          <w:rFonts w:hint="default"/>
          <w:lang w:val="en-US" w:eastAsia="zh-CN"/>
        </w:rPr>
      </w:pPr>
      <w:r>
        <w:rPr>
          <w:rFonts w:hint="eastAsia"/>
          <w:lang w:val="en-US" w:eastAsia="zh-CN"/>
        </w:rPr>
        <w:t>危险源评价方法</w:t>
      </w:r>
    </w:p>
    <w:p w14:paraId="550341C1">
      <w:pPr>
        <w:spacing w:line="360" w:lineRule="auto"/>
        <w:ind w:firstLine="480" w:firstLineChars="200"/>
        <w:rPr>
          <w:rFonts w:hint="eastAsia"/>
          <w:highlight w:val="none"/>
          <w:lang w:val="en-US" w:eastAsia="zh-CN"/>
        </w:rPr>
      </w:pPr>
      <w:r>
        <w:rPr>
          <w:rFonts w:hint="eastAsia"/>
          <w:highlight w:val="none"/>
          <w:lang w:val="en-US" w:eastAsia="zh-CN"/>
        </w:rPr>
        <w:t>1、</w:t>
      </w:r>
      <w:r>
        <w:rPr>
          <w:rFonts w:hint="eastAsia"/>
          <w:highlight w:val="none"/>
        </w:rPr>
        <w:t>危险源辨识</w:t>
      </w:r>
    </w:p>
    <w:p w14:paraId="6C87E23A">
      <w:pPr>
        <w:spacing w:line="360" w:lineRule="auto"/>
        <w:ind w:firstLine="480" w:firstLineChars="200"/>
        <w:rPr>
          <w:rFonts w:asciiTheme="minorEastAsia" w:hAnsiTheme="minorEastAsia"/>
          <w:sz w:val="24"/>
          <w:szCs w:val="24"/>
          <w:highlight w:val="none"/>
        </w:rPr>
      </w:pPr>
      <w:r>
        <w:rPr>
          <w:rFonts w:hint="eastAsia" w:asciiTheme="minorEastAsia" w:hAnsiTheme="minorEastAsia"/>
          <w:sz w:val="24"/>
          <w:szCs w:val="24"/>
          <w:highlight w:val="none"/>
        </w:rPr>
        <w:t>危险源是指一个系统中具有潜在能量和物质，释放危险的、可造成人员伤害、财产损失或环境破坏的、在一定的触发因素作用下可转化为事故的部位、区域、场所、空间、岗位、设备及其位置。</w:t>
      </w:r>
    </w:p>
    <w:p w14:paraId="41EF3360">
      <w:pPr>
        <w:bidi w:val="0"/>
        <w:ind w:firstLine="480" w:firstLineChars="200"/>
        <w:rPr>
          <w:rFonts w:hint="default"/>
          <w:highlight w:val="none"/>
          <w:lang w:val="en-US" w:eastAsia="zh-CN"/>
        </w:rPr>
      </w:pPr>
      <w:r>
        <w:rPr>
          <w:rFonts w:hint="eastAsia"/>
          <w:highlight w:val="none"/>
          <w:lang w:val="en-US" w:eastAsia="zh-CN"/>
        </w:rPr>
        <w:t>2、</w:t>
      </w:r>
      <w:r>
        <w:rPr>
          <w:rFonts w:hint="eastAsia"/>
          <w:highlight w:val="none"/>
        </w:rPr>
        <w:t>危险因素评价</w:t>
      </w:r>
    </w:p>
    <w:p w14:paraId="3EC20592">
      <w:pPr>
        <w:pStyle w:val="159"/>
        <w:ind w:firstLine="480"/>
        <w:rPr>
          <w:rFonts w:ascii="宋体" w:hAnsi="宋体"/>
          <w:highlight w:val="none"/>
        </w:rPr>
      </w:pPr>
      <w:r>
        <w:rPr>
          <w:rFonts w:ascii="宋体" w:hAnsi="宋体"/>
          <w:highlight w:val="none"/>
        </w:rPr>
        <w:t>（1）风险估测方法选择</w:t>
      </w:r>
    </w:p>
    <w:p w14:paraId="005B80A2">
      <w:pPr>
        <w:pStyle w:val="159"/>
        <w:ind w:firstLine="480"/>
        <w:rPr>
          <w:rFonts w:ascii="宋体" w:hAnsi="宋体"/>
          <w:highlight w:val="none"/>
        </w:rPr>
      </w:pPr>
      <w:r>
        <w:rPr>
          <w:rFonts w:ascii="宋体" w:hAnsi="宋体"/>
          <w:highlight w:val="none"/>
        </w:rPr>
        <w:t>风险估测是采用定性或定量的方法对风险事故发生的可能性及严重程度进行数量估算。采用LEC法对该合同段工程进行风险估测。风险分值D=LEC。D值越大，说明该系统危险性大。</w:t>
      </w:r>
    </w:p>
    <w:p w14:paraId="72DC453A">
      <w:pPr>
        <w:pStyle w:val="159"/>
        <w:ind w:firstLine="480"/>
        <w:rPr>
          <w:rFonts w:ascii="宋体" w:hAnsi="宋体"/>
          <w:highlight w:val="none"/>
        </w:rPr>
      </w:pPr>
      <w:r>
        <w:rPr>
          <w:rFonts w:ascii="宋体" w:hAnsi="宋体"/>
          <w:highlight w:val="none"/>
        </w:rPr>
        <w:t>（2）量化分值标准</w:t>
      </w:r>
    </w:p>
    <w:p w14:paraId="58C23FB2">
      <w:pPr>
        <w:pStyle w:val="159"/>
        <w:ind w:firstLine="480"/>
        <w:rPr>
          <w:rFonts w:ascii="宋体" w:hAnsi="宋体"/>
          <w:highlight w:val="none"/>
        </w:rPr>
      </w:pPr>
      <w:r>
        <w:rPr>
          <w:rFonts w:ascii="宋体" w:hAnsi="宋体"/>
          <w:highlight w:val="none"/>
        </w:rPr>
        <w:t>为了简化计算，将事故发生的可能性、施工人员暴露事件、事故发生后果划分不同的等级并赋值。</w:t>
      </w:r>
    </w:p>
    <w:p w14:paraId="73A43463">
      <w:pPr>
        <w:pStyle w:val="159"/>
        <w:ind w:firstLine="480"/>
        <w:rPr>
          <w:rFonts w:ascii="宋体" w:hAnsi="宋体"/>
          <w:highlight w:val="none"/>
        </w:rPr>
      </w:pPr>
      <w:r>
        <w:rPr>
          <w:rFonts w:ascii="宋体" w:hAnsi="宋体"/>
          <w:highlight w:val="none"/>
        </w:rPr>
        <w:t>其中：D一风险值；L一发生事故的可能性；E一暴露于危险环境的频繁程度；</w:t>
      </w:r>
    </w:p>
    <w:p w14:paraId="032FDCF7">
      <w:pPr>
        <w:pStyle w:val="159"/>
        <w:ind w:firstLine="480"/>
        <w:rPr>
          <w:rFonts w:ascii="宋体" w:hAnsi="宋体"/>
          <w:highlight w:val="none"/>
        </w:rPr>
      </w:pPr>
      <w:r>
        <w:rPr>
          <w:rFonts w:ascii="宋体" w:hAnsi="宋体"/>
          <w:highlight w:val="none"/>
        </w:rPr>
        <w:t>C一发生事故造成的后果。</w:t>
      </w:r>
    </w:p>
    <w:p w14:paraId="20991E0C">
      <w:pPr>
        <w:pStyle w:val="159"/>
        <w:ind w:firstLine="480"/>
        <w:rPr>
          <w:rFonts w:ascii="宋体" w:hAnsi="宋体"/>
          <w:highlight w:val="none"/>
        </w:rPr>
      </w:pPr>
      <w:r>
        <w:rPr>
          <w:rFonts w:ascii="宋体" w:hAnsi="宋体"/>
          <w:highlight w:val="none"/>
        </w:rPr>
        <w:t>发生事故的可能性（</w:t>
      </w:r>
      <w:r>
        <w:rPr>
          <w:rFonts w:hint="eastAsia" w:ascii="宋体" w:hAnsi="宋体"/>
          <w:highlight w:val="none"/>
        </w:rPr>
        <w:t>L</w:t>
      </w:r>
      <w:r>
        <w:rPr>
          <w:rFonts w:ascii="宋体" w:hAnsi="宋体"/>
          <w:highlight w:val="none"/>
        </w:rPr>
        <w:t>）</w:t>
      </w:r>
    </w:p>
    <w:p w14:paraId="46493BE4">
      <w:pPr>
        <w:pStyle w:val="159"/>
        <w:ind w:firstLine="480"/>
        <w:rPr>
          <w:rFonts w:hint="eastAsia" w:ascii="宋体" w:hAnsi="宋体" w:eastAsia="宋体" w:cs="宋体"/>
          <w:highlight w:val="none"/>
        </w:rPr>
      </w:pPr>
      <w:r>
        <w:rPr>
          <w:rFonts w:hint="eastAsia" w:ascii="宋体" w:hAnsi="宋体" w:eastAsia="宋体" w:cs="宋体"/>
          <w:highlight w:val="none"/>
        </w:rPr>
        <w:t>从系统安全角度考虑将“发生事故可能性极小”的分数定为0.1，而必然要发生的事故的分数定为10，介于这两种情况之间的情况</w:t>
      </w:r>
      <w:r>
        <w:rPr>
          <w:rFonts w:hint="eastAsia" w:ascii="宋体" w:hAnsi="宋体" w:eastAsia="宋体" w:cs="宋体"/>
          <w:highlight w:val="none"/>
          <w:lang w:eastAsia="zh-CN"/>
        </w:rPr>
        <w:t>制定</w:t>
      </w:r>
      <w:r>
        <w:rPr>
          <w:rFonts w:hint="eastAsia" w:ascii="宋体" w:hAnsi="宋体" w:eastAsia="宋体" w:cs="宋体"/>
          <w:highlight w:val="none"/>
        </w:rPr>
        <w:t>了若干个中间值，如</w:t>
      </w:r>
      <w:r>
        <w:rPr>
          <w:rFonts w:hint="eastAsia" w:ascii="宋体" w:hAnsi="宋体" w:eastAsia="宋体" w:cs="宋体"/>
          <w:highlight w:val="none"/>
          <w:lang w:val="en-US" w:eastAsia="zh-CN"/>
        </w:rPr>
        <w:t>下表</w:t>
      </w:r>
      <w:r>
        <w:rPr>
          <w:rFonts w:hint="eastAsia" w:ascii="宋体" w:hAnsi="宋体" w:eastAsia="宋体" w:cs="宋体"/>
          <w:highlight w:val="none"/>
        </w:rPr>
        <w:t>所示：</w:t>
      </w:r>
    </w:p>
    <w:p w14:paraId="4AD2B3E8">
      <w:pPr>
        <w:pStyle w:val="42"/>
        <w:bidi w:val="0"/>
        <w:rPr>
          <w:rFonts w:hint="eastAsia" w:ascii="宋体" w:hAnsi="宋体" w:eastAsia="宋体" w:cs="宋体"/>
          <w:highlight w:val="none"/>
        </w:rPr>
      </w:pPr>
      <w:r>
        <w:rPr>
          <w:rFonts w:hint="eastAsia" w:ascii="宋体" w:hAnsi="宋体" w:eastAsia="宋体" w:cs="宋体"/>
          <w:highlight w:val="none"/>
        </w:rPr>
        <w:t>表</w:t>
      </w:r>
      <w:r>
        <w:rPr>
          <w:rFonts w:hint="eastAsia" w:ascii="宋体" w:hAnsi="宋体" w:eastAsia="宋体" w:cs="宋体"/>
          <w:highlight w:val="none"/>
          <w:lang w:val="en-US" w:eastAsia="zh-CN"/>
        </w:rPr>
        <w:t>2.6</w:t>
      </w:r>
      <w:r>
        <w:rPr>
          <w:rFonts w:hint="eastAsia" w:ascii="宋体" w:hAnsi="宋体" w:eastAsia="宋体" w:cs="宋体"/>
          <w:highlight w:val="none"/>
        </w:rPr>
        <w:t>-1发生事故的可能性（L）</w:t>
      </w:r>
    </w:p>
    <w:tbl>
      <w:tblPr>
        <w:tblStyle w:val="29"/>
        <w:tblW w:w="4998" w:type="pct"/>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Layout w:type="autofit"/>
        <w:tblCellMar>
          <w:top w:w="0" w:type="dxa"/>
          <w:left w:w="108" w:type="dxa"/>
          <w:bottom w:w="0" w:type="dxa"/>
          <w:right w:w="108" w:type="dxa"/>
        </w:tblCellMar>
      </w:tblPr>
      <w:tblGrid>
        <w:gridCol w:w="1428"/>
        <w:gridCol w:w="3552"/>
        <w:gridCol w:w="1426"/>
        <w:gridCol w:w="3552"/>
      </w:tblGrid>
      <w:tr w14:paraId="29093A57">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717" w:type="pct"/>
            <w:shd w:val="clear" w:color="auto" w:fill="FFFFFF" w:themeFill="background1"/>
            <w:noWrap w:val="0"/>
            <w:vAlign w:val="center"/>
          </w:tcPr>
          <w:p w14:paraId="4F9755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分数值</w:t>
            </w:r>
          </w:p>
        </w:tc>
        <w:tc>
          <w:tcPr>
            <w:tcW w:w="1783" w:type="pct"/>
            <w:shd w:val="clear" w:color="auto" w:fill="FFFFFF" w:themeFill="background1"/>
            <w:noWrap w:val="0"/>
            <w:vAlign w:val="center"/>
          </w:tcPr>
          <w:p w14:paraId="632AD0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事故发生的可能性</w:t>
            </w:r>
          </w:p>
        </w:tc>
        <w:tc>
          <w:tcPr>
            <w:tcW w:w="716" w:type="pct"/>
            <w:shd w:val="clear" w:color="auto" w:fill="FFFFFF" w:themeFill="background1"/>
            <w:noWrap w:val="0"/>
            <w:vAlign w:val="center"/>
          </w:tcPr>
          <w:p w14:paraId="755D2F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分数值</w:t>
            </w:r>
          </w:p>
        </w:tc>
        <w:tc>
          <w:tcPr>
            <w:tcW w:w="1783" w:type="pct"/>
            <w:shd w:val="clear" w:color="auto" w:fill="FFFFFF" w:themeFill="background1"/>
            <w:noWrap w:val="0"/>
            <w:vAlign w:val="center"/>
          </w:tcPr>
          <w:p w14:paraId="4BE8D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事故发生的可能性</w:t>
            </w:r>
          </w:p>
        </w:tc>
      </w:tr>
      <w:tr w14:paraId="433D6C16">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717" w:type="pct"/>
            <w:shd w:val="clear" w:color="auto" w:fill="FFFFFF" w:themeFill="background1"/>
            <w:noWrap w:val="0"/>
            <w:vAlign w:val="center"/>
          </w:tcPr>
          <w:p w14:paraId="3C6202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10</w:t>
            </w:r>
          </w:p>
        </w:tc>
        <w:tc>
          <w:tcPr>
            <w:tcW w:w="1783" w:type="pct"/>
            <w:shd w:val="clear" w:color="auto" w:fill="FFFFFF" w:themeFill="background1"/>
            <w:noWrap w:val="0"/>
            <w:vAlign w:val="center"/>
          </w:tcPr>
          <w:p w14:paraId="304D4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完全可能预料</w:t>
            </w:r>
          </w:p>
        </w:tc>
        <w:tc>
          <w:tcPr>
            <w:tcW w:w="716" w:type="pct"/>
            <w:shd w:val="clear" w:color="auto" w:fill="FFFFFF" w:themeFill="background1"/>
            <w:noWrap w:val="0"/>
            <w:vAlign w:val="center"/>
          </w:tcPr>
          <w:p w14:paraId="723113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0.5</w:t>
            </w:r>
          </w:p>
        </w:tc>
        <w:tc>
          <w:tcPr>
            <w:tcW w:w="1783" w:type="pct"/>
            <w:shd w:val="clear" w:color="auto" w:fill="FFFFFF" w:themeFill="background1"/>
            <w:noWrap w:val="0"/>
            <w:vAlign w:val="center"/>
          </w:tcPr>
          <w:p w14:paraId="02B051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很不可能，可以设想</w:t>
            </w:r>
          </w:p>
        </w:tc>
      </w:tr>
      <w:tr w14:paraId="2FBCCD37">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717" w:type="pct"/>
            <w:shd w:val="clear" w:color="auto" w:fill="FFFFFF" w:themeFill="background1"/>
            <w:noWrap w:val="0"/>
            <w:vAlign w:val="center"/>
          </w:tcPr>
          <w:p w14:paraId="3251F1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6</w:t>
            </w:r>
          </w:p>
        </w:tc>
        <w:tc>
          <w:tcPr>
            <w:tcW w:w="1783" w:type="pct"/>
            <w:shd w:val="clear" w:color="auto" w:fill="FFFFFF" w:themeFill="background1"/>
            <w:noWrap w:val="0"/>
            <w:vAlign w:val="center"/>
          </w:tcPr>
          <w:p w14:paraId="63E05D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相当可能</w:t>
            </w:r>
          </w:p>
        </w:tc>
        <w:tc>
          <w:tcPr>
            <w:tcW w:w="716" w:type="pct"/>
            <w:shd w:val="clear" w:color="auto" w:fill="FFFFFF" w:themeFill="background1"/>
            <w:noWrap w:val="0"/>
            <w:vAlign w:val="center"/>
          </w:tcPr>
          <w:p w14:paraId="4C227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0.2</w:t>
            </w:r>
          </w:p>
        </w:tc>
        <w:tc>
          <w:tcPr>
            <w:tcW w:w="1783" w:type="pct"/>
            <w:shd w:val="clear" w:color="auto" w:fill="FFFFFF" w:themeFill="background1"/>
            <w:noWrap w:val="0"/>
            <w:vAlign w:val="center"/>
          </w:tcPr>
          <w:p w14:paraId="7449BA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极不可能</w:t>
            </w:r>
          </w:p>
        </w:tc>
      </w:tr>
      <w:tr w14:paraId="221A0091">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717" w:type="pct"/>
            <w:shd w:val="clear" w:color="auto" w:fill="FFFFFF" w:themeFill="background1"/>
            <w:noWrap w:val="0"/>
            <w:vAlign w:val="center"/>
          </w:tcPr>
          <w:p w14:paraId="04F2AA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3</w:t>
            </w:r>
          </w:p>
        </w:tc>
        <w:tc>
          <w:tcPr>
            <w:tcW w:w="1783" w:type="pct"/>
            <w:shd w:val="clear" w:color="auto" w:fill="FFFFFF" w:themeFill="background1"/>
            <w:noWrap w:val="0"/>
            <w:vAlign w:val="center"/>
          </w:tcPr>
          <w:p w14:paraId="6C0115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可能，但不经常</w:t>
            </w:r>
          </w:p>
        </w:tc>
        <w:tc>
          <w:tcPr>
            <w:tcW w:w="716" w:type="pct"/>
            <w:shd w:val="clear" w:color="auto" w:fill="FFFFFF" w:themeFill="background1"/>
            <w:noWrap w:val="0"/>
            <w:vAlign w:val="center"/>
          </w:tcPr>
          <w:p w14:paraId="764DE4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0.1</w:t>
            </w:r>
          </w:p>
        </w:tc>
        <w:tc>
          <w:tcPr>
            <w:tcW w:w="1783" w:type="pct"/>
            <w:shd w:val="clear" w:color="auto" w:fill="FFFFFF" w:themeFill="background1"/>
            <w:noWrap w:val="0"/>
            <w:vAlign w:val="center"/>
          </w:tcPr>
          <w:p w14:paraId="2218AF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实际不可能</w:t>
            </w:r>
          </w:p>
        </w:tc>
      </w:tr>
      <w:tr w14:paraId="1C69133D">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717" w:type="pct"/>
            <w:shd w:val="clear" w:color="auto" w:fill="FFFFFF" w:themeFill="background1"/>
            <w:noWrap w:val="0"/>
            <w:vAlign w:val="center"/>
          </w:tcPr>
          <w:p w14:paraId="532BC4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1</w:t>
            </w:r>
          </w:p>
        </w:tc>
        <w:tc>
          <w:tcPr>
            <w:tcW w:w="1783" w:type="pct"/>
            <w:shd w:val="clear" w:color="auto" w:fill="FFFFFF" w:themeFill="background1"/>
            <w:noWrap w:val="0"/>
            <w:vAlign w:val="center"/>
          </w:tcPr>
          <w:p w14:paraId="5CD848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可能性小，完全意外</w:t>
            </w:r>
          </w:p>
        </w:tc>
        <w:tc>
          <w:tcPr>
            <w:tcW w:w="716" w:type="pct"/>
            <w:shd w:val="clear" w:color="auto" w:fill="FFFFFF" w:themeFill="background1"/>
            <w:noWrap w:val="0"/>
            <w:vAlign w:val="center"/>
          </w:tcPr>
          <w:p w14:paraId="015C40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p>
        </w:tc>
        <w:tc>
          <w:tcPr>
            <w:tcW w:w="1783" w:type="pct"/>
            <w:shd w:val="clear" w:color="auto" w:fill="FFFFFF" w:themeFill="background1"/>
            <w:noWrap w:val="0"/>
            <w:vAlign w:val="center"/>
          </w:tcPr>
          <w:p w14:paraId="47A402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p>
        </w:tc>
      </w:tr>
    </w:tbl>
    <w:p w14:paraId="2D2D3F1A">
      <w:pPr>
        <w:pStyle w:val="159"/>
        <w:ind w:firstLine="480"/>
        <w:rPr>
          <w:rFonts w:hint="eastAsia" w:ascii="宋体" w:hAnsi="宋体" w:eastAsia="宋体" w:cs="宋体"/>
          <w:highlight w:val="none"/>
        </w:rPr>
      </w:pPr>
      <w:r>
        <w:rPr>
          <w:rFonts w:hint="eastAsia" w:ascii="宋体" w:hAnsi="宋体" w:eastAsia="宋体" w:cs="宋体"/>
          <w:highlight w:val="none"/>
        </w:rPr>
        <w:t>②暴露于危险环境的频繁程度（E）</w:t>
      </w:r>
    </w:p>
    <w:p w14:paraId="19BC4B25">
      <w:pPr>
        <w:pStyle w:val="159"/>
        <w:ind w:firstLine="480"/>
        <w:rPr>
          <w:rFonts w:hint="eastAsia" w:ascii="宋体" w:hAnsi="宋体" w:eastAsia="宋体" w:cs="宋体"/>
          <w:highlight w:val="none"/>
        </w:rPr>
      </w:pPr>
      <w:r>
        <w:rPr>
          <w:rFonts w:hint="eastAsia" w:ascii="宋体" w:hAnsi="宋体" w:eastAsia="宋体" w:cs="宋体"/>
          <w:highlight w:val="none"/>
        </w:rPr>
        <w:t>人员出现在危险环境中的时间越多，则危险性越大规定连续出现在危险环境的情况分数定为10，而非常罕见地出现在危险环境中分数定为0.5，将介于两者之间的各种情况规定若干个中间值，如下表所示：</w:t>
      </w:r>
    </w:p>
    <w:p w14:paraId="3F2ACA04">
      <w:pPr>
        <w:pStyle w:val="42"/>
        <w:bidi w:val="0"/>
        <w:rPr>
          <w:rFonts w:hint="eastAsia" w:ascii="宋体" w:hAnsi="宋体" w:eastAsia="宋体" w:cs="宋体"/>
          <w:highlight w:val="none"/>
        </w:rPr>
      </w:pPr>
      <w:r>
        <w:rPr>
          <w:rFonts w:hint="eastAsia" w:ascii="宋体" w:hAnsi="宋体" w:eastAsia="宋体" w:cs="宋体"/>
          <w:highlight w:val="none"/>
        </w:rPr>
        <w:t>表</w:t>
      </w:r>
      <w:r>
        <w:rPr>
          <w:rFonts w:hint="eastAsia" w:ascii="宋体" w:hAnsi="宋体" w:eastAsia="宋体" w:cs="宋体"/>
          <w:highlight w:val="none"/>
          <w:lang w:val="en-US" w:eastAsia="zh-CN"/>
        </w:rPr>
        <w:t>2.6</w:t>
      </w:r>
      <w:r>
        <w:rPr>
          <w:rFonts w:hint="eastAsia" w:ascii="宋体" w:hAnsi="宋体" w:eastAsia="宋体" w:cs="宋体"/>
          <w:highlight w:val="none"/>
        </w:rPr>
        <w:t>-2暴露于危险环境的频繁程度（E）</w:t>
      </w:r>
    </w:p>
    <w:tbl>
      <w:tblPr>
        <w:tblStyle w:val="29"/>
        <w:tblW w:w="4999" w:type="pct"/>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Layout w:type="autofit"/>
        <w:tblCellMar>
          <w:top w:w="0" w:type="dxa"/>
          <w:left w:w="108" w:type="dxa"/>
          <w:bottom w:w="0" w:type="dxa"/>
          <w:right w:w="108" w:type="dxa"/>
        </w:tblCellMar>
      </w:tblPr>
      <w:tblGrid>
        <w:gridCol w:w="2891"/>
        <w:gridCol w:w="7069"/>
      </w:tblGrid>
      <w:tr w14:paraId="028EB475">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1451" w:type="pct"/>
            <w:shd w:val="clear" w:color="auto" w:fill="FFFFFF" w:themeFill="background1"/>
            <w:noWrap w:val="0"/>
            <w:vAlign w:val="center"/>
          </w:tcPr>
          <w:p w14:paraId="67830ED9">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b/>
                <w:highlight w:val="none"/>
              </w:rPr>
            </w:pPr>
            <w:r>
              <w:rPr>
                <w:rFonts w:hint="eastAsia" w:ascii="宋体" w:hAnsi="宋体" w:eastAsia="宋体" w:cs="宋体"/>
                <w:b/>
                <w:highlight w:val="none"/>
              </w:rPr>
              <w:t>分数值</w:t>
            </w:r>
          </w:p>
        </w:tc>
        <w:tc>
          <w:tcPr>
            <w:tcW w:w="3548" w:type="pct"/>
            <w:shd w:val="clear" w:color="auto" w:fill="FFFFFF" w:themeFill="background1"/>
            <w:noWrap w:val="0"/>
            <w:vAlign w:val="center"/>
          </w:tcPr>
          <w:p w14:paraId="467E7A32">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b/>
                <w:highlight w:val="none"/>
              </w:rPr>
            </w:pPr>
            <w:r>
              <w:rPr>
                <w:rFonts w:hint="eastAsia" w:ascii="宋体" w:hAnsi="宋体" w:eastAsia="宋体" w:cs="宋体"/>
                <w:b/>
                <w:highlight w:val="none"/>
              </w:rPr>
              <w:t>暴露于危险环境的频繁程度</w:t>
            </w:r>
          </w:p>
        </w:tc>
      </w:tr>
      <w:tr w14:paraId="4AEDD3F8">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451" w:type="pct"/>
            <w:shd w:val="clear" w:color="auto" w:fill="FFFFFF" w:themeFill="background1"/>
            <w:noWrap w:val="0"/>
            <w:vAlign w:val="center"/>
          </w:tcPr>
          <w:p w14:paraId="370210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10</w:t>
            </w:r>
          </w:p>
        </w:tc>
        <w:tc>
          <w:tcPr>
            <w:tcW w:w="3548" w:type="pct"/>
            <w:shd w:val="clear" w:color="auto" w:fill="FFFFFF" w:themeFill="background1"/>
            <w:noWrap w:val="0"/>
            <w:vAlign w:val="center"/>
          </w:tcPr>
          <w:p w14:paraId="791FC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连续暴露</w:t>
            </w:r>
          </w:p>
        </w:tc>
      </w:tr>
      <w:tr w14:paraId="24A3F2AD">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1451" w:type="pct"/>
            <w:shd w:val="clear" w:color="auto" w:fill="FFFFFF" w:themeFill="background1"/>
            <w:noWrap w:val="0"/>
            <w:vAlign w:val="center"/>
          </w:tcPr>
          <w:p w14:paraId="01C3F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6</w:t>
            </w:r>
          </w:p>
        </w:tc>
        <w:tc>
          <w:tcPr>
            <w:tcW w:w="3548" w:type="pct"/>
            <w:shd w:val="clear" w:color="auto" w:fill="FFFFFF" w:themeFill="background1"/>
            <w:noWrap w:val="0"/>
            <w:vAlign w:val="center"/>
          </w:tcPr>
          <w:p w14:paraId="250253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每天工作时间内暴露</w:t>
            </w:r>
          </w:p>
        </w:tc>
      </w:tr>
      <w:tr w14:paraId="673F24F5">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451" w:type="pct"/>
            <w:shd w:val="clear" w:color="auto" w:fill="FFFFFF" w:themeFill="background1"/>
            <w:noWrap w:val="0"/>
            <w:vAlign w:val="center"/>
          </w:tcPr>
          <w:p w14:paraId="510521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3</w:t>
            </w:r>
          </w:p>
        </w:tc>
        <w:tc>
          <w:tcPr>
            <w:tcW w:w="3548" w:type="pct"/>
            <w:shd w:val="clear" w:color="auto" w:fill="FFFFFF" w:themeFill="background1"/>
            <w:noWrap w:val="0"/>
            <w:vAlign w:val="center"/>
          </w:tcPr>
          <w:p w14:paraId="3D2FCA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每周一次，或偶然暴露</w:t>
            </w:r>
          </w:p>
        </w:tc>
      </w:tr>
      <w:tr w14:paraId="2922CCAC">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451" w:type="pct"/>
            <w:shd w:val="clear" w:color="auto" w:fill="FFFFFF" w:themeFill="background1"/>
            <w:noWrap w:val="0"/>
            <w:vAlign w:val="center"/>
          </w:tcPr>
          <w:p w14:paraId="5B120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2</w:t>
            </w:r>
          </w:p>
        </w:tc>
        <w:tc>
          <w:tcPr>
            <w:tcW w:w="3548" w:type="pct"/>
            <w:shd w:val="clear" w:color="auto" w:fill="FFFFFF" w:themeFill="background1"/>
            <w:noWrap w:val="0"/>
            <w:vAlign w:val="center"/>
          </w:tcPr>
          <w:p w14:paraId="24511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每月一次暴露</w:t>
            </w:r>
          </w:p>
        </w:tc>
      </w:tr>
      <w:tr w14:paraId="1F615111">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1451" w:type="pct"/>
            <w:shd w:val="clear" w:color="auto" w:fill="FFFFFF" w:themeFill="background1"/>
            <w:noWrap w:val="0"/>
            <w:vAlign w:val="center"/>
          </w:tcPr>
          <w:p w14:paraId="231ED5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1</w:t>
            </w:r>
          </w:p>
        </w:tc>
        <w:tc>
          <w:tcPr>
            <w:tcW w:w="3548" w:type="pct"/>
            <w:shd w:val="clear" w:color="auto" w:fill="FFFFFF" w:themeFill="background1"/>
            <w:noWrap w:val="0"/>
            <w:vAlign w:val="center"/>
          </w:tcPr>
          <w:p w14:paraId="40E234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每年几次暴露</w:t>
            </w:r>
          </w:p>
        </w:tc>
      </w:tr>
      <w:tr w14:paraId="50B9765A">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1451" w:type="pct"/>
            <w:shd w:val="clear" w:color="auto" w:fill="FFFFFF" w:themeFill="background1"/>
            <w:noWrap w:val="0"/>
            <w:vAlign w:val="center"/>
          </w:tcPr>
          <w:p w14:paraId="2B558F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0.5</w:t>
            </w:r>
          </w:p>
        </w:tc>
        <w:tc>
          <w:tcPr>
            <w:tcW w:w="3548" w:type="pct"/>
            <w:shd w:val="clear" w:color="auto" w:fill="FFFFFF" w:themeFill="background1"/>
            <w:noWrap w:val="0"/>
            <w:vAlign w:val="center"/>
          </w:tcPr>
          <w:p w14:paraId="033B3E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t>非常罕见地暴露</w:t>
            </w:r>
          </w:p>
        </w:tc>
      </w:tr>
    </w:tbl>
    <w:p w14:paraId="74D0941E">
      <w:pPr>
        <w:pStyle w:val="159"/>
        <w:ind w:firstLine="480"/>
        <w:rPr>
          <w:rFonts w:hint="eastAsia" w:ascii="宋体" w:hAnsi="宋体" w:eastAsia="宋体" w:cs="宋体"/>
          <w:highlight w:val="none"/>
        </w:rPr>
      </w:pPr>
      <w:r>
        <w:rPr>
          <w:rFonts w:hint="eastAsia" w:ascii="宋体" w:hAnsi="宋体" w:eastAsia="宋体" w:cs="宋体"/>
          <w:highlight w:val="none"/>
        </w:rPr>
        <w:t>③发生事故造成的后果（C）</w:t>
      </w:r>
    </w:p>
    <w:p w14:paraId="16CBBED2">
      <w:pPr>
        <w:pStyle w:val="159"/>
        <w:ind w:firstLine="480"/>
        <w:rPr>
          <w:rFonts w:hint="eastAsia" w:ascii="宋体" w:hAnsi="宋体" w:eastAsia="宋体" w:cs="宋体"/>
          <w:highlight w:val="none"/>
        </w:rPr>
      </w:pPr>
      <w:r>
        <w:rPr>
          <w:rFonts w:hint="eastAsia" w:ascii="宋体" w:hAnsi="宋体" w:eastAsia="宋体" w:cs="宋体"/>
          <w:highlight w:val="none"/>
        </w:rPr>
        <w:t>事故造成的人身伤害与财产损失变化范围很大，对伤亡事故来说，可从极小的轻伤直到多人死亡的严重后果。由于范围广阔，所以规定的分数值为1～100，轻伤规定分数值1，把造成十人以上死亡的可能性分数规定为100，</w:t>
      </w:r>
      <w:r>
        <w:rPr>
          <w:rFonts w:hint="eastAsia" w:ascii="宋体" w:hAnsi="宋体" w:eastAsia="宋体" w:cs="宋体"/>
          <w:highlight w:val="none"/>
          <w:lang w:eastAsia="zh-CN"/>
        </w:rPr>
        <w:t>其他情况的</w:t>
      </w:r>
      <w:r>
        <w:rPr>
          <w:rFonts w:hint="eastAsia" w:ascii="宋体" w:hAnsi="宋体" w:eastAsia="宋体" w:cs="宋体"/>
          <w:highlight w:val="none"/>
        </w:rPr>
        <w:t>数值在1～100之间，如下表所示：</w:t>
      </w:r>
    </w:p>
    <w:p w14:paraId="34A40215">
      <w:pPr>
        <w:pStyle w:val="42"/>
        <w:bidi w:val="0"/>
        <w:rPr>
          <w:rFonts w:hint="eastAsia" w:ascii="宋体" w:hAnsi="宋体" w:eastAsia="宋体" w:cs="宋体"/>
          <w:highlight w:val="none"/>
        </w:rPr>
      </w:pPr>
      <w:r>
        <w:rPr>
          <w:rFonts w:hint="eastAsia" w:ascii="宋体" w:hAnsi="宋体" w:eastAsia="宋体" w:cs="宋体"/>
          <w:highlight w:val="none"/>
        </w:rPr>
        <w:t>表</w:t>
      </w:r>
      <w:r>
        <w:rPr>
          <w:rFonts w:hint="eastAsia" w:ascii="宋体" w:hAnsi="宋体" w:eastAsia="宋体" w:cs="宋体"/>
          <w:highlight w:val="none"/>
          <w:lang w:val="en-US" w:eastAsia="zh-CN"/>
        </w:rPr>
        <w:t>2.6</w:t>
      </w:r>
      <w:r>
        <w:rPr>
          <w:rFonts w:hint="eastAsia" w:ascii="宋体" w:hAnsi="宋体" w:eastAsia="宋体" w:cs="宋体"/>
          <w:highlight w:val="none"/>
        </w:rPr>
        <w:t>-3发生事故造成的后果（C）</w:t>
      </w:r>
    </w:p>
    <w:tbl>
      <w:tblPr>
        <w:tblStyle w:val="29"/>
        <w:tblW w:w="4999" w:type="pct"/>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Layout w:type="autofit"/>
        <w:tblCellMar>
          <w:top w:w="0" w:type="dxa"/>
          <w:left w:w="108" w:type="dxa"/>
          <w:bottom w:w="0" w:type="dxa"/>
          <w:right w:w="108" w:type="dxa"/>
        </w:tblCellMar>
      </w:tblPr>
      <w:tblGrid>
        <w:gridCol w:w="2403"/>
        <w:gridCol w:w="7557"/>
      </w:tblGrid>
      <w:tr w14:paraId="061E64C7">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206" w:type="pct"/>
            <w:tcBorders>
              <w:tl2br w:val="nil"/>
              <w:tr2bl w:val="nil"/>
            </w:tcBorders>
            <w:shd w:val="clear" w:color="auto" w:fill="FFFFFF" w:themeFill="background1"/>
            <w:noWrap w:val="0"/>
            <w:vAlign w:val="center"/>
          </w:tcPr>
          <w:p w14:paraId="27B5852C">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b/>
                <w:highlight w:val="none"/>
              </w:rPr>
            </w:pPr>
            <w:r>
              <w:rPr>
                <w:rFonts w:hint="eastAsia" w:ascii="宋体" w:hAnsi="宋体" w:eastAsia="宋体" w:cs="宋体"/>
                <w:b/>
                <w:highlight w:val="none"/>
              </w:rPr>
              <w:t>分数值</w:t>
            </w:r>
          </w:p>
        </w:tc>
        <w:tc>
          <w:tcPr>
            <w:tcW w:w="3793" w:type="pct"/>
            <w:tcBorders>
              <w:tl2br w:val="nil"/>
              <w:tr2bl w:val="nil"/>
            </w:tcBorders>
            <w:shd w:val="clear" w:color="auto" w:fill="FFFFFF" w:themeFill="background1"/>
            <w:noWrap w:val="0"/>
            <w:vAlign w:val="center"/>
          </w:tcPr>
          <w:p w14:paraId="65B0C460">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b/>
                <w:highlight w:val="none"/>
              </w:rPr>
            </w:pPr>
            <w:r>
              <w:rPr>
                <w:rFonts w:hint="eastAsia" w:ascii="宋体" w:hAnsi="宋体" w:eastAsia="宋体" w:cs="宋体"/>
                <w:b/>
                <w:highlight w:val="none"/>
              </w:rPr>
              <w:t>事故发生的可能性</w:t>
            </w:r>
          </w:p>
        </w:tc>
      </w:tr>
      <w:tr w14:paraId="267CD988">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206" w:type="pct"/>
            <w:tcBorders>
              <w:tl2br w:val="nil"/>
              <w:tr2bl w:val="nil"/>
            </w:tcBorders>
            <w:shd w:val="clear" w:color="auto" w:fill="FFFFFF" w:themeFill="background1"/>
            <w:noWrap w:val="0"/>
            <w:vAlign w:val="center"/>
          </w:tcPr>
          <w:p w14:paraId="2BE018EB">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100</w:t>
            </w:r>
          </w:p>
        </w:tc>
        <w:tc>
          <w:tcPr>
            <w:tcW w:w="3793" w:type="pct"/>
            <w:tcBorders>
              <w:tl2br w:val="nil"/>
              <w:tr2bl w:val="nil"/>
            </w:tcBorders>
            <w:shd w:val="clear" w:color="auto" w:fill="FFFFFF" w:themeFill="background1"/>
            <w:noWrap w:val="0"/>
            <w:vAlign w:val="center"/>
          </w:tcPr>
          <w:p w14:paraId="346A745E">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10人以上死亡</w:t>
            </w:r>
          </w:p>
        </w:tc>
      </w:tr>
      <w:tr w14:paraId="557C6981">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206" w:type="pct"/>
            <w:tcBorders>
              <w:tl2br w:val="nil"/>
              <w:tr2bl w:val="nil"/>
            </w:tcBorders>
            <w:shd w:val="clear" w:color="auto" w:fill="FFFFFF" w:themeFill="background1"/>
            <w:noWrap w:val="0"/>
            <w:vAlign w:val="center"/>
          </w:tcPr>
          <w:p w14:paraId="53C4E471">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40</w:t>
            </w:r>
          </w:p>
        </w:tc>
        <w:tc>
          <w:tcPr>
            <w:tcW w:w="3793" w:type="pct"/>
            <w:tcBorders>
              <w:tl2br w:val="nil"/>
              <w:tr2bl w:val="nil"/>
            </w:tcBorders>
            <w:shd w:val="clear" w:color="auto" w:fill="FFFFFF" w:themeFill="background1"/>
            <w:noWrap w:val="0"/>
            <w:vAlign w:val="center"/>
          </w:tcPr>
          <w:p w14:paraId="1B3B6C53">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3～9人死亡</w:t>
            </w:r>
          </w:p>
        </w:tc>
      </w:tr>
      <w:tr w14:paraId="58B2984E">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206" w:type="pct"/>
            <w:tcBorders>
              <w:tl2br w:val="nil"/>
              <w:tr2bl w:val="nil"/>
            </w:tcBorders>
            <w:shd w:val="clear" w:color="auto" w:fill="FFFFFF" w:themeFill="background1"/>
            <w:noWrap w:val="0"/>
            <w:vAlign w:val="center"/>
          </w:tcPr>
          <w:p w14:paraId="2827D3A6">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15</w:t>
            </w:r>
          </w:p>
        </w:tc>
        <w:tc>
          <w:tcPr>
            <w:tcW w:w="3793" w:type="pct"/>
            <w:tcBorders>
              <w:tl2br w:val="nil"/>
              <w:tr2bl w:val="nil"/>
            </w:tcBorders>
            <w:shd w:val="clear" w:color="auto" w:fill="FFFFFF" w:themeFill="background1"/>
            <w:noWrap w:val="0"/>
            <w:vAlign w:val="center"/>
          </w:tcPr>
          <w:p w14:paraId="1EE37A02">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1～2人死亡</w:t>
            </w:r>
          </w:p>
        </w:tc>
      </w:tr>
      <w:tr w14:paraId="06B17DE4">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206" w:type="pct"/>
            <w:tcBorders>
              <w:tl2br w:val="nil"/>
              <w:tr2bl w:val="nil"/>
            </w:tcBorders>
            <w:shd w:val="clear" w:color="auto" w:fill="FFFFFF" w:themeFill="background1"/>
            <w:noWrap w:val="0"/>
            <w:vAlign w:val="center"/>
          </w:tcPr>
          <w:p w14:paraId="4C650C09">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7</w:t>
            </w:r>
          </w:p>
        </w:tc>
        <w:tc>
          <w:tcPr>
            <w:tcW w:w="3793" w:type="pct"/>
            <w:tcBorders>
              <w:tl2br w:val="nil"/>
              <w:tr2bl w:val="nil"/>
            </w:tcBorders>
            <w:shd w:val="clear" w:color="auto" w:fill="FFFFFF" w:themeFill="background1"/>
            <w:noWrap w:val="0"/>
            <w:vAlign w:val="center"/>
          </w:tcPr>
          <w:p w14:paraId="71D56AED">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致残</w:t>
            </w:r>
          </w:p>
        </w:tc>
      </w:tr>
      <w:tr w14:paraId="2EB6B20A">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206" w:type="pct"/>
            <w:tcBorders>
              <w:tl2br w:val="nil"/>
              <w:tr2bl w:val="nil"/>
            </w:tcBorders>
            <w:shd w:val="clear" w:color="auto" w:fill="FFFFFF" w:themeFill="background1"/>
            <w:noWrap w:val="0"/>
            <w:vAlign w:val="center"/>
          </w:tcPr>
          <w:p w14:paraId="55168FD8">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3</w:t>
            </w:r>
          </w:p>
        </w:tc>
        <w:tc>
          <w:tcPr>
            <w:tcW w:w="3793" w:type="pct"/>
            <w:tcBorders>
              <w:tl2br w:val="nil"/>
              <w:tr2bl w:val="nil"/>
            </w:tcBorders>
            <w:shd w:val="clear" w:color="auto" w:fill="FFFFFF" w:themeFill="background1"/>
            <w:noWrap w:val="0"/>
            <w:vAlign w:val="center"/>
          </w:tcPr>
          <w:p w14:paraId="3E383BF2">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重伤</w:t>
            </w:r>
          </w:p>
        </w:tc>
      </w:tr>
      <w:tr w14:paraId="218B36BB">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206" w:type="pct"/>
            <w:tcBorders>
              <w:tl2br w:val="nil"/>
              <w:tr2bl w:val="nil"/>
            </w:tcBorders>
            <w:shd w:val="clear" w:color="auto" w:fill="FFFFFF" w:themeFill="background1"/>
            <w:noWrap w:val="0"/>
            <w:vAlign w:val="center"/>
          </w:tcPr>
          <w:p w14:paraId="52C3E758">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1</w:t>
            </w:r>
          </w:p>
        </w:tc>
        <w:tc>
          <w:tcPr>
            <w:tcW w:w="3793" w:type="pct"/>
            <w:tcBorders>
              <w:tl2br w:val="nil"/>
              <w:tr2bl w:val="nil"/>
            </w:tcBorders>
            <w:shd w:val="clear" w:color="auto" w:fill="FFFFFF" w:themeFill="background1"/>
            <w:noWrap w:val="0"/>
            <w:vAlign w:val="center"/>
          </w:tcPr>
          <w:p w14:paraId="1F8A8D48">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eastAsia" w:ascii="宋体" w:hAnsi="宋体" w:eastAsia="宋体" w:cs="宋体"/>
                <w:highlight w:val="none"/>
              </w:rPr>
            </w:pPr>
            <w:r>
              <w:rPr>
                <w:rFonts w:hint="eastAsia" w:ascii="宋体" w:hAnsi="宋体" w:eastAsia="宋体" w:cs="宋体"/>
                <w:highlight w:val="none"/>
              </w:rPr>
              <w:t>轻伤</w:t>
            </w:r>
          </w:p>
        </w:tc>
      </w:tr>
    </w:tbl>
    <w:p w14:paraId="6E3D9D87">
      <w:pPr>
        <w:pStyle w:val="159"/>
        <w:ind w:firstLine="480"/>
        <w:rPr>
          <w:rFonts w:hint="eastAsia" w:ascii="宋体" w:hAnsi="宋体" w:eastAsia="宋体" w:cs="宋体"/>
          <w:highlight w:val="none"/>
        </w:rPr>
      </w:pPr>
      <w:r>
        <w:rPr>
          <w:rFonts w:hint="eastAsia" w:ascii="宋体" w:hAnsi="宋体" w:eastAsia="宋体" w:cs="宋体"/>
          <w:highlight w:val="none"/>
        </w:rPr>
        <w:t>④风险值（D）</w:t>
      </w:r>
    </w:p>
    <w:p w14:paraId="58E7DD92">
      <w:pPr>
        <w:pStyle w:val="159"/>
        <w:ind w:firstLine="480"/>
        <w:rPr>
          <w:rFonts w:hint="eastAsia" w:ascii="宋体" w:hAnsi="宋体" w:eastAsia="宋体" w:cs="宋体"/>
          <w:highlight w:val="none"/>
        </w:rPr>
      </w:pPr>
      <w:r>
        <w:rPr>
          <w:rFonts w:hint="eastAsia" w:ascii="宋体" w:hAnsi="宋体" w:eastAsia="宋体" w:cs="宋体"/>
          <w:highlight w:val="none"/>
        </w:rPr>
        <w:t>根据公式D＝LEC，求出风险值D。风险等级的划分是凭经验判断，难免带有局限性，不能认为是普遍适用的，风险等级的界限值并不是长期固定不变的，在不同时期，组织应根据具体情况来确定风险等级的界限值，以符合持续改进的要求。风险等级划分如下表所示：</w:t>
      </w:r>
    </w:p>
    <w:p w14:paraId="06BC9BAE">
      <w:pPr>
        <w:pStyle w:val="42"/>
        <w:bidi w:val="0"/>
        <w:rPr>
          <w:rFonts w:hint="eastAsia" w:ascii="宋体" w:hAnsi="宋体" w:eastAsia="宋体" w:cs="宋体"/>
          <w:highlight w:val="none"/>
        </w:rPr>
      </w:pPr>
      <w:r>
        <w:rPr>
          <w:rFonts w:hint="eastAsia" w:ascii="宋体" w:hAnsi="宋体" w:eastAsia="宋体" w:cs="宋体"/>
          <w:highlight w:val="none"/>
        </w:rPr>
        <w:t>表</w:t>
      </w:r>
      <w:r>
        <w:rPr>
          <w:rFonts w:hint="eastAsia" w:ascii="宋体" w:hAnsi="宋体" w:eastAsia="宋体" w:cs="宋体"/>
          <w:highlight w:val="none"/>
          <w:lang w:val="en-US" w:eastAsia="zh-CN"/>
        </w:rPr>
        <w:t>2.6</w:t>
      </w:r>
      <w:r>
        <w:rPr>
          <w:rFonts w:hint="eastAsia" w:ascii="宋体" w:hAnsi="宋体" w:eastAsia="宋体" w:cs="宋体"/>
          <w:highlight w:val="none"/>
        </w:rPr>
        <w:t>-4风险等级划分（D）</w:t>
      </w:r>
    </w:p>
    <w:tbl>
      <w:tblPr>
        <w:tblStyle w:val="29"/>
        <w:tblW w:w="4998" w:type="pct"/>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Layout w:type="autofit"/>
        <w:tblCellMar>
          <w:top w:w="0" w:type="dxa"/>
          <w:left w:w="108" w:type="dxa"/>
          <w:bottom w:w="0" w:type="dxa"/>
          <w:right w:w="108" w:type="dxa"/>
        </w:tblCellMar>
      </w:tblPr>
      <w:tblGrid>
        <w:gridCol w:w="2358"/>
        <w:gridCol w:w="4293"/>
        <w:gridCol w:w="3307"/>
      </w:tblGrid>
      <w:tr w14:paraId="316D57E9">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1184" w:type="pct"/>
            <w:shd w:val="clear" w:color="auto" w:fill="FFFFFF" w:themeFill="background1"/>
            <w:noWrap w:val="0"/>
            <w:vAlign w:val="center"/>
          </w:tcPr>
          <w:p w14:paraId="5C750F74">
            <w:pPr>
              <w:pStyle w:val="73"/>
              <w:keepNext w:val="0"/>
              <w:keepLines w:val="0"/>
              <w:suppressLineNumbers w:val="0"/>
              <w:spacing w:before="0" w:beforeAutospacing="0" w:after="0" w:afterAutospacing="0"/>
              <w:ind w:left="0" w:right="0"/>
              <w:rPr>
                <w:rFonts w:hint="eastAsia" w:ascii="宋体" w:hAnsi="宋体" w:eastAsia="宋体" w:cs="宋体"/>
                <w:b/>
                <w:highlight w:val="none"/>
              </w:rPr>
            </w:pPr>
            <w:r>
              <w:rPr>
                <w:rFonts w:hint="eastAsia" w:ascii="宋体" w:hAnsi="宋体" w:eastAsia="宋体" w:cs="宋体"/>
                <w:b/>
                <w:highlight w:val="none"/>
              </w:rPr>
              <w:t>D值</w:t>
            </w:r>
          </w:p>
        </w:tc>
        <w:tc>
          <w:tcPr>
            <w:tcW w:w="2155" w:type="pct"/>
            <w:shd w:val="clear" w:color="auto" w:fill="FFFFFF" w:themeFill="background1"/>
            <w:noWrap w:val="0"/>
            <w:vAlign w:val="center"/>
          </w:tcPr>
          <w:p w14:paraId="3AF1B67E">
            <w:pPr>
              <w:pStyle w:val="73"/>
              <w:keepNext w:val="0"/>
              <w:keepLines w:val="0"/>
              <w:suppressLineNumbers w:val="0"/>
              <w:spacing w:before="0" w:beforeAutospacing="0" w:after="0" w:afterAutospacing="0"/>
              <w:ind w:left="0" w:right="0"/>
              <w:rPr>
                <w:rFonts w:hint="eastAsia" w:ascii="宋体" w:hAnsi="宋体" w:eastAsia="宋体" w:cs="宋体"/>
                <w:b/>
                <w:highlight w:val="none"/>
              </w:rPr>
            </w:pPr>
            <w:r>
              <w:rPr>
                <w:rFonts w:hint="eastAsia" w:ascii="宋体" w:hAnsi="宋体" w:eastAsia="宋体" w:cs="宋体"/>
                <w:b/>
                <w:highlight w:val="none"/>
              </w:rPr>
              <w:t>危险程度</w:t>
            </w:r>
          </w:p>
        </w:tc>
        <w:tc>
          <w:tcPr>
            <w:tcW w:w="1660" w:type="pct"/>
            <w:shd w:val="clear" w:color="auto" w:fill="FFFFFF" w:themeFill="background1"/>
            <w:noWrap w:val="0"/>
            <w:vAlign w:val="center"/>
          </w:tcPr>
          <w:p w14:paraId="29798D52">
            <w:pPr>
              <w:pStyle w:val="73"/>
              <w:keepNext w:val="0"/>
              <w:keepLines w:val="0"/>
              <w:suppressLineNumbers w:val="0"/>
              <w:spacing w:before="0" w:beforeAutospacing="0" w:after="0" w:afterAutospacing="0"/>
              <w:ind w:left="0" w:right="0"/>
              <w:rPr>
                <w:rFonts w:hint="eastAsia" w:ascii="宋体" w:hAnsi="宋体" w:eastAsia="宋体" w:cs="宋体"/>
                <w:b/>
                <w:highlight w:val="none"/>
              </w:rPr>
            </w:pPr>
            <w:r>
              <w:rPr>
                <w:rFonts w:hint="eastAsia" w:ascii="宋体" w:hAnsi="宋体" w:eastAsia="宋体" w:cs="宋体"/>
                <w:b/>
                <w:highlight w:val="none"/>
              </w:rPr>
              <w:t>风险等级</w:t>
            </w:r>
          </w:p>
        </w:tc>
      </w:tr>
      <w:tr w14:paraId="3CD16821">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184" w:type="pct"/>
            <w:shd w:val="clear" w:color="auto" w:fill="FFFFFF" w:themeFill="background1"/>
            <w:noWrap w:val="0"/>
            <w:vAlign w:val="center"/>
          </w:tcPr>
          <w:p w14:paraId="3362DA11">
            <w:pPr>
              <w:pStyle w:val="73"/>
              <w:keepNext w:val="0"/>
              <w:keepLines w:val="0"/>
              <w:suppressLineNumbers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D＞320</w:t>
            </w:r>
          </w:p>
        </w:tc>
        <w:tc>
          <w:tcPr>
            <w:tcW w:w="2155" w:type="pct"/>
            <w:shd w:val="clear" w:color="auto" w:fill="FFFFFF" w:themeFill="background1"/>
            <w:noWrap w:val="0"/>
            <w:vAlign w:val="center"/>
          </w:tcPr>
          <w:p w14:paraId="7A427DB4">
            <w:pPr>
              <w:pStyle w:val="73"/>
              <w:keepNext w:val="0"/>
              <w:keepLines w:val="0"/>
              <w:suppressLineNumbers w:val="0"/>
              <w:spacing w:before="0" w:beforeAutospacing="0" w:after="0" w:afterAutospacing="0"/>
              <w:ind w:left="0" w:right="0"/>
              <w:rPr>
                <w:rFonts w:hint="eastAsia" w:ascii="宋体" w:hAnsi="宋体" w:eastAsia="宋体" w:cs="宋体"/>
                <w:highlight w:val="none"/>
                <w:lang w:eastAsia="zh-CN"/>
              </w:rPr>
            </w:pPr>
            <w:r>
              <w:rPr>
                <w:rFonts w:hint="eastAsia" w:ascii="宋体" w:hAnsi="宋体" w:eastAsia="宋体" w:cs="宋体"/>
                <w:highlight w:val="none"/>
                <w:lang w:val="en-US" w:eastAsia="zh-CN"/>
              </w:rPr>
              <w:t>重大风险</w:t>
            </w:r>
          </w:p>
        </w:tc>
        <w:tc>
          <w:tcPr>
            <w:tcW w:w="1660" w:type="pct"/>
            <w:shd w:val="clear" w:color="auto" w:fill="FFFFFF" w:themeFill="background1"/>
            <w:noWrap w:val="0"/>
            <w:vAlign w:val="center"/>
          </w:tcPr>
          <w:p w14:paraId="34FC6DD3">
            <w:pPr>
              <w:pStyle w:val="73"/>
              <w:keepNext w:val="0"/>
              <w:keepLines w:val="0"/>
              <w:suppressLineNumbers w:val="0"/>
              <w:spacing w:before="0" w:beforeAutospacing="0" w:after="0" w:afterAutospacing="0"/>
              <w:ind w:left="0" w:right="0"/>
              <w:rPr>
                <w:rFonts w:hint="eastAsia" w:ascii="宋体" w:hAnsi="宋体" w:eastAsia="宋体" w:cs="宋体"/>
                <w:highlight w:val="none"/>
                <w:lang w:eastAsia="zh-CN"/>
              </w:rPr>
            </w:pPr>
            <w:r>
              <w:rPr>
                <w:rFonts w:hint="eastAsia" w:ascii="宋体" w:hAnsi="宋体" w:eastAsia="宋体" w:cs="宋体"/>
                <w:highlight w:val="none"/>
                <w:lang w:val="en-US" w:eastAsia="zh-CN"/>
              </w:rPr>
              <w:t>Ⅳ</w:t>
            </w:r>
          </w:p>
        </w:tc>
      </w:tr>
      <w:tr w14:paraId="01B56309">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184" w:type="pct"/>
            <w:shd w:val="clear" w:color="auto" w:fill="FFFFFF" w:themeFill="background1"/>
            <w:noWrap w:val="0"/>
            <w:vAlign w:val="center"/>
          </w:tcPr>
          <w:p w14:paraId="1265CAAB">
            <w:pPr>
              <w:pStyle w:val="73"/>
              <w:keepNext w:val="0"/>
              <w:keepLines w:val="0"/>
              <w:suppressLineNumbers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320≥D＞160</w:t>
            </w:r>
          </w:p>
        </w:tc>
        <w:tc>
          <w:tcPr>
            <w:tcW w:w="2155" w:type="pct"/>
            <w:shd w:val="clear" w:color="auto" w:fill="FFFFFF" w:themeFill="background1"/>
            <w:noWrap w:val="0"/>
            <w:vAlign w:val="center"/>
          </w:tcPr>
          <w:p w14:paraId="4BB14ED1">
            <w:pPr>
              <w:pStyle w:val="73"/>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较大风险</w:t>
            </w:r>
          </w:p>
        </w:tc>
        <w:tc>
          <w:tcPr>
            <w:tcW w:w="1660" w:type="pct"/>
            <w:shd w:val="clear" w:color="auto" w:fill="FFFFFF" w:themeFill="background1"/>
            <w:noWrap w:val="0"/>
            <w:vAlign w:val="center"/>
          </w:tcPr>
          <w:p w14:paraId="686D4551">
            <w:pPr>
              <w:pStyle w:val="73"/>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Ⅲ</w:t>
            </w:r>
          </w:p>
        </w:tc>
      </w:tr>
      <w:tr w14:paraId="0BA20904">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397" w:hRule="atLeast"/>
          <w:jc w:val="center"/>
        </w:trPr>
        <w:tc>
          <w:tcPr>
            <w:tcW w:w="1184" w:type="pct"/>
            <w:shd w:val="clear" w:color="auto" w:fill="FFFFFF" w:themeFill="background1"/>
            <w:noWrap w:val="0"/>
            <w:vAlign w:val="center"/>
          </w:tcPr>
          <w:p w14:paraId="24741E39">
            <w:pPr>
              <w:pStyle w:val="73"/>
              <w:keepNext w:val="0"/>
              <w:keepLines w:val="0"/>
              <w:suppressLineNumbers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160≥D＞70</w:t>
            </w:r>
          </w:p>
        </w:tc>
        <w:tc>
          <w:tcPr>
            <w:tcW w:w="2155" w:type="pct"/>
            <w:shd w:val="clear" w:color="auto" w:fill="FFFFFF" w:themeFill="background1"/>
            <w:noWrap w:val="0"/>
            <w:vAlign w:val="center"/>
          </w:tcPr>
          <w:p w14:paraId="2CDF34B3">
            <w:pPr>
              <w:pStyle w:val="73"/>
              <w:keepNext w:val="0"/>
              <w:keepLines w:val="0"/>
              <w:suppressLineNumbers w:val="0"/>
              <w:spacing w:before="0" w:beforeAutospacing="0" w:after="0" w:afterAutospacing="0"/>
              <w:ind w:left="0" w:right="0"/>
              <w:rPr>
                <w:rFonts w:hint="eastAsia" w:ascii="宋体" w:hAnsi="宋体" w:eastAsia="宋体" w:cs="宋体"/>
                <w:highlight w:val="none"/>
                <w:lang w:eastAsia="zh-CN"/>
              </w:rPr>
            </w:pPr>
            <w:r>
              <w:rPr>
                <w:rFonts w:hint="eastAsia" w:ascii="宋体" w:hAnsi="宋体" w:eastAsia="宋体" w:cs="宋体"/>
                <w:highlight w:val="none"/>
                <w:lang w:val="en-US" w:eastAsia="zh-CN"/>
              </w:rPr>
              <w:t>一般风险</w:t>
            </w:r>
          </w:p>
        </w:tc>
        <w:tc>
          <w:tcPr>
            <w:tcW w:w="1660" w:type="pct"/>
            <w:shd w:val="clear" w:color="auto" w:fill="FFFFFF" w:themeFill="background1"/>
            <w:noWrap w:val="0"/>
            <w:vAlign w:val="center"/>
          </w:tcPr>
          <w:p w14:paraId="10F4D57F">
            <w:pPr>
              <w:pStyle w:val="73"/>
              <w:keepNext w:val="0"/>
              <w:keepLines w:val="0"/>
              <w:suppressLineNumbers w:val="0"/>
              <w:spacing w:before="0" w:beforeAutospacing="0" w:after="0" w:afterAutospacing="0"/>
              <w:ind w:left="0" w:right="0"/>
              <w:rPr>
                <w:rFonts w:hint="eastAsia" w:ascii="宋体" w:hAnsi="宋体" w:eastAsia="宋体" w:cs="宋体"/>
                <w:highlight w:val="none"/>
                <w:lang w:eastAsia="zh-CN"/>
              </w:rPr>
            </w:pPr>
            <w:r>
              <w:rPr>
                <w:rFonts w:hint="eastAsia" w:ascii="宋体" w:hAnsi="宋体" w:eastAsia="宋体" w:cs="宋体"/>
                <w:highlight w:val="none"/>
                <w:lang w:val="en-US" w:eastAsia="zh-CN"/>
              </w:rPr>
              <w:t>Ⅱ</w:t>
            </w:r>
          </w:p>
        </w:tc>
      </w:tr>
      <w:tr w14:paraId="2AE229AE">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FFFFFF" w:themeFill="background1"/>
          <w:tblCellMar>
            <w:top w:w="0" w:type="dxa"/>
            <w:left w:w="108" w:type="dxa"/>
            <w:bottom w:w="0" w:type="dxa"/>
            <w:right w:w="108" w:type="dxa"/>
          </w:tblCellMar>
        </w:tblPrEx>
        <w:trPr>
          <w:trHeight w:val="397" w:hRule="atLeast"/>
          <w:jc w:val="center"/>
        </w:trPr>
        <w:tc>
          <w:tcPr>
            <w:tcW w:w="1184" w:type="pct"/>
            <w:shd w:val="clear" w:color="auto" w:fill="FFFFFF" w:themeFill="background1"/>
            <w:noWrap w:val="0"/>
            <w:vAlign w:val="center"/>
          </w:tcPr>
          <w:p w14:paraId="543F6FAA">
            <w:pPr>
              <w:pStyle w:val="73"/>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D</w:t>
            </w:r>
            <w:r>
              <w:rPr>
                <w:rFonts w:hint="eastAsia" w:ascii="宋体" w:hAnsi="宋体" w:eastAsia="宋体" w:cs="宋体"/>
                <w:highlight w:val="none"/>
                <w:lang w:val="en-US" w:eastAsia="zh-CN"/>
              </w:rPr>
              <w:t>≤70</w:t>
            </w:r>
          </w:p>
        </w:tc>
        <w:tc>
          <w:tcPr>
            <w:tcW w:w="2155" w:type="pct"/>
            <w:shd w:val="clear" w:color="auto" w:fill="FFFFFF" w:themeFill="background1"/>
            <w:noWrap w:val="0"/>
            <w:vAlign w:val="center"/>
          </w:tcPr>
          <w:p w14:paraId="43D8ACEB">
            <w:pPr>
              <w:pStyle w:val="73"/>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较小风险</w:t>
            </w:r>
          </w:p>
        </w:tc>
        <w:tc>
          <w:tcPr>
            <w:tcW w:w="1660" w:type="pct"/>
            <w:shd w:val="clear" w:color="auto" w:fill="FFFFFF" w:themeFill="background1"/>
            <w:noWrap w:val="0"/>
            <w:vAlign w:val="center"/>
          </w:tcPr>
          <w:p w14:paraId="37258F94">
            <w:pPr>
              <w:pStyle w:val="73"/>
              <w:keepNext w:val="0"/>
              <w:keepLines w:val="0"/>
              <w:suppressLineNumbers w:val="0"/>
              <w:spacing w:before="0" w:beforeAutospacing="0" w:after="0" w:afterAutospacing="0"/>
              <w:ind w:left="0" w:right="0"/>
              <w:rPr>
                <w:rFonts w:hint="eastAsia" w:ascii="宋体" w:hAnsi="宋体" w:eastAsia="宋体" w:cs="宋体"/>
                <w:highlight w:val="none"/>
                <w:lang w:eastAsia="zh-CN"/>
              </w:rPr>
            </w:pPr>
            <w:r>
              <w:rPr>
                <w:rFonts w:hint="eastAsia" w:ascii="宋体" w:hAnsi="宋体" w:eastAsia="宋体" w:cs="宋体"/>
                <w:highlight w:val="none"/>
                <w:lang w:val="en-US" w:eastAsia="zh-CN"/>
              </w:rPr>
              <w:t>Ⅰ</w:t>
            </w:r>
          </w:p>
        </w:tc>
      </w:tr>
    </w:tbl>
    <w:p w14:paraId="4E38B6C0">
      <w:pPr>
        <w:bidi w:val="0"/>
        <w:rPr>
          <w:rFonts w:hint="eastAsia"/>
          <w:highlight w:val="none"/>
          <w:lang w:val="en-US" w:eastAsia="zh-CN"/>
        </w:rPr>
      </w:pPr>
    </w:p>
    <w:p w14:paraId="0C633C7A">
      <w:pPr>
        <w:pStyle w:val="4"/>
        <w:tabs>
          <w:tab w:val="left" w:pos="0"/>
          <w:tab w:val="left" w:pos="630"/>
        </w:tabs>
        <w:bidi w:val="0"/>
        <w:rPr>
          <w:rFonts w:hint="default"/>
          <w:lang w:val="en-US" w:eastAsia="zh-CN"/>
        </w:rPr>
      </w:pPr>
      <w:r>
        <w:rPr>
          <w:rFonts w:hint="eastAsia"/>
          <w:lang w:val="en-US" w:eastAsia="zh-CN"/>
        </w:rPr>
        <w:t>危险源辨识与评价</w:t>
      </w:r>
    </w:p>
    <w:p w14:paraId="1E70258B">
      <w:pPr>
        <w:ind w:firstLine="480" w:firstLineChars="200"/>
        <w:rPr>
          <w:rFonts w:hint="eastAsia" w:ascii="宋体" w:hAnsi="宋体" w:eastAsia="宋体" w:cs="宋体"/>
          <w:highlight w:val="none"/>
        </w:rPr>
      </w:pPr>
      <w:r>
        <w:rPr>
          <w:rFonts w:hint="eastAsia" w:ascii="宋体" w:hAnsi="宋体" w:eastAsia="宋体" w:cs="宋体"/>
          <w:highlight w:val="none"/>
        </w:rPr>
        <w:t>根据以上风险估测方法，对</w:t>
      </w:r>
      <w:r>
        <w:rPr>
          <w:rFonts w:hint="eastAsia" w:ascii="宋体" w:hAnsi="宋体" w:eastAsia="宋体" w:cs="宋体"/>
          <w:highlight w:val="none"/>
          <w:lang w:val="en-US" w:eastAsia="zh-CN"/>
        </w:rPr>
        <w:t>塔机拆除</w:t>
      </w:r>
      <w:r>
        <w:rPr>
          <w:rFonts w:hint="eastAsia" w:ascii="宋体" w:hAnsi="宋体" w:eastAsia="宋体" w:cs="宋体"/>
          <w:highlight w:val="none"/>
        </w:rPr>
        <w:t>施工过程主要危险源进行分析和估算，从而得出相关估测结果见下表。</w:t>
      </w:r>
    </w:p>
    <w:p w14:paraId="19068F3C">
      <w:pPr>
        <w:rPr>
          <w:rFonts w:ascii="宋体" w:hAnsi="宋体"/>
          <w:highlight w:val="none"/>
        </w:rPr>
      </w:pPr>
    </w:p>
    <w:p w14:paraId="4692E90D">
      <w:pPr>
        <w:rPr>
          <w:rFonts w:ascii="宋体" w:hAnsi="宋体"/>
          <w:highlight w:val="none"/>
        </w:rPr>
      </w:pPr>
    </w:p>
    <w:p w14:paraId="63FD5252">
      <w:pPr>
        <w:rPr>
          <w:rFonts w:ascii="宋体" w:hAnsi="宋体"/>
          <w:highlight w:val="none"/>
        </w:rPr>
      </w:pPr>
    </w:p>
    <w:p w14:paraId="43A2E4E2">
      <w:pPr>
        <w:rPr>
          <w:rFonts w:ascii="宋体" w:hAnsi="宋体"/>
          <w:highlight w:val="none"/>
        </w:rPr>
      </w:pPr>
    </w:p>
    <w:p w14:paraId="1473433D">
      <w:pPr>
        <w:rPr>
          <w:rFonts w:ascii="宋体" w:hAnsi="宋体"/>
          <w:highlight w:val="none"/>
        </w:rPr>
      </w:pPr>
    </w:p>
    <w:p w14:paraId="1B4A02D3">
      <w:pPr>
        <w:rPr>
          <w:rFonts w:ascii="宋体" w:hAnsi="宋体"/>
          <w:highlight w:val="none"/>
        </w:rPr>
      </w:pPr>
    </w:p>
    <w:p w14:paraId="133F41BD">
      <w:pPr>
        <w:rPr>
          <w:rFonts w:ascii="宋体" w:hAnsi="宋体"/>
          <w:highlight w:val="none"/>
        </w:rPr>
      </w:pPr>
    </w:p>
    <w:p w14:paraId="04A9E178">
      <w:pPr>
        <w:rPr>
          <w:rFonts w:ascii="宋体" w:hAnsi="宋体"/>
          <w:highlight w:val="none"/>
        </w:rPr>
      </w:pPr>
    </w:p>
    <w:p w14:paraId="2A7289D8">
      <w:pPr>
        <w:rPr>
          <w:rFonts w:ascii="宋体" w:hAnsi="宋体"/>
          <w:highlight w:val="none"/>
        </w:rPr>
      </w:pPr>
    </w:p>
    <w:p w14:paraId="5A0C1974">
      <w:pPr>
        <w:rPr>
          <w:rFonts w:ascii="宋体" w:hAnsi="宋体"/>
          <w:highlight w:val="none"/>
        </w:rPr>
        <w:sectPr>
          <w:headerReference r:id="rId8" w:type="default"/>
          <w:footerReference r:id="rId9" w:type="default"/>
          <w:pgSz w:w="11906" w:h="16838"/>
          <w:pgMar w:top="1701" w:right="1080" w:bottom="1701" w:left="1080" w:header="851" w:footer="992" w:gutter="0"/>
          <w:pgBorders>
            <w:top w:val="none" w:sz="0" w:space="0"/>
            <w:left w:val="none" w:sz="0" w:space="0"/>
            <w:bottom w:val="none" w:sz="0" w:space="0"/>
            <w:right w:val="none" w:sz="0" w:space="0"/>
          </w:pgBorders>
          <w:cols w:space="0" w:num="1"/>
          <w:rtlGutter w:val="0"/>
          <w:docGrid w:type="lines" w:linePitch="328" w:charSpace="0"/>
        </w:sectPr>
      </w:pPr>
    </w:p>
    <w:tbl>
      <w:tblPr>
        <w:tblStyle w:val="29"/>
        <w:tblW w:w="4995" w:type="pct"/>
        <w:tblInd w:w="0" w:type="dxa"/>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Layout w:type="autofit"/>
        <w:tblCellMar>
          <w:top w:w="0" w:type="dxa"/>
          <w:left w:w="108" w:type="dxa"/>
          <w:bottom w:w="0" w:type="dxa"/>
          <w:right w:w="108" w:type="dxa"/>
        </w:tblCellMar>
      </w:tblPr>
      <w:tblGrid>
        <w:gridCol w:w="483"/>
        <w:gridCol w:w="442"/>
        <w:gridCol w:w="655"/>
        <w:gridCol w:w="5208"/>
        <w:gridCol w:w="1051"/>
        <w:gridCol w:w="486"/>
        <w:gridCol w:w="399"/>
        <w:gridCol w:w="396"/>
        <w:gridCol w:w="699"/>
        <w:gridCol w:w="603"/>
        <w:gridCol w:w="1638"/>
        <w:gridCol w:w="1578"/>
      </w:tblGrid>
      <w:tr w14:paraId="27265B5F">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vMerge w:val="restart"/>
            <w:tcBorders>
              <w:tl2br w:val="nil"/>
              <w:tr2bl w:val="nil"/>
            </w:tcBorders>
            <w:shd w:val="clear" w:color="auto" w:fill="auto"/>
            <w:vAlign w:val="center"/>
          </w:tcPr>
          <w:p w14:paraId="1620343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序号</w:t>
            </w:r>
          </w:p>
        </w:tc>
        <w:tc>
          <w:tcPr>
            <w:tcW w:w="162" w:type="pct"/>
            <w:vMerge w:val="restart"/>
            <w:tcBorders>
              <w:tl2br w:val="nil"/>
              <w:tr2bl w:val="nil"/>
            </w:tcBorders>
            <w:shd w:val="clear" w:color="auto" w:fill="auto"/>
            <w:vAlign w:val="center"/>
          </w:tcPr>
          <w:p w14:paraId="3E0F4EF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作业活动单元</w:t>
            </w:r>
          </w:p>
        </w:tc>
        <w:tc>
          <w:tcPr>
            <w:tcW w:w="240" w:type="pct"/>
            <w:vMerge w:val="restart"/>
            <w:tcBorders>
              <w:tl2br w:val="nil"/>
              <w:tr2bl w:val="nil"/>
            </w:tcBorders>
            <w:shd w:val="clear" w:color="auto" w:fill="auto"/>
            <w:vAlign w:val="center"/>
          </w:tcPr>
          <w:p w14:paraId="5A17466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活动</w:t>
            </w:r>
          </w:p>
          <w:p w14:paraId="71E5491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内容</w:t>
            </w:r>
          </w:p>
        </w:tc>
        <w:tc>
          <w:tcPr>
            <w:tcW w:w="1908" w:type="pct"/>
            <w:vMerge w:val="restart"/>
            <w:tcBorders>
              <w:tl2br w:val="nil"/>
              <w:tr2bl w:val="nil"/>
            </w:tcBorders>
            <w:shd w:val="clear" w:color="auto" w:fill="auto"/>
            <w:vAlign w:val="center"/>
          </w:tcPr>
          <w:p w14:paraId="5EB2110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 xml:space="preserve"> 可能存在的隐患</w:t>
            </w:r>
          </w:p>
        </w:tc>
        <w:tc>
          <w:tcPr>
            <w:tcW w:w="385" w:type="pct"/>
            <w:vMerge w:val="restart"/>
            <w:tcBorders>
              <w:tl2br w:val="nil"/>
              <w:tr2bl w:val="nil"/>
            </w:tcBorders>
            <w:shd w:val="clear" w:color="auto" w:fill="auto"/>
            <w:vAlign w:val="center"/>
          </w:tcPr>
          <w:p w14:paraId="25AB4C4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潜在事故</w:t>
            </w:r>
          </w:p>
          <w:p w14:paraId="153A35E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类型</w:t>
            </w:r>
          </w:p>
        </w:tc>
        <w:tc>
          <w:tcPr>
            <w:tcW w:w="725" w:type="pct"/>
            <w:gridSpan w:val="4"/>
            <w:tcBorders>
              <w:tl2br w:val="nil"/>
              <w:tr2bl w:val="nil"/>
            </w:tcBorders>
            <w:shd w:val="clear" w:color="auto" w:fill="auto"/>
            <w:vAlign w:val="center"/>
          </w:tcPr>
          <w:p w14:paraId="18CB7D7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危险、有害因素评价</w:t>
            </w:r>
          </w:p>
        </w:tc>
        <w:tc>
          <w:tcPr>
            <w:tcW w:w="221" w:type="pct"/>
            <w:vMerge w:val="restart"/>
            <w:tcBorders>
              <w:tl2br w:val="nil"/>
              <w:tr2bl w:val="nil"/>
            </w:tcBorders>
            <w:shd w:val="clear" w:color="auto" w:fill="auto"/>
            <w:vAlign w:val="center"/>
          </w:tcPr>
          <w:p w14:paraId="270A1DB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危害</w:t>
            </w:r>
          </w:p>
          <w:p w14:paraId="1815EC7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级别</w:t>
            </w:r>
          </w:p>
        </w:tc>
        <w:tc>
          <w:tcPr>
            <w:tcW w:w="600" w:type="pct"/>
            <w:vMerge w:val="restart"/>
            <w:tcBorders>
              <w:tl2br w:val="nil"/>
              <w:tr2bl w:val="nil"/>
            </w:tcBorders>
            <w:shd w:val="clear" w:color="auto" w:fill="auto"/>
            <w:vAlign w:val="center"/>
          </w:tcPr>
          <w:p w14:paraId="79205B8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现行法律法规</w:t>
            </w:r>
          </w:p>
        </w:tc>
        <w:tc>
          <w:tcPr>
            <w:tcW w:w="578" w:type="pct"/>
            <w:vMerge w:val="restart"/>
            <w:tcBorders>
              <w:tl2br w:val="nil"/>
              <w:tr2bl w:val="nil"/>
            </w:tcBorders>
            <w:shd w:val="clear" w:color="auto" w:fill="auto"/>
            <w:vAlign w:val="center"/>
          </w:tcPr>
          <w:p w14:paraId="3805DAF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控制方法</w:t>
            </w:r>
          </w:p>
        </w:tc>
      </w:tr>
      <w:tr w14:paraId="00136F0C">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vMerge w:val="continue"/>
            <w:tcBorders>
              <w:tl2br w:val="nil"/>
              <w:tr2bl w:val="nil"/>
            </w:tcBorders>
            <w:shd w:val="clear" w:color="auto" w:fill="auto"/>
            <w:vAlign w:val="center"/>
          </w:tcPr>
          <w:p w14:paraId="0E9A460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162" w:type="pct"/>
            <w:vMerge w:val="continue"/>
            <w:tcBorders>
              <w:tl2br w:val="nil"/>
              <w:tr2bl w:val="nil"/>
            </w:tcBorders>
            <w:shd w:val="clear" w:color="auto" w:fill="auto"/>
            <w:vAlign w:val="center"/>
          </w:tcPr>
          <w:p w14:paraId="0E8F3EA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63E8540A">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1908" w:type="pct"/>
            <w:vMerge w:val="continue"/>
            <w:tcBorders>
              <w:tl2br w:val="nil"/>
              <w:tr2bl w:val="nil"/>
            </w:tcBorders>
            <w:shd w:val="clear" w:color="auto" w:fill="auto"/>
            <w:vAlign w:val="center"/>
          </w:tcPr>
          <w:p w14:paraId="40EE98B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385" w:type="pct"/>
            <w:vMerge w:val="continue"/>
            <w:tcBorders>
              <w:tl2br w:val="nil"/>
              <w:tr2bl w:val="nil"/>
            </w:tcBorders>
            <w:shd w:val="clear" w:color="auto" w:fill="auto"/>
            <w:vAlign w:val="center"/>
          </w:tcPr>
          <w:p w14:paraId="524306C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725" w:type="pct"/>
            <w:gridSpan w:val="4"/>
            <w:tcBorders>
              <w:tl2br w:val="nil"/>
              <w:tr2bl w:val="nil"/>
            </w:tcBorders>
            <w:shd w:val="clear" w:color="auto" w:fill="auto"/>
            <w:vAlign w:val="center"/>
          </w:tcPr>
          <w:p w14:paraId="4307BA9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D=LEC</w:t>
            </w:r>
          </w:p>
        </w:tc>
        <w:tc>
          <w:tcPr>
            <w:tcW w:w="221" w:type="pct"/>
            <w:vMerge w:val="continue"/>
            <w:tcBorders>
              <w:tl2br w:val="nil"/>
              <w:tr2bl w:val="nil"/>
            </w:tcBorders>
            <w:shd w:val="clear" w:color="auto" w:fill="auto"/>
            <w:vAlign w:val="center"/>
          </w:tcPr>
          <w:p w14:paraId="3003977A">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600" w:type="pct"/>
            <w:vMerge w:val="continue"/>
            <w:tcBorders>
              <w:tl2br w:val="nil"/>
              <w:tr2bl w:val="nil"/>
            </w:tcBorders>
            <w:shd w:val="clear" w:color="auto" w:fill="auto"/>
            <w:vAlign w:val="center"/>
          </w:tcPr>
          <w:p w14:paraId="5038318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24D7C17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r>
      <w:tr w14:paraId="2DA520EF">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vMerge w:val="continue"/>
            <w:tcBorders>
              <w:tl2br w:val="nil"/>
              <w:tr2bl w:val="nil"/>
            </w:tcBorders>
            <w:shd w:val="clear" w:color="auto" w:fill="auto"/>
            <w:vAlign w:val="center"/>
          </w:tcPr>
          <w:p w14:paraId="5796A95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162" w:type="pct"/>
            <w:vMerge w:val="continue"/>
            <w:tcBorders>
              <w:tl2br w:val="nil"/>
              <w:tr2bl w:val="nil"/>
            </w:tcBorders>
            <w:shd w:val="clear" w:color="auto" w:fill="auto"/>
            <w:vAlign w:val="center"/>
          </w:tcPr>
          <w:p w14:paraId="2059AF1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1285CB4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1908" w:type="pct"/>
            <w:vMerge w:val="continue"/>
            <w:tcBorders>
              <w:tl2br w:val="nil"/>
              <w:tr2bl w:val="nil"/>
            </w:tcBorders>
            <w:shd w:val="clear" w:color="auto" w:fill="auto"/>
            <w:vAlign w:val="center"/>
          </w:tcPr>
          <w:p w14:paraId="5251FE9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385" w:type="pct"/>
            <w:vMerge w:val="continue"/>
            <w:tcBorders>
              <w:tl2br w:val="nil"/>
              <w:tr2bl w:val="nil"/>
            </w:tcBorders>
            <w:shd w:val="clear" w:color="auto" w:fill="auto"/>
            <w:vAlign w:val="center"/>
          </w:tcPr>
          <w:p w14:paraId="7CF518A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178" w:type="pct"/>
            <w:tcBorders>
              <w:tl2br w:val="nil"/>
              <w:tr2bl w:val="nil"/>
            </w:tcBorders>
            <w:shd w:val="clear" w:color="auto" w:fill="auto"/>
            <w:vAlign w:val="center"/>
          </w:tcPr>
          <w:p w14:paraId="554ADF9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L</w:t>
            </w:r>
          </w:p>
        </w:tc>
        <w:tc>
          <w:tcPr>
            <w:tcW w:w="146" w:type="pct"/>
            <w:tcBorders>
              <w:tl2br w:val="nil"/>
              <w:tr2bl w:val="nil"/>
            </w:tcBorders>
            <w:shd w:val="clear" w:color="auto" w:fill="auto"/>
            <w:vAlign w:val="center"/>
          </w:tcPr>
          <w:p w14:paraId="214CB09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E</w:t>
            </w:r>
          </w:p>
        </w:tc>
        <w:tc>
          <w:tcPr>
            <w:tcW w:w="145" w:type="pct"/>
            <w:tcBorders>
              <w:tl2br w:val="nil"/>
              <w:tr2bl w:val="nil"/>
            </w:tcBorders>
            <w:shd w:val="clear" w:color="auto" w:fill="auto"/>
            <w:vAlign w:val="center"/>
          </w:tcPr>
          <w:p w14:paraId="6BDCDA6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C</w:t>
            </w:r>
          </w:p>
        </w:tc>
        <w:tc>
          <w:tcPr>
            <w:tcW w:w="255" w:type="pct"/>
            <w:tcBorders>
              <w:tl2br w:val="nil"/>
              <w:tr2bl w:val="nil"/>
            </w:tcBorders>
            <w:shd w:val="clear" w:color="auto" w:fill="auto"/>
            <w:vAlign w:val="center"/>
          </w:tcPr>
          <w:p w14:paraId="2A542C6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D</w:t>
            </w:r>
          </w:p>
        </w:tc>
        <w:tc>
          <w:tcPr>
            <w:tcW w:w="221" w:type="pct"/>
            <w:vMerge w:val="continue"/>
            <w:tcBorders>
              <w:tl2br w:val="nil"/>
              <w:tr2bl w:val="nil"/>
            </w:tcBorders>
            <w:shd w:val="clear" w:color="auto" w:fill="auto"/>
            <w:vAlign w:val="center"/>
          </w:tcPr>
          <w:p w14:paraId="5DFA315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600" w:type="pct"/>
            <w:vMerge w:val="continue"/>
            <w:tcBorders>
              <w:tl2br w:val="nil"/>
              <w:tr2bl w:val="nil"/>
            </w:tcBorders>
            <w:shd w:val="clear" w:color="auto" w:fill="auto"/>
            <w:vAlign w:val="center"/>
          </w:tcPr>
          <w:p w14:paraId="19CEAFC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59F389D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b/>
                <w:bCs/>
                <w:i w:val="0"/>
                <w:iCs w:val="0"/>
                <w:color w:val="000000"/>
                <w:sz w:val="18"/>
                <w:szCs w:val="18"/>
                <w:highlight w:val="none"/>
                <w:u w:val="none"/>
              </w:rPr>
            </w:pPr>
          </w:p>
        </w:tc>
      </w:tr>
      <w:tr w14:paraId="1D9D11EE">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5F01DAD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62" w:type="pct"/>
            <w:vMerge w:val="restart"/>
            <w:tcBorders>
              <w:tl2br w:val="nil"/>
              <w:tr2bl w:val="nil"/>
            </w:tcBorders>
            <w:shd w:val="clear" w:color="auto" w:fill="auto"/>
            <w:vAlign w:val="center"/>
          </w:tcPr>
          <w:p w14:paraId="1DD470A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起重作业</w:t>
            </w:r>
          </w:p>
        </w:tc>
        <w:tc>
          <w:tcPr>
            <w:tcW w:w="240" w:type="pct"/>
            <w:vMerge w:val="restart"/>
            <w:tcBorders>
              <w:tl2br w:val="nil"/>
              <w:tr2bl w:val="nil"/>
            </w:tcBorders>
            <w:shd w:val="clear" w:color="auto" w:fill="auto"/>
            <w:vAlign w:val="center"/>
          </w:tcPr>
          <w:p w14:paraId="3168A68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起重</w:t>
            </w:r>
          </w:p>
          <w:p w14:paraId="3B72BA2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作业</w:t>
            </w:r>
          </w:p>
          <w:p w14:paraId="5D90B21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起重</w:t>
            </w:r>
          </w:p>
          <w:p w14:paraId="27A6356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作业</w:t>
            </w:r>
          </w:p>
        </w:tc>
        <w:tc>
          <w:tcPr>
            <w:tcW w:w="1908" w:type="pct"/>
            <w:tcBorders>
              <w:tl2br w:val="nil"/>
              <w:tr2bl w:val="nil"/>
            </w:tcBorders>
            <w:shd w:val="clear" w:color="auto" w:fill="auto"/>
            <w:vAlign w:val="center"/>
          </w:tcPr>
          <w:p w14:paraId="7B9DFAB3">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作业前，未检查起重吊装所使用的起重机滑轮、吊索、卡环和地锚等</w:t>
            </w:r>
          </w:p>
        </w:tc>
        <w:tc>
          <w:tcPr>
            <w:tcW w:w="385" w:type="pct"/>
            <w:tcBorders>
              <w:tl2br w:val="nil"/>
              <w:tr2bl w:val="nil"/>
            </w:tcBorders>
            <w:shd w:val="clear" w:color="auto" w:fill="auto"/>
            <w:vAlign w:val="center"/>
          </w:tcPr>
          <w:p w14:paraId="1C89333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1FC16F2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548E44B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6D46085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7A0B31C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18</w:t>
            </w:r>
          </w:p>
        </w:tc>
        <w:tc>
          <w:tcPr>
            <w:tcW w:w="221" w:type="pct"/>
            <w:tcBorders>
              <w:tl2br w:val="nil"/>
              <w:tr2bl w:val="nil"/>
            </w:tcBorders>
            <w:shd w:val="clear" w:color="auto" w:fill="auto"/>
            <w:vAlign w:val="center"/>
          </w:tcPr>
          <w:p w14:paraId="30AD49A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restart"/>
            <w:tcBorders>
              <w:tl2br w:val="nil"/>
              <w:tr2bl w:val="nil"/>
            </w:tcBorders>
            <w:shd w:val="clear" w:color="auto" w:fill="auto"/>
            <w:vAlign w:val="center"/>
          </w:tcPr>
          <w:p w14:paraId="34A99EE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《安全生产法》《建设工程安全生产管理条例》《公路工程施工安全技术规范》《公路水运工程临时用电技术规程》《构筑物施工安全检查标准》《重大危险源辨识》等</w:t>
            </w:r>
          </w:p>
        </w:tc>
        <w:tc>
          <w:tcPr>
            <w:tcW w:w="578" w:type="pct"/>
            <w:vMerge w:val="restart"/>
            <w:tcBorders>
              <w:tl2br w:val="nil"/>
              <w:tr2bl w:val="nil"/>
            </w:tcBorders>
            <w:shd w:val="clear" w:color="auto" w:fill="auto"/>
            <w:vAlign w:val="center"/>
          </w:tcPr>
          <w:p w14:paraId="6E8F665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1、严格按方案要求组织施工；</w:t>
            </w:r>
          </w:p>
          <w:p w14:paraId="4A8DAED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2、进行危险源辨识，制定控制措施</w:t>
            </w:r>
          </w:p>
          <w:p w14:paraId="6AE4045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3、遵守安全管理制度和安全操作规程</w:t>
            </w:r>
          </w:p>
          <w:p w14:paraId="3834167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4、开展定期和不定期的安全大检查</w:t>
            </w:r>
          </w:p>
          <w:p w14:paraId="49057401">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5、针对不同岗位、工种，开展有针对性的安全教育培训；</w:t>
            </w:r>
          </w:p>
          <w:p w14:paraId="1E30B18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6、按照分包合同要求严格管理。</w:t>
            </w:r>
          </w:p>
        </w:tc>
      </w:tr>
      <w:tr w14:paraId="7D1C47C3">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5570FC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62" w:type="pct"/>
            <w:vMerge w:val="continue"/>
            <w:tcBorders>
              <w:tl2br w:val="nil"/>
              <w:tr2bl w:val="nil"/>
            </w:tcBorders>
            <w:shd w:val="clear" w:color="auto" w:fill="auto"/>
            <w:vAlign w:val="center"/>
          </w:tcPr>
          <w:p w14:paraId="2C2E4E7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7B940B3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0C73A85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吊装业作区未设置明显标志或警戒区；夜间施工没有足够的照明</w:t>
            </w:r>
          </w:p>
        </w:tc>
        <w:tc>
          <w:tcPr>
            <w:tcW w:w="385" w:type="pct"/>
            <w:tcBorders>
              <w:tl2br w:val="nil"/>
              <w:tr2bl w:val="nil"/>
            </w:tcBorders>
            <w:shd w:val="clear" w:color="auto" w:fill="auto"/>
            <w:vAlign w:val="center"/>
          </w:tcPr>
          <w:p w14:paraId="0D372B0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511C706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0051B3D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65D7F29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7B2860B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54</w:t>
            </w:r>
          </w:p>
        </w:tc>
        <w:tc>
          <w:tcPr>
            <w:tcW w:w="221" w:type="pct"/>
            <w:tcBorders>
              <w:tl2br w:val="nil"/>
              <w:tr2bl w:val="nil"/>
            </w:tcBorders>
            <w:shd w:val="clear" w:color="auto" w:fill="auto"/>
            <w:vAlign w:val="center"/>
          </w:tcPr>
          <w:p w14:paraId="7DF86E1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08EA60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49C674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4962BCFB">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EEF0F5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62" w:type="pct"/>
            <w:vMerge w:val="continue"/>
            <w:tcBorders>
              <w:tl2br w:val="nil"/>
              <w:tr2bl w:val="nil"/>
            </w:tcBorders>
            <w:shd w:val="clear" w:color="auto" w:fill="auto"/>
            <w:vAlign w:val="center"/>
          </w:tcPr>
          <w:p w14:paraId="0932684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2761E1D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46579FC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起重设备通行道路不平整、坚实</w:t>
            </w:r>
          </w:p>
        </w:tc>
        <w:tc>
          <w:tcPr>
            <w:tcW w:w="385" w:type="pct"/>
            <w:tcBorders>
              <w:tl2br w:val="nil"/>
              <w:tr2bl w:val="nil"/>
            </w:tcBorders>
            <w:shd w:val="clear" w:color="auto" w:fill="auto"/>
            <w:vAlign w:val="center"/>
          </w:tcPr>
          <w:p w14:paraId="7645591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机械伤害</w:t>
            </w:r>
          </w:p>
        </w:tc>
        <w:tc>
          <w:tcPr>
            <w:tcW w:w="178" w:type="pct"/>
            <w:tcBorders>
              <w:tl2br w:val="nil"/>
              <w:tr2bl w:val="nil"/>
            </w:tcBorders>
            <w:shd w:val="clear" w:color="auto" w:fill="auto"/>
            <w:vAlign w:val="center"/>
          </w:tcPr>
          <w:p w14:paraId="23398B1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6" w:type="pct"/>
            <w:tcBorders>
              <w:tl2br w:val="nil"/>
              <w:tr2bl w:val="nil"/>
            </w:tcBorders>
            <w:shd w:val="clear" w:color="auto" w:fill="auto"/>
            <w:vAlign w:val="center"/>
          </w:tcPr>
          <w:p w14:paraId="5F4BFF2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56FC313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255" w:type="pct"/>
            <w:tcBorders>
              <w:tl2br w:val="nil"/>
              <w:tr2bl w:val="nil"/>
            </w:tcBorders>
            <w:shd w:val="clear" w:color="auto" w:fill="auto"/>
            <w:vAlign w:val="center"/>
          </w:tcPr>
          <w:p w14:paraId="110C633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36</w:t>
            </w:r>
          </w:p>
        </w:tc>
        <w:tc>
          <w:tcPr>
            <w:tcW w:w="221" w:type="pct"/>
            <w:tcBorders>
              <w:tl2br w:val="nil"/>
              <w:tr2bl w:val="nil"/>
            </w:tcBorders>
            <w:shd w:val="clear" w:color="auto" w:fill="auto"/>
            <w:vAlign w:val="center"/>
          </w:tcPr>
          <w:p w14:paraId="35F8142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1DAC190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45BB5F72">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00F3AE4A">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394624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w:t>
            </w:r>
          </w:p>
        </w:tc>
        <w:tc>
          <w:tcPr>
            <w:tcW w:w="162" w:type="pct"/>
            <w:vMerge w:val="continue"/>
            <w:tcBorders>
              <w:tl2br w:val="nil"/>
              <w:tr2bl w:val="nil"/>
            </w:tcBorders>
            <w:shd w:val="clear" w:color="auto" w:fill="auto"/>
            <w:vAlign w:val="center"/>
          </w:tcPr>
          <w:p w14:paraId="0992F1D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6B6B39F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37C2836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高空用的吊篮和临时工作台未绑扎牢靠，没有防护栏杆</w:t>
            </w:r>
          </w:p>
        </w:tc>
        <w:tc>
          <w:tcPr>
            <w:tcW w:w="385" w:type="pct"/>
            <w:tcBorders>
              <w:tl2br w:val="nil"/>
              <w:tr2bl w:val="nil"/>
            </w:tcBorders>
            <w:shd w:val="clear" w:color="auto" w:fill="auto"/>
            <w:vAlign w:val="center"/>
          </w:tcPr>
          <w:p w14:paraId="6496324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1B9F10C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5882281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6EC427C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0515E8C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4527994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43C7BBE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046649BE">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77C1C54E">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3D05DE3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w:t>
            </w:r>
          </w:p>
        </w:tc>
        <w:tc>
          <w:tcPr>
            <w:tcW w:w="162" w:type="pct"/>
            <w:vMerge w:val="continue"/>
            <w:tcBorders>
              <w:tl2br w:val="nil"/>
              <w:tr2bl w:val="nil"/>
            </w:tcBorders>
            <w:shd w:val="clear" w:color="auto" w:fill="auto"/>
            <w:vAlign w:val="center"/>
          </w:tcPr>
          <w:p w14:paraId="08ECE21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24F221F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056AF85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吊篮和工作台的脚手板未铺平绑牢，存在探头板</w:t>
            </w:r>
          </w:p>
        </w:tc>
        <w:tc>
          <w:tcPr>
            <w:tcW w:w="385" w:type="pct"/>
            <w:tcBorders>
              <w:tl2br w:val="nil"/>
              <w:tr2bl w:val="nil"/>
            </w:tcBorders>
            <w:shd w:val="clear" w:color="auto" w:fill="auto"/>
            <w:vAlign w:val="center"/>
          </w:tcPr>
          <w:p w14:paraId="21F17C3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高处坠落</w:t>
            </w:r>
          </w:p>
          <w:p w14:paraId="4F8E375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物体打击</w:t>
            </w:r>
          </w:p>
        </w:tc>
        <w:tc>
          <w:tcPr>
            <w:tcW w:w="178" w:type="pct"/>
            <w:tcBorders>
              <w:tl2br w:val="nil"/>
              <w:tr2bl w:val="nil"/>
            </w:tcBorders>
            <w:shd w:val="clear" w:color="auto" w:fill="auto"/>
            <w:vAlign w:val="center"/>
          </w:tcPr>
          <w:p w14:paraId="3755097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4D9904D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6BEE280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04A3D8B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54</w:t>
            </w:r>
          </w:p>
        </w:tc>
        <w:tc>
          <w:tcPr>
            <w:tcW w:w="221" w:type="pct"/>
            <w:tcBorders>
              <w:tl2br w:val="nil"/>
              <w:tr2bl w:val="nil"/>
            </w:tcBorders>
            <w:shd w:val="clear" w:color="auto" w:fill="auto"/>
            <w:vAlign w:val="center"/>
          </w:tcPr>
          <w:p w14:paraId="768B4B8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D9B403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5244EB1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216FEAA8">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D5251B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62" w:type="pct"/>
            <w:vMerge w:val="continue"/>
            <w:tcBorders>
              <w:tl2br w:val="nil"/>
              <w:tr2bl w:val="nil"/>
            </w:tcBorders>
            <w:shd w:val="clear" w:color="auto" w:fill="auto"/>
            <w:vAlign w:val="center"/>
          </w:tcPr>
          <w:p w14:paraId="2B8ACAA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01EE44D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7CA9C0C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吊物下方站人</w:t>
            </w:r>
          </w:p>
        </w:tc>
        <w:tc>
          <w:tcPr>
            <w:tcW w:w="385" w:type="pct"/>
            <w:tcBorders>
              <w:tl2br w:val="nil"/>
              <w:tr2bl w:val="nil"/>
            </w:tcBorders>
            <w:shd w:val="clear" w:color="auto" w:fill="auto"/>
            <w:vAlign w:val="center"/>
          </w:tcPr>
          <w:p w14:paraId="48ABCA4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7CFDF9A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6" w:type="pct"/>
            <w:tcBorders>
              <w:tl2br w:val="nil"/>
              <w:tr2bl w:val="nil"/>
            </w:tcBorders>
            <w:shd w:val="clear" w:color="auto" w:fill="auto"/>
            <w:vAlign w:val="center"/>
          </w:tcPr>
          <w:p w14:paraId="3412CA9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194523E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280DA20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36</w:t>
            </w:r>
          </w:p>
        </w:tc>
        <w:tc>
          <w:tcPr>
            <w:tcW w:w="221" w:type="pct"/>
            <w:tcBorders>
              <w:tl2br w:val="nil"/>
              <w:tr2bl w:val="nil"/>
            </w:tcBorders>
            <w:shd w:val="clear" w:color="auto" w:fill="auto"/>
            <w:vAlign w:val="center"/>
          </w:tcPr>
          <w:p w14:paraId="3707F5C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0CF940B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13169E5D">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4EAE7EB7">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A6E4DF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162" w:type="pct"/>
            <w:vMerge w:val="continue"/>
            <w:tcBorders>
              <w:tl2br w:val="nil"/>
              <w:tr2bl w:val="nil"/>
            </w:tcBorders>
            <w:shd w:val="clear" w:color="auto" w:fill="auto"/>
            <w:vAlign w:val="center"/>
          </w:tcPr>
          <w:p w14:paraId="54D9D55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7A9BD1E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1A7062F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起吊前，未对起重机钢丝绳及连接部位和吊具进行检查</w:t>
            </w:r>
          </w:p>
        </w:tc>
        <w:tc>
          <w:tcPr>
            <w:tcW w:w="385" w:type="pct"/>
            <w:tcBorders>
              <w:tl2br w:val="nil"/>
              <w:tr2bl w:val="nil"/>
            </w:tcBorders>
            <w:shd w:val="clear" w:color="auto" w:fill="auto"/>
            <w:vAlign w:val="center"/>
          </w:tcPr>
          <w:p w14:paraId="3DE53EB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1C2FA95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6" w:type="pct"/>
            <w:tcBorders>
              <w:tl2br w:val="nil"/>
              <w:tr2bl w:val="nil"/>
            </w:tcBorders>
            <w:shd w:val="clear" w:color="auto" w:fill="auto"/>
            <w:vAlign w:val="center"/>
          </w:tcPr>
          <w:p w14:paraId="46A80C9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37072A5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255" w:type="pct"/>
            <w:tcBorders>
              <w:tl2br w:val="nil"/>
              <w:tr2bl w:val="nil"/>
            </w:tcBorders>
            <w:shd w:val="clear" w:color="auto" w:fill="auto"/>
            <w:vAlign w:val="center"/>
          </w:tcPr>
          <w:p w14:paraId="7013911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60</w:t>
            </w:r>
          </w:p>
        </w:tc>
        <w:tc>
          <w:tcPr>
            <w:tcW w:w="221" w:type="pct"/>
            <w:tcBorders>
              <w:tl2br w:val="nil"/>
              <w:tr2bl w:val="nil"/>
            </w:tcBorders>
            <w:shd w:val="clear" w:color="auto" w:fill="auto"/>
            <w:vAlign w:val="center"/>
          </w:tcPr>
          <w:p w14:paraId="6EF89F7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0FF7BA5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545C160D">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7250D1BC">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392CA17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w:t>
            </w:r>
          </w:p>
        </w:tc>
        <w:tc>
          <w:tcPr>
            <w:tcW w:w="162" w:type="pct"/>
            <w:vMerge w:val="continue"/>
            <w:tcBorders>
              <w:tl2br w:val="nil"/>
              <w:tr2bl w:val="nil"/>
            </w:tcBorders>
            <w:shd w:val="clear" w:color="auto" w:fill="auto"/>
            <w:vAlign w:val="center"/>
          </w:tcPr>
          <w:p w14:paraId="1F20882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307AA7D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75796A7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吊装大、重构件和采用新的吊装工艺时，未进行试吊</w:t>
            </w:r>
          </w:p>
        </w:tc>
        <w:tc>
          <w:tcPr>
            <w:tcW w:w="385" w:type="pct"/>
            <w:tcBorders>
              <w:tl2br w:val="nil"/>
              <w:tr2bl w:val="nil"/>
            </w:tcBorders>
            <w:shd w:val="clear" w:color="auto" w:fill="auto"/>
            <w:vAlign w:val="center"/>
          </w:tcPr>
          <w:p w14:paraId="13A6418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0943349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6" w:type="pct"/>
            <w:tcBorders>
              <w:tl2br w:val="nil"/>
              <w:tr2bl w:val="nil"/>
            </w:tcBorders>
            <w:shd w:val="clear" w:color="auto" w:fill="auto"/>
            <w:vAlign w:val="center"/>
          </w:tcPr>
          <w:p w14:paraId="68998D8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565921D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14ED0FC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36</w:t>
            </w:r>
          </w:p>
        </w:tc>
        <w:tc>
          <w:tcPr>
            <w:tcW w:w="221" w:type="pct"/>
            <w:tcBorders>
              <w:tl2br w:val="nil"/>
              <w:tr2bl w:val="nil"/>
            </w:tcBorders>
            <w:shd w:val="clear" w:color="auto" w:fill="auto"/>
            <w:vAlign w:val="center"/>
          </w:tcPr>
          <w:p w14:paraId="6E69C42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4CC809E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2D143AB">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11CE6855">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0ECF0F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w:t>
            </w:r>
          </w:p>
        </w:tc>
        <w:tc>
          <w:tcPr>
            <w:tcW w:w="162" w:type="pct"/>
            <w:vMerge w:val="continue"/>
            <w:tcBorders>
              <w:tl2br w:val="nil"/>
              <w:tr2bl w:val="nil"/>
            </w:tcBorders>
            <w:shd w:val="clear" w:color="auto" w:fill="auto"/>
            <w:vAlign w:val="center"/>
          </w:tcPr>
          <w:p w14:paraId="18BE355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2A49530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42EF7173">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大雨、雾、大雪及六级以上大风等恶劣天气进行吊装作业</w:t>
            </w:r>
          </w:p>
        </w:tc>
        <w:tc>
          <w:tcPr>
            <w:tcW w:w="385" w:type="pct"/>
            <w:tcBorders>
              <w:tl2br w:val="nil"/>
              <w:tr2bl w:val="nil"/>
            </w:tcBorders>
            <w:shd w:val="clear" w:color="auto" w:fill="auto"/>
            <w:vAlign w:val="center"/>
          </w:tcPr>
          <w:p w14:paraId="4BE6B2A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460B4A5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13FF94A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5" w:type="pct"/>
            <w:tcBorders>
              <w:tl2br w:val="nil"/>
              <w:tr2bl w:val="nil"/>
            </w:tcBorders>
            <w:shd w:val="clear" w:color="auto" w:fill="auto"/>
            <w:vAlign w:val="center"/>
          </w:tcPr>
          <w:p w14:paraId="6663E0E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15</w:t>
            </w:r>
          </w:p>
        </w:tc>
        <w:tc>
          <w:tcPr>
            <w:tcW w:w="255" w:type="pct"/>
            <w:tcBorders>
              <w:tl2br w:val="nil"/>
              <w:tr2bl w:val="nil"/>
            </w:tcBorders>
            <w:shd w:val="clear" w:color="auto" w:fill="auto"/>
            <w:vAlign w:val="center"/>
          </w:tcPr>
          <w:p w14:paraId="168892E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45</w:t>
            </w:r>
          </w:p>
        </w:tc>
        <w:tc>
          <w:tcPr>
            <w:tcW w:w="221" w:type="pct"/>
            <w:tcBorders>
              <w:tl2br w:val="nil"/>
              <w:tr2bl w:val="nil"/>
            </w:tcBorders>
            <w:shd w:val="clear" w:color="auto" w:fill="auto"/>
            <w:vAlign w:val="center"/>
          </w:tcPr>
          <w:p w14:paraId="4054CCC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0235B37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504A4593">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08EAEB15">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BAD3E5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62" w:type="pct"/>
            <w:vMerge w:val="continue"/>
            <w:tcBorders>
              <w:tl2br w:val="nil"/>
              <w:tr2bl w:val="nil"/>
            </w:tcBorders>
            <w:shd w:val="clear" w:color="auto" w:fill="auto"/>
            <w:vAlign w:val="center"/>
          </w:tcPr>
          <w:p w14:paraId="2D4F991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781B843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5E5FDF4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采用了斜拉、斜吊，或者起吊埋于地下或粘结在地面上的构件</w:t>
            </w:r>
          </w:p>
        </w:tc>
        <w:tc>
          <w:tcPr>
            <w:tcW w:w="385" w:type="pct"/>
            <w:tcBorders>
              <w:tl2br w:val="nil"/>
              <w:tr2bl w:val="nil"/>
            </w:tcBorders>
            <w:shd w:val="clear" w:color="auto" w:fill="auto"/>
            <w:vAlign w:val="center"/>
          </w:tcPr>
          <w:p w14:paraId="3917ECB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58D09CB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6" w:type="pct"/>
            <w:tcBorders>
              <w:tl2br w:val="nil"/>
              <w:tr2bl w:val="nil"/>
            </w:tcBorders>
            <w:shd w:val="clear" w:color="auto" w:fill="auto"/>
            <w:vAlign w:val="center"/>
          </w:tcPr>
          <w:p w14:paraId="72C1719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4F30CBB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70CBDEB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36</w:t>
            </w:r>
          </w:p>
        </w:tc>
        <w:tc>
          <w:tcPr>
            <w:tcW w:w="221" w:type="pct"/>
            <w:tcBorders>
              <w:tl2br w:val="nil"/>
              <w:tr2bl w:val="nil"/>
            </w:tcBorders>
            <w:shd w:val="clear" w:color="auto" w:fill="auto"/>
            <w:vAlign w:val="center"/>
          </w:tcPr>
          <w:p w14:paraId="109AF31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6E9B9C5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483AEA61">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4C83F9AF">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354B61B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11</w:t>
            </w:r>
          </w:p>
        </w:tc>
        <w:tc>
          <w:tcPr>
            <w:tcW w:w="162" w:type="pct"/>
            <w:vMerge w:val="continue"/>
            <w:tcBorders>
              <w:tl2br w:val="nil"/>
              <w:tr2bl w:val="nil"/>
            </w:tcBorders>
            <w:shd w:val="clear" w:color="auto" w:fill="auto"/>
            <w:vAlign w:val="center"/>
          </w:tcPr>
          <w:p w14:paraId="7BE975B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24A7D9E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03CA0F8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起重机与架空输电线距离不满足相关标准的规定</w:t>
            </w:r>
          </w:p>
        </w:tc>
        <w:tc>
          <w:tcPr>
            <w:tcW w:w="385" w:type="pct"/>
            <w:tcBorders>
              <w:tl2br w:val="nil"/>
              <w:tr2bl w:val="nil"/>
            </w:tcBorders>
            <w:shd w:val="clear" w:color="auto" w:fill="auto"/>
            <w:vAlign w:val="center"/>
          </w:tcPr>
          <w:p w14:paraId="3BF1FC3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0EF4D77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6" w:type="pct"/>
            <w:tcBorders>
              <w:tl2br w:val="nil"/>
              <w:tr2bl w:val="nil"/>
            </w:tcBorders>
            <w:shd w:val="clear" w:color="auto" w:fill="auto"/>
            <w:vAlign w:val="center"/>
          </w:tcPr>
          <w:p w14:paraId="340A0F3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480A7B4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5858D1A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36</w:t>
            </w:r>
          </w:p>
        </w:tc>
        <w:tc>
          <w:tcPr>
            <w:tcW w:w="221" w:type="pct"/>
            <w:tcBorders>
              <w:tl2br w:val="nil"/>
              <w:tr2bl w:val="nil"/>
            </w:tcBorders>
            <w:shd w:val="clear" w:color="auto" w:fill="auto"/>
            <w:vAlign w:val="center"/>
          </w:tcPr>
          <w:p w14:paraId="19B3FF8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54FEA8E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2B37130">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725F76EE">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CC7E42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12</w:t>
            </w:r>
          </w:p>
        </w:tc>
        <w:tc>
          <w:tcPr>
            <w:tcW w:w="162" w:type="pct"/>
            <w:vMerge w:val="continue"/>
            <w:tcBorders>
              <w:tl2br w:val="nil"/>
              <w:tr2bl w:val="nil"/>
            </w:tcBorders>
            <w:shd w:val="clear" w:color="auto" w:fill="auto"/>
            <w:vAlign w:val="center"/>
          </w:tcPr>
          <w:p w14:paraId="27E2BAF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3C3B367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16B6A4D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起吊过程中，在起重机行走、回转、俯仰吊臂、起落吊钩等动作前，起重司机未鸣声示意</w:t>
            </w:r>
          </w:p>
        </w:tc>
        <w:tc>
          <w:tcPr>
            <w:tcW w:w="385" w:type="pct"/>
            <w:tcBorders>
              <w:tl2br w:val="nil"/>
              <w:tr2bl w:val="nil"/>
            </w:tcBorders>
            <w:shd w:val="clear" w:color="auto" w:fill="auto"/>
            <w:vAlign w:val="center"/>
          </w:tcPr>
          <w:p w14:paraId="0DF0622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59DD3F4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6" w:type="pct"/>
            <w:tcBorders>
              <w:tl2br w:val="nil"/>
              <w:tr2bl w:val="nil"/>
            </w:tcBorders>
            <w:shd w:val="clear" w:color="auto" w:fill="auto"/>
            <w:vAlign w:val="center"/>
          </w:tcPr>
          <w:p w14:paraId="562663A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6605574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255" w:type="pct"/>
            <w:tcBorders>
              <w:tl2br w:val="nil"/>
              <w:tr2bl w:val="nil"/>
            </w:tcBorders>
            <w:shd w:val="clear" w:color="auto" w:fill="auto"/>
            <w:vAlign w:val="center"/>
          </w:tcPr>
          <w:p w14:paraId="48A9E89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60</w:t>
            </w:r>
          </w:p>
        </w:tc>
        <w:tc>
          <w:tcPr>
            <w:tcW w:w="221" w:type="pct"/>
            <w:tcBorders>
              <w:tl2br w:val="nil"/>
              <w:tr2bl w:val="nil"/>
            </w:tcBorders>
            <w:shd w:val="clear" w:color="auto" w:fill="auto"/>
            <w:vAlign w:val="center"/>
          </w:tcPr>
          <w:p w14:paraId="5E918FD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0301185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3A8F2C4">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27402E0">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A1A678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13</w:t>
            </w:r>
          </w:p>
        </w:tc>
        <w:tc>
          <w:tcPr>
            <w:tcW w:w="162" w:type="pct"/>
            <w:vMerge w:val="continue"/>
            <w:tcBorders>
              <w:tl2br w:val="nil"/>
              <w:tr2bl w:val="nil"/>
            </w:tcBorders>
            <w:shd w:val="clear" w:color="auto" w:fill="auto"/>
            <w:vAlign w:val="center"/>
          </w:tcPr>
          <w:p w14:paraId="0948A83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03752DB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4E9D5EA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在已吊起的构件下面或起重臂下旋转范围内作业或行走</w:t>
            </w:r>
          </w:p>
        </w:tc>
        <w:tc>
          <w:tcPr>
            <w:tcW w:w="385" w:type="pct"/>
            <w:tcBorders>
              <w:tl2br w:val="nil"/>
              <w:tr2bl w:val="nil"/>
            </w:tcBorders>
            <w:shd w:val="clear" w:color="auto" w:fill="auto"/>
            <w:vAlign w:val="center"/>
          </w:tcPr>
          <w:p w14:paraId="2842522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2273272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6" w:type="pct"/>
            <w:tcBorders>
              <w:tl2br w:val="nil"/>
              <w:tr2bl w:val="nil"/>
            </w:tcBorders>
            <w:shd w:val="clear" w:color="auto" w:fill="auto"/>
            <w:vAlign w:val="center"/>
          </w:tcPr>
          <w:p w14:paraId="55301A3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50CB5C7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23DCA35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36</w:t>
            </w:r>
          </w:p>
        </w:tc>
        <w:tc>
          <w:tcPr>
            <w:tcW w:w="221" w:type="pct"/>
            <w:tcBorders>
              <w:tl2br w:val="nil"/>
              <w:tr2bl w:val="nil"/>
            </w:tcBorders>
            <w:shd w:val="clear" w:color="auto" w:fill="auto"/>
            <w:vAlign w:val="center"/>
          </w:tcPr>
          <w:p w14:paraId="6923867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35F157E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377DCB5">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505830C">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75641C9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14</w:t>
            </w:r>
          </w:p>
        </w:tc>
        <w:tc>
          <w:tcPr>
            <w:tcW w:w="162" w:type="pct"/>
            <w:vMerge w:val="continue"/>
            <w:tcBorders>
              <w:tl2br w:val="nil"/>
              <w:tr2bl w:val="nil"/>
            </w:tcBorders>
            <w:shd w:val="clear" w:color="auto" w:fill="auto"/>
            <w:vAlign w:val="center"/>
          </w:tcPr>
          <w:p w14:paraId="40D8577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1BD1AF5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4DC1BAC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高处安装中的电、气焊作业，未严格采取安全防火措施，在作业处下面周围10m范围内有人</w:t>
            </w:r>
          </w:p>
        </w:tc>
        <w:tc>
          <w:tcPr>
            <w:tcW w:w="385" w:type="pct"/>
            <w:tcBorders>
              <w:tl2br w:val="nil"/>
              <w:tr2bl w:val="nil"/>
            </w:tcBorders>
            <w:shd w:val="clear" w:color="auto" w:fill="auto"/>
            <w:vAlign w:val="center"/>
          </w:tcPr>
          <w:p w14:paraId="07D9F25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起重伤害</w:t>
            </w:r>
          </w:p>
          <w:p w14:paraId="37E0193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火灾</w:t>
            </w:r>
          </w:p>
        </w:tc>
        <w:tc>
          <w:tcPr>
            <w:tcW w:w="178" w:type="pct"/>
            <w:tcBorders>
              <w:tl2br w:val="nil"/>
              <w:tr2bl w:val="nil"/>
            </w:tcBorders>
            <w:shd w:val="clear" w:color="auto" w:fill="auto"/>
            <w:vAlign w:val="center"/>
          </w:tcPr>
          <w:p w14:paraId="6BC6922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6776E86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5" w:type="pct"/>
            <w:tcBorders>
              <w:tl2br w:val="nil"/>
              <w:tr2bl w:val="nil"/>
            </w:tcBorders>
            <w:shd w:val="clear" w:color="auto" w:fill="auto"/>
            <w:vAlign w:val="center"/>
          </w:tcPr>
          <w:p w14:paraId="1E0B73F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61CAF9F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63</w:t>
            </w:r>
          </w:p>
        </w:tc>
        <w:tc>
          <w:tcPr>
            <w:tcW w:w="221" w:type="pct"/>
            <w:tcBorders>
              <w:tl2br w:val="nil"/>
              <w:tr2bl w:val="nil"/>
            </w:tcBorders>
            <w:shd w:val="clear" w:color="auto" w:fill="auto"/>
            <w:vAlign w:val="center"/>
          </w:tcPr>
          <w:p w14:paraId="3D1FA66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5514109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0961D14C">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4E04F291">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346F0E2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15</w:t>
            </w:r>
          </w:p>
        </w:tc>
        <w:tc>
          <w:tcPr>
            <w:tcW w:w="162" w:type="pct"/>
            <w:vMerge w:val="continue"/>
            <w:tcBorders>
              <w:tl2br w:val="nil"/>
              <w:tr2bl w:val="nil"/>
            </w:tcBorders>
            <w:shd w:val="clear" w:color="auto" w:fill="auto"/>
            <w:vAlign w:val="center"/>
          </w:tcPr>
          <w:p w14:paraId="59AD4A4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37F09C3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0C8BDE6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自行式起重机作业前未将支腿全部伸出，并支垫牢固</w:t>
            </w:r>
          </w:p>
        </w:tc>
        <w:tc>
          <w:tcPr>
            <w:tcW w:w="385" w:type="pct"/>
            <w:tcBorders>
              <w:tl2br w:val="nil"/>
              <w:tr2bl w:val="nil"/>
            </w:tcBorders>
            <w:shd w:val="clear" w:color="auto" w:fill="auto"/>
            <w:vAlign w:val="center"/>
          </w:tcPr>
          <w:p w14:paraId="401E6AF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1163DCD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20F935B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7E187EF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5BB4CCE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331B4CF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630422C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24DEC8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2C8284AC">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PrEx>
        <w:trPr>
          <w:trHeight w:val="0" w:hRule="atLeast"/>
        </w:trPr>
        <w:tc>
          <w:tcPr>
            <w:tcW w:w="177" w:type="pct"/>
            <w:tcBorders>
              <w:tl2br w:val="nil"/>
              <w:tr2bl w:val="nil"/>
            </w:tcBorders>
            <w:shd w:val="clear" w:color="auto" w:fill="auto"/>
            <w:vAlign w:val="center"/>
          </w:tcPr>
          <w:p w14:paraId="7535B2C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16</w:t>
            </w:r>
          </w:p>
        </w:tc>
        <w:tc>
          <w:tcPr>
            <w:tcW w:w="162" w:type="pct"/>
            <w:vMerge w:val="restart"/>
            <w:tcBorders>
              <w:tl2br w:val="nil"/>
              <w:tr2bl w:val="nil"/>
            </w:tcBorders>
            <w:shd w:val="clear" w:color="auto" w:fill="auto"/>
            <w:vAlign w:val="center"/>
          </w:tcPr>
          <w:p w14:paraId="5DDC34A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cs="宋体"/>
                <w:i w:val="0"/>
                <w:iCs w:val="0"/>
                <w:color w:val="000000"/>
                <w:kern w:val="0"/>
                <w:sz w:val="18"/>
                <w:szCs w:val="18"/>
                <w:highlight w:val="none"/>
                <w:u w:val="none"/>
                <w:lang w:val="en-US" w:eastAsia="zh-CN" w:bidi="ar"/>
              </w:rPr>
              <w:t>塔机拆除</w:t>
            </w:r>
          </w:p>
        </w:tc>
        <w:tc>
          <w:tcPr>
            <w:tcW w:w="240" w:type="pct"/>
            <w:vMerge w:val="restart"/>
            <w:tcBorders>
              <w:tl2br w:val="nil"/>
              <w:tr2bl w:val="nil"/>
            </w:tcBorders>
            <w:shd w:val="clear" w:color="auto" w:fill="auto"/>
            <w:vAlign w:val="center"/>
          </w:tcPr>
          <w:p w14:paraId="2EDC925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cs="宋体"/>
                <w:i w:val="0"/>
                <w:iCs w:val="0"/>
                <w:color w:val="000000"/>
                <w:kern w:val="0"/>
                <w:sz w:val="18"/>
                <w:szCs w:val="18"/>
                <w:highlight w:val="none"/>
                <w:u w:val="none"/>
                <w:lang w:val="en-US" w:eastAsia="zh-CN" w:bidi="ar"/>
              </w:rPr>
              <w:t>拆除</w:t>
            </w:r>
          </w:p>
        </w:tc>
        <w:tc>
          <w:tcPr>
            <w:tcW w:w="1908" w:type="pct"/>
            <w:tcBorders>
              <w:tl2br w:val="nil"/>
              <w:tr2bl w:val="nil"/>
            </w:tcBorders>
            <w:shd w:val="clear" w:color="auto" w:fill="auto"/>
            <w:vAlign w:val="center"/>
          </w:tcPr>
          <w:p w14:paraId="672A88C3">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塔机</w:t>
            </w:r>
            <w:r>
              <w:rPr>
                <w:rFonts w:hint="eastAsia" w:cs="宋体"/>
                <w:i w:val="0"/>
                <w:iCs w:val="0"/>
                <w:color w:val="000000"/>
                <w:kern w:val="0"/>
                <w:sz w:val="18"/>
                <w:szCs w:val="18"/>
                <w:highlight w:val="none"/>
                <w:u w:val="none"/>
                <w:lang w:val="en-US" w:eastAsia="zh-CN" w:bidi="ar"/>
              </w:rPr>
              <w:t>拆除</w:t>
            </w:r>
            <w:r>
              <w:rPr>
                <w:rFonts w:hint="eastAsia" w:ascii="宋体" w:hAnsi="宋体" w:eastAsia="宋体" w:cs="宋体"/>
                <w:i w:val="0"/>
                <w:iCs w:val="0"/>
                <w:color w:val="000000"/>
                <w:kern w:val="0"/>
                <w:sz w:val="18"/>
                <w:szCs w:val="18"/>
                <w:highlight w:val="none"/>
                <w:u w:val="none"/>
                <w:lang w:val="en-US" w:eastAsia="zh-CN" w:bidi="ar"/>
              </w:rPr>
              <w:t>前没有进行全面的检查，并确认合格</w:t>
            </w:r>
          </w:p>
        </w:tc>
        <w:tc>
          <w:tcPr>
            <w:tcW w:w="385" w:type="pct"/>
            <w:tcBorders>
              <w:tl2br w:val="nil"/>
              <w:tr2bl w:val="nil"/>
            </w:tcBorders>
            <w:shd w:val="clear" w:color="auto" w:fill="auto"/>
            <w:vAlign w:val="center"/>
          </w:tcPr>
          <w:p w14:paraId="5126E2D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5E6F069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67B9A8E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5" w:type="pct"/>
            <w:tcBorders>
              <w:tl2br w:val="nil"/>
              <w:tr2bl w:val="nil"/>
            </w:tcBorders>
            <w:shd w:val="clear" w:color="auto" w:fill="auto"/>
            <w:vAlign w:val="center"/>
          </w:tcPr>
          <w:p w14:paraId="42FB365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255" w:type="pct"/>
            <w:tcBorders>
              <w:tl2br w:val="nil"/>
              <w:tr2bl w:val="nil"/>
            </w:tcBorders>
            <w:shd w:val="clear" w:color="auto" w:fill="auto"/>
            <w:vAlign w:val="center"/>
          </w:tcPr>
          <w:p w14:paraId="7730FC1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221" w:type="pct"/>
            <w:tcBorders>
              <w:tl2br w:val="nil"/>
              <w:tr2bl w:val="nil"/>
            </w:tcBorders>
            <w:shd w:val="clear" w:color="auto" w:fill="auto"/>
            <w:vAlign w:val="center"/>
          </w:tcPr>
          <w:p w14:paraId="5D32282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614FB08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18C44515">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6E3AE7DD">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364E00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18</w:t>
            </w:r>
          </w:p>
        </w:tc>
        <w:tc>
          <w:tcPr>
            <w:tcW w:w="162" w:type="pct"/>
            <w:vMerge w:val="continue"/>
            <w:tcBorders>
              <w:tl2br w:val="nil"/>
              <w:tr2bl w:val="nil"/>
            </w:tcBorders>
            <w:shd w:val="clear" w:color="auto" w:fill="auto"/>
            <w:vAlign w:val="center"/>
          </w:tcPr>
          <w:p w14:paraId="0F19833A">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1348E0C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1BDEFDB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附着装置的设置和自由端高度不符合使用说明书的规定</w:t>
            </w:r>
          </w:p>
        </w:tc>
        <w:tc>
          <w:tcPr>
            <w:tcW w:w="385" w:type="pct"/>
            <w:tcBorders>
              <w:tl2br w:val="nil"/>
              <w:tr2bl w:val="nil"/>
            </w:tcBorders>
            <w:shd w:val="clear" w:color="auto" w:fill="auto"/>
            <w:vAlign w:val="center"/>
          </w:tcPr>
          <w:p w14:paraId="0C9F280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51A2B06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6850CED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76F8877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27BB961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70</w:t>
            </w:r>
          </w:p>
        </w:tc>
        <w:tc>
          <w:tcPr>
            <w:tcW w:w="221" w:type="pct"/>
            <w:tcBorders>
              <w:tl2br w:val="nil"/>
              <w:tr2bl w:val="nil"/>
            </w:tcBorders>
            <w:shd w:val="clear" w:color="auto" w:fill="auto"/>
            <w:vAlign w:val="center"/>
          </w:tcPr>
          <w:p w14:paraId="451DD02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5B0A000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013C025C">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2736BFF0">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31A384F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19</w:t>
            </w:r>
          </w:p>
        </w:tc>
        <w:tc>
          <w:tcPr>
            <w:tcW w:w="162" w:type="pct"/>
            <w:vMerge w:val="continue"/>
            <w:tcBorders>
              <w:tl2br w:val="nil"/>
              <w:tr2bl w:val="nil"/>
            </w:tcBorders>
            <w:shd w:val="clear" w:color="auto" w:fill="auto"/>
            <w:vAlign w:val="center"/>
          </w:tcPr>
          <w:p w14:paraId="62E0A5C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2FCE2BD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091846B3">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当附着水平距离、附着间距等不满足使用说明书的要求时，没有进行设计计算、绘制制作图、编写相关说明</w:t>
            </w:r>
          </w:p>
        </w:tc>
        <w:tc>
          <w:tcPr>
            <w:tcW w:w="385" w:type="pct"/>
            <w:tcBorders>
              <w:tl2br w:val="nil"/>
              <w:tr2bl w:val="nil"/>
            </w:tcBorders>
            <w:shd w:val="clear" w:color="auto" w:fill="auto"/>
            <w:vAlign w:val="center"/>
          </w:tcPr>
          <w:p w14:paraId="04F9E07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7C94149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0.2</w:t>
            </w:r>
          </w:p>
        </w:tc>
        <w:tc>
          <w:tcPr>
            <w:tcW w:w="146" w:type="pct"/>
            <w:tcBorders>
              <w:tl2br w:val="nil"/>
              <w:tr2bl w:val="nil"/>
            </w:tcBorders>
            <w:shd w:val="clear" w:color="auto" w:fill="auto"/>
            <w:vAlign w:val="center"/>
          </w:tcPr>
          <w:p w14:paraId="29606F0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7377F7E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15</w:t>
            </w:r>
          </w:p>
        </w:tc>
        <w:tc>
          <w:tcPr>
            <w:tcW w:w="255" w:type="pct"/>
            <w:tcBorders>
              <w:tl2br w:val="nil"/>
              <w:tr2bl w:val="nil"/>
            </w:tcBorders>
            <w:shd w:val="clear" w:color="auto" w:fill="auto"/>
            <w:vAlign w:val="center"/>
          </w:tcPr>
          <w:p w14:paraId="6449234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30</w:t>
            </w:r>
          </w:p>
        </w:tc>
        <w:tc>
          <w:tcPr>
            <w:tcW w:w="221" w:type="pct"/>
            <w:tcBorders>
              <w:tl2br w:val="nil"/>
              <w:tr2bl w:val="nil"/>
            </w:tcBorders>
            <w:shd w:val="clear" w:color="auto" w:fill="auto"/>
            <w:vAlign w:val="center"/>
          </w:tcPr>
          <w:p w14:paraId="38F4917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63BE5A0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0631F6E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76ECC4FD">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558D19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20</w:t>
            </w:r>
          </w:p>
        </w:tc>
        <w:tc>
          <w:tcPr>
            <w:tcW w:w="162" w:type="pct"/>
            <w:vMerge w:val="continue"/>
            <w:tcBorders>
              <w:tl2br w:val="nil"/>
              <w:tr2bl w:val="nil"/>
            </w:tcBorders>
            <w:shd w:val="clear" w:color="auto" w:fill="auto"/>
            <w:vAlign w:val="center"/>
          </w:tcPr>
          <w:p w14:paraId="2A4C6C6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5514FCC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7D017D5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cs="宋体"/>
                <w:i w:val="0"/>
                <w:iCs w:val="0"/>
                <w:color w:val="000000"/>
                <w:kern w:val="0"/>
                <w:sz w:val="18"/>
                <w:szCs w:val="18"/>
                <w:highlight w:val="none"/>
                <w:u w:val="none"/>
                <w:lang w:val="en-US" w:eastAsia="zh-CN" w:bidi="ar"/>
              </w:rPr>
              <w:t>拆除</w:t>
            </w:r>
            <w:r>
              <w:rPr>
                <w:rFonts w:hint="eastAsia" w:ascii="宋体" w:hAnsi="宋体" w:eastAsia="宋体" w:cs="宋体"/>
                <w:i w:val="0"/>
                <w:iCs w:val="0"/>
                <w:color w:val="000000"/>
                <w:kern w:val="0"/>
                <w:sz w:val="18"/>
                <w:szCs w:val="18"/>
                <w:highlight w:val="none"/>
                <w:u w:val="none"/>
                <w:lang w:val="en-US" w:eastAsia="zh-CN" w:bidi="ar"/>
              </w:rPr>
              <w:t>作业未按照专项方案要求实施</w:t>
            </w:r>
            <w:r>
              <w:rPr>
                <w:rFonts w:hint="eastAsia" w:cs="宋体"/>
                <w:i w:val="0"/>
                <w:iCs w:val="0"/>
                <w:color w:val="000000"/>
                <w:kern w:val="0"/>
                <w:sz w:val="18"/>
                <w:szCs w:val="18"/>
                <w:highlight w:val="none"/>
                <w:u w:val="none"/>
                <w:lang w:val="en-US" w:eastAsia="zh-CN" w:bidi="ar"/>
              </w:rPr>
              <w:t>拆除</w:t>
            </w:r>
            <w:r>
              <w:rPr>
                <w:rFonts w:hint="eastAsia" w:ascii="宋体" w:hAnsi="宋体" w:eastAsia="宋体" w:cs="宋体"/>
                <w:i w:val="0"/>
                <w:iCs w:val="0"/>
                <w:color w:val="000000"/>
                <w:kern w:val="0"/>
                <w:sz w:val="18"/>
                <w:szCs w:val="18"/>
                <w:highlight w:val="none"/>
                <w:u w:val="none"/>
                <w:lang w:val="en-US" w:eastAsia="zh-CN" w:bidi="ar"/>
              </w:rPr>
              <w:t>前未对</w:t>
            </w:r>
            <w:r>
              <w:rPr>
                <w:rFonts w:hint="eastAsia" w:cs="宋体"/>
                <w:i w:val="0"/>
                <w:iCs w:val="0"/>
                <w:color w:val="000000"/>
                <w:kern w:val="0"/>
                <w:sz w:val="18"/>
                <w:szCs w:val="18"/>
                <w:highlight w:val="none"/>
                <w:u w:val="none"/>
                <w:lang w:val="en-US" w:eastAsia="zh-CN" w:bidi="ar"/>
              </w:rPr>
              <w:t>拆除</w:t>
            </w:r>
            <w:r>
              <w:rPr>
                <w:rFonts w:hint="eastAsia" w:ascii="宋体" w:hAnsi="宋体" w:eastAsia="宋体" w:cs="宋体"/>
                <w:i w:val="0"/>
                <w:iCs w:val="0"/>
                <w:color w:val="000000"/>
                <w:kern w:val="0"/>
                <w:sz w:val="18"/>
                <w:szCs w:val="18"/>
                <w:highlight w:val="none"/>
                <w:u w:val="none"/>
                <w:lang w:val="en-US" w:eastAsia="zh-CN" w:bidi="ar"/>
              </w:rPr>
              <w:t>作业人员进行安全技术交底</w:t>
            </w:r>
          </w:p>
        </w:tc>
        <w:tc>
          <w:tcPr>
            <w:tcW w:w="385" w:type="pct"/>
            <w:tcBorders>
              <w:tl2br w:val="nil"/>
              <w:tr2bl w:val="nil"/>
            </w:tcBorders>
            <w:shd w:val="clear" w:color="auto" w:fill="auto"/>
            <w:vAlign w:val="center"/>
          </w:tcPr>
          <w:p w14:paraId="2B282B2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3F48164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5F15333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5" w:type="pct"/>
            <w:tcBorders>
              <w:tl2br w:val="nil"/>
              <w:tr2bl w:val="nil"/>
            </w:tcBorders>
            <w:shd w:val="clear" w:color="auto" w:fill="auto"/>
            <w:vAlign w:val="center"/>
          </w:tcPr>
          <w:p w14:paraId="2F57649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255" w:type="pct"/>
            <w:tcBorders>
              <w:tl2br w:val="nil"/>
              <w:tr2bl w:val="nil"/>
            </w:tcBorders>
            <w:shd w:val="clear" w:color="auto" w:fill="auto"/>
            <w:vAlign w:val="center"/>
          </w:tcPr>
          <w:p w14:paraId="46B25D6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120</w:t>
            </w:r>
          </w:p>
        </w:tc>
        <w:tc>
          <w:tcPr>
            <w:tcW w:w="221" w:type="pct"/>
            <w:tcBorders>
              <w:tl2br w:val="nil"/>
              <w:tr2bl w:val="nil"/>
            </w:tcBorders>
            <w:shd w:val="clear" w:color="auto" w:fill="auto"/>
            <w:vAlign w:val="center"/>
          </w:tcPr>
          <w:p w14:paraId="0E50571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600" w:type="pct"/>
            <w:vMerge w:val="continue"/>
            <w:tcBorders>
              <w:tl2br w:val="nil"/>
              <w:tr2bl w:val="nil"/>
            </w:tcBorders>
            <w:shd w:val="clear" w:color="auto" w:fill="auto"/>
            <w:vAlign w:val="center"/>
          </w:tcPr>
          <w:p w14:paraId="418A036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4AF4A5DB">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7AC67C32">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0E35BDE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21</w:t>
            </w:r>
          </w:p>
        </w:tc>
        <w:tc>
          <w:tcPr>
            <w:tcW w:w="162" w:type="pct"/>
            <w:vMerge w:val="continue"/>
            <w:tcBorders>
              <w:tl2br w:val="nil"/>
              <w:tr2bl w:val="nil"/>
            </w:tcBorders>
            <w:shd w:val="clear" w:color="auto" w:fill="auto"/>
            <w:vAlign w:val="center"/>
          </w:tcPr>
          <w:p w14:paraId="5F623A1C">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560E29A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289894A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自升式塔式起重机的</w:t>
            </w:r>
            <w:r>
              <w:rPr>
                <w:rFonts w:hint="eastAsia" w:cs="宋体"/>
                <w:i w:val="0"/>
                <w:iCs w:val="0"/>
                <w:color w:val="000000"/>
                <w:kern w:val="0"/>
                <w:sz w:val="18"/>
                <w:szCs w:val="18"/>
                <w:highlight w:val="none"/>
                <w:u w:val="none"/>
                <w:lang w:val="en-US" w:eastAsia="zh-CN" w:bidi="ar"/>
              </w:rPr>
              <w:t>降节</w:t>
            </w:r>
            <w:r>
              <w:rPr>
                <w:rFonts w:hint="eastAsia" w:ascii="宋体" w:hAnsi="宋体" w:eastAsia="宋体" w:cs="宋体"/>
                <w:i w:val="0"/>
                <w:iCs w:val="0"/>
                <w:color w:val="000000"/>
                <w:kern w:val="0"/>
                <w:sz w:val="18"/>
                <w:szCs w:val="18"/>
                <w:highlight w:val="none"/>
                <w:u w:val="none"/>
                <w:lang w:val="en-US" w:eastAsia="zh-CN" w:bidi="ar"/>
              </w:rPr>
              <w:t>不符合下列规定：1、顶升系统必须完好，2、构筑物件必须完好，3、</w:t>
            </w:r>
            <w:r>
              <w:rPr>
                <w:rFonts w:hint="eastAsia" w:cs="宋体"/>
                <w:i w:val="0"/>
                <w:iCs w:val="0"/>
                <w:color w:val="000000"/>
                <w:kern w:val="0"/>
                <w:sz w:val="18"/>
                <w:szCs w:val="18"/>
                <w:highlight w:val="none"/>
                <w:u w:val="none"/>
                <w:lang w:val="en-US" w:eastAsia="zh-CN" w:bidi="ar"/>
              </w:rPr>
              <w:t>降节</w:t>
            </w:r>
            <w:r>
              <w:rPr>
                <w:rFonts w:hint="eastAsia" w:ascii="宋体" w:hAnsi="宋体" w:eastAsia="宋体" w:cs="宋体"/>
                <w:i w:val="0"/>
                <w:iCs w:val="0"/>
                <w:color w:val="000000"/>
                <w:kern w:val="0"/>
                <w:sz w:val="18"/>
                <w:szCs w:val="18"/>
                <w:highlight w:val="none"/>
                <w:u w:val="none"/>
                <w:lang w:val="en-US" w:eastAsia="zh-CN" w:bidi="ar"/>
              </w:rPr>
              <w:t>前，塔机下支座与顶升套架应可靠连接，4、</w:t>
            </w:r>
            <w:r>
              <w:rPr>
                <w:rFonts w:hint="eastAsia" w:cs="宋体"/>
                <w:i w:val="0"/>
                <w:iCs w:val="0"/>
                <w:color w:val="000000"/>
                <w:kern w:val="0"/>
                <w:sz w:val="18"/>
                <w:szCs w:val="18"/>
                <w:highlight w:val="none"/>
                <w:u w:val="none"/>
                <w:lang w:val="en-US" w:eastAsia="zh-CN" w:bidi="ar"/>
              </w:rPr>
              <w:t>降节</w:t>
            </w:r>
            <w:r>
              <w:rPr>
                <w:rFonts w:hint="eastAsia" w:ascii="宋体" w:hAnsi="宋体" w:eastAsia="宋体" w:cs="宋体"/>
                <w:i w:val="0"/>
                <w:iCs w:val="0"/>
                <w:color w:val="000000"/>
                <w:kern w:val="0"/>
                <w:sz w:val="18"/>
                <w:szCs w:val="18"/>
                <w:highlight w:val="none"/>
                <w:u w:val="none"/>
                <w:lang w:val="en-US" w:eastAsia="zh-CN" w:bidi="ar"/>
              </w:rPr>
              <w:t>前，应保持顶升横梁搁置正确，5、</w:t>
            </w:r>
            <w:r>
              <w:rPr>
                <w:rFonts w:hint="eastAsia" w:cs="宋体"/>
                <w:i w:val="0"/>
                <w:iCs w:val="0"/>
                <w:color w:val="000000"/>
                <w:kern w:val="0"/>
                <w:sz w:val="18"/>
                <w:szCs w:val="18"/>
                <w:highlight w:val="none"/>
                <w:u w:val="none"/>
                <w:lang w:val="en-US" w:eastAsia="zh-CN" w:bidi="ar"/>
              </w:rPr>
              <w:t>降节</w:t>
            </w:r>
            <w:r>
              <w:rPr>
                <w:rFonts w:hint="eastAsia" w:ascii="宋体" w:hAnsi="宋体" w:eastAsia="宋体" w:cs="宋体"/>
                <w:i w:val="0"/>
                <w:iCs w:val="0"/>
                <w:color w:val="000000"/>
                <w:kern w:val="0"/>
                <w:sz w:val="18"/>
                <w:szCs w:val="18"/>
                <w:highlight w:val="none"/>
                <w:u w:val="none"/>
                <w:lang w:val="en-US" w:eastAsia="zh-CN" w:bidi="ar"/>
              </w:rPr>
              <w:t>前，应将塔机配平</w:t>
            </w:r>
            <w:r>
              <w:rPr>
                <w:rFonts w:hint="eastAsia" w:cs="宋体"/>
                <w:i w:val="0"/>
                <w:iCs w:val="0"/>
                <w:color w:val="000000"/>
                <w:kern w:val="0"/>
                <w:sz w:val="18"/>
                <w:szCs w:val="18"/>
                <w:highlight w:val="none"/>
                <w:u w:val="none"/>
                <w:lang w:val="en-US" w:eastAsia="zh-CN" w:bidi="ar"/>
              </w:rPr>
              <w:t>降节</w:t>
            </w:r>
            <w:r>
              <w:rPr>
                <w:rFonts w:hint="eastAsia" w:ascii="宋体" w:hAnsi="宋体" w:eastAsia="宋体" w:cs="宋体"/>
                <w:i w:val="0"/>
                <w:iCs w:val="0"/>
                <w:color w:val="000000"/>
                <w:kern w:val="0"/>
                <w:sz w:val="18"/>
                <w:szCs w:val="18"/>
                <w:highlight w:val="none"/>
                <w:u w:val="none"/>
                <w:lang w:val="en-US" w:eastAsia="zh-CN" w:bidi="ar"/>
              </w:rPr>
              <w:t>过程中应确保塔机的平衡，6、</w:t>
            </w:r>
            <w:r>
              <w:rPr>
                <w:rFonts w:hint="eastAsia" w:cs="宋体"/>
                <w:i w:val="0"/>
                <w:iCs w:val="0"/>
                <w:color w:val="000000"/>
                <w:kern w:val="0"/>
                <w:sz w:val="18"/>
                <w:szCs w:val="18"/>
                <w:highlight w:val="none"/>
                <w:u w:val="none"/>
                <w:lang w:val="en-US" w:eastAsia="zh-CN" w:bidi="ar"/>
              </w:rPr>
              <w:t>降节</w:t>
            </w:r>
            <w:r>
              <w:rPr>
                <w:rFonts w:hint="eastAsia" w:ascii="宋体" w:hAnsi="宋体" w:eastAsia="宋体" w:cs="宋体"/>
                <w:i w:val="0"/>
                <w:iCs w:val="0"/>
                <w:color w:val="000000"/>
                <w:kern w:val="0"/>
                <w:sz w:val="18"/>
                <w:szCs w:val="18"/>
                <w:highlight w:val="none"/>
                <w:u w:val="none"/>
                <w:lang w:val="en-US" w:eastAsia="zh-CN" w:bidi="ar"/>
              </w:rPr>
              <w:t>的顺序，应符合使用说明书的规定，7、</w:t>
            </w:r>
            <w:r>
              <w:rPr>
                <w:rFonts w:hint="eastAsia" w:cs="宋体"/>
                <w:i w:val="0"/>
                <w:iCs w:val="0"/>
                <w:color w:val="000000"/>
                <w:kern w:val="0"/>
                <w:sz w:val="18"/>
                <w:szCs w:val="18"/>
                <w:highlight w:val="none"/>
                <w:u w:val="none"/>
                <w:lang w:val="en-US" w:eastAsia="zh-CN" w:bidi="ar"/>
              </w:rPr>
              <w:t>降节</w:t>
            </w:r>
            <w:r>
              <w:rPr>
                <w:rFonts w:hint="eastAsia" w:ascii="宋体" w:hAnsi="宋体" w:eastAsia="宋体" w:cs="宋体"/>
                <w:i w:val="0"/>
                <w:iCs w:val="0"/>
                <w:color w:val="000000"/>
                <w:kern w:val="0"/>
                <w:sz w:val="18"/>
                <w:szCs w:val="18"/>
                <w:highlight w:val="none"/>
                <w:u w:val="none"/>
                <w:lang w:val="en-US" w:eastAsia="zh-CN" w:bidi="ar"/>
              </w:rPr>
              <w:t>过程中，不应进行起升、回转、变幅等动作，8、</w:t>
            </w:r>
            <w:r>
              <w:rPr>
                <w:rFonts w:hint="eastAsia" w:cs="宋体"/>
                <w:i w:val="0"/>
                <w:iCs w:val="0"/>
                <w:color w:val="000000"/>
                <w:kern w:val="0"/>
                <w:sz w:val="18"/>
                <w:szCs w:val="18"/>
                <w:highlight w:val="none"/>
                <w:u w:val="none"/>
                <w:lang w:val="en-US" w:eastAsia="zh-CN" w:bidi="ar"/>
              </w:rPr>
              <w:t>降节</w:t>
            </w:r>
            <w:r>
              <w:rPr>
                <w:rFonts w:hint="eastAsia" w:ascii="宋体" w:hAnsi="宋体" w:eastAsia="宋体" w:cs="宋体"/>
                <w:i w:val="0"/>
                <w:iCs w:val="0"/>
                <w:color w:val="000000"/>
                <w:kern w:val="0"/>
                <w:sz w:val="18"/>
                <w:szCs w:val="18"/>
                <w:highlight w:val="none"/>
                <w:u w:val="none"/>
                <w:lang w:val="en-US" w:eastAsia="zh-CN" w:bidi="ar"/>
              </w:rPr>
              <w:t>结束后，应将标准节与回转下支座可靠连接，</w:t>
            </w:r>
          </w:p>
        </w:tc>
        <w:tc>
          <w:tcPr>
            <w:tcW w:w="385" w:type="pct"/>
            <w:tcBorders>
              <w:tl2br w:val="nil"/>
              <w:tr2bl w:val="nil"/>
            </w:tcBorders>
            <w:shd w:val="clear" w:color="auto" w:fill="auto"/>
            <w:vAlign w:val="center"/>
          </w:tcPr>
          <w:p w14:paraId="10A11E6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370C5C8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5D494D4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3305F8C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255" w:type="pct"/>
            <w:tcBorders>
              <w:tl2br w:val="nil"/>
              <w:tr2bl w:val="nil"/>
            </w:tcBorders>
            <w:shd w:val="clear" w:color="auto" w:fill="auto"/>
            <w:vAlign w:val="center"/>
          </w:tcPr>
          <w:p w14:paraId="01477B3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80</w:t>
            </w:r>
          </w:p>
        </w:tc>
        <w:tc>
          <w:tcPr>
            <w:tcW w:w="221" w:type="pct"/>
            <w:tcBorders>
              <w:tl2br w:val="nil"/>
              <w:tr2bl w:val="nil"/>
            </w:tcBorders>
            <w:shd w:val="clear" w:color="auto" w:fill="auto"/>
            <w:vAlign w:val="center"/>
          </w:tcPr>
          <w:p w14:paraId="00FB1B2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600" w:type="pct"/>
            <w:vMerge w:val="continue"/>
            <w:tcBorders>
              <w:tl2br w:val="nil"/>
              <w:tr2bl w:val="nil"/>
            </w:tcBorders>
            <w:shd w:val="clear" w:color="auto" w:fill="auto"/>
            <w:vAlign w:val="center"/>
          </w:tcPr>
          <w:p w14:paraId="08F8111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E28F89E">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364E70E">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6CD65E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22</w:t>
            </w:r>
          </w:p>
        </w:tc>
        <w:tc>
          <w:tcPr>
            <w:tcW w:w="162" w:type="pct"/>
            <w:vMerge w:val="continue"/>
            <w:tcBorders>
              <w:tl2br w:val="nil"/>
              <w:tr2bl w:val="nil"/>
            </w:tcBorders>
            <w:shd w:val="clear" w:color="auto" w:fill="auto"/>
            <w:vAlign w:val="center"/>
          </w:tcPr>
          <w:p w14:paraId="1F21E51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1EE9390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576439F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当需要在夜间进行</w:t>
            </w:r>
            <w:r>
              <w:rPr>
                <w:rFonts w:hint="eastAsia" w:cs="宋体"/>
                <w:i w:val="0"/>
                <w:iCs w:val="0"/>
                <w:color w:val="000000"/>
                <w:kern w:val="0"/>
                <w:sz w:val="18"/>
                <w:szCs w:val="18"/>
                <w:highlight w:val="none"/>
                <w:u w:val="none"/>
                <w:lang w:val="en-US" w:eastAsia="zh-CN" w:bidi="ar"/>
              </w:rPr>
              <w:t>拆除</w:t>
            </w:r>
            <w:r>
              <w:rPr>
                <w:rFonts w:hint="eastAsia" w:ascii="宋体" w:hAnsi="宋体" w:eastAsia="宋体" w:cs="宋体"/>
                <w:i w:val="0"/>
                <w:iCs w:val="0"/>
                <w:color w:val="000000"/>
                <w:kern w:val="0"/>
                <w:sz w:val="18"/>
                <w:szCs w:val="18"/>
                <w:highlight w:val="none"/>
                <w:u w:val="none"/>
                <w:lang w:val="en-US" w:eastAsia="zh-CN" w:bidi="ar"/>
              </w:rPr>
              <w:t>作业时，没有保证提供足够的照明</w:t>
            </w:r>
          </w:p>
        </w:tc>
        <w:tc>
          <w:tcPr>
            <w:tcW w:w="385" w:type="pct"/>
            <w:tcBorders>
              <w:tl2br w:val="nil"/>
              <w:tr2bl w:val="nil"/>
            </w:tcBorders>
            <w:shd w:val="clear" w:color="auto" w:fill="auto"/>
            <w:vAlign w:val="center"/>
          </w:tcPr>
          <w:p w14:paraId="6ECB1AD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178" w:type="pct"/>
            <w:tcBorders>
              <w:tl2br w:val="nil"/>
              <w:tr2bl w:val="nil"/>
            </w:tcBorders>
            <w:shd w:val="clear" w:color="auto" w:fill="auto"/>
            <w:vAlign w:val="center"/>
          </w:tcPr>
          <w:p w14:paraId="3B91888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6FDE145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5" w:type="pct"/>
            <w:tcBorders>
              <w:tl2br w:val="nil"/>
              <w:tr2bl w:val="nil"/>
            </w:tcBorders>
            <w:shd w:val="clear" w:color="auto" w:fill="auto"/>
            <w:vAlign w:val="center"/>
          </w:tcPr>
          <w:p w14:paraId="0922EDD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255" w:type="pct"/>
            <w:tcBorders>
              <w:tl2br w:val="nil"/>
              <w:tr2bl w:val="nil"/>
            </w:tcBorders>
            <w:shd w:val="clear" w:color="auto" w:fill="auto"/>
            <w:vAlign w:val="center"/>
          </w:tcPr>
          <w:p w14:paraId="4FF6EE0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221" w:type="pct"/>
            <w:tcBorders>
              <w:tl2br w:val="nil"/>
              <w:tr2bl w:val="nil"/>
            </w:tcBorders>
            <w:shd w:val="clear" w:color="auto" w:fill="auto"/>
            <w:vAlign w:val="center"/>
          </w:tcPr>
          <w:p w14:paraId="4A45F98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5E9D783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3615330">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6C11E879">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37C4AD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23</w:t>
            </w:r>
          </w:p>
        </w:tc>
        <w:tc>
          <w:tcPr>
            <w:tcW w:w="162" w:type="pct"/>
            <w:vMerge w:val="continue"/>
            <w:tcBorders>
              <w:tl2br w:val="nil"/>
              <w:tr2bl w:val="nil"/>
            </w:tcBorders>
            <w:shd w:val="clear" w:color="auto" w:fill="auto"/>
            <w:vAlign w:val="center"/>
          </w:tcPr>
          <w:p w14:paraId="60806A8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5A95B31C">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317E10F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当遇特殊情况</w:t>
            </w:r>
            <w:r>
              <w:rPr>
                <w:rFonts w:hint="eastAsia" w:cs="宋体"/>
                <w:i w:val="0"/>
                <w:iCs w:val="0"/>
                <w:color w:val="000000"/>
                <w:kern w:val="0"/>
                <w:sz w:val="18"/>
                <w:szCs w:val="18"/>
                <w:highlight w:val="none"/>
                <w:u w:val="none"/>
                <w:lang w:val="en-US" w:eastAsia="zh-CN" w:bidi="ar"/>
              </w:rPr>
              <w:t>拆除</w:t>
            </w:r>
            <w:r>
              <w:rPr>
                <w:rFonts w:hint="eastAsia" w:ascii="宋体" w:hAnsi="宋体" w:eastAsia="宋体" w:cs="宋体"/>
                <w:i w:val="0"/>
                <w:iCs w:val="0"/>
                <w:color w:val="000000"/>
                <w:kern w:val="0"/>
                <w:sz w:val="18"/>
                <w:szCs w:val="18"/>
                <w:highlight w:val="none"/>
                <w:u w:val="none"/>
                <w:lang w:val="en-US" w:eastAsia="zh-CN" w:bidi="ar"/>
              </w:rPr>
              <w:t>作业不能连续进行时，没有将已</w:t>
            </w:r>
            <w:r>
              <w:rPr>
                <w:rFonts w:hint="eastAsia" w:cs="宋体"/>
                <w:i w:val="0"/>
                <w:iCs w:val="0"/>
                <w:color w:val="000000"/>
                <w:kern w:val="0"/>
                <w:sz w:val="18"/>
                <w:szCs w:val="18"/>
                <w:highlight w:val="none"/>
                <w:u w:val="none"/>
                <w:lang w:val="en-US" w:eastAsia="zh-CN" w:bidi="ar"/>
              </w:rPr>
              <w:t>拆除</w:t>
            </w:r>
            <w:r>
              <w:rPr>
                <w:rFonts w:hint="eastAsia" w:ascii="宋体" w:hAnsi="宋体" w:eastAsia="宋体" w:cs="宋体"/>
                <w:i w:val="0"/>
                <w:iCs w:val="0"/>
                <w:color w:val="000000"/>
                <w:kern w:val="0"/>
                <w:sz w:val="18"/>
                <w:szCs w:val="18"/>
                <w:highlight w:val="none"/>
                <w:u w:val="none"/>
                <w:lang w:val="en-US" w:eastAsia="zh-CN" w:bidi="ar"/>
              </w:rPr>
              <w:t>的部位固定牢靠并达到安全状态</w:t>
            </w:r>
          </w:p>
        </w:tc>
        <w:tc>
          <w:tcPr>
            <w:tcW w:w="385" w:type="pct"/>
            <w:tcBorders>
              <w:tl2br w:val="nil"/>
              <w:tr2bl w:val="nil"/>
            </w:tcBorders>
            <w:shd w:val="clear" w:color="auto" w:fill="auto"/>
            <w:vAlign w:val="center"/>
          </w:tcPr>
          <w:p w14:paraId="295C264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物体打击</w:t>
            </w:r>
          </w:p>
        </w:tc>
        <w:tc>
          <w:tcPr>
            <w:tcW w:w="178" w:type="pct"/>
            <w:tcBorders>
              <w:tl2br w:val="nil"/>
              <w:tr2bl w:val="nil"/>
            </w:tcBorders>
            <w:shd w:val="clear" w:color="auto" w:fill="auto"/>
            <w:vAlign w:val="center"/>
          </w:tcPr>
          <w:p w14:paraId="7AF2BC8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3F7DB73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5" w:type="pct"/>
            <w:tcBorders>
              <w:tl2br w:val="nil"/>
              <w:tr2bl w:val="nil"/>
            </w:tcBorders>
            <w:shd w:val="clear" w:color="auto" w:fill="auto"/>
            <w:vAlign w:val="center"/>
          </w:tcPr>
          <w:p w14:paraId="11E46E8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255" w:type="pct"/>
            <w:tcBorders>
              <w:tl2br w:val="nil"/>
              <w:tr2bl w:val="nil"/>
            </w:tcBorders>
            <w:shd w:val="clear" w:color="auto" w:fill="auto"/>
            <w:vAlign w:val="center"/>
          </w:tcPr>
          <w:p w14:paraId="69BF00A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221" w:type="pct"/>
            <w:tcBorders>
              <w:tl2br w:val="nil"/>
              <w:tr2bl w:val="nil"/>
            </w:tcBorders>
            <w:shd w:val="clear" w:color="auto" w:fill="auto"/>
            <w:vAlign w:val="center"/>
          </w:tcPr>
          <w:p w14:paraId="444C000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64BF619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3B0B873">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AB0D174">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731724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24</w:t>
            </w:r>
          </w:p>
        </w:tc>
        <w:tc>
          <w:tcPr>
            <w:tcW w:w="162" w:type="pct"/>
            <w:vMerge w:val="continue"/>
            <w:tcBorders>
              <w:tl2br w:val="nil"/>
              <w:tr2bl w:val="nil"/>
            </w:tcBorders>
            <w:shd w:val="clear" w:color="auto" w:fill="auto"/>
            <w:vAlign w:val="center"/>
          </w:tcPr>
          <w:p w14:paraId="4A4A375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4646EC6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65F58B5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连接件及防松脱件用其它代用品代用</w:t>
            </w:r>
          </w:p>
        </w:tc>
        <w:tc>
          <w:tcPr>
            <w:tcW w:w="385" w:type="pct"/>
            <w:tcBorders>
              <w:tl2br w:val="nil"/>
              <w:tr2bl w:val="nil"/>
            </w:tcBorders>
            <w:shd w:val="clear" w:color="auto" w:fill="auto"/>
            <w:vAlign w:val="center"/>
          </w:tcPr>
          <w:p w14:paraId="0411FA0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起重伤害等</w:t>
            </w:r>
          </w:p>
        </w:tc>
        <w:tc>
          <w:tcPr>
            <w:tcW w:w="178" w:type="pct"/>
            <w:tcBorders>
              <w:tl2br w:val="nil"/>
              <w:tr2bl w:val="nil"/>
            </w:tcBorders>
            <w:shd w:val="clear" w:color="auto" w:fill="auto"/>
            <w:vAlign w:val="center"/>
          </w:tcPr>
          <w:p w14:paraId="0395E55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51AEB17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5" w:type="pct"/>
            <w:tcBorders>
              <w:tl2br w:val="nil"/>
              <w:tr2bl w:val="nil"/>
            </w:tcBorders>
            <w:shd w:val="clear" w:color="auto" w:fill="auto"/>
            <w:vAlign w:val="center"/>
          </w:tcPr>
          <w:p w14:paraId="49DE073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255" w:type="pct"/>
            <w:tcBorders>
              <w:tl2br w:val="nil"/>
              <w:tr2bl w:val="nil"/>
            </w:tcBorders>
            <w:shd w:val="clear" w:color="auto" w:fill="auto"/>
            <w:vAlign w:val="center"/>
          </w:tcPr>
          <w:p w14:paraId="2F0BF6B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221" w:type="pct"/>
            <w:tcBorders>
              <w:tl2br w:val="nil"/>
              <w:tr2bl w:val="nil"/>
            </w:tcBorders>
            <w:shd w:val="clear" w:color="auto" w:fill="auto"/>
            <w:vAlign w:val="center"/>
          </w:tcPr>
          <w:p w14:paraId="62FED6B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1AEEB81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4285A9A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BCC15AE">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57FE0A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32</w:t>
            </w:r>
          </w:p>
        </w:tc>
        <w:tc>
          <w:tcPr>
            <w:tcW w:w="162" w:type="pct"/>
            <w:vMerge w:val="restart"/>
            <w:tcBorders>
              <w:tl2br w:val="nil"/>
              <w:tr2bl w:val="nil"/>
            </w:tcBorders>
            <w:shd w:val="clear" w:color="auto" w:fill="auto"/>
            <w:vAlign w:val="center"/>
          </w:tcPr>
          <w:p w14:paraId="4CE0D7C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高处作业</w:t>
            </w:r>
          </w:p>
        </w:tc>
        <w:tc>
          <w:tcPr>
            <w:tcW w:w="240" w:type="pct"/>
            <w:vMerge w:val="restart"/>
            <w:tcBorders>
              <w:tl2br w:val="nil"/>
              <w:tr2bl w:val="nil"/>
            </w:tcBorders>
            <w:shd w:val="clear" w:color="auto" w:fill="auto"/>
            <w:vAlign w:val="center"/>
          </w:tcPr>
          <w:p w14:paraId="1B1415F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作业前安全条件确认</w:t>
            </w:r>
          </w:p>
        </w:tc>
        <w:tc>
          <w:tcPr>
            <w:tcW w:w="1908" w:type="pct"/>
            <w:tcBorders>
              <w:tl2br w:val="nil"/>
              <w:tr2bl w:val="nil"/>
            </w:tcBorders>
            <w:shd w:val="clear" w:color="auto" w:fill="auto"/>
            <w:vAlign w:val="center"/>
          </w:tcPr>
          <w:p w14:paraId="2D64F08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高处作业未编制安全技术措施</w:t>
            </w:r>
          </w:p>
        </w:tc>
        <w:tc>
          <w:tcPr>
            <w:tcW w:w="385" w:type="pct"/>
            <w:tcBorders>
              <w:tl2br w:val="nil"/>
              <w:tr2bl w:val="nil"/>
            </w:tcBorders>
            <w:shd w:val="clear" w:color="auto" w:fill="auto"/>
            <w:vAlign w:val="center"/>
          </w:tcPr>
          <w:p w14:paraId="6F636BC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5FFBCDC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323764C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6A36C73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69066A8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30</w:t>
            </w:r>
          </w:p>
        </w:tc>
        <w:tc>
          <w:tcPr>
            <w:tcW w:w="221" w:type="pct"/>
            <w:tcBorders>
              <w:tl2br w:val="nil"/>
              <w:tr2bl w:val="nil"/>
            </w:tcBorders>
            <w:shd w:val="clear" w:color="auto" w:fill="auto"/>
            <w:vAlign w:val="center"/>
          </w:tcPr>
          <w:p w14:paraId="619BE9A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0047F06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90E0952">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2974F0FD">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5AE1687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33</w:t>
            </w:r>
          </w:p>
        </w:tc>
        <w:tc>
          <w:tcPr>
            <w:tcW w:w="162" w:type="pct"/>
            <w:vMerge w:val="continue"/>
            <w:tcBorders>
              <w:tl2br w:val="nil"/>
              <w:tr2bl w:val="nil"/>
            </w:tcBorders>
            <w:shd w:val="clear" w:color="auto" w:fill="auto"/>
            <w:vAlign w:val="center"/>
          </w:tcPr>
          <w:p w14:paraId="67F7BF8C">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307739A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0EBF1A9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高处作业前，没有对安全防护设施进行检查、验收</w:t>
            </w:r>
          </w:p>
        </w:tc>
        <w:tc>
          <w:tcPr>
            <w:tcW w:w="385" w:type="pct"/>
            <w:tcBorders>
              <w:tl2br w:val="nil"/>
              <w:tr2bl w:val="nil"/>
            </w:tcBorders>
            <w:shd w:val="clear" w:color="auto" w:fill="auto"/>
            <w:vAlign w:val="center"/>
          </w:tcPr>
          <w:p w14:paraId="2271640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760BBC7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3E86112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2F5023B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345CD0A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4F8AFCA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5632A41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0041B70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65B2FB4D">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9FDD19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34</w:t>
            </w:r>
          </w:p>
        </w:tc>
        <w:tc>
          <w:tcPr>
            <w:tcW w:w="162" w:type="pct"/>
            <w:vMerge w:val="continue"/>
            <w:tcBorders>
              <w:tl2br w:val="nil"/>
              <w:tr2bl w:val="nil"/>
            </w:tcBorders>
            <w:shd w:val="clear" w:color="auto" w:fill="auto"/>
            <w:vAlign w:val="center"/>
          </w:tcPr>
          <w:p w14:paraId="0C22357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1B9AAA0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56A103D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高处作业施工没有对作业人员进行安全教育和交底</w:t>
            </w:r>
          </w:p>
        </w:tc>
        <w:tc>
          <w:tcPr>
            <w:tcW w:w="385" w:type="pct"/>
            <w:tcBorders>
              <w:tl2br w:val="nil"/>
              <w:tr2bl w:val="nil"/>
            </w:tcBorders>
            <w:shd w:val="clear" w:color="auto" w:fill="auto"/>
            <w:vAlign w:val="center"/>
          </w:tcPr>
          <w:p w14:paraId="51C94FB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29CB4D4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0101B82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2A13775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73398F5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70</w:t>
            </w:r>
          </w:p>
        </w:tc>
        <w:tc>
          <w:tcPr>
            <w:tcW w:w="221" w:type="pct"/>
            <w:tcBorders>
              <w:tl2br w:val="nil"/>
              <w:tr2bl w:val="nil"/>
            </w:tcBorders>
            <w:shd w:val="clear" w:color="auto" w:fill="auto"/>
            <w:vAlign w:val="center"/>
          </w:tcPr>
          <w:p w14:paraId="3793DAF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7F46318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08FA687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081641E9">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4ECBDD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35</w:t>
            </w:r>
          </w:p>
        </w:tc>
        <w:tc>
          <w:tcPr>
            <w:tcW w:w="162" w:type="pct"/>
            <w:vMerge w:val="continue"/>
            <w:tcBorders>
              <w:tl2br w:val="nil"/>
              <w:tr2bl w:val="nil"/>
            </w:tcBorders>
            <w:shd w:val="clear" w:color="auto" w:fill="auto"/>
            <w:vAlign w:val="center"/>
          </w:tcPr>
          <w:p w14:paraId="467EA1E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2317F95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3B9B2AA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高处作业施工前，没有检查高处作业的安全标志、防火设施、电气设施及设备</w:t>
            </w:r>
          </w:p>
        </w:tc>
        <w:tc>
          <w:tcPr>
            <w:tcW w:w="385" w:type="pct"/>
            <w:tcBorders>
              <w:tl2br w:val="nil"/>
              <w:tr2bl w:val="nil"/>
            </w:tcBorders>
            <w:shd w:val="clear" w:color="auto" w:fill="auto"/>
            <w:vAlign w:val="center"/>
          </w:tcPr>
          <w:p w14:paraId="14AE2FD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166EE23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18B759F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7B7643C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154466D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3D702C3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0CC847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2D0DE05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7A329E52">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6872DC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36</w:t>
            </w:r>
          </w:p>
        </w:tc>
        <w:tc>
          <w:tcPr>
            <w:tcW w:w="162" w:type="pct"/>
            <w:vMerge w:val="continue"/>
            <w:tcBorders>
              <w:tl2br w:val="nil"/>
              <w:tr2bl w:val="nil"/>
            </w:tcBorders>
            <w:shd w:val="clear" w:color="auto" w:fill="auto"/>
            <w:vAlign w:val="center"/>
          </w:tcPr>
          <w:p w14:paraId="18F864F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1D0EB12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19A6A17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高处作业人员没有按规定正确佩戴和使用高处作业安全防护用具</w:t>
            </w:r>
          </w:p>
        </w:tc>
        <w:tc>
          <w:tcPr>
            <w:tcW w:w="385" w:type="pct"/>
            <w:tcBorders>
              <w:tl2br w:val="nil"/>
              <w:tr2bl w:val="nil"/>
            </w:tcBorders>
            <w:shd w:val="clear" w:color="auto" w:fill="auto"/>
            <w:vAlign w:val="center"/>
          </w:tcPr>
          <w:p w14:paraId="79DEA33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308FF3C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0F4CF71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3BA7B27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72945A6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54</w:t>
            </w:r>
          </w:p>
        </w:tc>
        <w:tc>
          <w:tcPr>
            <w:tcW w:w="221" w:type="pct"/>
            <w:tcBorders>
              <w:tl2br w:val="nil"/>
              <w:tr2bl w:val="nil"/>
            </w:tcBorders>
            <w:shd w:val="clear" w:color="auto" w:fill="auto"/>
            <w:vAlign w:val="center"/>
          </w:tcPr>
          <w:p w14:paraId="19E5DB8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755651E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55CDA43">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5E62E075">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0B5AF1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37</w:t>
            </w:r>
          </w:p>
        </w:tc>
        <w:tc>
          <w:tcPr>
            <w:tcW w:w="162" w:type="pct"/>
            <w:vMerge w:val="continue"/>
            <w:tcBorders>
              <w:tl2br w:val="nil"/>
              <w:tr2bl w:val="nil"/>
            </w:tcBorders>
            <w:shd w:val="clear" w:color="auto" w:fill="auto"/>
            <w:vAlign w:val="center"/>
          </w:tcPr>
          <w:p w14:paraId="0C794EF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0B9FCE9C">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0115564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恶劣气候进行露天攀登与悬空高处作业</w:t>
            </w:r>
          </w:p>
        </w:tc>
        <w:tc>
          <w:tcPr>
            <w:tcW w:w="385" w:type="pct"/>
            <w:tcBorders>
              <w:tl2br w:val="nil"/>
              <w:tr2bl w:val="nil"/>
            </w:tcBorders>
            <w:shd w:val="clear" w:color="auto" w:fill="auto"/>
            <w:vAlign w:val="center"/>
          </w:tcPr>
          <w:p w14:paraId="53F55E2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4A82160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0BB9917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5" w:type="pct"/>
            <w:tcBorders>
              <w:tl2br w:val="nil"/>
              <w:tr2bl w:val="nil"/>
            </w:tcBorders>
            <w:shd w:val="clear" w:color="auto" w:fill="auto"/>
            <w:vAlign w:val="center"/>
          </w:tcPr>
          <w:p w14:paraId="0343F82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15</w:t>
            </w:r>
          </w:p>
        </w:tc>
        <w:tc>
          <w:tcPr>
            <w:tcW w:w="255" w:type="pct"/>
            <w:tcBorders>
              <w:tl2br w:val="nil"/>
              <w:tr2bl w:val="nil"/>
            </w:tcBorders>
            <w:shd w:val="clear" w:color="auto" w:fill="auto"/>
            <w:vAlign w:val="center"/>
          </w:tcPr>
          <w:p w14:paraId="4CEEEC0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45</w:t>
            </w:r>
          </w:p>
        </w:tc>
        <w:tc>
          <w:tcPr>
            <w:tcW w:w="221" w:type="pct"/>
            <w:tcBorders>
              <w:tl2br w:val="nil"/>
              <w:tr2bl w:val="nil"/>
            </w:tcBorders>
            <w:shd w:val="clear" w:color="auto" w:fill="auto"/>
            <w:vAlign w:val="center"/>
          </w:tcPr>
          <w:p w14:paraId="00E4FEA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1260624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95351C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E05265F">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5B348E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38</w:t>
            </w:r>
          </w:p>
        </w:tc>
        <w:tc>
          <w:tcPr>
            <w:tcW w:w="162" w:type="pct"/>
            <w:vMerge w:val="continue"/>
            <w:tcBorders>
              <w:tl2br w:val="nil"/>
              <w:tr2bl w:val="nil"/>
            </w:tcBorders>
            <w:shd w:val="clear" w:color="auto" w:fill="auto"/>
            <w:vAlign w:val="center"/>
          </w:tcPr>
          <w:p w14:paraId="7051BB2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316E74B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悬空</w:t>
            </w:r>
          </w:p>
          <w:p w14:paraId="285015B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作业</w:t>
            </w:r>
          </w:p>
        </w:tc>
        <w:tc>
          <w:tcPr>
            <w:tcW w:w="1908" w:type="pct"/>
            <w:tcBorders>
              <w:tl2br w:val="nil"/>
              <w:tr2bl w:val="nil"/>
            </w:tcBorders>
            <w:shd w:val="clear" w:color="auto" w:fill="auto"/>
            <w:vAlign w:val="center"/>
          </w:tcPr>
          <w:p w14:paraId="08BB54C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悬空作业没有设牢固的立足点，没有配置登高和防坠落的设施</w:t>
            </w:r>
          </w:p>
        </w:tc>
        <w:tc>
          <w:tcPr>
            <w:tcW w:w="385" w:type="pct"/>
            <w:tcBorders>
              <w:tl2br w:val="nil"/>
              <w:tr2bl w:val="nil"/>
            </w:tcBorders>
            <w:shd w:val="clear" w:color="auto" w:fill="auto"/>
            <w:vAlign w:val="center"/>
          </w:tcPr>
          <w:p w14:paraId="65BE3CD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2106BA8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36EC8AE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5" w:type="pct"/>
            <w:tcBorders>
              <w:tl2br w:val="nil"/>
              <w:tr2bl w:val="nil"/>
            </w:tcBorders>
            <w:shd w:val="clear" w:color="auto" w:fill="auto"/>
            <w:vAlign w:val="center"/>
          </w:tcPr>
          <w:p w14:paraId="6815CC5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110EA0F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63</w:t>
            </w:r>
          </w:p>
        </w:tc>
        <w:tc>
          <w:tcPr>
            <w:tcW w:w="221" w:type="pct"/>
            <w:tcBorders>
              <w:tl2br w:val="nil"/>
              <w:tr2bl w:val="nil"/>
            </w:tcBorders>
            <w:shd w:val="clear" w:color="auto" w:fill="auto"/>
            <w:vAlign w:val="center"/>
          </w:tcPr>
          <w:p w14:paraId="02461AB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43971A3C">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21183E00">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47226397">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043589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39</w:t>
            </w:r>
          </w:p>
        </w:tc>
        <w:tc>
          <w:tcPr>
            <w:tcW w:w="162" w:type="pct"/>
            <w:vMerge w:val="continue"/>
            <w:tcBorders>
              <w:tl2br w:val="nil"/>
              <w:tr2bl w:val="nil"/>
            </w:tcBorders>
            <w:shd w:val="clear" w:color="auto" w:fill="auto"/>
            <w:vAlign w:val="center"/>
          </w:tcPr>
          <w:p w14:paraId="05E3595A">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5C1BE8B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1B03842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在高空安装大模板、吊装第一块预制构件或单独的大中型预制构件时，没有站在作业平台上操作</w:t>
            </w:r>
          </w:p>
        </w:tc>
        <w:tc>
          <w:tcPr>
            <w:tcW w:w="385" w:type="pct"/>
            <w:tcBorders>
              <w:tl2br w:val="nil"/>
              <w:tr2bl w:val="nil"/>
            </w:tcBorders>
            <w:shd w:val="clear" w:color="auto" w:fill="auto"/>
            <w:vAlign w:val="center"/>
          </w:tcPr>
          <w:p w14:paraId="64461CC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586BFF8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105E05B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5" w:type="pct"/>
            <w:tcBorders>
              <w:tl2br w:val="nil"/>
              <w:tr2bl w:val="nil"/>
            </w:tcBorders>
            <w:shd w:val="clear" w:color="auto" w:fill="auto"/>
            <w:vAlign w:val="center"/>
          </w:tcPr>
          <w:p w14:paraId="0B4955A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67C6EF7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63</w:t>
            </w:r>
          </w:p>
        </w:tc>
        <w:tc>
          <w:tcPr>
            <w:tcW w:w="221" w:type="pct"/>
            <w:tcBorders>
              <w:tl2br w:val="nil"/>
              <w:tr2bl w:val="nil"/>
            </w:tcBorders>
            <w:shd w:val="clear" w:color="auto" w:fill="auto"/>
            <w:vAlign w:val="center"/>
          </w:tcPr>
          <w:p w14:paraId="4C45778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3A22304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8253082">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E60812F">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F03E72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40</w:t>
            </w:r>
          </w:p>
        </w:tc>
        <w:tc>
          <w:tcPr>
            <w:tcW w:w="162" w:type="pct"/>
            <w:vMerge w:val="continue"/>
            <w:tcBorders>
              <w:tl2br w:val="nil"/>
              <w:tr2bl w:val="nil"/>
            </w:tcBorders>
            <w:shd w:val="clear" w:color="auto" w:fill="auto"/>
            <w:vAlign w:val="center"/>
          </w:tcPr>
          <w:p w14:paraId="76E5953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562681AA">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4AB3ABBB">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在未固定、无防护的构件及安装中的管道上作业或通行</w:t>
            </w:r>
          </w:p>
        </w:tc>
        <w:tc>
          <w:tcPr>
            <w:tcW w:w="385" w:type="pct"/>
            <w:tcBorders>
              <w:tl2br w:val="nil"/>
              <w:tr2bl w:val="nil"/>
            </w:tcBorders>
            <w:shd w:val="clear" w:color="auto" w:fill="auto"/>
            <w:vAlign w:val="center"/>
          </w:tcPr>
          <w:p w14:paraId="5A702FF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2929132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10F33BA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5" w:type="pct"/>
            <w:tcBorders>
              <w:tl2br w:val="nil"/>
              <w:tr2bl w:val="nil"/>
            </w:tcBorders>
            <w:shd w:val="clear" w:color="auto" w:fill="auto"/>
            <w:vAlign w:val="center"/>
          </w:tcPr>
          <w:p w14:paraId="3C76189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3327418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63</w:t>
            </w:r>
          </w:p>
        </w:tc>
        <w:tc>
          <w:tcPr>
            <w:tcW w:w="221" w:type="pct"/>
            <w:tcBorders>
              <w:tl2br w:val="nil"/>
              <w:tr2bl w:val="nil"/>
            </w:tcBorders>
            <w:shd w:val="clear" w:color="auto" w:fill="auto"/>
            <w:vAlign w:val="center"/>
          </w:tcPr>
          <w:p w14:paraId="1C02399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4FA213C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161EEE8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4658EDBE">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CBB92A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41</w:t>
            </w:r>
          </w:p>
        </w:tc>
        <w:tc>
          <w:tcPr>
            <w:tcW w:w="162" w:type="pct"/>
            <w:vMerge w:val="continue"/>
            <w:tcBorders>
              <w:tl2br w:val="nil"/>
              <w:tr2bl w:val="nil"/>
            </w:tcBorders>
            <w:shd w:val="clear" w:color="auto" w:fill="auto"/>
            <w:vAlign w:val="center"/>
          </w:tcPr>
          <w:p w14:paraId="7E9AF8D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1C4B437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交叉</w:t>
            </w:r>
          </w:p>
          <w:p w14:paraId="2E5850B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作业</w:t>
            </w:r>
          </w:p>
        </w:tc>
        <w:tc>
          <w:tcPr>
            <w:tcW w:w="1908" w:type="pct"/>
            <w:tcBorders>
              <w:tl2br w:val="nil"/>
              <w:tr2bl w:val="nil"/>
            </w:tcBorders>
            <w:shd w:val="clear" w:color="auto" w:fill="auto"/>
            <w:vAlign w:val="center"/>
          </w:tcPr>
          <w:p w14:paraId="33D26A33">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交叉作业时，下层作业的位置没有处于上层作业的坠落半径之外当达不到规定时，没有设置安全防护棚、下方没有设置警戒隔离区</w:t>
            </w:r>
          </w:p>
        </w:tc>
        <w:tc>
          <w:tcPr>
            <w:tcW w:w="385" w:type="pct"/>
            <w:tcBorders>
              <w:tl2br w:val="nil"/>
              <w:tr2bl w:val="nil"/>
            </w:tcBorders>
            <w:shd w:val="clear" w:color="auto" w:fill="auto"/>
            <w:vAlign w:val="center"/>
          </w:tcPr>
          <w:p w14:paraId="2736EF5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物体打击</w:t>
            </w:r>
          </w:p>
        </w:tc>
        <w:tc>
          <w:tcPr>
            <w:tcW w:w="178" w:type="pct"/>
            <w:tcBorders>
              <w:tl2br w:val="nil"/>
              <w:tr2bl w:val="nil"/>
            </w:tcBorders>
            <w:shd w:val="clear" w:color="auto" w:fill="auto"/>
            <w:vAlign w:val="center"/>
          </w:tcPr>
          <w:p w14:paraId="04E979E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409327E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0A90F1A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15</w:t>
            </w:r>
          </w:p>
        </w:tc>
        <w:tc>
          <w:tcPr>
            <w:tcW w:w="255" w:type="pct"/>
            <w:tcBorders>
              <w:tl2br w:val="nil"/>
              <w:tr2bl w:val="nil"/>
            </w:tcBorders>
            <w:shd w:val="clear" w:color="auto" w:fill="auto"/>
            <w:vAlign w:val="center"/>
          </w:tcPr>
          <w:p w14:paraId="30A2787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90</w:t>
            </w:r>
          </w:p>
        </w:tc>
        <w:tc>
          <w:tcPr>
            <w:tcW w:w="221" w:type="pct"/>
            <w:tcBorders>
              <w:tl2br w:val="nil"/>
              <w:tr2bl w:val="nil"/>
            </w:tcBorders>
            <w:shd w:val="clear" w:color="auto" w:fill="auto"/>
            <w:vAlign w:val="center"/>
          </w:tcPr>
          <w:p w14:paraId="5F42FD6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600" w:type="pct"/>
            <w:vMerge w:val="continue"/>
            <w:tcBorders>
              <w:tl2br w:val="nil"/>
              <w:tr2bl w:val="nil"/>
            </w:tcBorders>
            <w:shd w:val="clear" w:color="auto" w:fill="auto"/>
            <w:vAlign w:val="center"/>
          </w:tcPr>
          <w:p w14:paraId="55EE8CB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5CE0F44">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63CB637">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B22BBC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162" w:type="pct"/>
            <w:vMerge w:val="continue"/>
            <w:tcBorders>
              <w:tl2br w:val="nil"/>
              <w:tr2bl w:val="nil"/>
            </w:tcBorders>
            <w:shd w:val="clear" w:color="auto" w:fill="auto"/>
            <w:vAlign w:val="center"/>
          </w:tcPr>
          <w:p w14:paraId="16107BE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62FFB04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7FA40C8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施工现场人员进出的通道口没有搭设防护棚</w:t>
            </w:r>
          </w:p>
        </w:tc>
        <w:tc>
          <w:tcPr>
            <w:tcW w:w="385" w:type="pct"/>
            <w:tcBorders>
              <w:tl2br w:val="nil"/>
              <w:tr2bl w:val="nil"/>
            </w:tcBorders>
            <w:shd w:val="clear" w:color="auto" w:fill="auto"/>
            <w:vAlign w:val="center"/>
          </w:tcPr>
          <w:p w14:paraId="5D50991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物体打击</w:t>
            </w:r>
          </w:p>
        </w:tc>
        <w:tc>
          <w:tcPr>
            <w:tcW w:w="178" w:type="pct"/>
            <w:tcBorders>
              <w:tl2br w:val="nil"/>
              <w:tr2bl w:val="nil"/>
            </w:tcBorders>
            <w:shd w:val="clear" w:color="auto" w:fill="auto"/>
            <w:vAlign w:val="center"/>
          </w:tcPr>
          <w:p w14:paraId="7E6988D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000EC24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35B07D4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773BC85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14</w:t>
            </w:r>
          </w:p>
        </w:tc>
        <w:tc>
          <w:tcPr>
            <w:tcW w:w="221" w:type="pct"/>
            <w:tcBorders>
              <w:tl2br w:val="nil"/>
              <w:tr2bl w:val="nil"/>
            </w:tcBorders>
            <w:shd w:val="clear" w:color="auto" w:fill="auto"/>
            <w:vAlign w:val="center"/>
          </w:tcPr>
          <w:p w14:paraId="389BCA5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4B8E243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20328572">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0A0F8726">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4E32D8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43</w:t>
            </w:r>
          </w:p>
        </w:tc>
        <w:tc>
          <w:tcPr>
            <w:tcW w:w="162" w:type="pct"/>
            <w:vMerge w:val="continue"/>
            <w:tcBorders>
              <w:tl2br w:val="nil"/>
              <w:tr2bl w:val="nil"/>
            </w:tcBorders>
            <w:shd w:val="clear" w:color="auto" w:fill="auto"/>
            <w:vAlign w:val="center"/>
          </w:tcPr>
          <w:p w14:paraId="3DDADDB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7A32BE3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高处作业吊篮</w:t>
            </w:r>
          </w:p>
        </w:tc>
        <w:tc>
          <w:tcPr>
            <w:tcW w:w="1908" w:type="pct"/>
            <w:tcBorders>
              <w:tl2br w:val="nil"/>
              <w:tr2bl w:val="nil"/>
            </w:tcBorders>
            <w:shd w:val="clear" w:color="auto" w:fill="auto"/>
            <w:vAlign w:val="center"/>
          </w:tcPr>
          <w:p w14:paraId="41F693E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吊篮的自制零部件未经检验合格就进行了装配</w:t>
            </w:r>
          </w:p>
        </w:tc>
        <w:tc>
          <w:tcPr>
            <w:tcW w:w="385" w:type="pct"/>
            <w:tcBorders>
              <w:tl2br w:val="nil"/>
              <w:tr2bl w:val="nil"/>
            </w:tcBorders>
            <w:shd w:val="clear" w:color="auto" w:fill="auto"/>
            <w:vAlign w:val="center"/>
          </w:tcPr>
          <w:p w14:paraId="4D268BA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坍塌</w:t>
            </w:r>
          </w:p>
        </w:tc>
        <w:tc>
          <w:tcPr>
            <w:tcW w:w="178" w:type="pct"/>
            <w:tcBorders>
              <w:tl2br w:val="nil"/>
              <w:tr2bl w:val="nil"/>
            </w:tcBorders>
            <w:shd w:val="clear" w:color="auto" w:fill="auto"/>
            <w:vAlign w:val="center"/>
          </w:tcPr>
          <w:p w14:paraId="321D546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1CF3FC3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713634C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10A0628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14</w:t>
            </w:r>
          </w:p>
        </w:tc>
        <w:tc>
          <w:tcPr>
            <w:tcW w:w="221" w:type="pct"/>
            <w:tcBorders>
              <w:tl2br w:val="nil"/>
              <w:tr2bl w:val="nil"/>
            </w:tcBorders>
            <w:shd w:val="clear" w:color="auto" w:fill="auto"/>
            <w:vAlign w:val="center"/>
          </w:tcPr>
          <w:p w14:paraId="371ABF7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1A897C6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2C580D4C">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05F1CE62">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275AD5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44</w:t>
            </w:r>
          </w:p>
        </w:tc>
        <w:tc>
          <w:tcPr>
            <w:tcW w:w="162" w:type="pct"/>
            <w:vMerge w:val="continue"/>
            <w:tcBorders>
              <w:tl2br w:val="nil"/>
              <w:tr2bl w:val="nil"/>
            </w:tcBorders>
            <w:shd w:val="clear" w:color="auto" w:fill="auto"/>
            <w:vAlign w:val="center"/>
          </w:tcPr>
          <w:p w14:paraId="663E6CF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4FCE21B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6246650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没有对标准件、外购件、外协件进行检查验收</w:t>
            </w:r>
          </w:p>
        </w:tc>
        <w:tc>
          <w:tcPr>
            <w:tcW w:w="385" w:type="pct"/>
            <w:tcBorders>
              <w:tl2br w:val="nil"/>
              <w:tr2bl w:val="nil"/>
            </w:tcBorders>
            <w:shd w:val="clear" w:color="auto" w:fill="auto"/>
            <w:vAlign w:val="center"/>
          </w:tcPr>
          <w:p w14:paraId="3C32B93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坍塌</w:t>
            </w:r>
          </w:p>
        </w:tc>
        <w:tc>
          <w:tcPr>
            <w:tcW w:w="178" w:type="pct"/>
            <w:tcBorders>
              <w:tl2br w:val="nil"/>
              <w:tr2bl w:val="nil"/>
            </w:tcBorders>
            <w:shd w:val="clear" w:color="auto" w:fill="auto"/>
            <w:vAlign w:val="center"/>
          </w:tcPr>
          <w:p w14:paraId="5D30C6B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2A6DB47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1524760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1CD388A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14</w:t>
            </w:r>
          </w:p>
        </w:tc>
        <w:tc>
          <w:tcPr>
            <w:tcW w:w="221" w:type="pct"/>
            <w:tcBorders>
              <w:tl2br w:val="nil"/>
              <w:tr2bl w:val="nil"/>
            </w:tcBorders>
            <w:shd w:val="clear" w:color="auto" w:fill="auto"/>
            <w:vAlign w:val="center"/>
          </w:tcPr>
          <w:p w14:paraId="47EC47E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772FEF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0AB4C275">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7D1D013">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732C512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45</w:t>
            </w:r>
          </w:p>
        </w:tc>
        <w:tc>
          <w:tcPr>
            <w:tcW w:w="162" w:type="pct"/>
            <w:vMerge w:val="continue"/>
            <w:tcBorders>
              <w:tl2br w:val="nil"/>
              <w:tr2bl w:val="nil"/>
            </w:tcBorders>
            <w:shd w:val="clear" w:color="auto" w:fill="auto"/>
            <w:vAlign w:val="center"/>
          </w:tcPr>
          <w:p w14:paraId="3E77E5E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6BB5951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7217C3B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吊篮工作处阵风大于5级</w:t>
            </w:r>
          </w:p>
        </w:tc>
        <w:tc>
          <w:tcPr>
            <w:tcW w:w="385" w:type="pct"/>
            <w:tcBorders>
              <w:tl2br w:val="nil"/>
              <w:tr2bl w:val="nil"/>
            </w:tcBorders>
            <w:shd w:val="clear" w:color="auto" w:fill="auto"/>
            <w:vAlign w:val="center"/>
          </w:tcPr>
          <w:p w14:paraId="69DDBC1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47475CF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2FD0528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5" w:type="pct"/>
            <w:tcBorders>
              <w:tl2br w:val="nil"/>
              <w:tr2bl w:val="nil"/>
            </w:tcBorders>
            <w:shd w:val="clear" w:color="auto" w:fill="auto"/>
            <w:vAlign w:val="center"/>
          </w:tcPr>
          <w:p w14:paraId="5925A09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15</w:t>
            </w:r>
          </w:p>
        </w:tc>
        <w:tc>
          <w:tcPr>
            <w:tcW w:w="255" w:type="pct"/>
            <w:tcBorders>
              <w:tl2br w:val="nil"/>
              <w:tr2bl w:val="nil"/>
            </w:tcBorders>
            <w:shd w:val="clear" w:color="auto" w:fill="auto"/>
            <w:vAlign w:val="center"/>
          </w:tcPr>
          <w:p w14:paraId="0908BC2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45</w:t>
            </w:r>
          </w:p>
        </w:tc>
        <w:tc>
          <w:tcPr>
            <w:tcW w:w="221" w:type="pct"/>
            <w:tcBorders>
              <w:tl2br w:val="nil"/>
              <w:tr2bl w:val="nil"/>
            </w:tcBorders>
            <w:shd w:val="clear" w:color="auto" w:fill="auto"/>
            <w:vAlign w:val="center"/>
          </w:tcPr>
          <w:p w14:paraId="302FB37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7D906B0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ECC01B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049E6801">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3AEFBEC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46</w:t>
            </w:r>
          </w:p>
        </w:tc>
        <w:tc>
          <w:tcPr>
            <w:tcW w:w="162" w:type="pct"/>
            <w:vMerge w:val="continue"/>
            <w:tcBorders>
              <w:tl2br w:val="nil"/>
              <w:tr2bl w:val="nil"/>
            </w:tcBorders>
            <w:shd w:val="clear" w:color="auto" w:fill="auto"/>
            <w:vAlign w:val="center"/>
          </w:tcPr>
          <w:p w14:paraId="0241DB0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38A0504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397594C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吊篮的每个吊点没有设置2根钢丝绳，安全钢丝绳没有装安全锁或相同作用的独立安全装置</w:t>
            </w:r>
          </w:p>
        </w:tc>
        <w:tc>
          <w:tcPr>
            <w:tcW w:w="385" w:type="pct"/>
            <w:tcBorders>
              <w:tl2br w:val="nil"/>
              <w:tr2bl w:val="nil"/>
            </w:tcBorders>
            <w:shd w:val="clear" w:color="auto" w:fill="auto"/>
            <w:vAlign w:val="center"/>
          </w:tcPr>
          <w:p w14:paraId="624FFDB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坍塌</w:t>
            </w:r>
          </w:p>
        </w:tc>
        <w:tc>
          <w:tcPr>
            <w:tcW w:w="178" w:type="pct"/>
            <w:tcBorders>
              <w:tl2br w:val="nil"/>
              <w:tr2bl w:val="nil"/>
            </w:tcBorders>
            <w:shd w:val="clear" w:color="auto" w:fill="auto"/>
            <w:vAlign w:val="center"/>
          </w:tcPr>
          <w:p w14:paraId="5D28699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3ED6709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548D489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15</w:t>
            </w:r>
          </w:p>
        </w:tc>
        <w:tc>
          <w:tcPr>
            <w:tcW w:w="255" w:type="pct"/>
            <w:tcBorders>
              <w:tl2br w:val="nil"/>
              <w:tr2bl w:val="nil"/>
            </w:tcBorders>
            <w:shd w:val="clear" w:color="auto" w:fill="auto"/>
            <w:vAlign w:val="center"/>
          </w:tcPr>
          <w:p w14:paraId="68CD4BC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30</w:t>
            </w:r>
          </w:p>
        </w:tc>
        <w:tc>
          <w:tcPr>
            <w:tcW w:w="221" w:type="pct"/>
            <w:tcBorders>
              <w:tl2br w:val="nil"/>
              <w:tr2bl w:val="nil"/>
            </w:tcBorders>
            <w:shd w:val="clear" w:color="auto" w:fill="auto"/>
            <w:vAlign w:val="center"/>
          </w:tcPr>
          <w:p w14:paraId="76C5FA5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0CFC208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4EBE0A19">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63DCEC9">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706674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47</w:t>
            </w:r>
          </w:p>
        </w:tc>
        <w:tc>
          <w:tcPr>
            <w:tcW w:w="162" w:type="pct"/>
            <w:vMerge w:val="continue"/>
            <w:tcBorders>
              <w:tl2br w:val="nil"/>
              <w:tr2bl w:val="nil"/>
            </w:tcBorders>
            <w:shd w:val="clear" w:color="auto" w:fill="auto"/>
            <w:vAlign w:val="center"/>
          </w:tcPr>
          <w:p w14:paraId="1DB0BBB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35309C8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2EAA02C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在正常工作时，安全钢丝绳不能顺利通过安全锁或相同作用的独立安全装置</w:t>
            </w:r>
          </w:p>
        </w:tc>
        <w:tc>
          <w:tcPr>
            <w:tcW w:w="385" w:type="pct"/>
            <w:tcBorders>
              <w:tl2br w:val="nil"/>
              <w:tr2bl w:val="nil"/>
            </w:tcBorders>
            <w:shd w:val="clear" w:color="auto" w:fill="auto"/>
            <w:vAlign w:val="center"/>
          </w:tcPr>
          <w:p w14:paraId="10C952F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坍塌</w:t>
            </w:r>
          </w:p>
        </w:tc>
        <w:tc>
          <w:tcPr>
            <w:tcW w:w="178" w:type="pct"/>
            <w:tcBorders>
              <w:tl2br w:val="nil"/>
              <w:tr2bl w:val="nil"/>
            </w:tcBorders>
            <w:shd w:val="clear" w:color="auto" w:fill="auto"/>
            <w:vAlign w:val="center"/>
          </w:tcPr>
          <w:p w14:paraId="6F14308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24C14ED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5" w:type="pct"/>
            <w:tcBorders>
              <w:tl2br w:val="nil"/>
              <w:tr2bl w:val="nil"/>
            </w:tcBorders>
            <w:shd w:val="clear" w:color="auto" w:fill="auto"/>
            <w:vAlign w:val="center"/>
          </w:tcPr>
          <w:p w14:paraId="09258A0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15</w:t>
            </w:r>
          </w:p>
        </w:tc>
        <w:tc>
          <w:tcPr>
            <w:tcW w:w="255" w:type="pct"/>
            <w:tcBorders>
              <w:tl2br w:val="nil"/>
              <w:tr2bl w:val="nil"/>
            </w:tcBorders>
            <w:shd w:val="clear" w:color="auto" w:fill="auto"/>
            <w:vAlign w:val="center"/>
          </w:tcPr>
          <w:p w14:paraId="27758BF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45</w:t>
            </w:r>
          </w:p>
        </w:tc>
        <w:tc>
          <w:tcPr>
            <w:tcW w:w="221" w:type="pct"/>
            <w:tcBorders>
              <w:tl2br w:val="nil"/>
              <w:tr2bl w:val="nil"/>
            </w:tcBorders>
            <w:shd w:val="clear" w:color="auto" w:fill="auto"/>
            <w:vAlign w:val="center"/>
          </w:tcPr>
          <w:p w14:paraId="1DDFF1B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122F28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B58F23E">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6B6559ED">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71A0C3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48</w:t>
            </w:r>
          </w:p>
        </w:tc>
        <w:tc>
          <w:tcPr>
            <w:tcW w:w="162" w:type="pct"/>
            <w:vMerge w:val="continue"/>
            <w:tcBorders>
              <w:tl2br w:val="nil"/>
              <w:tr2bl w:val="nil"/>
            </w:tcBorders>
            <w:shd w:val="clear" w:color="auto" w:fill="auto"/>
            <w:vAlign w:val="center"/>
          </w:tcPr>
          <w:p w14:paraId="757676C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5BD3D11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62A7038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吊篮上的操作人员未配置独立于悬吊平台的安全绳及安全带或其它安全装置，未严格遵守操作规程</w:t>
            </w:r>
          </w:p>
        </w:tc>
        <w:tc>
          <w:tcPr>
            <w:tcW w:w="385" w:type="pct"/>
            <w:tcBorders>
              <w:tl2br w:val="nil"/>
              <w:tr2bl w:val="nil"/>
            </w:tcBorders>
            <w:shd w:val="clear" w:color="auto" w:fill="auto"/>
            <w:vAlign w:val="center"/>
          </w:tcPr>
          <w:p w14:paraId="5D40EED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高处坠落</w:t>
            </w:r>
          </w:p>
        </w:tc>
        <w:tc>
          <w:tcPr>
            <w:tcW w:w="178" w:type="pct"/>
            <w:tcBorders>
              <w:tl2br w:val="nil"/>
              <w:tr2bl w:val="nil"/>
            </w:tcBorders>
            <w:shd w:val="clear" w:color="auto" w:fill="auto"/>
            <w:vAlign w:val="center"/>
          </w:tcPr>
          <w:p w14:paraId="453F1C0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03CD359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2E79379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34CCC45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4700B06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ECEE25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2205908">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797FF347">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03899C4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49</w:t>
            </w:r>
          </w:p>
        </w:tc>
        <w:tc>
          <w:tcPr>
            <w:tcW w:w="162" w:type="pct"/>
            <w:vMerge w:val="continue"/>
            <w:tcBorders>
              <w:tl2br w:val="nil"/>
              <w:tr2bl w:val="nil"/>
            </w:tcBorders>
            <w:shd w:val="clear" w:color="auto" w:fill="auto"/>
            <w:vAlign w:val="center"/>
          </w:tcPr>
          <w:p w14:paraId="510865B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09D0FE7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41BC9A9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吊篮在正常工作时，使用安全锁进行制动</w:t>
            </w:r>
          </w:p>
        </w:tc>
        <w:tc>
          <w:tcPr>
            <w:tcW w:w="385" w:type="pct"/>
            <w:tcBorders>
              <w:tl2br w:val="nil"/>
              <w:tr2bl w:val="nil"/>
            </w:tcBorders>
            <w:shd w:val="clear" w:color="auto" w:fill="auto"/>
            <w:vAlign w:val="center"/>
          </w:tcPr>
          <w:p w14:paraId="4F2CC25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坍塌</w:t>
            </w:r>
          </w:p>
        </w:tc>
        <w:tc>
          <w:tcPr>
            <w:tcW w:w="178" w:type="pct"/>
            <w:tcBorders>
              <w:tl2br w:val="nil"/>
              <w:tr2bl w:val="nil"/>
            </w:tcBorders>
            <w:shd w:val="clear" w:color="auto" w:fill="auto"/>
            <w:vAlign w:val="center"/>
          </w:tcPr>
          <w:p w14:paraId="34B24AE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677680E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5" w:type="pct"/>
            <w:tcBorders>
              <w:tl2br w:val="nil"/>
              <w:tr2bl w:val="nil"/>
            </w:tcBorders>
            <w:shd w:val="clear" w:color="auto" w:fill="auto"/>
            <w:vAlign w:val="center"/>
          </w:tcPr>
          <w:p w14:paraId="1C5720C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324121B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21</w:t>
            </w:r>
          </w:p>
        </w:tc>
        <w:tc>
          <w:tcPr>
            <w:tcW w:w="221" w:type="pct"/>
            <w:tcBorders>
              <w:tl2br w:val="nil"/>
              <w:tr2bl w:val="nil"/>
            </w:tcBorders>
            <w:shd w:val="clear" w:color="auto" w:fill="auto"/>
            <w:vAlign w:val="center"/>
          </w:tcPr>
          <w:p w14:paraId="0521645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8D1E1B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01144E3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610AE3DB">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BBFFA9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50</w:t>
            </w:r>
          </w:p>
        </w:tc>
        <w:tc>
          <w:tcPr>
            <w:tcW w:w="162" w:type="pct"/>
            <w:vMerge w:val="continue"/>
            <w:tcBorders>
              <w:tl2br w:val="nil"/>
              <w:tr2bl w:val="nil"/>
            </w:tcBorders>
            <w:shd w:val="clear" w:color="auto" w:fill="auto"/>
            <w:vAlign w:val="center"/>
          </w:tcPr>
          <w:p w14:paraId="66F60FB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44BB6B4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0FDBD1B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利用吊篮进行电焊作业时，用吊篮做电焊接线回路；或者吊篮内放置氧气瓶、乙炔瓶等易燃易爆品</w:t>
            </w:r>
          </w:p>
        </w:tc>
        <w:tc>
          <w:tcPr>
            <w:tcW w:w="385" w:type="pct"/>
            <w:tcBorders>
              <w:tl2br w:val="nil"/>
              <w:tr2bl w:val="nil"/>
            </w:tcBorders>
            <w:shd w:val="clear" w:color="auto" w:fill="auto"/>
            <w:vAlign w:val="center"/>
          </w:tcPr>
          <w:p w14:paraId="4A967C3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632E2DD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5D747DD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4CE4A18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3A612DE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14</w:t>
            </w:r>
          </w:p>
        </w:tc>
        <w:tc>
          <w:tcPr>
            <w:tcW w:w="221" w:type="pct"/>
            <w:tcBorders>
              <w:tl2br w:val="nil"/>
              <w:tr2bl w:val="nil"/>
            </w:tcBorders>
            <w:shd w:val="clear" w:color="auto" w:fill="auto"/>
            <w:vAlign w:val="center"/>
          </w:tcPr>
          <w:p w14:paraId="39DF760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5598194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4C2D5510">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5820EA06">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6B83CB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51</w:t>
            </w:r>
          </w:p>
        </w:tc>
        <w:tc>
          <w:tcPr>
            <w:tcW w:w="162" w:type="pct"/>
            <w:vMerge w:val="restart"/>
            <w:tcBorders>
              <w:tl2br w:val="nil"/>
              <w:tr2bl w:val="nil"/>
            </w:tcBorders>
            <w:shd w:val="clear" w:color="auto" w:fill="auto"/>
            <w:vAlign w:val="center"/>
          </w:tcPr>
          <w:p w14:paraId="01476BD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临时用电</w:t>
            </w:r>
          </w:p>
        </w:tc>
        <w:tc>
          <w:tcPr>
            <w:tcW w:w="240" w:type="pct"/>
            <w:vMerge w:val="restart"/>
            <w:tcBorders>
              <w:tl2br w:val="nil"/>
              <w:tr2bl w:val="nil"/>
            </w:tcBorders>
            <w:shd w:val="clear" w:color="auto" w:fill="auto"/>
            <w:vAlign w:val="center"/>
          </w:tcPr>
          <w:p w14:paraId="792BBCA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接地和防雷</w:t>
            </w:r>
          </w:p>
        </w:tc>
        <w:tc>
          <w:tcPr>
            <w:tcW w:w="1908" w:type="pct"/>
            <w:tcBorders>
              <w:tl2br w:val="nil"/>
              <w:tr2bl w:val="nil"/>
            </w:tcBorders>
            <w:shd w:val="clear" w:color="auto" w:fill="auto"/>
            <w:vAlign w:val="center"/>
          </w:tcPr>
          <w:p w14:paraId="145B51A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施工现场的临时用电电力系统存在利用大地做相线或零线的现象</w:t>
            </w:r>
          </w:p>
        </w:tc>
        <w:tc>
          <w:tcPr>
            <w:tcW w:w="385" w:type="pct"/>
            <w:tcBorders>
              <w:tl2br w:val="nil"/>
              <w:tr2bl w:val="nil"/>
            </w:tcBorders>
            <w:shd w:val="clear" w:color="auto" w:fill="auto"/>
            <w:vAlign w:val="center"/>
          </w:tcPr>
          <w:p w14:paraId="193AAB9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7FE54F9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22D7409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5095409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593C999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70</w:t>
            </w:r>
          </w:p>
        </w:tc>
        <w:tc>
          <w:tcPr>
            <w:tcW w:w="221" w:type="pct"/>
            <w:tcBorders>
              <w:tl2br w:val="nil"/>
              <w:tr2bl w:val="nil"/>
            </w:tcBorders>
            <w:shd w:val="clear" w:color="auto" w:fill="auto"/>
            <w:vAlign w:val="center"/>
          </w:tcPr>
          <w:p w14:paraId="10BF8E7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3099CC4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D9A0284">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18E095C8">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592C375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52</w:t>
            </w:r>
          </w:p>
        </w:tc>
        <w:tc>
          <w:tcPr>
            <w:tcW w:w="162" w:type="pct"/>
            <w:vMerge w:val="continue"/>
            <w:tcBorders>
              <w:tl2br w:val="nil"/>
              <w:tr2bl w:val="nil"/>
            </w:tcBorders>
            <w:shd w:val="clear" w:color="auto" w:fill="auto"/>
            <w:vAlign w:val="center"/>
          </w:tcPr>
          <w:p w14:paraId="68C6AD3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164DD06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09B8607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保护零线没有采用绝缘导线</w:t>
            </w:r>
          </w:p>
        </w:tc>
        <w:tc>
          <w:tcPr>
            <w:tcW w:w="385" w:type="pct"/>
            <w:tcBorders>
              <w:tl2br w:val="nil"/>
              <w:tr2bl w:val="nil"/>
            </w:tcBorders>
            <w:shd w:val="clear" w:color="auto" w:fill="auto"/>
            <w:vAlign w:val="center"/>
          </w:tcPr>
          <w:p w14:paraId="592C009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6D46BC9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3EF5912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13E654E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62C1472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70</w:t>
            </w:r>
          </w:p>
        </w:tc>
        <w:tc>
          <w:tcPr>
            <w:tcW w:w="221" w:type="pct"/>
            <w:tcBorders>
              <w:tl2br w:val="nil"/>
              <w:tr2bl w:val="nil"/>
            </w:tcBorders>
            <w:shd w:val="clear" w:color="auto" w:fill="auto"/>
            <w:vAlign w:val="center"/>
          </w:tcPr>
          <w:p w14:paraId="1F0B257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727B4D7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1207480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504E983D">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6D0508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53</w:t>
            </w:r>
          </w:p>
        </w:tc>
        <w:tc>
          <w:tcPr>
            <w:tcW w:w="162" w:type="pct"/>
            <w:vMerge w:val="continue"/>
            <w:tcBorders>
              <w:tl2br w:val="nil"/>
              <w:tr2bl w:val="nil"/>
            </w:tcBorders>
            <w:shd w:val="clear" w:color="auto" w:fill="auto"/>
            <w:vAlign w:val="center"/>
          </w:tcPr>
          <w:p w14:paraId="34ABA71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47316C5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电缆</w:t>
            </w:r>
          </w:p>
          <w:p w14:paraId="08BC5FB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线路</w:t>
            </w:r>
          </w:p>
        </w:tc>
        <w:tc>
          <w:tcPr>
            <w:tcW w:w="1908" w:type="pct"/>
            <w:tcBorders>
              <w:tl2br w:val="nil"/>
              <w:tr2bl w:val="nil"/>
            </w:tcBorders>
            <w:shd w:val="clear" w:color="auto" w:fill="auto"/>
            <w:vAlign w:val="center"/>
          </w:tcPr>
          <w:p w14:paraId="39CEFD0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电缆线路未采用埋地或架空敷设，或未采取避免机械损伤和介质腐蚀的措施</w:t>
            </w:r>
          </w:p>
        </w:tc>
        <w:tc>
          <w:tcPr>
            <w:tcW w:w="385" w:type="pct"/>
            <w:tcBorders>
              <w:tl2br w:val="nil"/>
              <w:tr2bl w:val="nil"/>
            </w:tcBorders>
            <w:shd w:val="clear" w:color="auto" w:fill="auto"/>
            <w:vAlign w:val="center"/>
          </w:tcPr>
          <w:p w14:paraId="34A9873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0D1BF71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6FD8E82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60F99F7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5046645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54</w:t>
            </w:r>
          </w:p>
        </w:tc>
        <w:tc>
          <w:tcPr>
            <w:tcW w:w="221" w:type="pct"/>
            <w:tcBorders>
              <w:tl2br w:val="nil"/>
              <w:tr2bl w:val="nil"/>
            </w:tcBorders>
            <w:shd w:val="clear" w:color="auto" w:fill="auto"/>
            <w:vAlign w:val="center"/>
          </w:tcPr>
          <w:p w14:paraId="46CF953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324517C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9D71BD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4199901">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BF6A34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54</w:t>
            </w:r>
          </w:p>
        </w:tc>
        <w:tc>
          <w:tcPr>
            <w:tcW w:w="162" w:type="pct"/>
            <w:vMerge w:val="continue"/>
            <w:tcBorders>
              <w:tl2br w:val="nil"/>
              <w:tr2bl w:val="nil"/>
            </w:tcBorders>
            <w:shd w:val="clear" w:color="auto" w:fill="auto"/>
            <w:vAlign w:val="center"/>
          </w:tcPr>
          <w:p w14:paraId="6188042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5CB0924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1F976F6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室内配线没有短路保护和过载保护</w:t>
            </w:r>
          </w:p>
        </w:tc>
        <w:tc>
          <w:tcPr>
            <w:tcW w:w="385" w:type="pct"/>
            <w:tcBorders>
              <w:tl2br w:val="nil"/>
              <w:tr2bl w:val="nil"/>
            </w:tcBorders>
            <w:shd w:val="clear" w:color="auto" w:fill="auto"/>
            <w:vAlign w:val="center"/>
          </w:tcPr>
          <w:p w14:paraId="503FFCA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06CFD36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7D354A0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677E7C4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7E11028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510556D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1B0E815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55A6354">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62DA20E0">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3E1CF2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55</w:t>
            </w:r>
          </w:p>
        </w:tc>
        <w:tc>
          <w:tcPr>
            <w:tcW w:w="162" w:type="pct"/>
            <w:vMerge w:val="continue"/>
            <w:tcBorders>
              <w:tl2br w:val="nil"/>
              <w:tr2bl w:val="nil"/>
            </w:tcBorders>
            <w:shd w:val="clear" w:color="auto" w:fill="auto"/>
            <w:vAlign w:val="center"/>
          </w:tcPr>
          <w:p w14:paraId="6104FD3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025CD55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照明</w:t>
            </w:r>
          </w:p>
        </w:tc>
        <w:tc>
          <w:tcPr>
            <w:tcW w:w="1908" w:type="pct"/>
            <w:tcBorders>
              <w:tl2br w:val="nil"/>
              <w:tr2bl w:val="nil"/>
            </w:tcBorders>
            <w:shd w:val="clear" w:color="auto" w:fill="auto"/>
            <w:vAlign w:val="center"/>
          </w:tcPr>
          <w:p w14:paraId="443A8181">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有爆炸和火灾危险的场所，没有按危险场所等级选用防爆型照明器</w:t>
            </w:r>
          </w:p>
        </w:tc>
        <w:tc>
          <w:tcPr>
            <w:tcW w:w="385" w:type="pct"/>
            <w:tcBorders>
              <w:tl2br w:val="nil"/>
              <w:tr2bl w:val="nil"/>
            </w:tcBorders>
            <w:shd w:val="clear" w:color="auto" w:fill="auto"/>
            <w:vAlign w:val="center"/>
          </w:tcPr>
          <w:p w14:paraId="73364CC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爆炸</w:t>
            </w:r>
          </w:p>
        </w:tc>
        <w:tc>
          <w:tcPr>
            <w:tcW w:w="178" w:type="pct"/>
            <w:tcBorders>
              <w:tl2br w:val="nil"/>
              <w:tr2bl w:val="nil"/>
            </w:tcBorders>
            <w:shd w:val="clear" w:color="auto" w:fill="auto"/>
            <w:vAlign w:val="center"/>
          </w:tcPr>
          <w:p w14:paraId="65F678F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1D6B58D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38847FA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2BA1D8F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54</w:t>
            </w:r>
          </w:p>
        </w:tc>
        <w:tc>
          <w:tcPr>
            <w:tcW w:w="221" w:type="pct"/>
            <w:tcBorders>
              <w:tl2br w:val="nil"/>
              <w:tr2bl w:val="nil"/>
            </w:tcBorders>
            <w:shd w:val="clear" w:color="auto" w:fill="auto"/>
            <w:vAlign w:val="center"/>
          </w:tcPr>
          <w:p w14:paraId="4FA36BA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7AC9F593">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08875015">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27D0E2B">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51DBADE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56</w:t>
            </w:r>
          </w:p>
        </w:tc>
        <w:tc>
          <w:tcPr>
            <w:tcW w:w="162" w:type="pct"/>
            <w:vMerge w:val="continue"/>
            <w:tcBorders>
              <w:tl2br w:val="nil"/>
              <w:tr2bl w:val="nil"/>
            </w:tcBorders>
            <w:shd w:val="clear" w:color="auto" w:fill="auto"/>
            <w:vAlign w:val="center"/>
          </w:tcPr>
          <w:p w14:paraId="0540E4A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775C5D9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12B9B98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隧道、高温、有导电灰尘、比较潮湿或灯具离地面高度低于2.5m等场所的照明，电源电压大于36V</w:t>
            </w:r>
          </w:p>
        </w:tc>
        <w:tc>
          <w:tcPr>
            <w:tcW w:w="385" w:type="pct"/>
            <w:tcBorders>
              <w:tl2br w:val="nil"/>
              <w:tr2bl w:val="nil"/>
            </w:tcBorders>
            <w:shd w:val="clear" w:color="auto" w:fill="auto"/>
            <w:vAlign w:val="center"/>
          </w:tcPr>
          <w:p w14:paraId="4D30144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476DE45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66B717E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3479601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2485BF2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519BB0E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F85893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D463D2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0763B9E7">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60059F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57</w:t>
            </w:r>
          </w:p>
        </w:tc>
        <w:tc>
          <w:tcPr>
            <w:tcW w:w="162" w:type="pct"/>
            <w:vMerge w:val="continue"/>
            <w:tcBorders>
              <w:tl2br w:val="nil"/>
              <w:tr2bl w:val="nil"/>
            </w:tcBorders>
            <w:shd w:val="clear" w:color="auto" w:fill="auto"/>
            <w:vAlign w:val="center"/>
          </w:tcPr>
          <w:p w14:paraId="7A46835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41CC085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5BF2AFB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潮湿和易触及带电体场所的照明，电源电压大于24V</w:t>
            </w:r>
          </w:p>
        </w:tc>
        <w:tc>
          <w:tcPr>
            <w:tcW w:w="385" w:type="pct"/>
            <w:tcBorders>
              <w:tl2br w:val="nil"/>
              <w:tr2bl w:val="nil"/>
            </w:tcBorders>
            <w:shd w:val="clear" w:color="auto" w:fill="auto"/>
            <w:vAlign w:val="center"/>
          </w:tcPr>
          <w:p w14:paraId="762B276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794E551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36B5035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72655B8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58F2B03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29DA351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64ADBFF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1F78C7E8">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20BFB1CE">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06A2D3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58</w:t>
            </w:r>
          </w:p>
        </w:tc>
        <w:tc>
          <w:tcPr>
            <w:tcW w:w="162" w:type="pct"/>
            <w:vMerge w:val="continue"/>
            <w:tcBorders>
              <w:tl2br w:val="nil"/>
              <w:tr2bl w:val="nil"/>
            </w:tcBorders>
            <w:shd w:val="clear" w:color="auto" w:fill="auto"/>
            <w:vAlign w:val="center"/>
          </w:tcPr>
          <w:p w14:paraId="1B4197F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tcBorders>
              <w:tl2br w:val="nil"/>
              <w:tr2bl w:val="nil"/>
            </w:tcBorders>
            <w:shd w:val="clear" w:color="auto" w:fill="auto"/>
            <w:vAlign w:val="center"/>
          </w:tcPr>
          <w:p w14:paraId="3DF788A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防雨</w:t>
            </w:r>
          </w:p>
        </w:tc>
        <w:tc>
          <w:tcPr>
            <w:tcW w:w="1908" w:type="pct"/>
            <w:tcBorders>
              <w:tl2br w:val="nil"/>
              <w:tr2bl w:val="nil"/>
            </w:tcBorders>
            <w:shd w:val="clear" w:color="auto" w:fill="auto"/>
            <w:vAlign w:val="center"/>
          </w:tcPr>
          <w:p w14:paraId="6DC08C8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户外安装使用的电气设备不具备良好的防雨性能</w:t>
            </w:r>
          </w:p>
        </w:tc>
        <w:tc>
          <w:tcPr>
            <w:tcW w:w="385" w:type="pct"/>
            <w:tcBorders>
              <w:tl2br w:val="nil"/>
              <w:tr2bl w:val="nil"/>
            </w:tcBorders>
            <w:shd w:val="clear" w:color="auto" w:fill="auto"/>
            <w:vAlign w:val="center"/>
          </w:tcPr>
          <w:p w14:paraId="53D93BC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2F34955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2A084EE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70F9C92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5722E91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766FC5F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707AC59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5F667B2D">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4E6FF7DB">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FAEFE7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59</w:t>
            </w:r>
          </w:p>
        </w:tc>
        <w:tc>
          <w:tcPr>
            <w:tcW w:w="162" w:type="pct"/>
            <w:vMerge w:val="continue"/>
            <w:tcBorders>
              <w:tl2br w:val="nil"/>
              <w:tr2bl w:val="nil"/>
            </w:tcBorders>
            <w:shd w:val="clear" w:color="auto" w:fill="auto"/>
            <w:vAlign w:val="center"/>
          </w:tcPr>
          <w:p w14:paraId="06ABE2C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20E7F44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潮湿</w:t>
            </w:r>
          </w:p>
          <w:p w14:paraId="6DEDE15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环境</w:t>
            </w:r>
          </w:p>
        </w:tc>
        <w:tc>
          <w:tcPr>
            <w:tcW w:w="1908" w:type="pct"/>
            <w:tcBorders>
              <w:tl2br w:val="nil"/>
              <w:tr2bl w:val="nil"/>
            </w:tcBorders>
            <w:shd w:val="clear" w:color="auto" w:fill="auto"/>
            <w:vAlign w:val="center"/>
          </w:tcPr>
          <w:p w14:paraId="15805B3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在潮湿环境中使用电气设备时，操作人员没有按规定穿戴绝缘防护用品和站在绝缘台上</w:t>
            </w:r>
          </w:p>
        </w:tc>
        <w:tc>
          <w:tcPr>
            <w:tcW w:w="385" w:type="pct"/>
            <w:tcBorders>
              <w:tl2br w:val="nil"/>
              <w:tr2bl w:val="nil"/>
            </w:tcBorders>
            <w:shd w:val="clear" w:color="auto" w:fill="auto"/>
            <w:vAlign w:val="center"/>
          </w:tcPr>
          <w:p w14:paraId="3BD1124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7047BDD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4DAE6C5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7AEFA80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7381906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0F3250E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4FB2C31C">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A471A42">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0DDA551E">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35D532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60</w:t>
            </w:r>
          </w:p>
        </w:tc>
        <w:tc>
          <w:tcPr>
            <w:tcW w:w="162" w:type="pct"/>
            <w:vMerge w:val="continue"/>
            <w:tcBorders>
              <w:tl2br w:val="nil"/>
              <w:tr2bl w:val="nil"/>
            </w:tcBorders>
            <w:shd w:val="clear" w:color="auto" w:fill="auto"/>
            <w:vAlign w:val="center"/>
          </w:tcPr>
          <w:p w14:paraId="20B4E19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6999874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265F4FD1">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设备的金属外壳、环境中的金属构架和管道没有良好接地</w:t>
            </w:r>
          </w:p>
        </w:tc>
        <w:tc>
          <w:tcPr>
            <w:tcW w:w="385" w:type="pct"/>
            <w:tcBorders>
              <w:tl2br w:val="nil"/>
              <w:tr2bl w:val="nil"/>
            </w:tcBorders>
            <w:shd w:val="clear" w:color="auto" w:fill="auto"/>
            <w:vAlign w:val="center"/>
          </w:tcPr>
          <w:p w14:paraId="440B820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311171B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38843C9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634FFBF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606AD46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1ABF9C3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E84B81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A3516A0">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291373FF">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C57E9A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61</w:t>
            </w:r>
          </w:p>
        </w:tc>
        <w:tc>
          <w:tcPr>
            <w:tcW w:w="162" w:type="pct"/>
            <w:vMerge w:val="continue"/>
            <w:tcBorders>
              <w:tl2br w:val="nil"/>
              <w:tr2bl w:val="nil"/>
            </w:tcBorders>
            <w:shd w:val="clear" w:color="auto" w:fill="auto"/>
            <w:vAlign w:val="center"/>
          </w:tcPr>
          <w:p w14:paraId="62B414C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76BA36E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临电</w:t>
            </w:r>
          </w:p>
          <w:p w14:paraId="2F20773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拆除</w:t>
            </w:r>
          </w:p>
        </w:tc>
        <w:tc>
          <w:tcPr>
            <w:tcW w:w="1908" w:type="pct"/>
            <w:tcBorders>
              <w:tl2br w:val="nil"/>
              <w:tr2bl w:val="nil"/>
            </w:tcBorders>
            <w:shd w:val="clear" w:color="auto" w:fill="auto"/>
            <w:vAlign w:val="center"/>
          </w:tcPr>
          <w:p w14:paraId="0BC45A0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拆除前，被拆除部分没有与带电部分在电气上进行可靠断开、隔离；没有悬挂警示牌；没有在被拆除侧挂临时接地线或投接地刀闸</w:t>
            </w:r>
          </w:p>
        </w:tc>
        <w:tc>
          <w:tcPr>
            <w:tcW w:w="385" w:type="pct"/>
            <w:tcBorders>
              <w:tl2br w:val="nil"/>
              <w:tr2bl w:val="nil"/>
            </w:tcBorders>
            <w:shd w:val="clear" w:color="auto" w:fill="auto"/>
            <w:vAlign w:val="center"/>
          </w:tcPr>
          <w:p w14:paraId="20A282C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5852D79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4CD0F58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2405E39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0122F8F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64475F8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5198120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5E6C75F0">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09382B0">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9AFA7A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62</w:t>
            </w:r>
          </w:p>
        </w:tc>
        <w:tc>
          <w:tcPr>
            <w:tcW w:w="162" w:type="pct"/>
            <w:vMerge w:val="continue"/>
            <w:tcBorders>
              <w:tl2br w:val="nil"/>
              <w:tr2bl w:val="nil"/>
            </w:tcBorders>
            <w:shd w:val="clear" w:color="auto" w:fill="auto"/>
            <w:vAlign w:val="center"/>
          </w:tcPr>
          <w:p w14:paraId="4451675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2526174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685C625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 xml:space="preserve">在拆除临近带电部分的供用电设施时，没有专人监护、并设隔离防护设施 </w:t>
            </w:r>
          </w:p>
        </w:tc>
        <w:tc>
          <w:tcPr>
            <w:tcW w:w="385" w:type="pct"/>
            <w:tcBorders>
              <w:tl2br w:val="nil"/>
              <w:tr2bl w:val="nil"/>
            </w:tcBorders>
            <w:shd w:val="clear" w:color="auto" w:fill="auto"/>
            <w:vAlign w:val="center"/>
          </w:tcPr>
          <w:p w14:paraId="35E7FB6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577C2AC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6C4D048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00AFE53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73E8B35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4F46981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184C603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A8FCE73">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7F769BA2">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80A82A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63</w:t>
            </w:r>
          </w:p>
        </w:tc>
        <w:tc>
          <w:tcPr>
            <w:tcW w:w="162" w:type="pct"/>
            <w:vMerge w:val="continue"/>
            <w:tcBorders>
              <w:tl2br w:val="nil"/>
              <w:tr2bl w:val="nil"/>
            </w:tcBorders>
            <w:shd w:val="clear" w:color="auto" w:fill="auto"/>
            <w:vAlign w:val="center"/>
          </w:tcPr>
          <w:p w14:paraId="0D52FF0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6B34317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1B79D81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拆除工作未从电源侧开始</w:t>
            </w:r>
          </w:p>
        </w:tc>
        <w:tc>
          <w:tcPr>
            <w:tcW w:w="385" w:type="pct"/>
            <w:tcBorders>
              <w:tl2br w:val="nil"/>
              <w:tr2bl w:val="nil"/>
            </w:tcBorders>
            <w:shd w:val="clear" w:color="auto" w:fill="auto"/>
            <w:vAlign w:val="center"/>
          </w:tcPr>
          <w:p w14:paraId="5B0F6E7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触电</w:t>
            </w:r>
          </w:p>
        </w:tc>
        <w:tc>
          <w:tcPr>
            <w:tcW w:w="178" w:type="pct"/>
            <w:tcBorders>
              <w:tl2br w:val="nil"/>
              <w:tr2bl w:val="nil"/>
            </w:tcBorders>
            <w:shd w:val="clear" w:color="auto" w:fill="auto"/>
            <w:vAlign w:val="center"/>
          </w:tcPr>
          <w:p w14:paraId="03FF22B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5A3674F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4A7C314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255" w:type="pct"/>
            <w:tcBorders>
              <w:tl2br w:val="nil"/>
              <w:tr2bl w:val="nil"/>
            </w:tcBorders>
            <w:shd w:val="clear" w:color="auto" w:fill="auto"/>
            <w:vAlign w:val="center"/>
          </w:tcPr>
          <w:p w14:paraId="7C4C856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42</w:t>
            </w:r>
          </w:p>
        </w:tc>
        <w:tc>
          <w:tcPr>
            <w:tcW w:w="221" w:type="pct"/>
            <w:tcBorders>
              <w:tl2br w:val="nil"/>
              <w:tr2bl w:val="nil"/>
            </w:tcBorders>
            <w:shd w:val="clear" w:color="auto" w:fill="auto"/>
            <w:vAlign w:val="center"/>
          </w:tcPr>
          <w:p w14:paraId="66274C0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1558CD6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B92A20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12B5C978">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472D42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64</w:t>
            </w:r>
          </w:p>
        </w:tc>
        <w:tc>
          <w:tcPr>
            <w:tcW w:w="162" w:type="pct"/>
            <w:vMerge w:val="restart"/>
            <w:tcBorders>
              <w:tl2br w:val="nil"/>
              <w:tr2bl w:val="nil"/>
            </w:tcBorders>
            <w:shd w:val="clear" w:color="auto" w:fill="auto"/>
            <w:vAlign w:val="center"/>
          </w:tcPr>
          <w:p w14:paraId="17378A2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特殊季节与特殊环境施工</w:t>
            </w:r>
          </w:p>
        </w:tc>
        <w:tc>
          <w:tcPr>
            <w:tcW w:w="240" w:type="pct"/>
            <w:vMerge w:val="restart"/>
            <w:tcBorders>
              <w:tl2br w:val="nil"/>
              <w:tr2bl w:val="nil"/>
            </w:tcBorders>
            <w:shd w:val="clear" w:color="auto" w:fill="auto"/>
            <w:vAlign w:val="center"/>
          </w:tcPr>
          <w:p w14:paraId="2022BB9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一般</w:t>
            </w:r>
          </w:p>
        </w:tc>
        <w:tc>
          <w:tcPr>
            <w:tcW w:w="1908" w:type="pct"/>
            <w:tcBorders>
              <w:tl2br w:val="nil"/>
              <w:tr2bl w:val="nil"/>
            </w:tcBorders>
            <w:shd w:val="clear" w:color="auto" w:fill="auto"/>
            <w:vAlign w:val="center"/>
          </w:tcPr>
          <w:p w14:paraId="12D406D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未制订特殊季节、特殊环境防范措施，未编制应急预案，未储备应急物资、未定期演练</w:t>
            </w:r>
          </w:p>
        </w:tc>
        <w:tc>
          <w:tcPr>
            <w:tcW w:w="385" w:type="pct"/>
            <w:tcBorders>
              <w:tl2br w:val="nil"/>
              <w:tr2bl w:val="nil"/>
            </w:tcBorders>
            <w:shd w:val="clear" w:color="auto" w:fill="auto"/>
            <w:vAlign w:val="center"/>
          </w:tcPr>
          <w:p w14:paraId="6CDC361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其它</w:t>
            </w:r>
          </w:p>
        </w:tc>
        <w:tc>
          <w:tcPr>
            <w:tcW w:w="178" w:type="pct"/>
            <w:tcBorders>
              <w:tl2br w:val="nil"/>
              <w:tr2bl w:val="nil"/>
            </w:tcBorders>
            <w:shd w:val="clear" w:color="auto" w:fill="auto"/>
            <w:vAlign w:val="center"/>
          </w:tcPr>
          <w:p w14:paraId="474E348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60F138E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w:t>
            </w:r>
          </w:p>
        </w:tc>
        <w:tc>
          <w:tcPr>
            <w:tcW w:w="145" w:type="pct"/>
            <w:tcBorders>
              <w:tl2br w:val="nil"/>
              <w:tr2bl w:val="nil"/>
            </w:tcBorders>
            <w:shd w:val="clear" w:color="auto" w:fill="auto"/>
            <w:vAlign w:val="center"/>
          </w:tcPr>
          <w:p w14:paraId="219097F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44D8A4E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15</w:t>
            </w:r>
          </w:p>
        </w:tc>
        <w:tc>
          <w:tcPr>
            <w:tcW w:w="221" w:type="pct"/>
            <w:tcBorders>
              <w:tl2br w:val="nil"/>
              <w:tr2bl w:val="nil"/>
            </w:tcBorders>
            <w:shd w:val="clear" w:color="auto" w:fill="auto"/>
            <w:vAlign w:val="center"/>
          </w:tcPr>
          <w:p w14:paraId="242D372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0A09EDA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0AA0FB4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12941F43">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0F7DEAD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65</w:t>
            </w:r>
          </w:p>
        </w:tc>
        <w:tc>
          <w:tcPr>
            <w:tcW w:w="162" w:type="pct"/>
            <w:vMerge w:val="continue"/>
            <w:tcBorders>
              <w:tl2br w:val="nil"/>
              <w:tr2bl w:val="nil"/>
            </w:tcBorders>
            <w:shd w:val="clear" w:color="auto" w:fill="auto"/>
            <w:vAlign w:val="center"/>
          </w:tcPr>
          <w:p w14:paraId="3D7D27A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3540623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0371DA1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未及时收集当地气象、水文等信息，未及时采取防范措施</w:t>
            </w:r>
          </w:p>
        </w:tc>
        <w:tc>
          <w:tcPr>
            <w:tcW w:w="385" w:type="pct"/>
            <w:tcBorders>
              <w:tl2br w:val="nil"/>
              <w:tr2bl w:val="nil"/>
            </w:tcBorders>
            <w:shd w:val="clear" w:color="auto" w:fill="auto"/>
            <w:vAlign w:val="center"/>
          </w:tcPr>
          <w:p w14:paraId="2829218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其它</w:t>
            </w:r>
          </w:p>
        </w:tc>
        <w:tc>
          <w:tcPr>
            <w:tcW w:w="178" w:type="pct"/>
            <w:tcBorders>
              <w:tl2br w:val="nil"/>
              <w:tr2bl w:val="nil"/>
            </w:tcBorders>
            <w:shd w:val="clear" w:color="auto" w:fill="auto"/>
            <w:vAlign w:val="center"/>
          </w:tcPr>
          <w:p w14:paraId="1F309F7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049B5B4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74057DA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7524F33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221" w:type="pct"/>
            <w:tcBorders>
              <w:tl2br w:val="nil"/>
              <w:tr2bl w:val="nil"/>
            </w:tcBorders>
            <w:shd w:val="clear" w:color="auto" w:fill="auto"/>
            <w:vAlign w:val="center"/>
          </w:tcPr>
          <w:p w14:paraId="66DE745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4C2A4B1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D439873">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6CEEFC3A">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CECF93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66</w:t>
            </w:r>
          </w:p>
        </w:tc>
        <w:tc>
          <w:tcPr>
            <w:tcW w:w="162" w:type="pct"/>
            <w:vMerge w:val="continue"/>
            <w:tcBorders>
              <w:tl2br w:val="nil"/>
              <w:tr2bl w:val="nil"/>
            </w:tcBorders>
            <w:shd w:val="clear" w:color="auto" w:fill="auto"/>
            <w:vAlign w:val="center"/>
          </w:tcPr>
          <w:p w14:paraId="3E75899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6015237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冬季</w:t>
            </w:r>
          </w:p>
        </w:tc>
        <w:tc>
          <w:tcPr>
            <w:tcW w:w="1908" w:type="pct"/>
            <w:tcBorders>
              <w:tl2br w:val="nil"/>
              <w:tr2bl w:val="nil"/>
            </w:tcBorders>
            <w:shd w:val="clear" w:color="auto" w:fill="auto"/>
            <w:vAlign w:val="center"/>
          </w:tcPr>
          <w:p w14:paraId="51E26A4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冬季来临前，未检修、保养使用的设备、机具及防护、消防设施，未采取防冻措施</w:t>
            </w:r>
          </w:p>
        </w:tc>
        <w:tc>
          <w:tcPr>
            <w:tcW w:w="385" w:type="pct"/>
            <w:tcBorders>
              <w:tl2br w:val="nil"/>
              <w:tr2bl w:val="nil"/>
            </w:tcBorders>
            <w:shd w:val="clear" w:color="auto" w:fill="auto"/>
            <w:vAlign w:val="center"/>
          </w:tcPr>
          <w:p w14:paraId="777B026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机械伤害</w:t>
            </w:r>
          </w:p>
        </w:tc>
        <w:tc>
          <w:tcPr>
            <w:tcW w:w="178" w:type="pct"/>
            <w:tcBorders>
              <w:tl2br w:val="nil"/>
              <w:tr2bl w:val="nil"/>
            </w:tcBorders>
            <w:shd w:val="clear" w:color="auto" w:fill="auto"/>
            <w:vAlign w:val="center"/>
          </w:tcPr>
          <w:p w14:paraId="76515FC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1A35FA1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w:t>
            </w:r>
          </w:p>
        </w:tc>
        <w:tc>
          <w:tcPr>
            <w:tcW w:w="145" w:type="pct"/>
            <w:tcBorders>
              <w:tl2br w:val="nil"/>
              <w:tr2bl w:val="nil"/>
            </w:tcBorders>
            <w:shd w:val="clear" w:color="auto" w:fill="auto"/>
            <w:vAlign w:val="center"/>
          </w:tcPr>
          <w:p w14:paraId="5F00125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255" w:type="pct"/>
            <w:tcBorders>
              <w:tl2br w:val="nil"/>
              <w:tr2bl w:val="nil"/>
            </w:tcBorders>
            <w:shd w:val="clear" w:color="auto" w:fill="auto"/>
            <w:vAlign w:val="center"/>
          </w:tcPr>
          <w:p w14:paraId="5571B77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30</w:t>
            </w:r>
          </w:p>
        </w:tc>
        <w:tc>
          <w:tcPr>
            <w:tcW w:w="221" w:type="pct"/>
            <w:tcBorders>
              <w:tl2br w:val="nil"/>
              <w:tr2bl w:val="nil"/>
            </w:tcBorders>
            <w:shd w:val="clear" w:color="auto" w:fill="auto"/>
            <w:vAlign w:val="center"/>
          </w:tcPr>
          <w:p w14:paraId="7D17D38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600DFF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5C78539">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0A44C2E4">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3907B4B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67</w:t>
            </w:r>
          </w:p>
        </w:tc>
        <w:tc>
          <w:tcPr>
            <w:tcW w:w="162" w:type="pct"/>
            <w:vMerge w:val="continue"/>
            <w:tcBorders>
              <w:tl2br w:val="nil"/>
              <w:tr2bl w:val="nil"/>
            </w:tcBorders>
            <w:shd w:val="clear" w:color="auto" w:fill="auto"/>
            <w:vAlign w:val="center"/>
          </w:tcPr>
          <w:p w14:paraId="452DA0B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6693E30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7996AAC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冬季施工现场的道路、工作平台、斜坡道、脚手板等均未采取防滑措施，冬季施工现场未配消防器材</w:t>
            </w:r>
          </w:p>
        </w:tc>
        <w:tc>
          <w:tcPr>
            <w:tcW w:w="385" w:type="pct"/>
            <w:tcBorders>
              <w:tl2br w:val="nil"/>
              <w:tr2bl w:val="nil"/>
            </w:tcBorders>
            <w:shd w:val="clear" w:color="auto" w:fill="auto"/>
            <w:vAlign w:val="center"/>
          </w:tcPr>
          <w:p w14:paraId="3139774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坠落</w:t>
            </w:r>
          </w:p>
        </w:tc>
        <w:tc>
          <w:tcPr>
            <w:tcW w:w="178" w:type="pct"/>
            <w:tcBorders>
              <w:tl2br w:val="nil"/>
              <w:tr2bl w:val="nil"/>
            </w:tcBorders>
            <w:shd w:val="clear" w:color="auto" w:fill="auto"/>
            <w:vAlign w:val="center"/>
          </w:tcPr>
          <w:p w14:paraId="0A02C91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6822B5D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w:t>
            </w:r>
          </w:p>
        </w:tc>
        <w:tc>
          <w:tcPr>
            <w:tcW w:w="145" w:type="pct"/>
            <w:tcBorders>
              <w:tl2br w:val="nil"/>
              <w:tr2bl w:val="nil"/>
            </w:tcBorders>
            <w:shd w:val="clear" w:color="auto" w:fill="auto"/>
            <w:vAlign w:val="center"/>
          </w:tcPr>
          <w:p w14:paraId="160F357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255" w:type="pct"/>
            <w:tcBorders>
              <w:tl2br w:val="nil"/>
              <w:tr2bl w:val="nil"/>
            </w:tcBorders>
            <w:shd w:val="clear" w:color="auto" w:fill="auto"/>
            <w:vAlign w:val="center"/>
          </w:tcPr>
          <w:p w14:paraId="707576F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30</w:t>
            </w:r>
          </w:p>
        </w:tc>
        <w:tc>
          <w:tcPr>
            <w:tcW w:w="221" w:type="pct"/>
            <w:tcBorders>
              <w:tl2br w:val="nil"/>
              <w:tr2bl w:val="nil"/>
            </w:tcBorders>
            <w:shd w:val="clear" w:color="auto" w:fill="auto"/>
            <w:vAlign w:val="center"/>
          </w:tcPr>
          <w:p w14:paraId="6F1A63D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099CF7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4FAEEFEB">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5332CED4">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D832F5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68</w:t>
            </w:r>
          </w:p>
        </w:tc>
        <w:tc>
          <w:tcPr>
            <w:tcW w:w="162" w:type="pct"/>
            <w:vMerge w:val="continue"/>
            <w:tcBorders>
              <w:tl2br w:val="nil"/>
              <w:tr2bl w:val="nil"/>
            </w:tcBorders>
            <w:shd w:val="clear" w:color="auto" w:fill="auto"/>
            <w:vAlign w:val="center"/>
          </w:tcPr>
          <w:p w14:paraId="6EB2B94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7FB588C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雨季</w:t>
            </w:r>
          </w:p>
        </w:tc>
        <w:tc>
          <w:tcPr>
            <w:tcW w:w="1908" w:type="pct"/>
            <w:tcBorders>
              <w:tl2br w:val="nil"/>
              <w:tr2bl w:val="nil"/>
            </w:tcBorders>
            <w:shd w:val="clear" w:color="auto" w:fill="auto"/>
            <w:vAlign w:val="center"/>
          </w:tcPr>
          <w:p w14:paraId="375339A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雨季来临前，未检查、修复或完善现场避雷装置、接地装置、排水设施，围堰、堤坝等未采取加固和防坍措施，易冲刷部位未采取防冲或导流措施</w:t>
            </w:r>
          </w:p>
        </w:tc>
        <w:tc>
          <w:tcPr>
            <w:tcW w:w="385" w:type="pct"/>
            <w:tcBorders>
              <w:tl2br w:val="nil"/>
              <w:tr2bl w:val="nil"/>
            </w:tcBorders>
            <w:shd w:val="clear" w:color="auto" w:fill="auto"/>
            <w:vAlign w:val="center"/>
          </w:tcPr>
          <w:p w14:paraId="2AF4C36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雷击</w:t>
            </w:r>
          </w:p>
        </w:tc>
        <w:tc>
          <w:tcPr>
            <w:tcW w:w="178" w:type="pct"/>
            <w:tcBorders>
              <w:tl2br w:val="nil"/>
              <w:tr2bl w:val="nil"/>
            </w:tcBorders>
            <w:shd w:val="clear" w:color="auto" w:fill="auto"/>
            <w:vAlign w:val="center"/>
          </w:tcPr>
          <w:p w14:paraId="4E97501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1CC0876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29160CB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w:t>
            </w:r>
          </w:p>
        </w:tc>
        <w:tc>
          <w:tcPr>
            <w:tcW w:w="255" w:type="pct"/>
            <w:tcBorders>
              <w:tl2br w:val="nil"/>
              <w:tr2bl w:val="nil"/>
            </w:tcBorders>
            <w:shd w:val="clear" w:color="auto" w:fill="auto"/>
            <w:vAlign w:val="center"/>
          </w:tcPr>
          <w:p w14:paraId="6525289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16</w:t>
            </w:r>
          </w:p>
        </w:tc>
        <w:tc>
          <w:tcPr>
            <w:tcW w:w="221" w:type="pct"/>
            <w:tcBorders>
              <w:tl2br w:val="nil"/>
              <w:tr2bl w:val="nil"/>
            </w:tcBorders>
            <w:shd w:val="clear" w:color="auto" w:fill="auto"/>
            <w:vAlign w:val="center"/>
          </w:tcPr>
          <w:p w14:paraId="1E4AD39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4F734D5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A53352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56597B3C">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719C09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69</w:t>
            </w:r>
          </w:p>
        </w:tc>
        <w:tc>
          <w:tcPr>
            <w:tcW w:w="162" w:type="pct"/>
            <w:vMerge w:val="continue"/>
            <w:tcBorders>
              <w:tl2br w:val="nil"/>
              <w:tr2bl w:val="nil"/>
            </w:tcBorders>
            <w:shd w:val="clear" w:color="auto" w:fill="auto"/>
            <w:vAlign w:val="center"/>
          </w:tcPr>
          <w:p w14:paraId="45F9330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38D35D5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5807A4B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现场的而脚手架、跳板、桥梁、墩台等作业面未采取防滑措施</w:t>
            </w:r>
          </w:p>
        </w:tc>
        <w:tc>
          <w:tcPr>
            <w:tcW w:w="385" w:type="pct"/>
            <w:tcBorders>
              <w:tl2br w:val="nil"/>
              <w:tr2bl w:val="nil"/>
            </w:tcBorders>
            <w:shd w:val="clear" w:color="auto" w:fill="auto"/>
            <w:vAlign w:val="center"/>
          </w:tcPr>
          <w:p w14:paraId="1818E5A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坠落</w:t>
            </w:r>
          </w:p>
        </w:tc>
        <w:tc>
          <w:tcPr>
            <w:tcW w:w="178" w:type="pct"/>
            <w:tcBorders>
              <w:tl2br w:val="nil"/>
              <w:tr2bl w:val="nil"/>
            </w:tcBorders>
            <w:shd w:val="clear" w:color="auto" w:fill="auto"/>
            <w:vAlign w:val="center"/>
          </w:tcPr>
          <w:p w14:paraId="6C9F921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497840C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074772F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8</w:t>
            </w:r>
          </w:p>
        </w:tc>
        <w:tc>
          <w:tcPr>
            <w:tcW w:w="255" w:type="pct"/>
            <w:tcBorders>
              <w:tl2br w:val="nil"/>
              <w:tr2bl w:val="nil"/>
            </w:tcBorders>
            <w:shd w:val="clear" w:color="auto" w:fill="auto"/>
            <w:vAlign w:val="center"/>
          </w:tcPr>
          <w:p w14:paraId="409B2A1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16</w:t>
            </w:r>
          </w:p>
        </w:tc>
        <w:tc>
          <w:tcPr>
            <w:tcW w:w="221" w:type="pct"/>
            <w:tcBorders>
              <w:tl2br w:val="nil"/>
              <w:tr2bl w:val="nil"/>
            </w:tcBorders>
            <w:shd w:val="clear" w:color="auto" w:fill="auto"/>
            <w:vAlign w:val="center"/>
          </w:tcPr>
          <w:p w14:paraId="5B99439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5F254E8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F5F36BC">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4968150F">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B1CF8E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70</w:t>
            </w:r>
          </w:p>
        </w:tc>
        <w:tc>
          <w:tcPr>
            <w:tcW w:w="162" w:type="pct"/>
            <w:vMerge w:val="continue"/>
            <w:tcBorders>
              <w:tl2br w:val="nil"/>
              <w:tr2bl w:val="nil"/>
            </w:tcBorders>
            <w:shd w:val="clear" w:color="auto" w:fill="auto"/>
            <w:vAlign w:val="center"/>
          </w:tcPr>
          <w:p w14:paraId="67C6B99D">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4DDA56F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47D8C48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大风、大雨后，未检查支架、脚手架、起重设备、临时用电工程、临时房屋等设施的基础</w:t>
            </w:r>
          </w:p>
        </w:tc>
        <w:tc>
          <w:tcPr>
            <w:tcW w:w="385" w:type="pct"/>
            <w:tcBorders>
              <w:tl2br w:val="nil"/>
              <w:tr2bl w:val="nil"/>
            </w:tcBorders>
            <w:shd w:val="clear" w:color="auto" w:fill="auto"/>
            <w:vAlign w:val="center"/>
          </w:tcPr>
          <w:p w14:paraId="4FE32B3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坍塌</w:t>
            </w:r>
          </w:p>
        </w:tc>
        <w:tc>
          <w:tcPr>
            <w:tcW w:w="178" w:type="pct"/>
            <w:tcBorders>
              <w:tl2br w:val="nil"/>
              <w:tr2bl w:val="nil"/>
            </w:tcBorders>
            <w:shd w:val="clear" w:color="auto" w:fill="auto"/>
            <w:vAlign w:val="center"/>
          </w:tcPr>
          <w:p w14:paraId="3516513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7E75578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3AB3FFD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255" w:type="pct"/>
            <w:tcBorders>
              <w:tl2br w:val="nil"/>
              <w:tr2bl w:val="nil"/>
            </w:tcBorders>
            <w:shd w:val="clear" w:color="auto" w:fill="auto"/>
            <w:vAlign w:val="center"/>
          </w:tcPr>
          <w:p w14:paraId="210193D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12</w:t>
            </w:r>
          </w:p>
        </w:tc>
        <w:tc>
          <w:tcPr>
            <w:tcW w:w="221" w:type="pct"/>
            <w:tcBorders>
              <w:tl2br w:val="nil"/>
              <w:tr2bl w:val="nil"/>
            </w:tcBorders>
            <w:shd w:val="clear" w:color="auto" w:fill="auto"/>
            <w:vAlign w:val="center"/>
          </w:tcPr>
          <w:p w14:paraId="6D5E1C2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2D5F98DA">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704C716">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2CBC9807">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63D52DD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71</w:t>
            </w:r>
          </w:p>
        </w:tc>
        <w:tc>
          <w:tcPr>
            <w:tcW w:w="162" w:type="pct"/>
            <w:vMerge w:val="continue"/>
            <w:tcBorders>
              <w:tl2br w:val="nil"/>
              <w:tr2bl w:val="nil"/>
            </w:tcBorders>
            <w:shd w:val="clear" w:color="auto" w:fill="auto"/>
            <w:vAlign w:val="center"/>
          </w:tcPr>
          <w:p w14:paraId="5F2BCD1C">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559CEB2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79729A7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雷雨时，未停止露天作业</w:t>
            </w:r>
          </w:p>
        </w:tc>
        <w:tc>
          <w:tcPr>
            <w:tcW w:w="385" w:type="pct"/>
            <w:tcBorders>
              <w:tl2br w:val="nil"/>
              <w:tr2bl w:val="nil"/>
            </w:tcBorders>
            <w:shd w:val="clear" w:color="auto" w:fill="auto"/>
            <w:vAlign w:val="center"/>
          </w:tcPr>
          <w:p w14:paraId="52E6BEB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雷击等</w:t>
            </w:r>
          </w:p>
        </w:tc>
        <w:tc>
          <w:tcPr>
            <w:tcW w:w="178" w:type="pct"/>
            <w:tcBorders>
              <w:tl2br w:val="nil"/>
              <w:tr2bl w:val="nil"/>
            </w:tcBorders>
            <w:shd w:val="clear" w:color="auto" w:fill="auto"/>
            <w:vAlign w:val="center"/>
          </w:tcPr>
          <w:p w14:paraId="34CB9D8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57AEC74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145" w:type="pct"/>
            <w:tcBorders>
              <w:tl2br w:val="nil"/>
              <w:tr2bl w:val="nil"/>
            </w:tcBorders>
            <w:shd w:val="clear" w:color="auto" w:fill="auto"/>
            <w:vAlign w:val="center"/>
          </w:tcPr>
          <w:p w14:paraId="32572B6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255" w:type="pct"/>
            <w:tcBorders>
              <w:tl2br w:val="nil"/>
              <w:tr2bl w:val="nil"/>
            </w:tcBorders>
            <w:shd w:val="clear" w:color="auto" w:fill="auto"/>
            <w:vAlign w:val="center"/>
          </w:tcPr>
          <w:p w14:paraId="7E5CAF3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12</w:t>
            </w:r>
          </w:p>
        </w:tc>
        <w:tc>
          <w:tcPr>
            <w:tcW w:w="221" w:type="pct"/>
            <w:tcBorders>
              <w:tl2br w:val="nil"/>
              <w:tr2bl w:val="nil"/>
            </w:tcBorders>
            <w:shd w:val="clear" w:color="auto" w:fill="auto"/>
            <w:vAlign w:val="center"/>
          </w:tcPr>
          <w:p w14:paraId="7DD6E29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7F83BC2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E8D95AC">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20F45195">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2CC70C6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72</w:t>
            </w:r>
          </w:p>
        </w:tc>
        <w:tc>
          <w:tcPr>
            <w:tcW w:w="162" w:type="pct"/>
            <w:vMerge w:val="continue"/>
            <w:tcBorders>
              <w:tl2br w:val="nil"/>
              <w:tr2bl w:val="nil"/>
            </w:tcBorders>
            <w:shd w:val="clear" w:color="auto" w:fill="auto"/>
            <w:vAlign w:val="center"/>
          </w:tcPr>
          <w:p w14:paraId="549D505C">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6CDEF58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夜间</w:t>
            </w:r>
          </w:p>
        </w:tc>
        <w:tc>
          <w:tcPr>
            <w:tcW w:w="1908" w:type="pct"/>
            <w:tcBorders>
              <w:tl2br w:val="nil"/>
              <w:tr2bl w:val="nil"/>
            </w:tcBorders>
            <w:shd w:val="clear" w:color="auto" w:fill="auto"/>
            <w:vAlign w:val="center"/>
          </w:tcPr>
          <w:p w14:paraId="4FA1BC7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夜间施工时，作业场所未设置照明设备，照度不满足施工要求，光束直接照射机械操作和指挥人员</w:t>
            </w:r>
          </w:p>
        </w:tc>
        <w:tc>
          <w:tcPr>
            <w:tcW w:w="385" w:type="pct"/>
            <w:tcBorders>
              <w:tl2br w:val="nil"/>
              <w:tr2bl w:val="nil"/>
            </w:tcBorders>
            <w:shd w:val="clear" w:color="auto" w:fill="auto"/>
            <w:vAlign w:val="center"/>
          </w:tcPr>
          <w:p w14:paraId="5FB41E1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其它</w:t>
            </w:r>
          </w:p>
        </w:tc>
        <w:tc>
          <w:tcPr>
            <w:tcW w:w="178" w:type="pct"/>
            <w:tcBorders>
              <w:tl2br w:val="nil"/>
              <w:tr2bl w:val="nil"/>
            </w:tcBorders>
            <w:shd w:val="clear" w:color="auto" w:fill="auto"/>
            <w:vAlign w:val="center"/>
          </w:tcPr>
          <w:p w14:paraId="449E326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7DAAA09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03FB391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7AA90D0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90</w:t>
            </w:r>
          </w:p>
        </w:tc>
        <w:tc>
          <w:tcPr>
            <w:tcW w:w="221" w:type="pct"/>
            <w:tcBorders>
              <w:tl2br w:val="nil"/>
              <w:tr2bl w:val="nil"/>
            </w:tcBorders>
            <w:shd w:val="clear" w:color="auto" w:fill="auto"/>
            <w:vAlign w:val="center"/>
          </w:tcPr>
          <w:p w14:paraId="308FA04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600" w:type="pct"/>
            <w:vMerge w:val="continue"/>
            <w:tcBorders>
              <w:tl2br w:val="nil"/>
              <w:tr2bl w:val="nil"/>
            </w:tcBorders>
            <w:shd w:val="clear" w:color="auto" w:fill="auto"/>
            <w:vAlign w:val="center"/>
          </w:tcPr>
          <w:p w14:paraId="16670A7A">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4D445CE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35FC7025">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2926C7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73</w:t>
            </w:r>
          </w:p>
        </w:tc>
        <w:tc>
          <w:tcPr>
            <w:tcW w:w="162" w:type="pct"/>
            <w:vMerge w:val="continue"/>
            <w:tcBorders>
              <w:tl2br w:val="nil"/>
              <w:tr2bl w:val="nil"/>
            </w:tcBorders>
            <w:shd w:val="clear" w:color="auto" w:fill="auto"/>
            <w:vAlign w:val="center"/>
          </w:tcPr>
          <w:p w14:paraId="14114ECC">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70E04F6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59A5B84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夜间施工时，作业现场的预留孔洞、上下道口及沟槽等危险部位未设置夜间警示标志和警示灯</w:t>
            </w:r>
          </w:p>
        </w:tc>
        <w:tc>
          <w:tcPr>
            <w:tcW w:w="385" w:type="pct"/>
            <w:tcBorders>
              <w:tl2br w:val="nil"/>
              <w:tr2bl w:val="nil"/>
            </w:tcBorders>
            <w:shd w:val="clear" w:color="auto" w:fill="auto"/>
            <w:vAlign w:val="center"/>
          </w:tcPr>
          <w:p w14:paraId="7A242BE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坠落</w:t>
            </w:r>
          </w:p>
        </w:tc>
        <w:tc>
          <w:tcPr>
            <w:tcW w:w="178" w:type="pct"/>
            <w:tcBorders>
              <w:tl2br w:val="nil"/>
              <w:tr2bl w:val="nil"/>
            </w:tcBorders>
            <w:shd w:val="clear" w:color="auto" w:fill="auto"/>
            <w:vAlign w:val="center"/>
          </w:tcPr>
          <w:p w14:paraId="467500C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5047722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44C33A7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1170F7C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30</w:t>
            </w:r>
          </w:p>
        </w:tc>
        <w:tc>
          <w:tcPr>
            <w:tcW w:w="221" w:type="pct"/>
            <w:tcBorders>
              <w:tl2br w:val="nil"/>
              <w:tr2bl w:val="nil"/>
            </w:tcBorders>
            <w:shd w:val="clear" w:color="auto" w:fill="auto"/>
            <w:vAlign w:val="center"/>
          </w:tcPr>
          <w:p w14:paraId="24A655B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0C781E4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3D86C21">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0F7B90EF">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40F98EB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74</w:t>
            </w:r>
          </w:p>
        </w:tc>
        <w:tc>
          <w:tcPr>
            <w:tcW w:w="162" w:type="pct"/>
            <w:vMerge w:val="continue"/>
            <w:tcBorders>
              <w:tl2br w:val="nil"/>
              <w:tr2bl w:val="nil"/>
            </w:tcBorders>
            <w:shd w:val="clear" w:color="auto" w:fill="auto"/>
            <w:vAlign w:val="center"/>
          </w:tcPr>
          <w:p w14:paraId="32FDDA2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4332168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高温</w:t>
            </w:r>
          </w:p>
          <w:p w14:paraId="2C8F911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施工</w:t>
            </w:r>
          </w:p>
        </w:tc>
        <w:tc>
          <w:tcPr>
            <w:tcW w:w="1908" w:type="pct"/>
            <w:tcBorders>
              <w:tl2br w:val="nil"/>
              <w:tr2bl w:val="nil"/>
            </w:tcBorders>
            <w:shd w:val="clear" w:color="auto" w:fill="auto"/>
            <w:vAlign w:val="center"/>
          </w:tcPr>
          <w:p w14:paraId="7B0C016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作业时间未避开高温时段，必须在高温条件下的施工作业未采取防暑降温措施</w:t>
            </w:r>
          </w:p>
        </w:tc>
        <w:tc>
          <w:tcPr>
            <w:tcW w:w="385" w:type="pct"/>
            <w:tcBorders>
              <w:tl2br w:val="nil"/>
              <w:tr2bl w:val="nil"/>
            </w:tcBorders>
            <w:shd w:val="clear" w:color="auto" w:fill="auto"/>
            <w:vAlign w:val="center"/>
          </w:tcPr>
          <w:p w14:paraId="1D02687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中暑</w:t>
            </w:r>
          </w:p>
        </w:tc>
        <w:tc>
          <w:tcPr>
            <w:tcW w:w="178" w:type="pct"/>
            <w:tcBorders>
              <w:tl2br w:val="nil"/>
              <w:tr2bl w:val="nil"/>
            </w:tcBorders>
            <w:shd w:val="clear" w:color="auto" w:fill="auto"/>
            <w:vAlign w:val="center"/>
          </w:tcPr>
          <w:p w14:paraId="49DACE0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780E956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34AEADA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73C2F57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18</w:t>
            </w:r>
          </w:p>
        </w:tc>
        <w:tc>
          <w:tcPr>
            <w:tcW w:w="221" w:type="pct"/>
            <w:tcBorders>
              <w:tl2br w:val="nil"/>
              <w:tr2bl w:val="nil"/>
            </w:tcBorders>
            <w:shd w:val="clear" w:color="auto" w:fill="auto"/>
            <w:vAlign w:val="center"/>
          </w:tcPr>
          <w:p w14:paraId="2797E5C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04B50BD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72972B0">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4AD2EC57">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14E68AF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75</w:t>
            </w:r>
          </w:p>
        </w:tc>
        <w:tc>
          <w:tcPr>
            <w:tcW w:w="162" w:type="pct"/>
            <w:vMerge w:val="continue"/>
            <w:tcBorders>
              <w:tl2br w:val="nil"/>
              <w:tr2bl w:val="nil"/>
            </w:tcBorders>
            <w:shd w:val="clear" w:color="auto" w:fill="auto"/>
            <w:vAlign w:val="center"/>
          </w:tcPr>
          <w:p w14:paraId="17E9E4D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36AA40A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5EAA96D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施工现场的易燃易爆物品未采取防晒措施</w:t>
            </w:r>
          </w:p>
        </w:tc>
        <w:tc>
          <w:tcPr>
            <w:tcW w:w="385" w:type="pct"/>
            <w:tcBorders>
              <w:tl2br w:val="nil"/>
              <w:tr2bl w:val="nil"/>
            </w:tcBorders>
            <w:shd w:val="clear" w:color="auto" w:fill="auto"/>
            <w:vAlign w:val="center"/>
          </w:tcPr>
          <w:p w14:paraId="2FD472F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火灾</w:t>
            </w:r>
          </w:p>
        </w:tc>
        <w:tc>
          <w:tcPr>
            <w:tcW w:w="178" w:type="pct"/>
            <w:tcBorders>
              <w:tl2br w:val="nil"/>
              <w:tr2bl w:val="nil"/>
            </w:tcBorders>
            <w:shd w:val="clear" w:color="auto" w:fill="auto"/>
            <w:vAlign w:val="center"/>
          </w:tcPr>
          <w:p w14:paraId="099F07A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47535A9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145" w:type="pct"/>
            <w:tcBorders>
              <w:tl2br w:val="nil"/>
              <w:tr2bl w:val="nil"/>
            </w:tcBorders>
            <w:shd w:val="clear" w:color="auto" w:fill="auto"/>
            <w:vAlign w:val="center"/>
          </w:tcPr>
          <w:p w14:paraId="6F83D54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2296141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18</w:t>
            </w:r>
          </w:p>
        </w:tc>
        <w:tc>
          <w:tcPr>
            <w:tcW w:w="221" w:type="pct"/>
            <w:tcBorders>
              <w:tl2br w:val="nil"/>
              <w:tr2bl w:val="nil"/>
            </w:tcBorders>
            <w:shd w:val="clear" w:color="auto" w:fill="auto"/>
            <w:vAlign w:val="center"/>
          </w:tcPr>
          <w:p w14:paraId="3E153F8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351C009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60B27E5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11F14A38">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38287C6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76</w:t>
            </w:r>
          </w:p>
        </w:tc>
        <w:tc>
          <w:tcPr>
            <w:tcW w:w="162" w:type="pct"/>
            <w:vMerge w:val="continue"/>
            <w:tcBorders>
              <w:tl2br w:val="nil"/>
              <w:tr2bl w:val="nil"/>
            </w:tcBorders>
            <w:shd w:val="clear" w:color="auto" w:fill="auto"/>
            <w:vAlign w:val="center"/>
          </w:tcPr>
          <w:p w14:paraId="70A2588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tcBorders>
              <w:tl2br w:val="nil"/>
              <w:tr2bl w:val="nil"/>
            </w:tcBorders>
            <w:shd w:val="clear" w:color="auto" w:fill="auto"/>
            <w:vAlign w:val="center"/>
          </w:tcPr>
          <w:p w14:paraId="70EFBE2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台风季节施工</w:t>
            </w:r>
          </w:p>
        </w:tc>
        <w:tc>
          <w:tcPr>
            <w:tcW w:w="1908" w:type="pct"/>
            <w:tcBorders>
              <w:tl2br w:val="nil"/>
              <w:tr2bl w:val="nil"/>
            </w:tcBorders>
            <w:shd w:val="clear" w:color="auto" w:fill="auto"/>
            <w:vAlign w:val="center"/>
          </w:tcPr>
          <w:p w14:paraId="199B03BB">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在建工程、机械设备、临时设施、生活和办公用房未做防风加固，排水沟渠不通畅</w:t>
            </w:r>
          </w:p>
        </w:tc>
        <w:tc>
          <w:tcPr>
            <w:tcW w:w="385" w:type="pct"/>
            <w:tcBorders>
              <w:tl2br w:val="nil"/>
              <w:tr2bl w:val="nil"/>
            </w:tcBorders>
            <w:shd w:val="clear" w:color="auto" w:fill="auto"/>
            <w:vAlign w:val="center"/>
          </w:tcPr>
          <w:p w14:paraId="4972AA0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自然灾害</w:t>
            </w:r>
          </w:p>
        </w:tc>
        <w:tc>
          <w:tcPr>
            <w:tcW w:w="178" w:type="pct"/>
            <w:tcBorders>
              <w:tl2br w:val="nil"/>
              <w:tr2bl w:val="nil"/>
            </w:tcBorders>
            <w:shd w:val="clear" w:color="auto" w:fill="auto"/>
            <w:vAlign w:val="center"/>
          </w:tcPr>
          <w:p w14:paraId="3F4CA48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3C8D33D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62A1FF3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7BB636E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90</w:t>
            </w:r>
          </w:p>
        </w:tc>
        <w:tc>
          <w:tcPr>
            <w:tcW w:w="221" w:type="pct"/>
            <w:tcBorders>
              <w:tl2br w:val="nil"/>
              <w:tr2bl w:val="nil"/>
            </w:tcBorders>
            <w:shd w:val="clear" w:color="auto" w:fill="auto"/>
            <w:vAlign w:val="center"/>
          </w:tcPr>
          <w:p w14:paraId="23AAFB9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600" w:type="pct"/>
            <w:vMerge w:val="continue"/>
            <w:tcBorders>
              <w:tl2br w:val="nil"/>
              <w:tr2bl w:val="nil"/>
            </w:tcBorders>
            <w:shd w:val="clear" w:color="auto" w:fill="auto"/>
            <w:vAlign w:val="center"/>
          </w:tcPr>
          <w:p w14:paraId="5103E78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299D8731">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693BC103">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75E0AA7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77</w:t>
            </w:r>
          </w:p>
        </w:tc>
        <w:tc>
          <w:tcPr>
            <w:tcW w:w="162" w:type="pct"/>
            <w:vMerge w:val="continue"/>
            <w:tcBorders>
              <w:tl2br w:val="nil"/>
              <w:tr2bl w:val="nil"/>
            </w:tcBorders>
            <w:shd w:val="clear" w:color="auto" w:fill="auto"/>
            <w:vAlign w:val="center"/>
          </w:tcPr>
          <w:p w14:paraId="66BB4F4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restart"/>
            <w:tcBorders>
              <w:tl2br w:val="nil"/>
              <w:tr2bl w:val="nil"/>
            </w:tcBorders>
            <w:shd w:val="clear" w:color="auto" w:fill="auto"/>
            <w:vAlign w:val="center"/>
          </w:tcPr>
          <w:p w14:paraId="7B3469B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汛期</w:t>
            </w:r>
          </w:p>
        </w:tc>
        <w:tc>
          <w:tcPr>
            <w:tcW w:w="1908" w:type="pct"/>
            <w:tcBorders>
              <w:tl2br w:val="nil"/>
              <w:tr2bl w:val="nil"/>
            </w:tcBorders>
            <w:shd w:val="clear" w:color="auto" w:fill="auto"/>
            <w:vAlign w:val="center"/>
          </w:tcPr>
          <w:p w14:paraId="3785729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易发生洪水、泥石流、滑坡等灾害的施工现场未加强观测、预警，发现危险预兆未及时撤离作业人员和施工机械设备</w:t>
            </w:r>
          </w:p>
        </w:tc>
        <w:tc>
          <w:tcPr>
            <w:tcW w:w="385" w:type="pct"/>
            <w:tcBorders>
              <w:tl2br w:val="nil"/>
              <w:tr2bl w:val="nil"/>
            </w:tcBorders>
            <w:shd w:val="clear" w:color="auto" w:fill="auto"/>
            <w:vAlign w:val="center"/>
          </w:tcPr>
          <w:p w14:paraId="6EA3EC8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自然灾害</w:t>
            </w:r>
          </w:p>
        </w:tc>
        <w:tc>
          <w:tcPr>
            <w:tcW w:w="178" w:type="pct"/>
            <w:tcBorders>
              <w:tl2br w:val="nil"/>
              <w:tr2bl w:val="nil"/>
            </w:tcBorders>
            <w:shd w:val="clear" w:color="auto" w:fill="auto"/>
            <w:vAlign w:val="center"/>
          </w:tcPr>
          <w:p w14:paraId="53CCA1E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146" w:type="pct"/>
            <w:tcBorders>
              <w:tl2br w:val="nil"/>
              <w:tr2bl w:val="nil"/>
            </w:tcBorders>
            <w:shd w:val="clear" w:color="auto" w:fill="auto"/>
            <w:vAlign w:val="center"/>
          </w:tcPr>
          <w:p w14:paraId="4A65E4F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5B9EB74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4E06946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90</w:t>
            </w:r>
          </w:p>
        </w:tc>
        <w:tc>
          <w:tcPr>
            <w:tcW w:w="221" w:type="pct"/>
            <w:tcBorders>
              <w:tl2br w:val="nil"/>
              <w:tr2bl w:val="nil"/>
            </w:tcBorders>
            <w:shd w:val="clear" w:color="auto" w:fill="auto"/>
            <w:vAlign w:val="center"/>
          </w:tcPr>
          <w:p w14:paraId="13F1C3A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600" w:type="pct"/>
            <w:vMerge w:val="continue"/>
            <w:tcBorders>
              <w:tl2br w:val="nil"/>
              <w:tr2bl w:val="nil"/>
            </w:tcBorders>
            <w:shd w:val="clear" w:color="auto" w:fill="auto"/>
            <w:vAlign w:val="center"/>
          </w:tcPr>
          <w:p w14:paraId="3B9B598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31F57A7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r w14:paraId="64C39BE6">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177" w:type="pct"/>
            <w:tcBorders>
              <w:tl2br w:val="nil"/>
              <w:tr2bl w:val="nil"/>
            </w:tcBorders>
            <w:shd w:val="clear" w:color="auto" w:fill="auto"/>
            <w:vAlign w:val="center"/>
          </w:tcPr>
          <w:p w14:paraId="039100C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78</w:t>
            </w:r>
          </w:p>
        </w:tc>
        <w:tc>
          <w:tcPr>
            <w:tcW w:w="162" w:type="pct"/>
            <w:vMerge w:val="continue"/>
            <w:tcBorders>
              <w:tl2br w:val="nil"/>
              <w:tr2bl w:val="nil"/>
            </w:tcBorders>
            <w:shd w:val="clear" w:color="auto" w:fill="auto"/>
            <w:vAlign w:val="center"/>
          </w:tcPr>
          <w:p w14:paraId="34E08C7B">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240" w:type="pct"/>
            <w:vMerge w:val="continue"/>
            <w:tcBorders>
              <w:tl2br w:val="nil"/>
              <w:tr2bl w:val="nil"/>
            </w:tcBorders>
            <w:shd w:val="clear" w:color="auto" w:fill="auto"/>
            <w:vAlign w:val="center"/>
          </w:tcPr>
          <w:p w14:paraId="3B5ECC3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1908" w:type="pct"/>
            <w:tcBorders>
              <w:tl2br w:val="nil"/>
              <w:tr2bl w:val="nil"/>
            </w:tcBorders>
            <w:shd w:val="clear" w:color="auto" w:fill="auto"/>
            <w:vAlign w:val="center"/>
          </w:tcPr>
          <w:p w14:paraId="274CDC83">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库区及下游受排洪影响地区施工作业未及时掌握水位变化情况</w:t>
            </w:r>
          </w:p>
        </w:tc>
        <w:tc>
          <w:tcPr>
            <w:tcW w:w="385" w:type="pct"/>
            <w:tcBorders>
              <w:tl2br w:val="nil"/>
              <w:tr2bl w:val="nil"/>
            </w:tcBorders>
            <w:shd w:val="clear" w:color="auto" w:fill="auto"/>
            <w:vAlign w:val="center"/>
          </w:tcPr>
          <w:p w14:paraId="7142990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洪灾</w:t>
            </w:r>
          </w:p>
        </w:tc>
        <w:tc>
          <w:tcPr>
            <w:tcW w:w="178" w:type="pct"/>
            <w:tcBorders>
              <w:tl2br w:val="nil"/>
              <w:tr2bl w:val="nil"/>
            </w:tcBorders>
            <w:shd w:val="clear" w:color="auto" w:fill="auto"/>
            <w:vAlign w:val="center"/>
          </w:tcPr>
          <w:p w14:paraId="7038726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46" w:type="pct"/>
            <w:tcBorders>
              <w:tl2br w:val="nil"/>
              <w:tr2bl w:val="nil"/>
            </w:tcBorders>
            <w:shd w:val="clear" w:color="auto" w:fill="auto"/>
            <w:vAlign w:val="center"/>
          </w:tcPr>
          <w:p w14:paraId="005B3C9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w:t>
            </w:r>
          </w:p>
        </w:tc>
        <w:tc>
          <w:tcPr>
            <w:tcW w:w="145" w:type="pct"/>
            <w:tcBorders>
              <w:tl2br w:val="nil"/>
              <w:tr2bl w:val="nil"/>
            </w:tcBorders>
            <w:shd w:val="clear" w:color="auto" w:fill="auto"/>
            <w:vAlign w:val="center"/>
          </w:tcPr>
          <w:p w14:paraId="30D0F09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255" w:type="pct"/>
            <w:tcBorders>
              <w:tl2br w:val="nil"/>
              <w:tr2bl w:val="nil"/>
            </w:tcBorders>
            <w:shd w:val="clear" w:color="auto" w:fill="auto"/>
            <w:vAlign w:val="center"/>
          </w:tcPr>
          <w:p w14:paraId="387C17C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30</w:t>
            </w:r>
          </w:p>
        </w:tc>
        <w:tc>
          <w:tcPr>
            <w:tcW w:w="221" w:type="pct"/>
            <w:tcBorders>
              <w:tl2br w:val="nil"/>
              <w:tr2bl w:val="nil"/>
            </w:tcBorders>
            <w:shd w:val="clear" w:color="auto" w:fill="auto"/>
            <w:vAlign w:val="center"/>
          </w:tcPr>
          <w:p w14:paraId="0CF3014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Ⅰ</w:t>
            </w:r>
          </w:p>
        </w:tc>
        <w:tc>
          <w:tcPr>
            <w:tcW w:w="600" w:type="pct"/>
            <w:vMerge w:val="continue"/>
            <w:tcBorders>
              <w:tl2br w:val="nil"/>
              <w:tr2bl w:val="nil"/>
            </w:tcBorders>
            <w:shd w:val="clear" w:color="auto" w:fill="auto"/>
            <w:vAlign w:val="center"/>
          </w:tcPr>
          <w:p w14:paraId="1E7768E4">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highlight w:val="none"/>
                <w:u w:val="none"/>
              </w:rPr>
            </w:pPr>
          </w:p>
        </w:tc>
        <w:tc>
          <w:tcPr>
            <w:tcW w:w="578" w:type="pct"/>
            <w:vMerge w:val="continue"/>
            <w:tcBorders>
              <w:tl2br w:val="nil"/>
              <w:tr2bl w:val="nil"/>
            </w:tcBorders>
            <w:shd w:val="clear" w:color="auto" w:fill="auto"/>
            <w:vAlign w:val="center"/>
          </w:tcPr>
          <w:p w14:paraId="7A372037">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18"/>
                <w:szCs w:val="18"/>
                <w:highlight w:val="none"/>
                <w:u w:val="none"/>
              </w:rPr>
            </w:pPr>
          </w:p>
        </w:tc>
      </w:tr>
    </w:tbl>
    <w:p w14:paraId="04AE64E1">
      <w:pPr>
        <w:pStyle w:val="4"/>
        <w:tabs>
          <w:tab w:val="left" w:pos="0"/>
          <w:tab w:val="left" w:pos="630"/>
        </w:tabs>
        <w:bidi w:val="0"/>
      </w:pPr>
      <w:r>
        <w:rPr>
          <w:rFonts w:hint="eastAsia"/>
          <w:lang w:val="en-US" w:eastAsia="zh-CN"/>
        </w:rPr>
        <w:t>风险分析结论</w:t>
      </w:r>
    </w:p>
    <w:p w14:paraId="2D7491A0">
      <w:pPr>
        <w:keepNext w:val="0"/>
        <w:keepLines w:val="0"/>
        <w:widowControl/>
        <w:suppressLineNumbers w:val="0"/>
        <w:ind w:firstLine="480" w:firstLineChars="200"/>
        <w:jc w:val="left"/>
        <w:rPr>
          <w:rFonts w:hint="eastAsia" w:ascii="宋体" w:hAnsi="宋体" w:eastAsia="宋体" w:cs="宋体"/>
          <w:highlight w:val="none"/>
        </w:rPr>
      </w:pPr>
      <w:r>
        <w:rPr>
          <w:rFonts w:hint="eastAsia" w:ascii="宋体" w:hAnsi="宋体" w:eastAsia="宋体" w:cs="宋体"/>
          <w:color w:val="000000"/>
          <w:kern w:val="0"/>
          <w:sz w:val="24"/>
          <w:szCs w:val="24"/>
          <w:highlight w:val="none"/>
          <w:lang w:val="en-US" w:eastAsia="zh-CN" w:bidi="ar"/>
        </w:rPr>
        <w:t>对塔机拆除施工过程中存在的危险有害因素进行辨识，辨识出危险有害因素78项。通过评价，得出危害级别为Ⅰ级（D≤70）的风险有71项，为较小风险，由班组管控，项目部加强现场检查并进行关注；危害级别为Ⅱ级（70＜D≤160）的风险有7项，为一般风险，由项目部管控结合实际情况并制定针对性安全控制措施。</w:t>
      </w:r>
    </w:p>
    <w:p w14:paraId="656E2686">
      <w:pPr>
        <w:pStyle w:val="159"/>
        <w:jc w:val="cente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表2.6.3-1 塔机拆除施工显著危害因素清单及控制措施表</w:t>
      </w:r>
    </w:p>
    <w:tbl>
      <w:tblPr>
        <w:tblStyle w:val="29"/>
        <w:tblW w:w="4998" w:type="pct"/>
        <w:tblInd w:w="0" w:type="dxa"/>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Layout w:type="autofit"/>
        <w:tblCellMar>
          <w:top w:w="0" w:type="dxa"/>
          <w:left w:w="108" w:type="dxa"/>
          <w:bottom w:w="0" w:type="dxa"/>
          <w:right w:w="108" w:type="dxa"/>
        </w:tblCellMar>
      </w:tblPr>
      <w:tblGrid>
        <w:gridCol w:w="664"/>
        <w:gridCol w:w="890"/>
        <w:gridCol w:w="6989"/>
        <w:gridCol w:w="1420"/>
        <w:gridCol w:w="814"/>
        <w:gridCol w:w="2870"/>
      </w:tblGrid>
      <w:tr w14:paraId="56E954B4">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312" w:hRule="atLeast"/>
        </w:trPr>
        <w:tc>
          <w:tcPr>
            <w:tcW w:w="243" w:type="pct"/>
            <w:vMerge w:val="restart"/>
            <w:tcBorders>
              <w:tl2br w:val="nil"/>
              <w:tr2bl w:val="nil"/>
            </w:tcBorders>
            <w:shd w:val="clear" w:color="auto" w:fill="auto"/>
            <w:vAlign w:val="center"/>
          </w:tcPr>
          <w:p w14:paraId="608BFCEC">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序号</w:t>
            </w:r>
          </w:p>
        </w:tc>
        <w:tc>
          <w:tcPr>
            <w:tcW w:w="326" w:type="pct"/>
            <w:vMerge w:val="restart"/>
            <w:tcBorders>
              <w:tl2br w:val="nil"/>
              <w:tr2bl w:val="nil"/>
            </w:tcBorders>
            <w:shd w:val="clear" w:color="auto" w:fill="auto"/>
            <w:vAlign w:val="center"/>
          </w:tcPr>
          <w:p w14:paraId="702A3D5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活动</w:t>
            </w:r>
          </w:p>
          <w:p w14:paraId="10B3EA6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内容</w:t>
            </w:r>
          </w:p>
        </w:tc>
        <w:tc>
          <w:tcPr>
            <w:tcW w:w="2559" w:type="pct"/>
            <w:vMerge w:val="restart"/>
            <w:tcBorders>
              <w:tl2br w:val="nil"/>
              <w:tr2bl w:val="nil"/>
            </w:tcBorders>
            <w:shd w:val="clear" w:color="auto" w:fill="auto"/>
            <w:vAlign w:val="center"/>
          </w:tcPr>
          <w:p w14:paraId="69665B4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危害因素</w:t>
            </w:r>
          </w:p>
        </w:tc>
        <w:tc>
          <w:tcPr>
            <w:tcW w:w="520" w:type="pct"/>
            <w:vMerge w:val="restart"/>
            <w:tcBorders>
              <w:tl2br w:val="nil"/>
              <w:tr2bl w:val="nil"/>
            </w:tcBorders>
            <w:shd w:val="clear" w:color="auto" w:fill="auto"/>
            <w:vAlign w:val="center"/>
          </w:tcPr>
          <w:p w14:paraId="2A64201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潜在事故</w:t>
            </w:r>
          </w:p>
          <w:p w14:paraId="3099A14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类型</w:t>
            </w:r>
          </w:p>
        </w:tc>
        <w:tc>
          <w:tcPr>
            <w:tcW w:w="298" w:type="pct"/>
            <w:vMerge w:val="restart"/>
            <w:tcBorders>
              <w:tl2br w:val="nil"/>
              <w:tr2bl w:val="nil"/>
            </w:tcBorders>
            <w:shd w:val="clear" w:color="auto" w:fill="auto"/>
            <w:vAlign w:val="center"/>
          </w:tcPr>
          <w:p w14:paraId="3721395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危害</w:t>
            </w:r>
          </w:p>
          <w:p w14:paraId="52189E1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级别</w:t>
            </w:r>
          </w:p>
        </w:tc>
        <w:tc>
          <w:tcPr>
            <w:tcW w:w="1051" w:type="pct"/>
            <w:vMerge w:val="restart"/>
            <w:tcBorders>
              <w:tl2br w:val="nil"/>
              <w:tr2bl w:val="nil"/>
            </w:tcBorders>
            <w:shd w:val="clear" w:color="auto" w:fill="auto"/>
            <w:vAlign w:val="center"/>
          </w:tcPr>
          <w:p w14:paraId="0406712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控制措施</w:t>
            </w:r>
          </w:p>
        </w:tc>
      </w:tr>
      <w:tr w14:paraId="132BB519">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312" w:hRule="atLeast"/>
        </w:trPr>
        <w:tc>
          <w:tcPr>
            <w:tcW w:w="243" w:type="pct"/>
            <w:vMerge w:val="continue"/>
            <w:tcBorders>
              <w:tl2br w:val="nil"/>
              <w:tr2bl w:val="nil"/>
            </w:tcBorders>
            <w:shd w:val="clear" w:color="auto" w:fill="auto"/>
            <w:vAlign w:val="center"/>
          </w:tcPr>
          <w:p w14:paraId="72ED151C">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c>
          <w:tcPr>
            <w:tcW w:w="326" w:type="pct"/>
            <w:vMerge w:val="continue"/>
            <w:tcBorders>
              <w:tl2br w:val="nil"/>
              <w:tr2bl w:val="nil"/>
            </w:tcBorders>
            <w:shd w:val="clear" w:color="auto" w:fill="auto"/>
            <w:vAlign w:val="center"/>
          </w:tcPr>
          <w:p w14:paraId="64FB50D8">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c>
          <w:tcPr>
            <w:tcW w:w="2559" w:type="pct"/>
            <w:vMerge w:val="continue"/>
            <w:tcBorders>
              <w:tl2br w:val="nil"/>
              <w:tr2bl w:val="nil"/>
            </w:tcBorders>
            <w:shd w:val="clear" w:color="auto" w:fill="auto"/>
            <w:vAlign w:val="center"/>
          </w:tcPr>
          <w:p w14:paraId="5CBCF4AB">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c>
          <w:tcPr>
            <w:tcW w:w="520" w:type="pct"/>
            <w:vMerge w:val="continue"/>
            <w:tcBorders>
              <w:tl2br w:val="nil"/>
              <w:tr2bl w:val="nil"/>
            </w:tcBorders>
            <w:shd w:val="clear" w:color="auto" w:fill="auto"/>
            <w:vAlign w:val="center"/>
          </w:tcPr>
          <w:p w14:paraId="72E3274A">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c>
          <w:tcPr>
            <w:tcW w:w="298" w:type="pct"/>
            <w:vMerge w:val="continue"/>
            <w:tcBorders>
              <w:tl2br w:val="nil"/>
              <w:tr2bl w:val="nil"/>
            </w:tcBorders>
            <w:shd w:val="clear" w:color="auto" w:fill="auto"/>
            <w:vAlign w:val="center"/>
          </w:tcPr>
          <w:p w14:paraId="14DA4744">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c>
          <w:tcPr>
            <w:tcW w:w="1051" w:type="pct"/>
            <w:vMerge w:val="continue"/>
            <w:tcBorders>
              <w:tl2br w:val="nil"/>
              <w:tr2bl w:val="nil"/>
            </w:tcBorders>
            <w:shd w:val="clear" w:color="auto" w:fill="auto"/>
            <w:vAlign w:val="center"/>
          </w:tcPr>
          <w:p w14:paraId="168A2E91">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r>
      <w:tr w14:paraId="0644BD00">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312" w:hRule="atLeast"/>
        </w:trPr>
        <w:tc>
          <w:tcPr>
            <w:tcW w:w="243" w:type="pct"/>
            <w:vMerge w:val="continue"/>
            <w:tcBorders>
              <w:tl2br w:val="nil"/>
              <w:tr2bl w:val="nil"/>
            </w:tcBorders>
            <w:shd w:val="clear" w:color="auto" w:fill="auto"/>
            <w:vAlign w:val="center"/>
          </w:tcPr>
          <w:p w14:paraId="4A2953AF">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c>
          <w:tcPr>
            <w:tcW w:w="326" w:type="pct"/>
            <w:vMerge w:val="continue"/>
            <w:tcBorders>
              <w:tl2br w:val="nil"/>
              <w:tr2bl w:val="nil"/>
            </w:tcBorders>
            <w:shd w:val="clear" w:color="auto" w:fill="auto"/>
            <w:vAlign w:val="center"/>
          </w:tcPr>
          <w:p w14:paraId="58744EEA">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c>
          <w:tcPr>
            <w:tcW w:w="2559" w:type="pct"/>
            <w:vMerge w:val="continue"/>
            <w:tcBorders>
              <w:tl2br w:val="nil"/>
              <w:tr2bl w:val="nil"/>
            </w:tcBorders>
            <w:shd w:val="clear" w:color="auto" w:fill="auto"/>
            <w:vAlign w:val="center"/>
          </w:tcPr>
          <w:p w14:paraId="14D8DF31">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c>
          <w:tcPr>
            <w:tcW w:w="520" w:type="pct"/>
            <w:vMerge w:val="continue"/>
            <w:tcBorders>
              <w:tl2br w:val="nil"/>
              <w:tr2bl w:val="nil"/>
            </w:tcBorders>
            <w:shd w:val="clear" w:color="auto" w:fill="auto"/>
            <w:vAlign w:val="center"/>
          </w:tcPr>
          <w:p w14:paraId="694E94A8">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c>
          <w:tcPr>
            <w:tcW w:w="298" w:type="pct"/>
            <w:vMerge w:val="continue"/>
            <w:tcBorders>
              <w:tl2br w:val="nil"/>
              <w:tr2bl w:val="nil"/>
            </w:tcBorders>
            <w:shd w:val="clear" w:color="auto" w:fill="auto"/>
            <w:vAlign w:val="center"/>
          </w:tcPr>
          <w:p w14:paraId="16DCC343">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c>
          <w:tcPr>
            <w:tcW w:w="1051" w:type="pct"/>
            <w:vMerge w:val="continue"/>
            <w:tcBorders>
              <w:tl2br w:val="nil"/>
              <w:tr2bl w:val="nil"/>
            </w:tcBorders>
            <w:shd w:val="clear" w:color="auto" w:fill="auto"/>
            <w:vAlign w:val="center"/>
          </w:tcPr>
          <w:p w14:paraId="3623D1C0">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000000"/>
                <w:sz w:val="18"/>
                <w:szCs w:val="18"/>
                <w:highlight w:val="none"/>
                <w:u w:val="none"/>
              </w:rPr>
            </w:pPr>
          </w:p>
        </w:tc>
      </w:tr>
      <w:tr w14:paraId="29C295DB">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243" w:type="pct"/>
            <w:tcBorders>
              <w:tl2br w:val="nil"/>
              <w:tr2bl w:val="nil"/>
            </w:tcBorders>
            <w:shd w:val="clear" w:color="auto" w:fill="auto"/>
            <w:vAlign w:val="center"/>
          </w:tcPr>
          <w:p w14:paraId="724C33C3">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326" w:type="pct"/>
            <w:vMerge w:val="restart"/>
            <w:tcBorders>
              <w:tl2br w:val="nil"/>
              <w:tr2bl w:val="nil"/>
            </w:tcBorders>
            <w:shd w:val="clear" w:color="auto" w:fill="auto"/>
            <w:vAlign w:val="center"/>
          </w:tcPr>
          <w:p w14:paraId="0010928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塔机拆除</w:t>
            </w:r>
          </w:p>
        </w:tc>
        <w:tc>
          <w:tcPr>
            <w:tcW w:w="2559" w:type="pct"/>
            <w:tcBorders>
              <w:tl2br w:val="nil"/>
              <w:tr2bl w:val="nil"/>
            </w:tcBorders>
            <w:shd w:val="clear" w:color="auto" w:fill="auto"/>
            <w:vAlign w:val="center"/>
          </w:tcPr>
          <w:p w14:paraId="4D5FC3AB">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拆除前没有对基础进行验收基础周围没有排水设施</w:t>
            </w:r>
          </w:p>
        </w:tc>
        <w:tc>
          <w:tcPr>
            <w:tcW w:w="520" w:type="pct"/>
            <w:tcBorders>
              <w:tl2br w:val="nil"/>
              <w:tr2bl w:val="nil"/>
            </w:tcBorders>
            <w:shd w:val="clear" w:color="auto" w:fill="auto"/>
            <w:vAlign w:val="center"/>
          </w:tcPr>
          <w:p w14:paraId="26317C5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坍塌</w:t>
            </w:r>
          </w:p>
        </w:tc>
        <w:tc>
          <w:tcPr>
            <w:tcW w:w="298" w:type="pct"/>
            <w:tcBorders>
              <w:tl2br w:val="nil"/>
              <w:tr2bl w:val="nil"/>
            </w:tcBorders>
            <w:shd w:val="clear" w:color="auto" w:fill="auto"/>
            <w:vAlign w:val="center"/>
          </w:tcPr>
          <w:p w14:paraId="44876D0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1051" w:type="pct"/>
            <w:tcBorders>
              <w:tl2br w:val="nil"/>
              <w:tr2bl w:val="nil"/>
            </w:tcBorders>
            <w:shd w:val="clear" w:color="auto" w:fill="auto"/>
            <w:vAlign w:val="center"/>
          </w:tcPr>
          <w:p w14:paraId="0B12B4F0">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施工前对场地排水进行检查，验收合格方可施工</w:t>
            </w:r>
          </w:p>
        </w:tc>
      </w:tr>
      <w:tr w14:paraId="161976E9">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shd w:val="clear" w:color="auto" w:fill="auto"/>
          <w:tblCellMar>
            <w:top w:w="0" w:type="dxa"/>
            <w:left w:w="108" w:type="dxa"/>
            <w:bottom w:w="0" w:type="dxa"/>
            <w:right w:w="108" w:type="dxa"/>
          </w:tblCellMar>
        </w:tblPrEx>
        <w:trPr>
          <w:trHeight w:val="0" w:hRule="atLeast"/>
        </w:trPr>
        <w:tc>
          <w:tcPr>
            <w:tcW w:w="243" w:type="pct"/>
            <w:tcBorders>
              <w:tl2br w:val="nil"/>
              <w:tr2bl w:val="nil"/>
            </w:tcBorders>
            <w:shd w:val="clear" w:color="auto" w:fill="auto"/>
            <w:vAlign w:val="center"/>
          </w:tcPr>
          <w:p w14:paraId="59033CB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w:t>
            </w:r>
          </w:p>
        </w:tc>
        <w:tc>
          <w:tcPr>
            <w:tcW w:w="326" w:type="pct"/>
            <w:vMerge w:val="continue"/>
            <w:tcBorders>
              <w:tl2br w:val="nil"/>
              <w:tr2bl w:val="nil"/>
            </w:tcBorders>
            <w:shd w:val="clear" w:color="auto" w:fill="auto"/>
            <w:vAlign w:val="center"/>
          </w:tcPr>
          <w:p w14:paraId="14B5C74B">
            <w:pPr>
              <w:keepNext w:val="0"/>
              <w:keepLines w:val="0"/>
              <w:suppressLineNumbers w:val="0"/>
              <w:spacing w:before="0" w:beforeAutospacing="0" w:after="0" w:afterAutospacing="0" w:line="240" w:lineRule="auto"/>
              <w:ind w:left="0" w:right="0"/>
              <w:jc w:val="center"/>
              <w:rPr>
                <w:rFonts w:hint="eastAsia" w:ascii="宋体" w:hAnsi="宋体" w:eastAsia="宋体" w:cs="宋体"/>
                <w:i w:val="0"/>
                <w:iCs w:val="0"/>
                <w:color w:val="000000"/>
                <w:sz w:val="18"/>
                <w:szCs w:val="18"/>
                <w:highlight w:val="none"/>
                <w:u w:val="none"/>
              </w:rPr>
            </w:pPr>
          </w:p>
        </w:tc>
        <w:tc>
          <w:tcPr>
            <w:tcW w:w="2559" w:type="pct"/>
            <w:tcBorders>
              <w:tl2br w:val="nil"/>
              <w:tr2bl w:val="nil"/>
            </w:tcBorders>
            <w:shd w:val="clear" w:color="auto" w:fill="auto"/>
            <w:vAlign w:val="center"/>
          </w:tcPr>
          <w:p w14:paraId="198CBA90">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拆除作业未按照专项方案要求实施拆除前未对拆除作业人员进行安全技术交底</w:t>
            </w:r>
          </w:p>
        </w:tc>
        <w:tc>
          <w:tcPr>
            <w:tcW w:w="520" w:type="pct"/>
            <w:tcBorders>
              <w:tl2br w:val="nil"/>
              <w:tr2bl w:val="nil"/>
            </w:tcBorders>
            <w:shd w:val="clear" w:color="auto" w:fill="auto"/>
            <w:vAlign w:val="center"/>
          </w:tcPr>
          <w:p w14:paraId="0DC2444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298" w:type="pct"/>
            <w:tcBorders>
              <w:tl2br w:val="nil"/>
              <w:tr2bl w:val="nil"/>
            </w:tcBorders>
            <w:shd w:val="clear" w:color="auto" w:fill="auto"/>
            <w:vAlign w:val="center"/>
          </w:tcPr>
          <w:p w14:paraId="428F703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1051" w:type="pct"/>
            <w:tcBorders>
              <w:tl2br w:val="nil"/>
              <w:tr2bl w:val="nil"/>
            </w:tcBorders>
            <w:shd w:val="clear" w:color="auto" w:fill="auto"/>
            <w:vAlign w:val="center"/>
          </w:tcPr>
          <w:p w14:paraId="13A097D5">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施工前落实交底制度，确保每位进场人员全覆盖</w:t>
            </w:r>
          </w:p>
        </w:tc>
      </w:tr>
      <w:tr w14:paraId="712F52EA">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243" w:type="pct"/>
            <w:tcBorders>
              <w:tl2br w:val="nil"/>
              <w:tr2bl w:val="nil"/>
            </w:tcBorders>
            <w:shd w:val="clear" w:color="auto" w:fill="auto"/>
            <w:vAlign w:val="center"/>
          </w:tcPr>
          <w:p w14:paraId="19C2B99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w:t>
            </w:r>
          </w:p>
        </w:tc>
        <w:tc>
          <w:tcPr>
            <w:tcW w:w="326" w:type="pct"/>
            <w:vMerge w:val="continue"/>
            <w:tcBorders>
              <w:tl2br w:val="nil"/>
              <w:tr2bl w:val="nil"/>
            </w:tcBorders>
            <w:shd w:val="clear" w:color="auto" w:fill="auto"/>
            <w:vAlign w:val="center"/>
          </w:tcPr>
          <w:p w14:paraId="79C2AF60">
            <w:pPr>
              <w:keepNext w:val="0"/>
              <w:keepLines w:val="0"/>
              <w:suppressLineNumbers w:val="0"/>
              <w:spacing w:before="0" w:beforeAutospacing="0" w:after="0" w:afterAutospacing="0" w:line="240" w:lineRule="auto"/>
              <w:ind w:left="0" w:right="0"/>
              <w:jc w:val="center"/>
              <w:rPr>
                <w:rFonts w:hint="eastAsia" w:ascii="宋体" w:hAnsi="宋体" w:eastAsia="宋体" w:cs="宋体"/>
                <w:i w:val="0"/>
                <w:iCs w:val="0"/>
                <w:color w:val="000000"/>
                <w:sz w:val="18"/>
                <w:szCs w:val="18"/>
                <w:highlight w:val="none"/>
                <w:u w:val="none"/>
              </w:rPr>
            </w:pPr>
          </w:p>
        </w:tc>
        <w:tc>
          <w:tcPr>
            <w:tcW w:w="2559" w:type="pct"/>
            <w:tcBorders>
              <w:tl2br w:val="nil"/>
              <w:tr2bl w:val="nil"/>
            </w:tcBorders>
            <w:shd w:val="clear" w:color="auto" w:fill="auto"/>
            <w:vAlign w:val="center"/>
          </w:tcPr>
          <w:p w14:paraId="370EFB98">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自升式塔式起重机的降节不符合下列规定：1、顶升系统必须完好，2、构筑物件必须完好，3、降节前，塔机下支座与顶升套架应可靠连接，4、降节前，应保持顶升横梁搁置正确，5、降节前，应将塔机配平降节过程中应确保塔机的平衡，6、降节的顺序，应符合使用说明书的规定，7、降节过程中，不应进行起升、回转、变幅等动作，8、降节结束后，应将标准节与回转下支座可靠连接</w:t>
            </w:r>
          </w:p>
        </w:tc>
        <w:tc>
          <w:tcPr>
            <w:tcW w:w="520" w:type="pct"/>
            <w:tcBorders>
              <w:tl2br w:val="nil"/>
              <w:tr2bl w:val="nil"/>
            </w:tcBorders>
            <w:shd w:val="clear" w:color="auto" w:fill="auto"/>
            <w:vAlign w:val="center"/>
          </w:tcPr>
          <w:p w14:paraId="43E3FD2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起重伤害</w:t>
            </w:r>
          </w:p>
        </w:tc>
        <w:tc>
          <w:tcPr>
            <w:tcW w:w="298" w:type="pct"/>
            <w:tcBorders>
              <w:tl2br w:val="nil"/>
              <w:tr2bl w:val="nil"/>
            </w:tcBorders>
            <w:shd w:val="clear" w:color="auto" w:fill="auto"/>
            <w:vAlign w:val="center"/>
          </w:tcPr>
          <w:p w14:paraId="36E56A4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1051" w:type="pct"/>
            <w:tcBorders>
              <w:tl2br w:val="nil"/>
              <w:tr2bl w:val="nil"/>
            </w:tcBorders>
            <w:shd w:val="clear" w:color="auto" w:fill="auto"/>
            <w:vAlign w:val="center"/>
          </w:tcPr>
          <w:p w14:paraId="236479F8">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安排专人进行塔机拆除工作。拆除完成后落实验收程序。报专业机构验收合格后，由项目部组织邀请监理和业主单位进行验收。施工过程中定期进行检查维护，对破损构件及时进行更换。</w:t>
            </w:r>
          </w:p>
        </w:tc>
      </w:tr>
      <w:tr w14:paraId="1B855BB3">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243" w:type="pct"/>
            <w:tcBorders>
              <w:tl2br w:val="nil"/>
              <w:tr2bl w:val="nil"/>
            </w:tcBorders>
            <w:shd w:val="clear" w:color="auto" w:fill="auto"/>
            <w:vAlign w:val="center"/>
          </w:tcPr>
          <w:p w14:paraId="3333A5A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w:t>
            </w:r>
          </w:p>
        </w:tc>
        <w:tc>
          <w:tcPr>
            <w:tcW w:w="326" w:type="pct"/>
            <w:tcBorders>
              <w:tl2br w:val="nil"/>
              <w:tr2bl w:val="nil"/>
            </w:tcBorders>
            <w:shd w:val="clear" w:color="auto" w:fill="auto"/>
            <w:vAlign w:val="center"/>
          </w:tcPr>
          <w:p w14:paraId="68A0DC8C">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交叉</w:t>
            </w:r>
          </w:p>
          <w:p w14:paraId="12A9024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作业</w:t>
            </w:r>
          </w:p>
        </w:tc>
        <w:tc>
          <w:tcPr>
            <w:tcW w:w="2559" w:type="pct"/>
            <w:tcBorders>
              <w:tl2br w:val="nil"/>
              <w:tr2bl w:val="nil"/>
            </w:tcBorders>
            <w:shd w:val="clear" w:color="auto" w:fill="auto"/>
            <w:vAlign w:val="center"/>
          </w:tcPr>
          <w:p w14:paraId="144AF7E9">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交叉作业时，下层作业的位置没有处于上层作业的坠落半径之外当达不到规定时，没有设置安全防护棚、下方没有设置警戒隔离区</w:t>
            </w:r>
          </w:p>
        </w:tc>
        <w:tc>
          <w:tcPr>
            <w:tcW w:w="520" w:type="pct"/>
            <w:tcBorders>
              <w:tl2br w:val="nil"/>
              <w:tr2bl w:val="nil"/>
            </w:tcBorders>
            <w:shd w:val="clear" w:color="auto" w:fill="auto"/>
            <w:vAlign w:val="center"/>
          </w:tcPr>
          <w:p w14:paraId="4FF553C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物体打击</w:t>
            </w:r>
          </w:p>
        </w:tc>
        <w:tc>
          <w:tcPr>
            <w:tcW w:w="298" w:type="pct"/>
            <w:tcBorders>
              <w:tl2br w:val="nil"/>
              <w:tr2bl w:val="nil"/>
            </w:tcBorders>
            <w:shd w:val="clear" w:color="auto" w:fill="auto"/>
            <w:vAlign w:val="center"/>
          </w:tcPr>
          <w:p w14:paraId="0E76DA0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1051" w:type="pct"/>
            <w:tcBorders>
              <w:tl2br w:val="nil"/>
              <w:tr2bl w:val="nil"/>
            </w:tcBorders>
            <w:shd w:val="clear" w:color="auto" w:fill="auto"/>
            <w:vAlign w:val="center"/>
          </w:tcPr>
          <w:p w14:paraId="43077EA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高处作业交叉作业时，如有条件设置防坠网。高处平台小型设备及工具妥善保管。</w:t>
            </w:r>
          </w:p>
        </w:tc>
      </w:tr>
      <w:tr w14:paraId="1FFB2975">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243" w:type="pct"/>
            <w:tcBorders>
              <w:tl2br w:val="nil"/>
              <w:tr2bl w:val="nil"/>
            </w:tcBorders>
            <w:shd w:val="clear" w:color="auto" w:fill="auto"/>
            <w:vAlign w:val="center"/>
          </w:tcPr>
          <w:p w14:paraId="11042E03">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w:t>
            </w:r>
          </w:p>
        </w:tc>
        <w:tc>
          <w:tcPr>
            <w:tcW w:w="326" w:type="pct"/>
            <w:tcBorders>
              <w:tl2br w:val="nil"/>
              <w:tr2bl w:val="nil"/>
            </w:tcBorders>
            <w:shd w:val="clear" w:color="auto" w:fill="auto"/>
            <w:vAlign w:val="center"/>
          </w:tcPr>
          <w:p w14:paraId="3FC3D6A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夜间施工</w:t>
            </w:r>
          </w:p>
        </w:tc>
        <w:tc>
          <w:tcPr>
            <w:tcW w:w="2559" w:type="pct"/>
            <w:tcBorders>
              <w:tl2br w:val="nil"/>
              <w:tr2bl w:val="nil"/>
            </w:tcBorders>
            <w:shd w:val="clear" w:color="auto" w:fill="auto"/>
            <w:vAlign w:val="center"/>
          </w:tcPr>
          <w:p w14:paraId="27C0076B">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夜间施工时，作业场所未设置照明设备，照度不满足施工要求，光束直接照射机械操作和指挥人员</w:t>
            </w:r>
          </w:p>
        </w:tc>
        <w:tc>
          <w:tcPr>
            <w:tcW w:w="520" w:type="pct"/>
            <w:tcBorders>
              <w:tl2br w:val="nil"/>
              <w:tr2bl w:val="nil"/>
            </w:tcBorders>
            <w:shd w:val="clear" w:color="auto" w:fill="auto"/>
            <w:vAlign w:val="center"/>
          </w:tcPr>
          <w:p w14:paraId="7AC8376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其它</w:t>
            </w:r>
          </w:p>
        </w:tc>
        <w:tc>
          <w:tcPr>
            <w:tcW w:w="298" w:type="pct"/>
            <w:tcBorders>
              <w:tl2br w:val="nil"/>
              <w:tr2bl w:val="nil"/>
            </w:tcBorders>
            <w:shd w:val="clear" w:color="auto" w:fill="auto"/>
            <w:vAlign w:val="center"/>
          </w:tcPr>
          <w:p w14:paraId="5C4A915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1051" w:type="pct"/>
            <w:tcBorders>
              <w:tl2br w:val="nil"/>
              <w:tr2bl w:val="nil"/>
            </w:tcBorders>
            <w:shd w:val="clear" w:color="auto" w:fill="auto"/>
            <w:vAlign w:val="center"/>
          </w:tcPr>
          <w:p w14:paraId="732D8297">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夜间施工时，作业场所设置照明设备，光束不直接照射指挥人员，并设置夜间警示标志和警示灯</w:t>
            </w:r>
          </w:p>
        </w:tc>
      </w:tr>
      <w:tr w14:paraId="6ADAB9D7">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243" w:type="pct"/>
            <w:tcBorders>
              <w:tl2br w:val="nil"/>
              <w:tr2bl w:val="nil"/>
            </w:tcBorders>
            <w:shd w:val="clear" w:color="auto" w:fill="auto"/>
            <w:vAlign w:val="center"/>
          </w:tcPr>
          <w:p w14:paraId="095C003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w:t>
            </w:r>
          </w:p>
        </w:tc>
        <w:tc>
          <w:tcPr>
            <w:tcW w:w="326" w:type="pct"/>
            <w:tcBorders>
              <w:tl2br w:val="nil"/>
              <w:tr2bl w:val="nil"/>
            </w:tcBorders>
            <w:shd w:val="clear" w:color="auto" w:fill="auto"/>
            <w:vAlign w:val="center"/>
          </w:tcPr>
          <w:p w14:paraId="369BBA5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台风季节施工</w:t>
            </w:r>
          </w:p>
        </w:tc>
        <w:tc>
          <w:tcPr>
            <w:tcW w:w="2559" w:type="pct"/>
            <w:tcBorders>
              <w:tl2br w:val="nil"/>
              <w:tr2bl w:val="nil"/>
            </w:tcBorders>
            <w:shd w:val="clear" w:color="auto" w:fill="auto"/>
            <w:vAlign w:val="center"/>
          </w:tcPr>
          <w:p w14:paraId="4A3B31CF">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在建工程、机械设备、临时设施、生活和办公用房未做防风加固，排水沟渠不通畅</w:t>
            </w:r>
          </w:p>
        </w:tc>
        <w:tc>
          <w:tcPr>
            <w:tcW w:w="520" w:type="pct"/>
            <w:tcBorders>
              <w:tl2br w:val="nil"/>
              <w:tr2bl w:val="nil"/>
            </w:tcBorders>
            <w:shd w:val="clear" w:color="auto" w:fill="auto"/>
            <w:vAlign w:val="center"/>
          </w:tcPr>
          <w:p w14:paraId="3888CD4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自然灾害</w:t>
            </w:r>
          </w:p>
        </w:tc>
        <w:tc>
          <w:tcPr>
            <w:tcW w:w="298" w:type="pct"/>
            <w:tcBorders>
              <w:tl2br w:val="nil"/>
              <w:tr2bl w:val="nil"/>
            </w:tcBorders>
            <w:shd w:val="clear" w:color="auto" w:fill="auto"/>
            <w:vAlign w:val="center"/>
          </w:tcPr>
          <w:p w14:paraId="7045E6BD">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1051" w:type="pct"/>
            <w:tcBorders>
              <w:tl2br w:val="nil"/>
              <w:tr2bl w:val="nil"/>
            </w:tcBorders>
            <w:shd w:val="clear" w:color="auto" w:fill="auto"/>
            <w:vAlign w:val="center"/>
          </w:tcPr>
          <w:p w14:paraId="4DAF902A">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6 级以上大风等恶劣天气，脚手架使用前重新进行检查</w:t>
            </w:r>
          </w:p>
        </w:tc>
      </w:tr>
      <w:tr w14:paraId="120E173B">
        <w:tblPrEx>
          <w:tblBorders>
            <w:top w:val="double" w:color="0000E3" w:sz="6" w:space="0"/>
            <w:left w:val="double" w:color="0000E3" w:sz="6" w:space="0"/>
            <w:bottom w:val="double" w:color="0000E3" w:sz="6" w:space="0"/>
            <w:right w:val="double" w:color="0000E3" w:sz="6" w:space="0"/>
            <w:insideH w:val="single" w:color="0000E3" w:sz="4" w:space="0"/>
            <w:insideV w:val="single" w:color="0000E3" w:sz="4" w:space="0"/>
          </w:tblBorders>
          <w:tblCellMar>
            <w:top w:w="0" w:type="dxa"/>
            <w:left w:w="108" w:type="dxa"/>
            <w:bottom w:w="0" w:type="dxa"/>
            <w:right w:w="108" w:type="dxa"/>
          </w:tblCellMar>
        </w:tblPrEx>
        <w:trPr>
          <w:trHeight w:val="0" w:hRule="atLeast"/>
        </w:trPr>
        <w:tc>
          <w:tcPr>
            <w:tcW w:w="243" w:type="pct"/>
            <w:tcBorders>
              <w:tl2br w:val="nil"/>
              <w:tr2bl w:val="nil"/>
            </w:tcBorders>
            <w:shd w:val="clear" w:color="auto" w:fill="auto"/>
            <w:vAlign w:val="center"/>
          </w:tcPr>
          <w:p w14:paraId="1443AC3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7</w:t>
            </w:r>
          </w:p>
        </w:tc>
        <w:tc>
          <w:tcPr>
            <w:tcW w:w="326" w:type="pct"/>
            <w:tcBorders>
              <w:tl2br w:val="nil"/>
              <w:tr2bl w:val="nil"/>
            </w:tcBorders>
            <w:shd w:val="clear" w:color="auto" w:fill="auto"/>
            <w:vAlign w:val="center"/>
          </w:tcPr>
          <w:p w14:paraId="6826C9A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汛期施工</w:t>
            </w:r>
          </w:p>
        </w:tc>
        <w:tc>
          <w:tcPr>
            <w:tcW w:w="2559" w:type="pct"/>
            <w:tcBorders>
              <w:tl2br w:val="nil"/>
              <w:tr2bl w:val="nil"/>
            </w:tcBorders>
            <w:shd w:val="clear" w:color="auto" w:fill="auto"/>
            <w:vAlign w:val="center"/>
          </w:tcPr>
          <w:p w14:paraId="4AF2F4DB">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易发生洪水、泥石流、滑坡等灾害的施工现场未加强观测、预警，发现危险预兆未及时撤离作业人员和施工机械设备</w:t>
            </w:r>
          </w:p>
        </w:tc>
        <w:tc>
          <w:tcPr>
            <w:tcW w:w="520" w:type="pct"/>
            <w:tcBorders>
              <w:tl2br w:val="nil"/>
              <w:tr2bl w:val="nil"/>
            </w:tcBorders>
            <w:shd w:val="clear" w:color="auto" w:fill="auto"/>
            <w:vAlign w:val="center"/>
          </w:tcPr>
          <w:p w14:paraId="08D9E4F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自然灾害</w:t>
            </w:r>
          </w:p>
        </w:tc>
        <w:tc>
          <w:tcPr>
            <w:tcW w:w="298" w:type="pct"/>
            <w:tcBorders>
              <w:tl2br w:val="nil"/>
              <w:tr2bl w:val="nil"/>
            </w:tcBorders>
            <w:shd w:val="clear" w:color="auto" w:fill="auto"/>
            <w:vAlign w:val="center"/>
          </w:tcPr>
          <w:p w14:paraId="571164B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Ⅱ</w:t>
            </w:r>
          </w:p>
        </w:tc>
        <w:tc>
          <w:tcPr>
            <w:tcW w:w="1051" w:type="pct"/>
            <w:tcBorders>
              <w:tl2br w:val="nil"/>
              <w:tr2bl w:val="nil"/>
            </w:tcBorders>
            <w:shd w:val="clear" w:color="auto" w:fill="auto"/>
            <w:vAlign w:val="center"/>
          </w:tcPr>
          <w:p w14:paraId="6E35666B">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做好汛期警戒工作，对易发生洪水、泥石流、滑坡等灾害部位加强观测</w:t>
            </w:r>
          </w:p>
        </w:tc>
      </w:tr>
    </w:tbl>
    <w:p w14:paraId="0D56A97A">
      <w:pPr>
        <w:pStyle w:val="49"/>
        <w:ind w:left="0" w:leftChars="0" w:firstLine="0" w:firstLineChars="0"/>
        <w:rPr>
          <w:rFonts w:hint="eastAsia"/>
          <w:color w:val="auto"/>
          <w:highlight w:val="none"/>
        </w:rPr>
        <w:sectPr>
          <w:headerReference r:id="rId10" w:type="default"/>
          <w:footerReference r:id="rId11" w:type="default"/>
          <w:type w:val="continuous"/>
          <w:pgSz w:w="16838" w:h="11906" w:orient="landscape"/>
          <w:pgMar w:top="1080" w:right="1701" w:bottom="1080" w:left="1701" w:header="851" w:footer="992" w:gutter="0"/>
          <w:pgBorders>
            <w:top w:val="none" w:sz="0" w:space="0"/>
            <w:left w:val="none" w:sz="0" w:space="0"/>
            <w:bottom w:val="none" w:sz="0" w:space="0"/>
            <w:right w:val="none" w:sz="0" w:space="0"/>
          </w:pgBorders>
          <w:cols w:space="0" w:num="1"/>
          <w:rtlGutter w:val="0"/>
          <w:docGrid w:type="lines" w:linePitch="328" w:charSpace="0"/>
        </w:sectPr>
      </w:pPr>
    </w:p>
    <w:p w14:paraId="6BAEBD43">
      <w:pPr>
        <w:pStyle w:val="2"/>
        <w:bidi w:val="0"/>
        <w:ind w:left="432" w:leftChars="0" w:hanging="432" w:firstLineChars="0"/>
        <w:rPr>
          <w:rFonts w:hint="eastAsia"/>
        </w:rPr>
      </w:pPr>
      <w:bookmarkStart w:id="103" w:name="_Toc13097"/>
      <w:r>
        <w:rPr>
          <w:rFonts w:hint="eastAsia"/>
        </w:rPr>
        <w:t>施工</w:t>
      </w:r>
      <w:bookmarkEnd w:id="97"/>
      <w:r>
        <w:rPr>
          <w:rFonts w:hint="eastAsia"/>
        </w:rPr>
        <w:t>计划</w:t>
      </w:r>
      <w:bookmarkEnd w:id="98"/>
      <w:bookmarkEnd w:id="99"/>
      <w:bookmarkEnd w:id="102"/>
      <w:bookmarkEnd w:id="103"/>
    </w:p>
    <w:p w14:paraId="1E9EAD06">
      <w:pPr>
        <w:pStyle w:val="3"/>
        <w:bidi w:val="0"/>
        <w:ind w:left="575" w:leftChars="0" w:hanging="575" w:firstLineChars="0"/>
        <w:rPr>
          <w:rFonts w:hint="eastAsia"/>
          <w:lang w:val="en-US" w:eastAsia="zh-CN"/>
        </w:rPr>
      </w:pPr>
      <w:bookmarkStart w:id="104" w:name="_Toc14043"/>
      <w:bookmarkEnd w:id="104"/>
      <w:bookmarkStart w:id="105" w:name="_Toc22257"/>
      <w:bookmarkEnd w:id="105"/>
      <w:bookmarkStart w:id="106" w:name="_Toc10863"/>
      <w:bookmarkEnd w:id="106"/>
      <w:bookmarkStart w:id="107" w:name="_Toc42642001"/>
      <w:bookmarkEnd w:id="107"/>
      <w:bookmarkStart w:id="108" w:name="_Toc42642288"/>
      <w:bookmarkEnd w:id="108"/>
      <w:bookmarkStart w:id="109" w:name="_Toc23662"/>
      <w:bookmarkEnd w:id="109"/>
      <w:bookmarkStart w:id="110" w:name="_Toc54567324"/>
      <w:bookmarkEnd w:id="110"/>
      <w:bookmarkStart w:id="111" w:name="_Toc42640445"/>
      <w:bookmarkEnd w:id="111"/>
      <w:bookmarkStart w:id="112" w:name="_Toc42642287"/>
      <w:bookmarkEnd w:id="112"/>
      <w:bookmarkStart w:id="113" w:name="_Toc42641828"/>
      <w:bookmarkEnd w:id="113"/>
      <w:bookmarkStart w:id="114" w:name="_Toc42642000"/>
      <w:bookmarkEnd w:id="114"/>
      <w:bookmarkStart w:id="115" w:name="_Toc42641135"/>
      <w:bookmarkEnd w:id="115"/>
      <w:bookmarkStart w:id="116" w:name="_Toc42640446"/>
      <w:bookmarkEnd w:id="116"/>
      <w:bookmarkStart w:id="117" w:name="_Toc42641136"/>
      <w:bookmarkEnd w:id="117"/>
      <w:bookmarkStart w:id="118" w:name="_Toc5540"/>
      <w:bookmarkEnd w:id="118"/>
      <w:bookmarkStart w:id="119" w:name="_Toc20966"/>
      <w:bookmarkEnd w:id="119"/>
      <w:bookmarkStart w:id="120" w:name="_Toc10380"/>
      <w:bookmarkEnd w:id="120"/>
      <w:bookmarkStart w:id="121" w:name="_Toc32658"/>
      <w:bookmarkEnd w:id="121"/>
      <w:bookmarkStart w:id="122" w:name="_Toc42641829"/>
      <w:bookmarkEnd w:id="122"/>
      <w:bookmarkStart w:id="123" w:name="_Toc54567323"/>
      <w:bookmarkEnd w:id="123"/>
      <w:bookmarkStart w:id="124" w:name="_Toc21946"/>
      <w:bookmarkStart w:id="125" w:name="_Toc12261"/>
      <w:bookmarkStart w:id="126" w:name="_Toc24021"/>
      <w:bookmarkStart w:id="127" w:name="_Toc31500"/>
      <w:bookmarkStart w:id="128" w:name="_Toc25427"/>
      <w:bookmarkStart w:id="129" w:name="_Toc18506"/>
      <w:bookmarkStart w:id="130" w:name="_Toc31294"/>
      <w:bookmarkStart w:id="131" w:name="_Toc10409781"/>
      <w:r>
        <w:rPr>
          <w:rFonts w:hint="eastAsia"/>
          <w:lang w:val="en-US" w:eastAsia="zh-CN"/>
        </w:rPr>
        <w:t>施工总体部署</w:t>
      </w:r>
      <w:bookmarkEnd w:id="124"/>
      <w:bookmarkEnd w:id="125"/>
      <w:bookmarkEnd w:id="126"/>
      <w:bookmarkEnd w:id="127"/>
      <w:bookmarkEnd w:id="128"/>
    </w:p>
    <w:p w14:paraId="3DB05DBB">
      <w:pPr>
        <w:pStyle w:val="4"/>
        <w:bidi w:val="0"/>
        <w:ind w:left="720" w:leftChars="0" w:hanging="720" w:firstLineChars="0"/>
        <w:rPr>
          <w:rFonts w:hint="eastAsia"/>
          <w:b/>
          <w:bCs/>
          <w:lang w:val="en-US" w:eastAsia="zh-CN"/>
        </w:rPr>
      </w:pPr>
      <w:bookmarkStart w:id="132" w:name="_Toc3018"/>
      <w:bookmarkStart w:id="133" w:name="_Toc30635"/>
      <w:r>
        <w:rPr>
          <w:rFonts w:hint="eastAsia"/>
          <w:b/>
          <w:bCs/>
          <w:lang w:val="en-US" w:eastAsia="zh-CN"/>
        </w:rPr>
        <w:t>施工管理组织机构</w:t>
      </w:r>
      <w:bookmarkEnd w:id="132"/>
      <w:bookmarkEnd w:id="133"/>
    </w:p>
    <w:p w14:paraId="23F18944">
      <w:pPr>
        <w:bidi w:val="0"/>
        <w:spacing w:line="360" w:lineRule="auto"/>
        <w:ind w:firstLine="48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由项目经理总揽全局施工，项目总工和副经理以及安全总监分别为塔机拆除的技术负责人、生产负责人和安全监督责任人，下设七部二室为塔机拆除提供技术、质量、安全、材料设备、资金及后勤保障，由现场技术管理人员和专职安全员直接负责塔机拆除的安全、质量和进度的日常管理工作，保证各队伍之间互相配合，按工期要求完成施工任务。</w:t>
      </w:r>
    </w:p>
    <w:p w14:paraId="096236C9">
      <w:pPr>
        <w:bidi w:val="0"/>
        <w:spacing w:line="360" w:lineRule="auto"/>
        <w:ind w:firstLine="480" w:firstLineChars="200"/>
        <w:rPr>
          <w:rFonts w:hint="eastAsia"/>
          <w:highlight w:val="none"/>
          <w:lang w:val="en-US" w:eastAsia="zh-CN"/>
        </w:rPr>
      </w:pPr>
      <w:r>
        <w:rPr>
          <w:rFonts w:hint="eastAsia" w:ascii="宋体" w:hAnsi="宋体" w:eastAsia="宋体" w:cs="宋体"/>
          <w:highlight w:val="none"/>
          <w:lang w:val="en-US" w:eastAsia="zh-CN"/>
        </w:rPr>
        <w:t>同时要求专业分包单位安排工技术负责人、专职安全员驻场，并安排足够的专业技术人员（班组长）、持证拆除工、起重工、司索工、机械设备进行塔机的拆除工作</w:t>
      </w:r>
      <w:r>
        <w:rPr>
          <w:rFonts w:hint="eastAsia"/>
          <w:highlight w:val="none"/>
          <w:lang w:val="en-US" w:eastAsia="zh-CN"/>
        </w:rPr>
        <w:t>。</w:t>
      </w:r>
    </w:p>
    <w:p w14:paraId="194371AA">
      <w:pPr>
        <w:ind w:left="0" w:leftChars="0" w:firstLine="0" w:firstLineChars="0"/>
        <w:jc w:val="center"/>
        <w:rPr>
          <w:rFonts w:hint="default" w:ascii="Times New Roman" w:hAnsi="Times New Roman" w:eastAsia="宋体"/>
          <w:highlight w:val="none"/>
          <w:lang w:val="en-US" w:eastAsia="zh-CN"/>
        </w:rPr>
      </w:pPr>
      <w:r>
        <w:rPr>
          <w:rFonts w:hint="default" w:ascii="Times New Roman" w:hAnsi="Times New Roman" w:eastAsia="宋体"/>
          <w:highlight w:val="none"/>
          <w:lang w:val="en-US" w:eastAsia="zh-CN"/>
        </w:rPr>
        <w:drawing>
          <wp:inline distT="0" distB="0" distL="114300" distR="114300">
            <wp:extent cx="4338955" cy="4237990"/>
            <wp:effectExtent l="0" t="0" r="0" b="0"/>
            <wp:docPr id="82" name="图片 82" descr="组织流程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组织流程图--(2)"/>
                    <pic:cNvPicPr>
                      <a:picLocks noChangeAspect="1"/>
                    </pic:cNvPicPr>
                  </pic:nvPicPr>
                  <pic:blipFill>
                    <a:blip r:embed="rId25"/>
                    <a:stretch>
                      <a:fillRect/>
                    </a:stretch>
                  </pic:blipFill>
                  <pic:spPr>
                    <a:xfrm>
                      <a:off x="0" y="0"/>
                      <a:ext cx="4338955" cy="4237990"/>
                    </a:xfrm>
                    <a:prstGeom prst="rect">
                      <a:avLst/>
                    </a:prstGeom>
                  </pic:spPr>
                </pic:pic>
              </a:graphicData>
            </a:graphic>
          </wp:inline>
        </w:drawing>
      </w:r>
    </w:p>
    <w:p w14:paraId="4530F706">
      <w:pPr>
        <w:pStyle w:val="14"/>
        <w:rPr>
          <w:rFonts w:hint="default"/>
          <w:lang w:val="en-US" w:eastAsia="zh-CN"/>
        </w:rPr>
      </w:pPr>
      <w:r>
        <w:t xml:space="preserve">图 </w:t>
      </w:r>
      <w:r>
        <w:fldChar w:fldCharType="begin"/>
      </w:r>
      <w:r>
        <w:instrText xml:space="preserve"> STYLEREF 2 \s </w:instrText>
      </w:r>
      <w:r>
        <w:fldChar w:fldCharType="separate"/>
      </w:r>
      <w:r>
        <w:t>3.1</w:t>
      </w:r>
      <w:r>
        <w:fldChar w:fldCharType="end"/>
      </w:r>
      <w:r>
        <w:rPr>
          <w:rFonts w:hint="eastAsia"/>
          <w:lang w:eastAsia="zh-CN"/>
        </w:rPr>
        <w:t>-</w:t>
      </w:r>
      <w:r>
        <w:fldChar w:fldCharType="begin"/>
      </w:r>
      <w:r>
        <w:instrText xml:space="preserve"> SEQ 图 \* ARABIC \s 2 </w:instrText>
      </w:r>
      <w:r>
        <w:fldChar w:fldCharType="separate"/>
      </w:r>
      <w:r>
        <w:t>1</w:t>
      </w:r>
      <w:r>
        <w:fldChar w:fldCharType="end"/>
      </w:r>
      <w:r>
        <w:rPr>
          <w:rFonts w:hint="eastAsia"/>
          <w:highlight w:val="none"/>
          <w:lang w:val="en-US" w:eastAsia="zh-CN"/>
        </w:rPr>
        <w:t>塔机拆除施工管理组织机构图</w:t>
      </w:r>
    </w:p>
    <w:p w14:paraId="75DC6760">
      <w:pPr>
        <w:pStyle w:val="4"/>
        <w:bidi w:val="0"/>
        <w:ind w:left="720" w:leftChars="0" w:hanging="720" w:firstLineChars="0"/>
        <w:rPr>
          <w:rFonts w:hint="eastAsia"/>
          <w:b/>
          <w:bCs/>
          <w:lang w:val="en-US" w:eastAsia="zh-CN"/>
        </w:rPr>
      </w:pPr>
      <w:bookmarkStart w:id="134" w:name="_Toc11794"/>
      <w:bookmarkStart w:id="135" w:name="_Toc24913"/>
      <w:r>
        <w:rPr>
          <w:rFonts w:hint="eastAsia"/>
          <w:b/>
          <w:bCs/>
          <w:lang w:val="en-US" w:eastAsia="zh-CN"/>
        </w:rPr>
        <w:t>施工任务划分</w:t>
      </w:r>
      <w:bookmarkEnd w:id="134"/>
      <w:bookmarkEnd w:id="135"/>
    </w:p>
    <w:p w14:paraId="02C13859">
      <w:pPr>
        <w:bidi w:val="0"/>
        <w:spacing w:line="360" w:lineRule="auto"/>
        <w:ind w:firstLine="480" w:firstLineChars="200"/>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项目经理部根据与建设单位签订的施工总承包合同，将</w:t>
      </w:r>
      <w:r>
        <w:rPr>
          <w:rFonts w:hint="eastAsia" w:ascii="Times New Roman" w:hAnsi="Times New Roman"/>
          <w:highlight w:val="none"/>
          <w:lang w:val="en-US" w:eastAsia="zh-CN"/>
        </w:rPr>
        <w:t>塔机拆除</w:t>
      </w:r>
      <w:r>
        <w:rPr>
          <w:rFonts w:hint="eastAsia" w:ascii="Times New Roman" w:hAnsi="Times New Roman" w:eastAsia="宋体"/>
          <w:highlight w:val="none"/>
          <w:lang w:val="en-US" w:eastAsia="zh-CN"/>
        </w:rPr>
        <w:t>施工任务合法发包给具有相应资质的施工协作单位，项目经理部管理人员负责日常进度、安全、质量、资源配置等管理工作。</w:t>
      </w:r>
    </w:p>
    <w:p w14:paraId="6E7FA956">
      <w:pPr>
        <w:pStyle w:val="14"/>
      </w:pPr>
      <w:r>
        <w:t xml:space="preserve">表 </w:t>
      </w:r>
      <w:r>
        <w:fldChar w:fldCharType="begin"/>
      </w:r>
      <w:r>
        <w:instrText xml:space="preserve"> STYLEREF 2 \s </w:instrText>
      </w:r>
      <w:r>
        <w:fldChar w:fldCharType="separate"/>
      </w:r>
      <w:r>
        <w:t>3.1</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lang w:val="en-US" w:eastAsia="zh-CN"/>
        </w:rPr>
        <w:t xml:space="preserve"> </w:t>
      </w:r>
      <w:r>
        <w:rPr>
          <w:rFonts w:hint="eastAsia"/>
          <w:highlight w:val="none"/>
          <w:lang w:val="en-US" w:eastAsia="zh-CN"/>
        </w:rPr>
        <w:t>塔机安拆施工任务划分计划表</w:t>
      </w:r>
    </w:p>
    <w:tbl>
      <w:tblPr>
        <w:tblStyle w:val="29"/>
        <w:tblW w:w="4998" w:type="pct"/>
        <w:jc w:val="center"/>
        <w:tblBorders>
          <w:top w:val="double" w:color="0000E3" w:sz="4" w:space="0"/>
          <w:left w:val="double" w:color="0000E3" w:sz="4" w:space="0"/>
          <w:bottom w:val="double" w:color="0000E3" w:sz="4" w:space="0"/>
          <w:right w:val="double" w:color="0000E3" w:sz="4" w:space="0"/>
          <w:insideH w:val="single" w:color="0000E3" w:sz="4" w:space="0"/>
          <w:insideV w:val="single" w:color="0000E3" w:sz="4" w:space="0"/>
        </w:tblBorders>
        <w:tblLayout w:type="autofit"/>
        <w:tblCellMar>
          <w:top w:w="0" w:type="dxa"/>
          <w:left w:w="108" w:type="dxa"/>
          <w:bottom w:w="0" w:type="dxa"/>
          <w:right w:w="108" w:type="dxa"/>
        </w:tblCellMar>
      </w:tblPr>
      <w:tblGrid>
        <w:gridCol w:w="871"/>
        <w:gridCol w:w="3986"/>
        <w:gridCol w:w="1999"/>
        <w:gridCol w:w="1663"/>
      </w:tblGrid>
      <w:tr w14:paraId="46DDFF6F">
        <w:tblPrEx>
          <w:tblBorders>
            <w:top w:val="double" w:color="0000E3" w:sz="4" w:space="0"/>
            <w:left w:val="double" w:color="0000E3" w:sz="4" w:space="0"/>
            <w:bottom w:val="double" w:color="0000E3" w:sz="4" w:space="0"/>
            <w:right w:val="double" w:color="0000E3" w:sz="4" w:space="0"/>
            <w:insideH w:val="single" w:color="0000E3" w:sz="4" w:space="0"/>
            <w:insideV w:val="single" w:color="0000E3" w:sz="4" w:space="0"/>
          </w:tblBorders>
          <w:tblCellMar>
            <w:top w:w="0" w:type="dxa"/>
            <w:left w:w="108" w:type="dxa"/>
            <w:bottom w:w="0" w:type="dxa"/>
            <w:right w:w="108" w:type="dxa"/>
          </w:tblCellMar>
        </w:tblPrEx>
        <w:trPr>
          <w:trHeight w:val="454" w:hRule="atLeast"/>
          <w:tblHeader/>
          <w:jc w:val="center"/>
        </w:trPr>
        <w:tc>
          <w:tcPr>
            <w:tcW w:w="511" w:type="pct"/>
            <w:tcBorders>
              <w:tl2br w:val="nil"/>
              <w:tr2bl w:val="nil"/>
            </w:tcBorders>
            <w:shd w:val="clear" w:color="auto" w:fill="DAE3F3" w:themeFill="accent5" w:themeFillTint="32"/>
            <w:vAlign w:val="center"/>
          </w:tcPr>
          <w:p w14:paraId="7C1EF0F3">
            <w:pPr>
              <w:pStyle w:val="106"/>
              <w:bidi w:val="0"/>
              <w:rPr>
                <w:rFonts w:hint="eastAsia"/>
                <w:highlight w:val="none"/>
                <w:lang w:val="en-US" w:eastAsia="zh-CN"/>
              </w:rPr>
            </w:pPr>
            <w:r>
              <w:rPr>
                <w:rFonts w:hint="eastAsia"/>
                <w:highlight w:val="none"/>
                <w:lang w:val="en-US" w:eastAsia="zh-CN"/>
              </w:rPr>
              <w:t>序号</w:t>
            </w:r>
          </w:p>
        </w:tc>
        <w:tc>
          <w:tcPr>
            <w:tcW w:w="2339" w:type="pct"/>
            <w:tcBorders>
              <w:tl2br w:val="nil"/>
              <w:tr2bl w:val="nil"/>
            </w:tcBorders>
            <w:shd w:val="clear" w:color="auto" w:fill="DAE3F3" w:themeFill="accent5" w:themeFillTint="32"/>
            <w:vAlign w:val="center"/>
          </w:tcPr>
          <w:p w14:paraId="1A66E425">
            <w:pPr>
              <w:pStyle w:val="106"/>
              <w:bidi w:val="0"/>
              <w:rPr>
                <w:rFonts w:hint="default"/>
                <w:highlight w:val="none"/>
                <w:lang w:val="en-US" w:eastAsia="zh-CN"/>
              </w:rPr>
            </w:pPr>
            <w:r>
              <w:rPr>
                <w:rFonts w:hint="eastAsia"/>
                <w:highlight w:val="none"/>
                <w:lang w:val="en-US" w:eastAsia="zh-CN"/>
              </w:rPr>
              <w:t>塔机使用单位工程</w:t>
            </w:r>
          </w:p>
        </w:tc>
        <w:tc>
          <w:tcPr>
            <w:tcW w:w="1173" w:type="pct"/>
            <w:tcBorders>
              <w:tl2br w:val="nil"/>
              <w:tr2bl w:val="nil"/>
            </w:tcBorders>
            <w:shd w:val="clear" w:color="auto" w:fill="DAE3F3" w:themeFill="accent5" w:themeFillTint="32"/>
            <w:vAlign w:val="center"/>
          </w:tcPr>
          <w:p w14:paraId="633208B2">
            <w:pPr>
              <w:pStyle w:val="106"/>
              <w:bidi w:val="0"/>
              <w:rPr>
                <w:rFonts w:hint="default"/>
                <w:highlight w:val="none"/>
                <w:lang w:val="en-US" w:eastAsia="zh-CN"/>
              </w:rPr>
            </w:pPr>
            <w:r>
              <w:rPr>
                <w:rFonts w:hint="eastAsia"/>
                <w:highlight w:val="none"/>
                <w:lang w:val="en-US" w:eastAsia="zh-CN"/>
              </w:rPr>
              <w:t>专业分包单位</w:t>
            </w:r>
          </w:p>
        </w:tc>
        <w:tc>
          <w:tcPr>
            <w:tcW w:w="976" w:type="pct"/>
            <w:tcBorders>
              <w:tl2br w:val="nil"/>
              <w:tr2bl w:val="nil"/>
            </w:tcBorders>
            <w:shd w:val="clear" w:color="auto" w:fill="DAE3F3" w:themeFill="accent5" w:themeFillTint="32"/>
            <w:vAlign w:val="center"/>
          </w:tcPr>
          <w:p w14:paraId="5028BDB0">
            <w:pPr>
              <w:pStyle w:val="106"/>
              <w:bidi w:val="0"/>
              <w:rPr>
                <w:rFonts w:hint="eastAsia"/>
                <w:highlight w:val="none"/>
                <w:lang w:val="en-US" w:eastAsia="zh-CN"/>
              </w:rPr>
            </w:pPr>
            <w:r>
              <w:rPr>
                <w:rFonts w:hint="eastAsia"/>
                <w:highlight w:val="none"/>
                <w:lang w:val="en-US" w:eastAsia="zh-CN"/>
              </w:rPr>
              <w:t>备注</w:t>
            </w:r>
          </w:p>
        </w:tc>
      </w:tr>
      <w:tr w14:paraId="63C56147">
        <w:tblPrEx>
          <w:tblBorders>
            <w:top w:val="double" w:color="0000E3" w:sz="4" w:space="0"/>
            <w:left w:val="double" w:color="0000E3" w:sz="4" w:space="0"/>
            <w:bottom w:val="double" w:color="0000E3" w:sz="4" w:space="0"/>
            <w:right w:val="double" w:color="0000E3" w:sz="4" w:space="0"/>
            <w:insideH w:val="single" w:color="0000E3" w:sz="4" w:space="0"/>
            <w:insideV w:val="single" w:color="0000E3" w:sz="4" w:space="0"/>
          </w:tblBorders>
          <w:tblCellMar>
            <w:top w:w="0" w:type="dxa"/>
            <w:left w:w="108" w:type="dxa"/>
            <w:bottom w:w="0" w:type="dxa"/>
            <w:right w:w="108" w:type="dxa"/>
          </w:tblCellMar>
        </w:tblPrEx>
        <w:trPr>
          <w:trHeight w:val="1786" w:hRule="atLeast"/>
          <w:jc w:val="center"/>
        </w:trPr>
        <w:tc>
          <w:tcPr>
            <w:tcW w:w="511" w:type="pct"/>
            <w:tcBorders>
              <w:tl2br w:val="nil"/>
              <w:tr2bl w:val="nil"/>
            </w:tcBorders>
            <w:vAlign w:val="center"/>
          </w:tcPr>
          <w:p w14:paraId="2AE0903F">
            <w:pPr>
              <w:pStyle w:val="106"/>
              <w:bidi w:val="0"/>
              <w:rPr>
                <w:rFonts w:hint="eastAsia"/>
                <w:highlight w:val="none"/>
                <w:lang w:val="en-US" w:eastAsia="zh-CN"/>
              </w:rPr>
            </w:pPr>
            <w:r>
              <w:rPr>
                <w:rFonts w:hint="eastAsia"/>
                <w:highlight w:val="none"/>
                <w:lang w:val="en-US" w:eastAsia="zh-CN"/>
              </w:rPr>
              <w:t>1</w:t>
            </w:r>
          </w:p>
        </w:tc>
        <w:tc>
          <w:tcPr>
            <w:tcW w:w="2339" w:type="pct"/>
            <w:tcBorders>
              <w:tl2br w:val="nil"/>
              <w:tr2bl w:val="nil"/>
            </w:tcBorders>
            <w:vAlign w:val="center"/>
          </w:tcPr>
          <w:p w14:paraId="1D6C70ED">
            <w:pPr>
              <w:pStyle w:val="106"/>
              <w:bidi w:val="0"/>
              <w:rPr>
                <w:rFonts w:hint="default"/>
                <w:highlight w:val="none"/>
                <w:lang w:val="en-US" w:eastAsia="zh-CN"/>
              </w:rPr>
            </w:pPr>
            <w:r>
              <w:rPr>
                <w:rFonts w:hint="eastAsia"/>
                <w:highlight w:val="none"/>
                <w:lang w:val="en-US" w:eastAsia="zh-CN"/>
              </w:rPr>
              <w:t>杨梅冲2号桥右幅3#墩施工</w:t>
            </w:r>
          </w:p>
        </w:tc>
        <w:tc>
          <w:tcPr>
            <w:tcW w:w="1173" w:type="pct"/>
            <w:tcBorders>
              <w:tl2br w:val="nil"/>
              <w:tr2bl w:val="nil"/>
            </w:tcBorders>
            <w:vAlign w:val="center"/>
          </w:tcPr>
          <w:p w14:paraId="49646BEF">
            <w:pPr>
              <w:pStyle w:val="106"/>
              <w:bidi w:val="0"/>
              <w:rPr>
                <w:rFonts w:hint="default"/>
                <w:highlight w:val="none"/>
                <w:lang w:val="en-US" w:eastAsia="zh-CN"/>
              </w:rPr>
            </w:pPr>
            <w:r>
              <w:rPr>
                <w:rFonts w:hint="eastAsia"/>
                <w:highlight w:val="none"/>
                <w:lang w:val="en-US" w:eastAsia="zh-CN"/>
              </w:rPr>
              <w:t>四川科斗文智能装备有限公司</w:t>
            </w:r>
          </w:p>
        </w:tc>
        <w:tc>
          <w:tcPr>
            <w:tcW w:w="976" w:type="pct"/>
            <w:tcBorders>
              <w:tl2br w:val="nil"/>
              <w:tr2bl w:val="nil"/>
            </w:tcBorders>
            <w:vAlign w:val="center"/>
          </w:tcPr>
          <w:p w14:paraId="49934A5E">
            <w:pPr>
              <w:pStyle w:val="106"/>
              <w:bidi w:val="0"/>
              <w:rPr>
                <w:rFonts w:hint="default"/>
                <w:highlight w:val="none"/>
                <w:lang w:val="en-US" w:eastAsia="zh-CN"/>
              </w:rPr>
            </w:pPr>
          </w:p>
        </w:tc>
      </w:tr>
    </w:tbl>
    <w:p w14:paraId="47B3C373">
      <w:pPr>
        <w:pStyle w:val="3"/>
        <w:bidi w:val="0"/>
        <w:ind w:left="575" w:leftChars="0" w:hanging="575" w:firstLineChars="0"/>
        <w:rPr>
          <w:rFonts w:hint="eastAsia"/>
          <w:lang w:val="en-US" w:eastAsia="zh-CN"/>
        </w:rPr>
      </w:pPr>
      <w:bookmarkStart w:id="136" w:name="_Toc22295"/>
      <w:bookmarkStart w:id="137" w:name="_Toc9350"/>
      <w:bookmarkStart w:id="138" w:name="_Toc14473"/>
      <w:r>
        <w:rPr>
          <w:rFonts w:hint="eastAsia"/>
        </w:rPr>
        <w:t xml:space="preserve"> </w:t>
      </w:r>
      <w:bookmarkEnd w:id="129"/>
      <w:bookmarkEnd w:id="130"/>
      <w:bookmarkStart w:id="139" w:name="_Toc28069"/>
      <w:bookmarkStart w:id="140" w:name="_Toc12604"/>
      <w:r>
        <w:rPr>
          <w:rFonts w:hint="eastAsia"/>
          <w:lang w:val="en-US" w:eastAsia="zh-CN"/>
        </w:rPr>
        <w:t>施工进度计划</w:t>
      </w:r>
      <w:bookmarkEnd w:id="136"/>
      <w:bookmarkEnd w:id="137"/>
      <w:bookmarkEnd w:id="138"/>
      <w:bookmarkEnd w:id="139"/>
      <w:bookmarkEnd w:id="140"/>
    </w:p>
    <w:p w14:paraId="6D0E8A41">
      <w:pPr>
        <w:bidi w:val="0"/>
        <w:spacing w:line="360" w:lineRule="auto"/>
        <w:ind w:firstLine="480" w:firstLineChars="200"/>
        <w:rPr>
          <w:rFonts w:hint="default"/>
          <w:highlight w:val="none"/>
          <w:lang w:val="en-US" w:eastAsia="zh-CN"/>
        </w:rPr>
      </w:pPr>
      <w:r>
        <w:rPr>
          <w:rFonts w:hint="eastAsia" w:ascii="宋体" w:hAnsi="宋体" w:eastAsia="宋体" w:cs="宋体"/>
          <w:highlight w:val="none"/>
          <w:lang w:val="en-US" w:eastAsia="zh-CN"/>
        </w:rPr>
        <w:t>每台塔机的拆除时间主要考虑降节时间及上部结构拆除时间，根据项目部工期安排</w:t>
      </w:r>
      <w:r>
        <w:rPr>
          <w:rFonts w:hint="eastAsia" w:ascii="宋体" w:hAnsi="宋体" w:eastAsia="宋体" w:cs="宋体"/>
          <w:i w:val="0"/>
          <w:iCs w:val="0"/>
          <w:caps w:val="0"/>
          <w:color w:val="0F1115"/>
          <w:spacing w:val="0"/>
          <w:sz w:val="24"/>
          <w:szCs w:val="24"/>
          <w:shd w:val="clear" w:fill="FFFFFF"/>
        </w:rPr>
        <w:t>与主体结构完工进度确定拆除</w:t>
      </w:r>
      <w:r>
        <w:rPr>
          <w:rFonts w:hint="eastAsia" w:ascii="宋体" w:hAnsi="宋体" w:eastAsia="宋体" w:cs="宋体"/>
          <w:i w:val="0"/>
          <w:iCs w:val="0"/>
          <w:caps w:val="0"/>
          <w:color w:val="0F1115"/>
          <w:spacing w:val="0"/>
          <w:sz w:val="24"/>
          <w:szCs w:val="24"/>
          <w:shd w:val="clear" w:fill="FFFFFF"/>
          <w:lang w:val="en-US" w:eastAsia="zh-CN"/>
        </w:rPr>
        <w:t>时间</w:t>
      </w:r>
      <w:r>
        <w:rPr>
          <w:rFonts w:hint="eastAsia" w:ascii="宋体" w:hAnsi="宋体" w:eastAsia="宋体" w:cs="宋体"/>
          <w:highlight w:val="none"/>
          <w:lang w:val="en-US" w:eastAsia="zh-CN"/>
        </w:rPr>
        <w:t>（同时需根据天气及环境因素调整合适的时间）</w:t>
      </w:r>
      <w:r>
        <w:rPr>
          <w:rFonts w:hint="default"/>
          <w:highlight w:val="none"/>
          <w:lang w:val="en-US" w:eastAsia="zh-CN"/>
        </w:rPr>
        <w:t>。</w:t>
      </w:r>
    </w:p>
    <w:p w14:paraId="66521DFD">
      <w:pPr>
        <w:pStyle w:val="14"/>
      </w:pPr>
      <w:r>
        <w:t xml:space="preserve">表 </w:t>
      </w:r>
      <w:r>
        <w:fldChar w:fldCharType="begin"/>
      </w:r>
      <w:r>
        <w:instrText xml:space="preserve"> STYLEREF 2 \s </w:instrText>
      </w:r>
      <w:r>
        <w:fldChar w:fldCharType="separate"/>
      </w:r>
      <w:r>
        <w:t>3.2</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lang w:val="en-US" w:eastAsia="zh-CN"/>
        </w:rPr>
        <w:t xml:space="preserve"> </w:t>
      </w:r>
      <w:r>
        <w:rPr>
          <w:rFonts w:hint="eastAsia"/>
          <w:highlight w:val="none"/>
          <w:lang w:val="en-US" w:eastAsia="zh-CN"/>
        </w:rPr>
        <w:t>杨梅冲2号桥3#墩塔机使用时间汇总表</w:t>
      </w:r>
    </w:p>
    <w:tbl>
      <w:tblPr>
        <w:tblStyle w:val="29"/>
        <w:tblW w:w="4998" w:type="pct"/>
        <w:jc w:val="center"/>
        <w:tblBorders>
          <w:top w:val="double" w:color="0000E3" w:sz="4" w:space="0"/>
          <w:left w:val="double" w:color="0000E3" w:sz="4" w:space="0"/>
          <w:bottom w:val="double" w:color="0000E3" w:sz="4" w:space="0"/>
          <w:right w:val="double" w:color="0000E3" w:sz="4" w:space="0"/>
          <w:insideH w:val="single" w:color="0000E3" w:sz="4" w:space="0"/>
          <w:insideV w:val="single" w:color="0000E3" w:sz="4" w:space="0"/>
        </w:tblBorders>
        <w:tblLayout w:type="autofit"/>
        <w:tblCellMar>
          <w:top w:w="0" w:type="dxa"/>
          <w:left w:w="0" w:type="dxa"/>
          <w:bottom w:w="0" w:type="dxa"/>
          <w:right w:w="0" w:type="dxa"/>
        </w:tblCellMar>
      </w:tblPr>
      <w:tblGrid>
        <w:gridCol w:w="681"/>
        <w:gridCol w:w="1695"/>
        <w:gridCol w:w="1579"/>
        <w:gridCol w:w="1579"/>
        <w:gridCol w:w="1399"/>
        <w:gridCol w:w="1400"/>
      </w:tblGrid>
      <w:tr w14:paraId="1F274790">
        <w:tblPrEx>
          <w:tblBorders>
            <w:top w:val="double" w:color="0000E3" w:sz="4" w:space="0"/>
            <w:left w:val="double" w:color="0000E3" w:sz="4" w:space="0"/>
            <w:bottom w:val="double" w:color="0000E3" w:sz="4" w:space="0"/>
            <w:right w:val="double" w:color="0000E3" w:sz="4" w:space="0"/>
            <w:insideH w:val="single" w:color="0000E3" w:sz="4" w:space="0"/>
            <w:insideV w:val="single" w:color="0000E3" w:sz="4" w:space="0"/>
          </w:tblBorders>
          <w:tblCellMar>
            <w:top w:w="0" w:type="dxa"/>
            <w:left w:w="0" w:type="dxa"/>
            <w:bottom w:w="0" w:type="dxa"/>
            <w:right w:w="0" w:type="dxa"/>
          </w:tblCellMar>
        </w:tblPrEx>
        <w:trPr>
          <w:trHeight w:val="454" w:hRule="atLeast"/>
          <w:tblHeader/>
          <w:jc w:val="center"/>
        </w:trPr>
        <w:tc>
          <w:tcPr>
            <w:tcW w:w="415" w:type="pct"/>
            <w:tcBorders>
              <w:tl2br w:val="nil"/>
              <w:tr2bl w:val="nil"/>
            </w:tcBorders>
            <w:shd w:val="clear" w:color="auto" w:fill="DAE3F3" w:themeFill="accent5" w:themeFillTint="32"/>
            <w:noWrap/>
            <w:tcMar>
              <w:top w:w="15" w:type="dxa"/>
              <w:left w:w="15" w:type="dxa"/>
              <w:right w:w="15" w:type="dxa"/>
            </w:tcMar>
            <w:vAlign w:val="center"/>
          </w:tcPr>
          <w:p w14:paraId="4A24FD32">
            <w:pPr>
              <w:keepNext w:val="0"/>
              <w:keepLines w:val="0"/>
              <w:widowControl/>
              <w:suppressLineNumbers w:val="0"/>
              <w:spacing w:line="240" w:lineRule="auto"/>
              <w:ind w:firstLine="0" w:firstLineChars="0"/>
              <w:jc w:val="center"/>
              <w:textAlignment w:val="center"/>
              <w:rPr>
                <w:rFonts w:hint="eastAsia" w:ascii="仿宋" w:hAnsi="仿宋" w:eastAsia="仿宋" w:cs="仿宋"/>
                <w:b/>
                <w:bCs/>
                <w:i w:val="0"/>
                <w:color w:val="000000"/>
                <w:sz w:val="21"/>
                <w:szCs w:val="21"/>
                <w:highlight w:val="none"/>
                <w:u w:val="none"/>
                <w:lang w:val="en-US" w:eastAsia="zh-CN"/>
              </w:rPr>
            </w:pPr>
            <w:r>
              <w:rPr>
                <w:rFonts w:hint="eastAsia" w:ascii="仿宋" w:hAnsi="仿宋" w:eastAsia="仿宋" w:cs="仿宋"/>
                <w:b/>
                <w:bCs/>
                <w:i w:val="0"/>
                <w:color w:val="000000"/>
                <w:sz w:val="21"/>
                <w:szCs w:val="21"/>
                <w:highlight w:val="none"/>
                <w:u w:val="none"/>
                <w:lang w:val="en-US" w:eastAsia="zh-CN"/>
              </w:rPr>
              <w:t>序号</w:t>
            </w:r>
          </w:p>
        </w:tc>
        <w:tc>
          <w:tcPr>
            <w:tcW w:w="984" w:type="pct"/>
            <w:tcBorders>
              <w:tl2br w:val="nil"/>
              <w:tr2bl w:val="nil"/>
            </w:tcBorders>
            <w:shd w:val="clear" w:color="auto" w:fill="DAE3F3" w:themeFill="accent5" w:themeFillTint="32"/>
            <w:noWrap/>
            <w:tcMar>
              <w:top w:w="15" w:type="dxa"/>
              <w:left w:w="15" w:type="dxa"/>
              <w:right w:w="15" w:type="dxa"/>
            </w:tcMar>
            <w:vAlign w:val="center"/>
          </w:tcPr>
          <w:p w14:paraId="7C97D3C8">
            <w:pPr>
              <w:keepNext w:val="0"/>
              <w:keepLines w:val="0"/>
              <w:widowControl/>
              <w:suppressLineNumbers w:val="0"/>
              <w:spacing w:line="240" w:lineRule="auto"/>
              <w:ind w:firstLine="0" w:firstLineChars="0"/>
              <w:jc w:val="center"/>
              <w:textAlignment w:val="center"/>
              <w:rPr>
                <w:rFonts w:hint="default" w:ascii="仿宋" w:hAnsi="仿宋" w:eastAsia="仿宋" w:cs="仿宋"/>
                <w:b/>
                <w:bCs/>
                <w:i w:val="0"/>
                <w:color w:val="000000"/>
                <w:sz w:val="21"/>
                <w:szCs w:val="21"/>
                <w:highlight w:val="none"/>
                <w:u w:val="none"/>
                <w:lang w:val="en-US" w:eastAsia="zh-CN"/>
              </w:rPr>
            </w:pPr>
            <w:r>
              <w:rPr>
                <w:rFonts w:hint="eastAsia" w:ascii="仿宋" w:hAnsi="仿宋" w:eastAsia="仿宋" w:cs="仿宋"/>
                <w:b/>
                <w:bCs/>
                <w:i w:val="0"/>
                <w:color w:val="000000"/>
                <w:sz w:val="21"/>
                <w:szCs w:val="21"/>
                <w:highlight w:val="none"/>
                <w:u w:val="none"/>
                <w:lang w:val="en-US" w:eastAsia="zh-CN"/>
              </w:rPr>
              <w:t>拆除位置</w:t>
            </w:r>
          </w:p>
        </w:tc>
        <w:tc>
          <w:tcPr>
            <w:tcW w:w="954" w:type="pct"/>
            <w:tcBorders>
              <w:tl2br w:val="nil"/>
              <w:tr2bl w:val="nil"/>
            </w:tcBorders>
            <w:shd w:val="clear" w:color="auto" w:fill="DAE3F3" w:themeFill="accent5" w:themeFillTint="32"/>
            <w:noWrap/>
            <w:tcMar>
              <w:top w:w="15" w:type="dxa"/>
              <w:left w:w="15" w:type="dxa"/>
              <w:right w:w="15" w:type="dxa"/>
            </w:tcMar>
            <w:vAlign w:val="center"/>
          </w:tcPr>
          <w:p w14:paraId="7190FCF9">
            <w:pPr>
              <w:keepNext w:val="0"/>
              <w:keepLines w:val="0"/>
              <w:widowControl/>
              <w:suppressLineNumbers w:val="0"/>
              <w:spacing w:line="240" w:lineRule="auto"/>
              <w:ind w:firstLine="0" w:firstLineChars="0"/>
              <w:jc w:val="center"/>
              <w:textAlignment w:val="center"/>
              <w:rPr>
                <w:rFonts w:hint="eastAsia" w:ascii="仿宋" w:hAnsi="仿宋" w:eastAsia="仿宋" w:cs="仿宋"/>
                <w:b/>
                <w:bCs/>
                <w:i w:val="0"/>
                <w:color w:val="000000"/>
                <w:sz w:val="21"/>
                <w:szCs w:val="21"/>
                <w:highlight w:val="none"/>
                <w:u w:val="none"/>
                <w:lang w:val="en-US" w:eastAsia="zh-CN"/>
              </w:rPr>
            </w:pPr>
            <w:r>
              <w:rPr>
                <w:rFonts w:hint="eastAsia" w:ascii="仿宋" w:hAnsi="仿宋" w:eastAsia="仿宋" w:cs="仿宋"/>
                <w:b/>
                <w:bCs/>
                <w:i w:val="0"/>
                <w:color w:val="000000"/>
                <w:sz w:val="21"/>
                <w:szCs w:val="21"/>
                <w:highlight w:val="none"/>
                <w:u w:val="none"/>
                <w:lang w:val="en-US" w:eastAsia="zh-CN"/>
              </w:rPr>
              <w:t>塔机型号</w:t>
            </w:r>
          </w:p>
        </w:tc>
        <w:tc>
          <w:tcPr>
            <w:tcW w:w="954" w:type="pct"/>
            <w:tcBorders>
              <w:tl2br w:val="nil"/>
              <w:tr2bl w:val="nil"/>
            </w:tcBorders>
            <w:shd w:val="clear" w:color="auto" w:fill="DAE3F3" w:themeFill="accent5" w:themeFillTint="32"/>
            <w:noWrap/>
            <w:tcMar>
              <w:top w:w="15" w:type="dxa"/>
              <w:left w:w="15" w:type="dxa"/>
              <w:right w:w="15" w:type="dxa"/>
            </w:tcMar>
            <w:vAlign w:val="center"/>
          </w:tcPr>
          <w:p w14:paraId="7C46BF4B">
            <w:pPr>
              <w:keepNext w:val="0"/>
              <w:keepLines w:val="0"/>
              <w:widowControl/>
              <w:suppressLineNumbers w:val="0"/>
              <w:spacing w:line="240" w:lineRule="auto"/>
              <w:ind w:firstLine="0" w:firstLineChars="0"/>
              <w:jc w:val="center"/>
              <w:textAlignment w:val="center"/>
              <w:rPr>
                <w:rFonts w:hint="default" w:ascii="仿宋" w:hAnsi="仿宋" w:eastAsia="仿宋" w:cs="仿宋"/>
                <w:b/>
                <w:bCs/>
                <w:i w:val="0"/>
                <w:color w:val="000000"/>
                <w:sz w:val="21"/>
                <w:szCs w:val="21"/>
                <w:highlight w:val="none"/>
                <w:u w:val="none"/>
                <w:lang w:val="en-US" w:eastAsia="zh-CN"/>
              </w:rPr>
            </w:pPr>
            <w:r>
              <w:rPr>
                <w:rFonts w:hint="eastAsia" w:ascii="仿宋" w:hAnsi="仿宋" w:eastAsia="仿宋" w:cs="仿宋"/>
                <w:b/>
                <w:bCs/>
                <w:i w:val="0"/>
                <w:color w:val="000000"/>
                <w:sz w:val="21"/>
                <w:szCs w:val="21"/>
                <w:highlight w:val="none"/>
                <w:u w:val="none"/>
                <w:lang w:val="en-US" w:eastAsia="zh-CN"/>
              </w:rPr>
              <w:t>计划开始时间</w:t>
            </w:r>
          </w:p>
        </w:tc>
        <w:tc>
          <w:tcPr>
            <w:tcW w:w="846" w:type="pct"/>
            <w:tcBorders>
              <w:tl2br w:val="nil"/>
              <w:tr2bl w:val="nil"/>
            </w:tcBorders>
            <w:shd w:val="clear" w:color="auto" w:fill="DAE3F3" w:themeFill="accent5" w:themeFillTint="32"/>
            <w:noWrap/>
            <w:tcMar>
              <w:top w:w="15" w:type="dxa"/>
              <w:left w:w="15" w:type="dxa"/>
              <w:right w:w="15" w:type="dxa"/>
            </w:tcMar>
            <w:vAlign w:val="center"/>
          </w:tcPr>
          <w:p w14:paraId="295A053A">
            <w:pPr>
              <w:keepNext w:val="0"/>
              <w:keepLines w:val="0"/>
              <w:widowControl/>
              <w:suppressLineNumbers w:val="0"/>
              <w:spacing w:line="240" w:lineRule="auto"/>
              <w:ind w:firstLine="0" w:firstLineChars="0"/>
              <w:jc w:val="center"/>
              <w:textAlignment w:val="center"/>
              <w:rPr>
                <w:rFonts w:hint="default" w:ascii="仿宋" w:hAnsi="仿宋" w:eastAsia="仿宋" w:cs="仿宋"/>
                <w:b/>
                <w:bCs/>
                <w:i w:val="0"/>
                <w:color w:val="000000"/>
                <w:sz w:val="21"/>
                <w:szCs w:val="21"/>
                <w:highlight w:val="none"/>
                <w:u w:val="none"/>
                <w:lang w:val="en-US" w:eastAsia="zh-CN"/>
              </w:rPr>
            </w:pPr>
            <w:r>
              <w:rPr>
                <w:rFonts w:hint="eastAsia" w:ascii="仿宋" w:hAnsi="仿宋" w:eastAsia="仿宋" w:cs="仿宋"/>
                <w:b/>
                <w:bCs/>
                <w:i w:val="0"/>
                <w:color w:val="000000"/>
                <w:sz w:val="21"/>
                <w:szCs w:val="21"/>
                <w:highlight w:val="none"/>
                <w:u w:val="none"/>
                <w:lang w:val="en-US" w:eastAsia="zh-CN"/>
              </w:rPr>
              <w:t>计划结束时间</w:t>
            </w:r>
          </w:p>
        </w:tc>
        <w:tc>
          <w:tcPr>
            <w:tcW w:w="846" w:type="pct"/>
            <w:tcBorders>
              <w:tl2br w:val="nil"/>
              <w:tr2bl w:val="nil"/>
            </w:tcBorders>
            <w:shd w:val="clear" w:color="auto" w:fill="DAE3F3" w:themeFill="accent5" w:themeFillTint="32"/>
            <w:noWrap/>
            <w:tcMar>
              <w:top w:w="15" w:type="dxa"/>
              <w:left w:w="15" w:type="dxa"/>
              <w:right w:w="15" w:type="dxa"/>
            </w:tcMar>
            <w:vAlign w:val="center"/>
          </w:tcPr>
          <w:p w14:paraId="55418459">
            <w:pPr>
              <w:keepNext w:val="0"/>
              <w:keepLines w:val="0"/>
              <w:widowControl/>
              <w:suppressLineNumbers w:val="0"/>
              <w:spacing w:line="240" w:lineRule="auto"/>
              <w:ind w:firstLine="0" w:firstLineChars="0"/>
              <w:jc w:val="center"/>
              <w:textAlignment w:val="center"/>
              <w:rPr>
                <w:rFonts w:hint="default" w:ascii="仿宋" w:hAnsi="仿宋" w:eastAsia="仿宋" w:cs="仿宋"/>
                <w:b/>
                <w:bCs/>
                <w:i w:val="0"/>
                <w:color w:val="000000"/>
                <w:sz w:val="21"/>
                <w:szCs w:val="21"/>
                <w:highlight w:val="none"/>
                <w:u w:val="none"/>
                <w:lang w:val="en-US" w:eastAsia="zh-CN"/>
              </w:rPr>
            </w:pPr>
            <w:r>
              <w:rPr>
                <w:rFonts w:hint="eastAsia" w:ascii="仿宋" w:hAnsi="仿宋" w:eastAsia="仿宋" w:cs="仿宋"/>
                <w:b/>
                <w:bCs/>
                <w:i w:val="0"/>
                <w:color w:val="000000"/>
                <w:sz w:val="21"/>
                <w:szCs w:val="21"/>
                <w:highlight w:val="none"/>
                <w:u w:val="none"/>
                <w:lang w:val="en-US" w:eastAsia="zh-CN"/>
              </w:rPr>
              <w:t>使用期限</w:t>
            </w:r>
          </w:p>
        </w:tc>
      </w:tr>
      <w:tr w14:paraId="2CB6A381">
        <w:tblPrEx>
          <w:tblBorders>
            <w:top w:val="double" w:color="0000E3" w:sz="4" w:space="0"/>
            <w:left w:val="double" w:color="0000E3" w:sz="4" w:space="0"/>
            <w:bottom w:val="double" w:color="0000E3" w:sz="4" w:space="0"/>
            <w:right w:val="double" w:color="0000E3" w:sz="4" w:space="0"/>
            <w:insideH w:val="single" w:color="0000E3" w:sz="4" w:space="0"/>
            <w:insideV w:val="single" w:color="0000E3" w:sz="4" w:space="0"/>
          </w:tblBorders>
          <w:tblCellMar>
            <w:top w:w="0" w:type="dxa"/>
            <w:left w:w="0" w:type="dxa"/>
            <w:bottom w:w="0" w:type="dxa"/>
            <w:right w:w="0" w:type="dxa"/>
          </w:tblCellMar>
        </w:tblPrEx>
        <w:trPr>
          <w:trHeight w:val="454" w:hRule="atLeast"/>
          <w:jc w:val="center"/>
        </w:trPr>
        <w:tc>
          <w:tcPr>
            <w:tcW w:w="415" w:type="pct"/>
            <w:tcBorders>
              <w:tl2br w:val="nil"/>
              <w:tr2bl w:val="nil"/>
            </w:tcBorders>
            <w:noWrap/>
            <w:tcMar>
              <w:top w:w="15" w:type="dxa"/>
              <w:left w:w="15" w:type="dxa"/>
              <w:right w:w="15" w:type="dxa"/>
            </w:tcMar>
            <w:vAlign w:val="center"/>
          </w:tcPr>
          <w:p w14:paraId="5D256A41">
            <w:pPr>
              <w:spacing w:after="0" w:afterLines="0" w:line="240" w:lineRule="auto"/>
              <w:ind w:firstLine="0" w:firstLineChars="0"/>
              <w:jc w:val="center"/>
              <w:rPr>
                <w:rFonts w:hint="default" w:ascii="宋体" w:hAnsi="宋体" w:eastAsia="宋体" w:cs="宋体"/>
                <w:bCs/>
                <w:color w:val="000000" w:themeColor="text1"/>
                <w:sz w:val="18"/>
                <w:szCs w:val="18"/>
                <w:highlight w:val="none"/>
                <w:lang w:val="en-US" w:eastAsia="zh-CN"/>
                <w14:textFill>
                  <w14:solidFill>
                    <w14:schemeClr w14:val="tx1"/>
                  </w14:solidFill>
                </w14:textFill>
              </w:rPr>
            </w:pPr>
            <w:r>
              <w:rPr>
                <w:rFonts w:hint="eastAsia" w:ascii="宋体" w:hAnsi="宋体" w:eastAsia="宋体" w:cs="宋体"/>
                <w:bCs/>
                <w:color w:val="000000" w:themeColor="text1"/>
                <w:sz w:val="18"/>
                <w:szCs w:val="18"/>
                <w:highlight w:val="none"/>
                <w:lang w:val="en-US" w:eastAsia="zh-CN"/>
                <w14:textFill>
                  <w14:solidFill>
                    <w14:schemeClr w14:val="tx1"/>
                  </w14:solidFill>
                </w14:textFill>
              </w:rPr>
              <w:t>1</w:t>
            </w:r>
          </w:p>
        </w:tc>
        <w:tc>
          <w:tcPr>
            <w:tcW w:w="984" w:type="pct"/>
            <w:tcBorders>
              <w:tl2br w:val="nil"/>
              <w:tr2bl w:val="nil"/>
            </w:tcBorders>
            <w:noWrap/>
            <w:tcMar>
              <w:top w:w="15" w:type="dxa"/>
              <w:left w:w="15" w:type="dxa"/>
              <w:right w:w="15" w:type="dxa"/>
            </w:tcMar>
            <w:vAlign w:val="center"/>
          </w:tcPr>
          <w:p w14:paraId="012547ED">
            <w:pPr>
              <w:spacing w:after="0" w:afterLines="0" w:line="240" w:lineRule="auto"/>
              <w:ind w:firstLine="0" w:firstLineChars="0"/>
              <w:jc w:val="center"/>
              <w:rPr>
                <w:rFonts w:hint="eastAsia" w:ascii="宋体" w:hAnsi="宋体" w:eastAsia="宋体" w:cs="宋体"/>
                <w:bCs/>
                <w:color w:val="000000" w:themeColor="text1"/>
                <w:sz w:val="18"/>
                <w:szCs w:val="18"/>
                <w:highlight w:val="none"/>
                <w:lang w:val="en-US" w:eastAsia="zh-CN"/>
                <w14:textFill>
                  <w14:solidFill>
                    <w14:schemeClr w14:val="tx1"/>
                  </w14:solidFill>
                </w14:textFill>
              </w:rPr>
            </w:pPr>
            <w:r>
              <w:rPr>
                <w:rFonts w:hint="eastAsia" w:ascii="宋体" w:hAnsi="宋体" w:eastAsia="宋体" w:cs="宋体"/>
                <w:bCs/>
                <w:color w:val="000000" w:themeColor="text1"/>
                <w:sz w:val="18"/>
                <w:szCs w:val="18"/>
                <w:highlight w:val="none"/>
                <w:lang w:val="en-US" w:eastAsia="zh-CN"/>
                <w14:textFill>
                  <w14:solidFill>
                    <w14:schemeClr w14:val="tx1"/>
                  </w14:solidFill>
                </w14:textFill>
              </w:rPr>
              <w:t>杨梅冲2号</w:t>
            </w:r>
            <w:r>
              <w:rPr>
                <w:rFonts w:hint="eastAsia" w:cs="宋体"/>
                <w:bCs/>
                <w:color w:val="000000" w:themeColor="text1"/>
                <w:sz w:val="18"/>
                <w:szCs w:val="18"/>
                <w:highlight w:val="none"/>
                <w:lang w:val="en-US" w:eastAsia="zh-CN"/>
                <w14:textFill>
                  <w14:solidFill>
                    <w14:schemeClr w14:val="tx1"/>
                  </w14:solidFill>
                </w14:textFill>
              </w:rPr>
              <w:t>右幅</w:t>
            </w:r>
            <w:r>
              <w:rPr>
                <w:rFonts w:hint="eastAsia" w:ascii="宋体" w:hAnsi="宋体" w:eastAsia="宋体" w:cs="宋体"/>
                <w:bCs/>
                <w:color w:val="000000" w:themeColor="text1"/>
                <w:sz w:val="18"/>
                <w:szCs w:val="18"/>
                <w:highlight w:val="none"/>
                <w:lang w:val="en-US" w:eastAsia="zh-CN"/>
                <w14:textFill>
                  <w14:solidFill>
                    <w14:schemeClr w14:val="tx1"/>
                  </w14:solidFill>
                </w14:textFill>
              </w:rPr>
              <w:t>3#墩</w:t>
            </w:r>
          </w:p>
        </w:tc>
        <w:tc>
          <w:tcPr>
            <w:tcW w:w="954" w:type="pct"/>
            <w:tcBorders>
              <w:tl2br w:val="nil"/>
              <w:tr2bl w:val="nil"/>
            </w:tcBorders>
            <w:noWrap/>
            <w:tcMar>
              <w:top w:w="15" w:type="dxa"/>
              <w:left w:w="15" w:type="dxa"/>
              <w:right w:w="15" w:type="dxa"/>
            </w:tcMar>
            <w:vAlign w:val="center"/>
          </w:tcPr>
          <w:p w14:paraId="351361A5">
            <w:pPr>
              <w:spacing w:after="0" w:afterLines="0" w:line="240" w:lineRule="auto"/>
              <w:ind w:firstLine="0" w:firstLineChars="0"/>
              <w:jc w:val="center"/>
              <w:rPr>
                <w:rFonts w:hint="eastAsia" w:ascii="宋体" w:hAnsi="宋体" w:eastAsia="宋体" w:cs="宋体"/>
                <w:bCs/>
                <w:color w:val="000000" w:themeColor="text1"/>
                <w:sz w:val="18"/>
                <w:szCs w:val="18"/>
                <w:highlight w:val="none"/>
                <w:lang w:val="en-US" w:eastAsia="zh-CN"/>
                <w14:textFill>
                  <w14:solidFill>
                    <w14:schemeClr w14:val="tx1"/>
                  </w14:solidFill>
                </w14:textFill>
              </w:rPr>
            </w:pPr>
            <w:r>
              <w:rPr>
                <w:rFonts w:hint="eastAsia" w:ascii="宋体" w:hAnsi="宋体" w:eastAsia="宋体" w:cs="宋体"/>
                <w:bCs/>
                <w:color w:val="000000" w:themeColor="text1"/>
                <w:sz w:val="18"/>
                <w:szCs w:val="18"/>
                <w:highlight w:val="none"/>
                <w:lang w:val="en-US" w:eastAsia="zh-CN"/>
                <w14:textFill>
                  <w14:solidFill>
                    <w14:schemeClr w14:val="tx1"/>
                  </w14:solidFill>
                </w14:textFill>
              </w:rPr>
              <w:t>徐工</w:t>
            </w:r>
            <w:r>
              <w:rPr>
                <w:rFonts w:hint="eastAsia" w:cs="宋体"/>
                <w:bCs/>
                <w:color w:val="000000" w:themeColor="text1"/>
                <w:sz w:val="18"/>
                <w:szCs w:val="18"/>
                <w:highlight w:val="none"/>
                <w:lang w:val="en-US" w:eastAsia="zh-CN"/>
                <w14:textFill>
                  <w14:solidFill>
                    <w14:schemeClr w14:val="tx1"/>
                  </w14:solidFill>
                </w14:textFill>
              </w:rPr>
              <w:t>XGT7020-10S1</w:t>
            </w:r>
          </w:p>
        </w:tc>
        <w:tc>
          <w:tcPr>
            <w:tcW w:w="954" w:type="pct"/>
            <w:tcBorders>
              <w:tl2br w:val="nil"/>
              <w:tr2bl w:val="nil"/>
            </w:tcBorders>
            <w:noWrap/>
            <w:tcMar>
              <w:top w:w="15" w:type="dxa"/>
              <w:left w:w="15" w:type="dxa"/>
              <w:right w:w="15" w:type="dxa"/>
            </w:tcMar>
            <w:vAlign w:val="center"/>
          </w:tcPr>
          <w:p w14:paraId="67CA964F">
            <w:pPr>
              <w:keepNext w:val="0"/>
              <w:keepLines w:val="0"/>
              <w:widowControl/>
              <w:suppressLineNumbers w:val="0"/>
              <w:jc w:val="center"/>
              <w:textAlignment w:val="center"/>
              <w:rPr>
                <w:rFonts w:hint="default" w:ascii="宋体" w:hAnsi="宋体" w:eastAsia="宋体" w:cs="宋体"/>
                <w:i w:val="0"/>
                <w:color w:val="auto"/>
                <w:sz w:val="18"/>
                <w:szCs w:val="18"/>
                <w:highlight w:val="none"/>
                <w:u w:val="none"/>
                <w:lang w:val="en-US"/>
              </w:rPr>
            </w:pPr>
          </w:p>
        </w:tc>
        <w:tc>
          <w:tcPr>
            <w:tcW w:w="846" w:type="pct"/>
            <w:tcBorders>
              <w:tl2br w:val="nil"/>
              <w:tr2bl w:val="nil"/>
            </w:tcBorders>
            <w:noWrap/>
            <w:tcMar>
              <w:top w:w="15" w:type="dxa"/>
              <w:left w:w="15" w:type="dxa"/>
              <w:right w:w="15" w:type="dxa"/>
            </w:tcMar>
            <w:vAlign w:val="center"/>
          </w:tcPr>
          <w:p w14:paraId="58383405">
            <w:pPr>
              <w:keepNext w:val="0"/>
              <w:keepLines w:val="0"/>
              <w:widowControl/>
              <w:suppressLineNumbers w:val="0"/>
              <w:jc w:val="center"/>
              <w:textAlignment w:val="center"/>
              <w:rPr>
                <w:rFonts w:hint="default" w:ascii="宋体" w:hAnsi="宋体" w:eastAsia="宋体" w:cs="宋体"/>
                <w:i w:val="0"/>
                <w:color w:val="auto"/>
                <w:sz w:val="18"/>
                <w:szCs w:val="18"/>
                <w:highlight w:val="none"/>
                <w:u w:val="none"/>
                <w:lang w:val="en-US"/>
              </w:rPr>
            </w:pPr>
          </w:p>
        </w:tc>
        <w:tc>
          <w:tcPr>
            <w:tcW w:w="846" w:type="pct"/>
            <w:tcBorders>
              <w:tl2br w:val="nil"/>
              <w:tr2bl w:val="nil"/>
            </w:tcBorders>
            <w:noWrap/>
            <w:tcMar>
              <w:top w:w="15" w:type="dxa"/>
              <w:left w:w="15" w:type="dxa"/>
              <w:right w:w="15" w:type="dxa"/>
            </w:tcMar>
            <w:vAlign w:val="center"/>
          </w:tcPr>
          <w:p w14:paraId="66E95163">
            <w:pPr>
              <w:keepNext w:val="0"/>
              <w:keepLines w:val="0"/>
              <w:widowControl/>
              <w:suppressLineNumbers w:val="0"/>
              <w:jc w:val="center"/>
              <w:textAlignment w:val="center"/>
              <w:rPr>
                <w:rFonts w:hint="default" w:ascii="宋体" w:hAnsi="宋体" w:eastAsia="宋体" w:cs="宋体"/>
                <w:i w:val="0"/>
                <w:color w:val="000000"/>
                <w:sz w:val="18"/>
                <w:szCs w:val="18"/>
                <w:highlight w:val="none"/>
                <w:u w:val="none"/>
                <w:lang w:val="en-US" w:eastAsia="zh-CN"/>
              </w:rPr>
            </w:pPr>
          </w:p>
        </w:tc>
      </w:tr>
    </w:tbl>
    <w:p w14:paraId="5B4BA1FE">
      <w:pPr>
        <w:pStyle w:val="14"/>
      </w:pPr>
      <w:bookmarkStart w:id="141" w:name="_Toc11288"/>
      <w:bookmarkStart w:id="142" w:name="_Toc29155"/>
      <w:bookmarkStart w:id="143" w:name="_Toc26659"/>
      <w:bookmarkStart w:id="144" w:name="_Toc27494"/>
      <w:bookmarkStart w:id="145" w:name="_Toc12309"/>
      <w:r>
        <w:t xml:space="preserve">表 </w:t>
      </w:r>
      <w:r>
        <w:fldChar w:fldCharType="begin"/>
      </w:r>
      <w:r>
        <w:instrText xml:space="preserve"> STYLEREF 2 \s </w:instrText>
      </w:r>
      <w:r>
        <w:fldChar w:fldCharType="separate"/>
      </w:r>
      <w:r>
        <w:t>3.2</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hint="eastAsia"/>
          <w:lang w:val="en-US" w:eastAsia="zh-CN"/>
        </w:rPr>
        <w:t xml:space="preserve"> 塔机拆除施工计划</w:t>
      </w:r>
    </w:p>
    <w:tbl>
      <w:tblPr>
        <w:tblStyle w:val="29"/>
        <w:tblW w:w="4998" w:type="pct"/>
        <w:jc w:val="center"/>
        <w:tblBorders>
          <w:top w:val="double" w:color="0070C0" w:sz="4" w:space="0"/>
          <w:left w:val="double" w:color="0070C0" w:sz="4" w:space="0"/>
          <w:bottom w:val="double" w:color="0070C0" w:sz="4" w:space="0"/>
          <w:right w:val="double" w:color="0070C0" w:sz="4" w:space="0"/>
          <w:insideH w:val="single" w:color="0070C0" w:sz="6" w:space="0"/>
          <w:insideV w:val="single" w:color="0070C0" w:sz="6" w:space="0"/>
        </w:tblBorders>
        <w:tblLayout w:type="autofit"/>
        <w:tblCellMar>
          <w:top w:w="15" w:type="dxa"/>
          <w:left w:w="15" w:type="dxa"/>
          <w:bottom w:w="15" w:type="dxa"/>
          <w:right w:w="15" w:type="dxa"/>
        </w:tblCellMar>
      </w:tblPr>
      <w:tblGrid>
        <w:gridCol w:w="1585"/>
        <w:gridCol w:w="5094"/>
        <w:gridCol w:w="1654"/>
      </w:tblGrid>
      <w:tr w14:paraId="7115339E">
        <w:tblPrEx>
          <w:tblBorders>
            <w:top w:val="double" w:color="0070C0" w:sz="4" w:space="0"/>
            <w:left w:val="double" w:color="0070C0" w:sz="4" w:space="0"/>
            <w:bottom w:val="double" w:color="0070C0" w:sz="4" w:space="0"/>
            <w:right w:val="double" w:color="0070C0" w:sz="4" w:space="0"/>
            <w:insideH w:val="single" w:color="0070C0" w:sz="6" w:space="0"/>
            <w:insideV w:val="single" w:color="0070C0" w:sz="6" w:space="0"/>
          </w:tblBorders>
          <w:tblCellMar>
            <w:top w:w="15" w:type="dxa"/>
            <w:left w:w="15" w:type="dxa"/>
            <w:bottom w:w="15" w:type="dxa"/>
            <w:right w:w="15" w:type="dxa"/>
          </w:tblCellMar>
        </w:tblPrEx>
        <w:trPr>
          <w:trHeight w:val="397" w:hRule="atLeast"/>
          <w:jc w:val="center"/>
        </w:trPr>
        <w:tc>
          <w:tcPr>
            <w:tcW w:w="4007" w:type="pct"/>
            <w:gridSpan w:val="2"/>
            <w:shd w:val="clear" w:color="auto" w:fill="DAE3F3" w:themeFill="accent5" w:themeFillTint="32"/>
            <w:noWrap w:val="0"/>
            <w:vAlign w:val="center"/>
          </w:tcPr>
          <w:p w14:paraId="708639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工序</w:t>
            </w:r>
          </w:p>
        </w:tc>
        <w:tc>
          <w:tcPr>
            <w:tcW w:w="992" w:type="pct"/>
            <w:shd w:val="clear" w:color="auto" w:fill="DAE3F3" w:themeFill="accent5" w:themeFillTint="32"/>
            <w:noWrap w:val="0"/>
            <w:vAlign w:val="center"/>
          </w:tcPr>
          <w:p w14:paraId="4F8345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工 期（天）</w:t>
            </w:r>
          </w:p>
        </w:tc>
      </w:tr>
      <w:tr w14:paraId="74104814">
        <w:tblPrEx>
          <w:tblBorders>
            <w:top w:val="double" w:color="0070C0" w:sz="4" w:space="0"/>
            <w:left w:val="double" w:color="0070C0" w:sz="4" w:space="0"/>
            <w:bottom w:val="double" w:color="0070C0" w:sz="4" w:space="0"/>
            <w:right w:val="double" w:color="0070C0" w:sz="4" w:space="0"/>
            <w:insideH w:val="single" w:color="0070C0" w:sz="6" w:space="0"/>
            <w:insideV w:val="single" w:color="0070C0" w:sz="6" w:space="0"/>
          </w:tblBorders>
          <w:tblCellMar>
            <w:top w:w="15" w:type="dxa"/>
            <w:left w:w="15" w:type="dxa"/>
            <w:bottom w:w="15" w:type="dxa"/>
            <w:right w:w="15" w:type="dxa"/>
          </w:tblCellMar>
        </w:tblPrEx>
        <w:trPr>
          <w:trHeight w:val="397" w:hRule="atLeast"/>
          <w:jc w:val="center"/>
        </w:trPr>
        <w:tc>
          <w:tcPr>
            <w:tcW w:w="951" w:type="pct"/>
            <w:vMerge w:val="restart"/>
            <w:noWrap w:val="0"/>
            <w:vAlign w:val="center"/>
          </w:tcPr>
          <w:p w14:paraId="6644ACAA">
            <w:pPr>
              <w:pStyle w:val="15"/>
              <w:keepNext w:val="0"/>
              <w:pageBreakBefore w:val="0"/>
              <w:widowControl w:val="0"/>
              <w:kinsoku/>
              <w:wordWrap/>
              <w:overflowPunct/>
              <w:topLinePunct w:val="0"/>
              <w:autoSpaceDE/>
              <w:autoSpaceDN/>
              <w:bidi w:val="0"/>
              <w:adjustRightInd/>
              <w:snapToGrid/>
              <w:ind w:firstLine="0" w:firstLineChars="0"/>
              <w:textAlignment w:val="auto"/>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拆除</w:t>
            </w:r>
          </w:p>
        </w:tc>
        <w:tc>
          <w:tcPr>
            <w:tcW w:w="3056" w:type="pct"/>
            <w:shd w:val="clear" w:color="auto" w:fill="auto"/>
            <w:noWrap w:val="0"/>
            <w:vAlign w:val="center"/>
          </w:tcPr>
          <w:p w14:paraId="4618A6D0">
            <w:pPr>
              <w:pStyle w:val="15"/>
              <w:keepNext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b w:val="0"/>
                <w:bCs w:val="0"/>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val="0"/>
                <w:bCs w:val="0"/>
                <w:kern w:val="2"/>
                <w:sz w:val="21"/>
                <w:szCs w:val="21"/>
                <w:lang w:val="en-US" w:eastAsia="zh-CN" w:bidi="ar-SA"/>
              </w:rPr>
              <w:t>降塔</w:t>
            </w:r>
          </w:p>
        </w:tc>
        <w:tc>
          <w:tcPr>
            <w:tcW w:w="992" w:type="pct"/>
            <w:shd w:val="clear" w:color="auto" w:fill="auto"/>
            <w:noWrap w:val="0"/>
            <w:vAlign w:val="center"/>
          </w:tcPr>
          <w:p w14:paraId="344034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2</w:t>
            </w:r>
          </w:p>
        </w:tc>
      </w:tr>
      <w:tr w14:paraId="13C3EAA3">
        <w:tblPrEx>
          <w:tblBorders>
            <w:top w:val="double" w:color="0070C0" w:sz="4" w:space="0"/>
            <w:left w:val="double" w:color="0070C0" w:sz="4" w:space="0"/>
            <w:bottom w:val="double" w:color="0070C0" w:sz="4" w:space="0"/>
            <w:right w:val="double" w:color="0070C0" w:sz="4" w:space="0"/>
            <w:insideH w:val="single" w:color="0070C0" w:sz="6" w:space="0"/>
            <w:insideV w:val="single" w:color="0070C0" w:sz="6" w:space="0"/>
          </w:tblBorders>
          <w:tblCellMar>
            <w:top w:w="15" w:type="dxa"/>
            <w:left w:w="15" w:type="dxa"/>
            <w:bottom w:w="15" w:type="dxa"/>
            <w:right w:w="15" w:type="dxa"/>
          </w:tblCellMar>
        </w:tblPrEx>
        <w:trPr>
          <w:trHeight w:val="397" w:hRule="atLeast"/>
          <w:jc w:val="center"/>
        </w:trPr>
        <w:tc>
          <w:tcPr>
            <w:tcW w:w="951" w:type="pct"/>
            <w:vMerge w:val="continue"/>
            <w:noWrap w:val="0"/>
            <w:vAlign w:val="center"/>
          </w:tcPr>
          <w:p w14:paraId="0880D209">
            <w:pPr>
              <w:pStyle w:val="15"/>
              <w:keepNext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kern w:val="2"/>
                <w:sz w:val="21"/>
                <w:szCs w:val="21"/>
                <w:lang w:val="en-US" w:eastAsia="zh-CN" w:bidi="ar-SA"/>
              </w:rPr>
            </w:pPr>
          </w:p>
        </w:tc>
        <w:tc>
          <w:tcPr>
            <w:tcW w:w="3056" w:type="pct"/>
            <w:shd w:val="clear" w:color="auto" w:fill="auto"/>
            <w:noWrap w:val="0"/>
            <w:vAlign w:val="center"/>
          </w:tcPr>
          <w:p w14:paraId="3FA5B550">
            <w:pPr>
              <w:pStyle w:val="15"/>
              <w:keepNext w:val="0"/>
              <w:pageBreakBefore w:val="0"/>
              <w:widowControl w:val="0"/>
              <w:kinsoku/>
              <w:wordWrap/>
              <w:overflowPunct/>
              <w:topLinePunct w:val="0"/>
              <w:autoSpaceDE/>
              <w:autoSpaceDN/>
              <w:bidi w:val="0"/>
              <w:adjustRightInd/>
              <w:snapToGrid/>
              <w:ind w:firstLine="0" w:firstLineChars="0"/>
              <w:textAlignment w:val="auto"/>
              <w:rPr>
                <w:rFonts w:hint="default" w:ascii="仿宋" w:hAnsi="仿宋" w:eastAsia="仿宋" w:cs="仿宋"/>
                <w:b w:val="0"/>
                <w:bCs w:val="0"/>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val="0"/>
                <w:bCs w:val="0"/>
                <w:kern w:val="2"/>
                <w:sz w:val="21"/>
                <w:szCs w:val="21"/>
                <w:lang w:val="en-US" w:eastAsia="zh-CN" w:bidi="ar-SA"/>
              </w:rPr>
              <w:t>平衡臂、平衡重、起重臂、钢丝绳</w:t>
            </w:r>
          </w:p>
        </w:tc>
        <w:tc>
          <w:tcPr>
            <w:tcW w:w="992" w:type="pct"/>
            <w:shd w:val="clear" w:color="auto" w:fill="auto"/>
            <w:noWrap w:val="0"/>
            <w:vAlign w:val="center"/>
          </w:tcPr>
          <w:p w14:paraId="05077F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1</w:t>
            </w:r>
          </w:p>
        </w:tc>
      </w:tr>
      <w:tr w14:paraId="1EC64550">
        <w:tblPrEx>
          <w:tblBorders>
            <w:top w:val="double" w:color="0070C0" w:sz="4" w:space="0"/>
            <w:left w:val="double" w:color="0070C0" w:sz="4" w:space="0"/>
            <w:bottom w:val="double" w:color="0070C0" w:sz="4" w:space="0"/>
            <w:right w:val="double" w:color="0070C0" w:sz="4" w:space="0"/>
            <w:insideH w:val="single" w:color="0070C0" w:sz="6" w:space="0"/>
            <w:insideV w:val="single" w:color="0070C0" w:sz="6" w:space="0"/>
          </w:tblBorders>
          <w:tblCellMar>
            <w:top w:w="15" w:type="dxa"/>
            <w:left w:w="15" w:type="dxa"/>
            <w:bottom w:w="15" w:type="dxa"/>
            <w:right w:w="15" w:type="dxa"/>
          </w:tblCellMar>
        </w:tblPrEx>
        <w:trPr>
          <w:trHeight w:val="424" w:hRule="atLeast"/>
          <w:jc w:val="center"/>
        </w:trPr>
        <w:tc>
          <w:tcPr>
            <w:tcW w:w="951" w:type="pct"/>
            <w:vMerge w:val="continue"/>
            <w:noWrap w:val="0"/>
            <w:vAlign w:val="center"/>
          </w:tcPr>
          <w:p w14:paraId="6403437F">
            <w:pPr>
              <w:pStyle w:val="15"/>
              <w:keepNext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kern w:val="2"/>
                <w:sz w:val="21"/>
                <w:szCs w:val="21"/>
                <w:lang w:val="en-US" w:eastAsia="zh-CN" w:bidi="ar-SA"/>
              </w:rPr>
            </w:pPr>
          </w:p>
        </w:tc>
        <w:tc>
          <w:tcPr>
            <w:tcW w:w="3056" w:type="pct"/>
            <w:shd w:val="clear" w:color="auto" w:fill="auto"/>
            <w:noWrap w:val="0"/>
            <w:vAlign w:val="center"/>
          </w:tcPr>
          <w:p w14:paraId="58EC694C">
            <w:pPr>
              <w:pStyle w:val="15"/>
              <w:keepNext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b w:val="0"/>
                <w:bCs w:val="0"/>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val="0"/>
                <w:bCs w:val="0"/>
                <w:kern w:val="2"/>
                <w:sz w:val="21"/>
                <w:szCs w:val="21"/>
                <w:lang w:val="en-US" w:eastAsia="zh-CN" w:bidi="ar-SA"/>
              </w:rPr>
              <w:t>特殊节、回转总成，臂根节</w:t>
            </w:r>
          </w:p>
        </w:tc>
        <w:tc>
          <w:tcPr>
            <w:tcW w:w="992" w:type="pct"/>
            <w:shd w:val="clear" w:color="auto" w:fill="auto"/>
            <w:noWrap w:val="0"/>
            <w:vAlign w:val="center"/>
          </w:tcPr>
          <w:p w14:paraId="772D9F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1</w:t>
            </w:r>
          </w:p>
        </w:tc>
      </w:tr>
      <w:tr w14:paraId="73365B50">
        <w:tblPrEx>
          <w:tblBorders>
            <w:top w:val="double" w:color="0070C0" w:sz="4" w:space="0"/>
            <w:left w:val="double" w:color="0070C0" w:sz="4" w:space="0"/>
            <w:bottom w:val="double" w:color="0070C0" w:sz="4" w:space="0"/>
            <w:right w:val="double" w:color="0070C0" w:sz="4" w:space="0"/>
            <w:insideH w:val="single" w:color="0070C0" w:sz="6" w:space="0"/>
            <w:insideV w:val="single" w:color="0070C0" w:sz="6" w:space="0"/>
          </w:tblBorders>
          <w:tblCellMar>
            <w:top w:w="15" w:type="dxa"/>
            <w:left w:w="15" w:type="dxa"/>
            <w:bottom w:w="15" w:type="dxa"/>
            <w:right w:w="15" w:type="dxa"/>
          </w:tblCellMar>
        </w:tblPrEx>
        <w:trPr>
          <w:trHeight w:val="397" w:hRule="atLeast"/>
          <w:jc w:val="center"/>
        </w:trPr>
        <w:tc>
          <w:tcPr>
            <w:tcW w:w="951" w:type="pct"/>
            <w:vMerge w:val="continue"/>
            <w:noWrap w:val="0"/>
            <w:vAlign w:val="center"/>
          </w:tcPr>
          <w:p w14:paraId="06112CC5">
            <w:pPr>
              <w:pStyle w:val="15"/>
              <w:keepNext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kern w:val="2"/>
                <w:sz w:val="21"/>
                <w:szCs w:val="21"/>
                <w:lang w:val="en-US" w:eastAsia="zh-CN" w:bidi="ar-SA"/>
              </w:rPr>
            </w:pPr>
          </w:p>
        </w:tc>
        <w:tc>
          <w:tcPr>
            <w:tcW w:w="3056" w:type="pct"/>
            <w:shd w:val="clear" w:color="auto" w:fill="auto"/>
            <w:noWrap w:val="0"/>
            <w:vAlign w:val="center"/>
          </w:tcPr>
          <w:p w14:paraId="2AE34302">
            <w:pPr>
              <w:pStyle w:val="15"/>
              <w:keepNext w:val="0"/>
              <w:pageBreakBefore w:val="0"/>
              <w:widowControl w:val="0"/>
              <w:kinsoku/>
              <w:wordWrap/>
              <w:overflowPunct/>
              <w:topLinePunct w:val="0"/>
              <w:autoSpaceDE/>
              <w:autoSpaceDN/>
              <w:bidi w:val="0"/>
              <w:adjustRightInd/>
              <w:snapToGrid/>
              <w:ind w:firstLine="0" w:firstLineChars="0"/>
              <w:textAlignment w:val="auto"/>
              <w:rPr>
                <w:rFonts w:hint="default" w:ascii="仿宋" w:hAnsi="仿宋" w:eastAsia="仿宋" w:cs="仿宋"/>
                <w:b w:val="0"/>
                <w:bCs w:val="0"/>
                <w:color w:val="000000" w:themeColor="text1"/>
                <w:kern w:val="2"/>
                <w:sz w:val="21"/>
                <w:szCs w:val="21"/>
                <w:lang w:val="en-US" w:eastAsia="zh-CN" w:bidi="ar-SA"/>
                <w14:textFill>
                  <w14:solidFill>
                    <w14:schemeClr w14:val="tx1"/>
                  </w14:solidFill>
                </w14:textFill>
              </w:rPr>
            </w:pPr>
            <w:r>
              <w:rPr>
                <w:rFonts w:hint="eastAsia" w:ascii="仿宋" w:hAnsi="仿宋" w:eastAsia="仿宋" w:cs="仿宋"/>
                <w:b w:val="0"/>
                <w:bCs w:val="0"/>
                <w:kern w:val="2"/>
                <w:sz w:val="21"/>
                <w:szCs w:val="21"/>
                <w:lang w:val="en-US" w:eastAsia="zh-CN" w:bidi="ar-SA"/>
              </w:rPr>
              <w:t>基础节、标准节、爬升架</w:t>
            </w:r>
          </w:p>
        </w:tc>
        <w:tc>
          <w:tcPr>
            <w:tcW w:w="992" w:type="pct"/>
            <w:shd w:val="clear" w:color="auto" w:fill="auto"/>
            <w:noWrap w:val="0"/>
            <w:vAlign w:val="center"/>
          </w:tcPr>
          <w:p w14:paraId="4881B5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1</w:t>
            </w:r>
          </w:p>
        </w:tc>
      </w:tr>
      <w:tr w14:paraId="5B320900">
        <w:tblPrEx>
          <w:tblBorders>
            <w:top w:val="double" w:color="0070C0" w:sz="4" w:space="0"/>
            <w:left w:val="double" w:color="0070C0" w:sz="4" w:space="0"/>
            <w:bottom w:val="double" w:color="0070C0" w:sz="4" w:space="0"/>
            <w:right w:val="double" w:color="0070C0" w:sz="4" w:space="0"/>
            <w:insideH w:val="single" w:color="0070C0" w:sz="6" w:space="0"/>
            <w:insideV w:val="single" w:color="0070C0" w:sz="6" w:space="0"/>
          </w:tblBorders>
          <w:tblCellMar>
            <w:top w:w="15" w:type="dxa"/>
            <w:left w:w="15" w:type="dxa"/>
            <w:bottom w:w="15" w:type="dxa"/>
            <w:right w:w="15" w:type="dxa"/>
          </w:tblCellMar>
        </w:tblPrEx>
        <w:trPr>
          <w:trHeight w:val="397" w:hRule="atLeast"/>
          <w:jc w:val="center"/>
        </w:trPr>
        <w:tc>
          <w:tcPr>
            <w:tcW w:w="4007" w:type="pct"/>
            <w:gridSpan w:val="2"/>
            <w:noWrap w:val="0"/>
            <w:vAlign w:val="center"/>
          </w:tcPr>
          <w:p w14:paraId="19EA58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仿宋" w:hAnsi="仿宋" w:eastAsia="仿宋" w:cs="仿宋"/>
                <w:sz w:val="21"/>
                <w:szCs w:val="21"/>
                <w:lang w:val="en-US" w:eastAsia="zh-CN"/>
              </w:rPr>
            </w:pP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工期</w:t>
            </w:r>
          </w:p>
        </w:tc>
        <w:tc>
          <w:tcPr>
            <w:tcW w:w="992" w:type="pct"/>
            <w:noWrap w:val="0"/>
            <w:vAlign w:val="center"/>
          </w:tcPr>
          <w:p w14:paraId="172C0C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5</w:t>
            </w:r>
          </w:p>
        </w:tc>
      </w:tr>
    </w:tbl>
    <w:p w14:paraId="09EABBB9">
      <w:pPr>
        <w:pStyle w:val="3"/>
        <w:bidi w:val="0"/>
        <w:ind w:left="575" w:leftChars="0" w:hanging="575" w:firstLineChars="0"/>
        <w:rPr>
          <w:rFonts w:ascii="宋体" w:hAnsi="宋体" w:eastAsia="宋体" w:cs="Times New Roman"/>
          <w:b/>
          <w:color w:val="000000" w:themeColor="text1"/>
          <w:kern w:val="2"/>
          <w:sz w:val="28"/>
          <w:szCs w:val="22"/>
          <w:lang w:val="en-US" w:eastAsia="zh-CN" w:bidi="ar-SA"/>
          <w14:textFill>
            <w14:solidFill>
              <w14:schemeClr w14:val="tx1"/>
            </w14:solidFill>
          </w14:textFill>
        </w:rPr>
      </w:pPr>
      <w:bookmarkStart w:id="146" w:name="_Toc8100"/>
      <w:r>
        <w:rPr>
          <w:rFonts w:hint="eastAsia" w:cs="Times New Roman"/>
          <w:b/>
          <w:color w:val="000000" w:themeColor="text1"/>
          <w:kern w:val="2"/>
          <w:sz w:val="28"/>
          <w:szCs w:val="22"/>
          <w:lang w:val="en-US" w:eastAsia="zh-CN" w:bidi="ar-SA"/>
          <w14:textFill>
            <w14:solidFill>
              <w14:schemeClr w14:val="tx1"/>
            </w14:solidFill>
          </w14:textFill>
        </w:rPr>
        <w:t>劳动力计划</w:t>
      </w:r>
      <w:bookmarkEnd w:id="146"/>
    </w:p>
    <w:p w14:paraId="5DA3C2A1">
      <w:pPr>
        <w:pStyle w:val="14"/>
        <w:rPr>
          <w:rFonts w:hint="eastAsia" w:ascii="Times New Roman" w:hAnsi="Times New Roman" w:cs="Times New Roman"/>
          <w:lang w:val="en-US" w:eastAsia="zh-CN"/>
        </w:rPr>
      </w:pPr>
      <w:r>
        <w:t xml:space="preserve">表 </w:t>
      </w:r>
      <w:r>
        <w:fldChar w:fldCharType="begin"/>
      </w:r>
      <w:r>
        <w:instrText xml:space="preserve"> STYLEREF 2 \s </w:instrText>
      </w:r>
      <w:r>
        <w:fldChar w:fldCharType="separate"/>
      </w:r>
      <w:r>
        <w:t>3.3</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lang w:val="en-US" w:eastAsia="zh-CN"/>
        </w:rPr>
        <w:t xml:space="preserve"> </w:t>
      </w:r>
      <w:r>
        <w:rPr>
          <w:rFonts w:hint="eastAsia" w:ascii="Times New Roman" w:hAnsi="Times New Roman" w:cs="Times New Roman"/>
          <w:lang w:val="en-US" w:eastAsia="zh-CN"/>
        </w:rPr>
        <w:t>每班组特种作业人员配置计划表</w:t>
      </w:r>
    </w:p>
    <w:tbl>
      <w:tblPr>
        <w:tblStyle w:val="29"/>
        <w:tblW w:w="8209" w:type="dxa"/>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fixed"/>
        <w:tblCellMar>
          <w:top w:w="0" w:type="dxa"/>
          <w:left w:w="108" w:type="dxa"/>
          <w:bottom w:w="0" w:type="dxa"/>
          <w:right w:w="108" w:type="dxa"/>
        </w:tblCellMar>
      </w:tblPr>
      <w:tblGrid>
        <w:gridCol w:w="1009"/>
        <w:gridCol w:w="2115"/>
        <w:gridCol w:w="1221"/>
        <w:gridCol w:w="3864"/>
      </w:tblGrid>
      <w:tr w14:paraId="5D1BED68">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tblHeader/>
          <w:jc w:val="center"/>
        </w:trPr>
        <w:tc>
          <w:tcPr>
            <w:tcW w:w="1009" w:type="dxa"/>
            <w:tcBorders>
              <w:tl2br w:val="nil"/>
              <w:tr2bl w:val="nil"/>
            </w:tcBorders>
            <w:shd w:val="clear" w:color="auto" w:fill="DAE3F3" w:themeFill="accent5" w:themeFillTint="32"/>
            <w:vAlign w:val="center"/>
          </w:tcPr>
          <w:p w14:paraId="31AEF65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序号</w:t>
            </w:r>
          </w:p>
        </w:tc>
        <w:tc>
          <w:tcPr>
            <w:tcW w:w="2115" w:type="dxa"/>
            <w:tcBorders>
              <w:tl2br w:val="nil"/>
              <w:tr2bl w:val="nil"/>
            </w:tcBorders>
            <w:shd w:val="clear" w:color="auto" w:fill="DAE3F3" w:themeFill="accent5" w:themeFillTint="32"/>
            <w:vAlign w:val="center"/>
          </w:tcPr>
          <w:p w14:paraId="6D9CA42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特种作业工名称</w:t>
            </w:r>
          </w:p>
        </w:tc>
        <w:tc>
          <w:tcPr>
            <w:tcW w:w="1221" w:type="dxa"/>
            <w:tcBorders>
              <w:tl2br w:val="nil"/>
              <w:tr2bl w:val="nil"/>
            </w:tcBorders>
            <w:shd w:val="clear" w:color="auto" w:fill="DAE3F3" w:themeFill="accent5" w:themeFillTint="32"/>
            <w:vAlign w:val="center"/>
          </w:tcPr>
          <w:p w14:paraId="2A84C44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eastAsia="zh-CN"/>
              </w:rPr>
            </w:pPr>
            <w:r>
              <w:rPr>
                <w:rFonts w:hint="eastAsia" w:ascii="宋体" w:hAnsi="宋体" w:eastAsia="宋体" w:cs="宋体"/>
                <w:highlight w:val="none"/>
              </w:rPr>
              <w:t>数量</w:t>
            </w:r>
            <w:r>
              <w:rPr>
                <w:rFonts w:hint="eastAsia" w:ascii="宋体" w:hAnsi="宋体" w:eastAsia="宋体" w:cs="宋体"/>
                <w:highlight w:val="none"/>
                <w:lang w:eastAsia="zh-CN"/>
              </w:rPr>
              <w:t>（</w:t>
            </w:r>
            <w:r>
              <w:rPr>
                <w:rFonts w:hint="eastAsia" w:ascii="宋体" w:hAnsi="宋体" w:eastAsia="宋体" w:cs="宋体"/>
                <w:highlight w:val="none"/>
              </w:rPr>
              <w:t>人</w:t>
            </w:r>
            <w:r>
              <w:rPr>
                <w:rFonts w:hint="eastAsia" w:ascii="宋体" w:hAnsi="宋体" w:eastAsia="宋体" w:cs="宋体"/>
                <w:highlight w:val="none"/>
                <w:lang w:eastAsia="zh-CN"/>
              </w:rPr>
              <w:t>）</w:t>
            </w:r>
          </w:p>
        </w:tc>
        <w:tc>
          <w:tcPr>
            <w:tcW w:w="3864" w:type="dxa"/>
            <w:tcBorders>
              <w:tl2br w:val="nil"/>
              <w:tr2bl w:val="nil"/>
            </w:tcBorders>
            <w:shd w:val="clear" w:color="auto" w:fill="DAE3F3" w:themeFill="accent5" w:themeFillTint="32"/>
            <w:vAlign w:val="center"/>
          </w:tcPr>
          <w:p w14:paraId="070095C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职责</w:t>
            </w:r>
          </w:p>
        </w:tc>
      </w:tr>
      <w:tr w14:paraId="7A5E7FF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27C4F72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1</w:t>
            </w:r>
          </w:p>
        </w:tc>
        <w:tc>
          <w:tcPr>
            <w:tcW w:w="2115" w:type="dxa"/>
            <w:tcBorders>
              <w:tl2br w:val="nil"/>
              <w:tr2bl w:val="nil"/>
            </w:tcBorders>
            <w:vAlign w:val="center"/>
          </w:tcPr>
          <w:p w14:paraId="117EB26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电工</w:t>
            </w:r>
          </w:p>
        </w:tc>
        <w:tc>
          <w:tcPr>
            <w:tcW w:w="1221" w:type="dxa"/>
            <w:tcBorders>
              <w:tl2br w:val="nil"/>
              <w:tr2bl w:val="nil"/>
            </w:tcBorders>
            <w:vAlign w:val="center"/>
          </w:tcPr>
          <w:p w14:paraId="0B2313E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1</w:t>
            </w:r>
          </w:p>
        </w:tc>
        <w:tc>
          <w:tcPr>
            <w:tcW w:w="3864" w:type="dxa"/>
            <w:tcBorders>
              <w:tl2br w:val="nil"/>
              <w:tr2bl w:val="nil"/>
            </w:tcBorders>
            <w:vAlign w:val="center"/>
          </w:tcPr>
          <w:p w14:paraId="7A80879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负责现场</w:t>
            </w:r>
            <w:r>
              <w:rPr>
                <w:rFonts w:hint="eastAsia" w:ascii="宋体" w:hAnsi="宋体" w:eastAsia="宋体" w:cs="宋体"/>
                <w:highlight w:val="none"/>
                <w:lang w:val="en-US" w:eastAsia="zh-CN"/>
              </w:rPr>
              <w:t>临时用电拆除、检查、维修</w:t>
            </w:r>
          </w:p>
        </w:tc>
      </w:tr>
      <w:tr w14:paraId="68AC2DB8">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30DA98A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2115" w:type="dxa"/>
            <w:tcBorders>
              <w:tl2br w:val="nil"/>
              <w:tr2bl w:val="nil"/>
            </w:tcBorders>
            <w:vAlign w:val="center"/>
          </w:tcPr>
          <w:p w14:paraId="4459063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拆除人员</w:t>
            </w:r>
          </w:p>
        </w:tc>
        <w:tc>
          <w:tcPr>
            <w:tcW w:w="1221" w:type="dxa"/>
            <w:tcBorders>
              <w:tl2br w:val="nil"/>
              <w:tr2bl w:val="nil"/>
            </w:tcBorders>
            <w:vAlign w:val="center"/>
          </w:tcPr>
          <w:p w14:paraId="7DFEB29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3864" w:type="dxa"/>
            <w:tcBorders>
              <w:tl2br w:val="nil"/>
              <w:tr2bl w:val="nil"/>
            </w:tcBorders>
            <w:vAlign w:val="center"/>
          </w:tcPr>
          <w:p w14:paraId="302B9F2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按规章拆除起重机械</w:t>
            </w:r>
          </w:p>
        </w:tc>
      </w:tr>
      <w:tr w14:paraId="1B6AD34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4B57D14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3</w:t>
            </w:r>
          </w:p>
        </w:tc>
        <w:tc>
          <w:tcPr>
            <w:tcW w:w="2115" w:type="dxa"/>
            <w:tcBorders>
              <w:tl2br w:val="nil"/>
              <w:tr2bl w:val="nil"/>
            </w:tcBorders>
            <w:vAlign w:val="center"/>
          </w:tcPr>
          <w:p w14:paraId="1E2DD29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起重机械司机</w:t>
            </w:r>
          </w:p>
        </w:tc>
        <w:tc>
          <w:tcPr>
            <w:tcW w:w="1221" w:type="dxa"/>
            <w:tcBorders>
              <w:tl2br w:val="nil"/>
              <w:tr2bl w:val="nil"/>
            </w:tcBorders>
            <w:vAlign w:val="center"/>
          </w:tcPr>
          <w:p w14:paraId="4A79677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3864" w:type="dxa"/>
            <w:tcBorders>
              <w:tl2br w:val="nil"/>
              <w:tr2bl w:val="nil"/>
            </w:tcBorders>
            <w:vAlign w:val="center"/>
          </w:tcPr>
          <w:p w14:paraId="13D587E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按规章、规程要求进行起重吊装作业，检查、维护起重机械（租赁）</w:t>
            </w:r>
          </w:p>
        </w:tc>
      </w:tr>
      <w:tr w14:paraId="59E4F244">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5C5D10D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4</w:t>
            </w:r>
          </w:p>
        </w:tc>
        <w:tc>
          <w:tcPr>
            <w:tcW w:w="2115" w:type="dxa"/>
            <w:tcBorders>
              <w:tl2br w:val="nil"/>
              <w:tr2bl w:val="nil"/>
            </w:tcBorders>
            <w:vAlign w:val="center"/>
          </w:tcPr>
          <w:p w14:paraId="545040C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司索工</w:t>
            </w:r>
          </w:p>
        </w:tc>
        <w:tc>
          <w:tcPr>
            <w:tcW w:w="1221" w:type="dxa"/>
            <w:tcBorders>
              <w:tl2br w:val="nil"/>
              <w:tr2bl w:val="nil"/>
            </w:tcBorders>
            <w:vAlign w:val="center"/>
          </w:tcPr>
          <w:p w14:paraId="43D1162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3864" w:type="dxa"/>
            <w:tcBorders>
              <w:tl2br w:val="nil"/>
              <w:tr2bl w:val="nil"/>
            </w:tcBorders>
            <w:vAlign w:val="center"/>
          </w:tcPr>
          <w:p w14:paraId="021D566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规范指挥起重吊装作业（租赁）</w:t>
            </w:r>
          </w:p>
        </w:tc>
      </w:tr>
      <w:tr w14:paraId="079CB5EB">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227013A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2115" w:type="dxa"/>
            <w:tcBorders>
              <w:tl2br w:val="nil"/>
              <w:tr2bl w:val="nil"/>
            </w:tcBorders>
            <w:vAlign w:val="center"/>
          </w:tcPr>
          <w:p w14:paraId="045D541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合计</w:t>
            </w:r>
          </w:p>
        </w:tc>
        <w:tc>
          <w:tcPr>
            <w:tcW w:w="1221" w:type="dxa"/>
            <w:tcBorders>
              <w:tl2br w:val="nil"/>
              <w:tr2bl w:val="nil"/>
            </w:tcBorders>
            <w:vAlign w:val="center"/>
          </w:tcPr>
          <w:p w14:paraId="2DF1CF0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7</w:t>
            </w:r>
          </w:p>
        </w:tc>
        <w:tc>
          <w:tcPr>
            <w:tcW w:w="3864" w:type="dxa"/>
            <w:tcBorders>
              <w:tl2br w:val="nil"/>
              <w:tr2bl w:val="nil"/>
            </w:tcBorders>
            <w:vAlign w:val="center"/>
          </w:tcPr>
          <w:p w14:paraId="7540147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bl>
    <w:p w14:paraId="711CA01D">
      <w:pPr>
        <w:pStyle w:val="4"/>
        <w:tabs>
          <w:tab w:val="left" w:pos="0"/>
          <w:tab w:val="left" w:pos="630"/>
        </w:tabs>
        <w:bidi w:val="0"/>
        <w:rPr>
          <w:rFonts w:hint="eastAsia" w:ascii="宋体" w:hAnsi="宋体" w:eastAsia="宋体" w:cs="宋体"/>
          <w:lang w:val="en-US" w:eastAsia="zh-CN"/>
        </w:rPr>
      </w:pPr>
      <w:r>
        <w:rPr>
          <w:rFonts w:hint="eastAsia" w:ascii="宋体" w:hAnsi="宋体" w:eastAsia="宋体" w:cs="宋体"/>
          <w:lang w:val="en-US" w:eastAsia="zh-CN"/>
        </w:rPr>
        <w:t>劳动力分配要求</w:t>
      </w:r>
    </w:p>
    <w:p w14:paraId="7C7BD74D">
      <w:pPr>
        <w:ind w:firstLine="480" w:firstLineChars="200"/>
        <w:rPr>
          <w:rFonts w:hint="eastAsia" w:ascii="宋体" w:hAnsi="宋体" w:eastAsia="宋体" w:cs="宋体"/>
          <w:lang w:val="en-US" w:eastAsia="zh-CN"/>
        </w:rPr>
      </w:pPr>
      <w:r>
        <w:rPr>
          <w:rFonts w:hint="eastAsia" w:ascii="宋体" w:hAnsi="宋体" w:eastAsia="宋体" w:cs="宋体"/>
          <w:lang w:val="en-US" w:eastAsia="zh-CN"/>
        </w:rPr>
        <w:t>特种作业人员必须接受与本工种相适应的、专门的安全技术培训、经安全技术理论考核和实际操作技能考核合格，取得特种作业操作证后，方可上岗作业；未经培训或培训考核不合格者，不得上岗作业。特种作业人员必须持证上岗。</w:t>
      </w:r>
    </w:p>
    <w:p w14:paraId="169923A6">
      <w:pPr>
        <w:pStyle w:val="4"/>
        <w:tabs>
          <w:tab w:val="left" w:pos="0"/>
          <w:tab w:val="left" w:pos="630"/>
        </w:tabs>
        <w:bidi w:val="0"/>
        <w:rPr>
          <w:rFonts w:hint="eastAsia" w:ascii="宋体" w:hAnsi="宋体" w:eastAsia="宋体" w:cs="宋体"/>
          <w:lang w:val="en-US" w:eastAsia="zh-CN"/>
        </w:rPr>
      </w:pPr>
      <w:r>
        <w:rPr>
          <w:rFonts w:hint="eastAsia" w:ascii="宋体" w:hAnsi="宋体" w:eastAsia="宋体" w:cs="宋体"/>
          <w:lang w:val="en-US" w:eastAsia="zh-CN"/>
        </w:rPr>
        <w:t>拆除专业分包单位管理人员及拆除人员名单</w:t>
      </w:r>
    </w:p>
    <w:p w14:paraId="43708A96">
      <w:pPr>
        <w:pStyle w:val="14"/>
        <w:rPr>
          <w:rFonts w:hint="eastAsia" w:ascii="Times New Roman" w:hAnsi="Times New Roman" w:cs="Times New Roman"/>
          <w:lang w:val="en-US" w:eastAsia="zh-CN"/>
        </w:rPr>
      </w:pPr>
      <w:r>
        <w:t xml:space="preserve">表 </w:t>
      </w:r>
      <w:r>
        <w:fldChar w:fldCharType="begin"/>
      </w:r>
      <w:r>
        <w:instrText xml:space="preserve"> STYLEREF 2 \s </w:instrText>
      </w:r>
      <w:r>
        <w:fldChar w:fldCharType="separate"/>
      </w:r>
      <w:r>
        <w:t>3.3</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hint="eastAsia"/>
          <w:lang w:val="en-US" w:eastAsia="zh-CN"/>
        </w:rPr>
        <w:t xml:space="preserve"> </w:t>
      </w:r>
      <w:r>
        <w:rPr>
          <w:rFonts w:hint="eastAsia" w:ascii="Times New Roman" w:hAnsi="Times New Roman" w:cs="Times New Roman"/>
          <w:lang w:val="en-US" w:eastAsia="zh-CN"/>
        </w:rPr>
        <w:t>拆除专业分包单位管理人员及拆除人员名单汇总表</w:t>
      </w:r>
    </w:p>
    <w:tbl>
      <w:tblPr>
        <w:tblStyle w:val="29"/>
        <w:tblW w:w="5000" w:type="pct"/>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Layout w:type="autofit"/>
        <w:tblCellMar>
          <w:top w:w="0" w:type="dxa"/>
          <w:left w:w="108" w:type="dxa"/>
          <w:bottom w:w="0" w:type="dxa"/>
          <w:right w:w="108" w:type="dxa"/>
        </w:tblCellMar>
      </w:tblPr>
      <w:tblGrid>
        <w:gridCol w:w="1115"/>
        <w:gridCol w:w="1631"/>
        <w:gridCol w:w="2106"/>
        <w:gridCol w:w="2107"/>
        <w:gridCol w:w="1563"/>
      </w:tblGrid>
      <w:tr w14:paraId="232A7569">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tblHeader/>
          <w:jc w:val="center"/>
        </w:trPr>
        <w:tc>
          <w:tcPr>
            <w:tcW w:w="5000" w:type="pct"/>
            <w:gridSpan w:val="5"/>
            <w:tcBorders>
              <w:tl2br w:val="nil"/>
              <w:tr2bl w:val="nil"/>
            </w:tcBorders>
            <w:shd w:val="clear" w:color="auto" w:fill="DAE3F3"/>
            <w:vAlign w:val="center"/>
          </w:tcPr>
          <w:p w14:paraId="1143DB58">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拟投入安全管理人员及技术人员名单</w:t>
            </w:r>
          </w:p>
        </w:tc>
      </w:tr>
      <w:tr w14:paraId="59CB96B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tblHeader/>
          <w:jc w:val="center"/>
        </w:trPr>
        <w:tc>
          <w:tcPr>
            <w:tcW w:w="655" w:type="pct"/>
            <w:tcBorders>
              <w:tl2br w:val="nil"/>
              <w:tr2bl w:val="nil"/>
            </w:tcBorders>
            <w:shd w:val="clear" w:color="auto" w:fill="DAE3F3"/>
            <w:vAlign w:val="center"/>
          </w:tcPr>
          <w:p w14:paraId="06D37CA8">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姓名</w:t>
            </w:r>
          </w:p>
        </w:tc>
        <w:tc>
          <w:tcPr>
            <w:tcW w:w="957" w:type="pct"/>
            <w:tcBorders>
              <w:tl2br w:val="nil"/>
              <w:tr2bl w:val="nil"/>
            </w:tcBorders>
            <w:shd w:val="clear" w:color="auto" w:fill="DAE3F3"/>
            <w:vAlign w:val="center"/>
          </w:tcPr>
          <w:p w14:paraId="1B806CD1">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职务/工种</w:t>
            </w:r>
          </w:p>
        </w:tc>
        <w:tc>
          <w:tcPr>
            <w:tcW w:w="1235" w:type="pct"/>
            <w:tcBorders>
              <w:tl2br w:val="nil"/>
              <w:tr2bl w:val="nil"/>
            </w:tcBorders>
            <w:shd w:val="clear" w:color="auto" w:fill="DAE3F3"/>
            <w:vAlign w:val="center"/>
          </w:tcPr>
          <w:p w14:paraId="2DFEC1A0">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身份证号码</w:t>
            </w:r>
          </w:p>
        </w:tc>
        <w:tc>
          <w:tcPr>
            <w:tcW w:w="1236" w:type="pct"/>
            <w:tcBorders>
              <w:tl2br w:val="nil"/>
              <w:tr2bl w:val="nil"/>
            </w:tcBorders>
            <w:shd w:val="clear" w:color="auto" w:fill="DAE3F3"/>
            <w:vAlign w:val="center"/>
          </w:tcPr>
          <w:p w14:paraId="3A13D3F0">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作业证号</w:t>
            </w:r>
          </w:p>
        </w:tc>
        <w:tc>
          <w:tcPr>
            <w:tcW w:w="915" w:type="pct"/>
            <w:tcBorders>
              <w:tl2br w:val="nil"/>
              <w:tr2bl w:val="nil"/>
            </w:tcBorders>
            <w:shd w:val="clear" w:color="auto" w:fill="DAE3F3"/>
            <w:vAlign w:val="center"/>
          </w:tcPr>
          <w:p w14:paraId="5DCA6F0C">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工作内容</w:t>
            </w:r>
          </w:p>
        </w:tc>
      </w:tr>
      <w:tr w14:paraId="39A7DA63">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1115" w:type="dxa"/>
            <w:tcBorders>
              <w:tl2br w:val="nil"/>
              <w:tr2bl w:val="nil"/>
            </w:tcBorders>
            <w:shd w:val="clear" w:color="auto" w:fill="auto"/>
            <w:vAlign w:val="center"/>
          </w:tcPr>
          <w:p w14:paraId="4F5DAF11">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彭善忠</w:t>
            </w:r>
          </w:p>
        </w:tc>
        <w:tc>
          <w:tcPr>
            <w:tcW w:w="1631" w:type="dxa"/>
            <w:tcBorders>
              <w:tl2br w:val="nil"/>
              <w:tr2bl w:val="nil"/>
            </w:tcBorders>
            <w:shd w:val="clear" w:color="auto" w:fill="auto"/>
            <w:vAlign w:val="center"/>
          </w:tcPr>
          <w:p w14:paraId="50F8EFC7">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项目负责人</w:t>
            </w:r>
          </w:p>
        </w:tc>
        <w:tc>
          <w:tcPr>
            <w:tcW w:w="2106" w:type="dxa"/>
            <w:tcBorders>
              <w:tl2br w:val="nil"/>
              <w:tr2bl w:val="nil"/>
            </w:tcBorders>
            <w:shd w:val="clear" w:color="auto" w:fill="auto"/>
            <w:vAlign w:val="center"/>
          </w:tcPr>
          <w:p w14:paraId="6A36FFDB">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512223197508214798</w:t>
            </w:r>
          </w:p>
        </w:tc>
        <w:tc>
          <w:tcPr>
            <w:tcW w:w="2107" w:type="dxa"/>
            <w:tcBorders>
              <w:tl2br w:val="nil"/>
              <w:tr2bl w:val="nil"/>
            </w:tcBorders>
            <w:shd w:val="clear" w:color="auto" w:fill="auto"/>
            <w:vAlign w:val="center"/>
          </w:tcPr>
          <w:p w14:paraId="1565BF24">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鲁230001133100304</w:t>
            </w:r>
          </w:p>
        </w:tc>
        <w:tc>
          <w:tcPr>
            <w:tcW w:w="1563" w:type="dxa"/>
            <w:tcBorders>
              <w:tl2br w:val="nil"/>
              <w:tr2bl w:val="nil"/>
            </w:tcBorders>
            <w:shd w:val="clear" w:color="auto" w:fill="auto"/>
            <w:vAlign w:val="center"/>
          </w:tcPr>
          <w:p w14:paraId="319C6C62">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主持现场工作</w:t>
            </w:r>
          </w:p>
        </w:tc>
      </w:tr>
      <w:tr w14:paraId="5561D844">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1115" w:type="dxa"/>
            <w:tcBorders>
              <w:tl2br w:val="nil"/>
              <w:tr2bl w:val="nil"/>
            </w:tcBorders>
            <w:shd w:val="clear" w:color="auto" w:fill="auto"/>
            <w:vAlign w:val="center"/>
          </w:tcPr>
          <w:p w14:paraId="39B48873">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温涛</w:t>
            </w:r>
          </w:p>
        </w:tc>
        <w:tc>
          <w:tcPr>
            <w:tcW w:w="1631" w:type="dxa"/>
            <w:tcBorders>
              <w:tl2br w:val="nil"/>
              <w:tr2bl w:val="nil"/>
            </w:tcBorders>
            <w:shd w:val="clear" w:color="auto" w:fill="auto"/>
            <w:vAlign w:val="center"/>
          </w:tcPr>
          <w:p w14:paraId="5DF7E733">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技术负责人</w:t>
            </w:r>
          </w:p>
        </w:tc>
        <w:tc>
          <w:tcPr>
            <w:tcW w:w="2106" w:type="dxa"/>
            <w:tcBorders>
              <w:tl2br w:val="nil"/>
              <w:tr2bl w:val="nil"/>
            </w:tcBorders>
            <w:shd w:val="clear" w:color="auto" w:fill="auto"/>
            <w:vAlign w:val="center"/>
          </w:tcPr>
          <w:p w14:paraId="341466C5">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412801198705060316</w:t>
            </w:r>
          </w:p>
        </w:tc>
        <w:tc>
          <w:tcPr>
            <w:tcW w:w="2107" w:type="dxa"/>
            <w:tcBorders>
              <w:tl2br w:val="nil"/>
              <w:tr2bl w:val="nil"/>
            </w:tcBorders>
            <w:shd w:val="clear" w:color="auto" w:fill="auto"/>
            <w:vAlign w:val="center"/>
          </w:tcPr>
          <w:p w14:paraId="42C8971B">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鲁200100033201097</w:t>
            </w:r>
          </w:p>
        </w:tc>
        <w:tc>
          <w:tcPr>
            <w:tcW w:w="1563" w:type="dxa"/>
            <w:tcBorders>
              <w:tl2br w:val="nil"/>
              <w:tr2bl w:val="nil"/>
            </w:tcBorders>
            <w:shd w:val="clear" w:color="auto" w:fill="auto"/>
            <w:vAlign w:val="center"/>
          </w:tcPr>
          <w:p w14:paraId="3D5200F6">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公司技术负责人</w:t>
            </w:r>
          </w:p>
        </w:tc>
      </w:tr>
      <w:tr w14:paraId="4708A640">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1115" w:type="dxa"/>
            <w:tcBorders>
              <w:tl2br w:val="nil"/>
              <w:tr2bl w:val="nil"/>
            </w:tcBorders>
            <w:shd w:val="clear" w:color="auto" w:fill="auto"/>
            <w:vAlign w:val="center"/>
          </w:tcPr>
          <w:p w14:paraId="524A927E">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白美富</w:t>
            </w:r>
          </w:p>
        </w:tc>
        <w:tc>
          <w:tcPr>
            <w:tcW w:w="1631" w:type="dxa"/>
            <w:tcBorders>
              <w:tl2br w:val="nil"/>
              <w:tr2bl w:val="nil"/>
            </w:tcBorders>
            <w:shd w:val="clear" w:color="auto" w:fill="auto"/>
            <w:vAlign w:val="center"/>
          </w:tcPr>
          <w:p w14:paraId="6D0D41A9">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专职安全管理人员</w:t>
            </w:r>
          </w:p>
        </w:tc>
        <w:tc>
          <w:tcPr>
            <w:tcW w:w="2106" w:type="dxa"/>
            <w:tcBorders>
              <w:tl2br w:val="nil"/>
              <w:tr2bl w:val="nil"/>
            </w:tcBorders>
            <w:shd w:val="clear" w:color="auto" w:fill="auto"/>
            <w:vAlign w:val="center"/>
          </w:tcPr>
          <w:p w14:paraId="250848FC">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510113198801248019</w:t>
            </w:r>
          </w:p>
        </w:tc>
        <w:tc>
          <w:tcPr>
            <w:tcW w:w="2107" w:type="dxa"/>
            <w:tcBorders>
              <w:tl2br w:val="nil"/>
              <w:tr2bl w:val="nil"/>
            </w:tcBorders>
            <w:shd w:val="clear" w:color="auto" w:fill="auto"/>
            <w:vAlign w:val="center"/>
          </w:tcPr>
          <w:p w14:paraId="37F7F3C0">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川建安C3(2023)0080797</w:t>
            </w:r>
          </w:p>
        </w:tc>
        <w:tc>
          <w:tcPr>
            <w:tcW w:w="1563" w:type="dxa"/>
            <w:tcBorders>
              <w:tl2br w:val="nil"/>
              <w:tr2bl w:val="nil"/>
            </w:tcBorders>
            <w:shd w:val="clear" w:color="auto" w:fill="auto"/>
            <w:vAlign w:val="center"/>
          </w:tcPr>
          <w:p w14:paraId="33FB936E">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负责现场拆除指导及安全管理</w:t>
            </w:r>
          </w:p>
        </w:tc>
      </w:tr>
      <w:tr w14:paraId="209316D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8522" w:type="dxa"/>
            <w:gridSpan w:val="5"/>
            <w:tcBorders>
              <w:tl2br w:val="nil"/>
              <w:tr2bl w:val="nil"/>
            </w:tcBorders>
            <w:shd w:val="clear" w:color="auto" w:fill="DAE3F3"/>
            <w:vAlign w:val="center"/>
          </w:tcPr>
          <w:p w14:paraId="12EA78AF">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拆除施工特种设备作业人员</w:t>
            </w:r>
          </w:p>
        </w:tc>
      </w:tr>
      <w:tr w14:paraId="17008FBF">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1117" w:type="dxa"/>
            <w:tcBorders>
              <w:tl2br w:val="nil"/>
              <w:tr2bl w:val="nil"/>
            </w:tcBorders>
            <w:shd w:val="clear" w:color="auto" w:fill="auto"/>
            <w:vAlign w:val="center"/>
          </w:tcPr>
          <w:p w14:paraId="4BA7B4F8">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黄科</w:t>
            </w:r>
          </w:p>
        </w:tc>
        <w:tc>
          <w:tcPr>
            <w:tcW w:w="1631" w:type="dxa"/>
            <w:tcBorders>
              <w:tl2br w:val="nil"/>
              <w:tr2bl w:val="nil"/>
            </w:tcBorders>
            <w:shd w:val="clear" w:color="auto" w:fill="auto"/>
            <w:vAlign w:val="center"/>
          </w:tcPr>
          <w:p w14:paraId="3052419A">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建筑起重机械安装拆卸工（塔式起重机）</w:t>
            </w:r>
          </w:p>
        </w:tc>
        <w:tc>
          <w:tcPr>
            <w:tcW w:w="2106" w:type="dxa"/>
            <w:tcBorders>
              <w:tl2br w:val="nil"/>
              <w:tr2bl w:val="nil"/>
            </w:tcBorders>
            <w:shd w:val="clear" w:color="auto" w:fill="auto"/>
            <w:vAlign w:val="center"/>
          </w:tcPr>
          <w:p w14:paraId="775707C1">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510113198609247470</w:t>
            </w:r>
          </w:p>
        </w:tc>
        <w:tc>
          <w:tcPr>
            <w:tcW w:w="2107" w:type="dxa"/>
            <w:tcBorders>
              <w:tl2br w:val="nil"/>
              <w:tr2bl w:val="nil"/>
            </w:tcBorders>
            <w:shd w:val="clear" w:color="auto" w:fill="auto"/>
            <w:vAlign w:val="center"/>
          </w:tcPr>
          <w:p w14:paraId="33C7B548">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 A082023006932</w:t>
            </w:r>
          </w:p>
        </w:tc>
        <w:tc>
          <w:tcPr>
            <w:tcW w:w="1563" w:type="dxa"/>
            <w:tcBorders>
              <w:tl2br w:val="nil"/>
              <w:tr2bl w:val="nil"/>
            </w:tcBorders>
            <w:shd w:val="clear" w:color="auto" w:fill="auto"/>
            <w:vAlign w:val="center"/>
          </w:tcPr>
          <w:p w14:paraId="74C389BD">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负责设备拆除调试及维保</w:t>
            </w:r>
          </w:p>
        </w:tc>
      </w:tr>
      <w:tr w14:paraId="0CB025D5">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1117" w:type="dxa"/>
            <w:tcBorders>
              <w:tl2br w:val="nil"/>
              <w:tr2bl w:val="nil"/>
            </w:tcBorders>
            <w:shd w:val="clear" w:color="auto" w:fill="auto"/>
            <w:vAlign w:val="center"/>
          </w:tcPr>
          <w:p w14:paraId="7DF31BB6">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徐刚</w:t>
            </w:r>
          </w:p>
        </w:tc>
        <w:tc>
          <w:tcPr>
            <w:tcW w:w="1631" w:type="dxa"/>
            <w:tcBorders>
              <w:tl2br w:val="nil"/>
              <w:tr2bl w:val="nil"/>
            </w:tcBorders>
            <w:shd w:val="clear" w:color="auto" w:fill="auto"/>
            <w:vAlign w:val="center"/>
          </w:tcPr>
          <w:p w14:paraId="698C6093">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建筑起重机械安装拆卸工（塔式起重机）</w:t>
            </w:r>
          </w:p>
        </w:tc>
        <w:tc>
          <w:tcPr>
            <w:tcW w:w="2106" w:type="dxa"/>
            <w:tcBorders>
              <w:tl2br w:val="nil"/>
              <w:tr2bl w:val="nil"/>
            </w:tcBorders>
            <w:shd w:val="clear" w:color="auto" w:fill="auto"/>
            <w:vAlign w:val="center"/>
          </w:tcPr>
          <w:p w14:paraId="61360E54">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500226198809275711</w:t>
            </w:r>
          </w:p>
        </w:tc>
        <w:tc>
          <w:tcPr>
            <w:tcW w:w="2107" w:type="dxa"/>
            <w:tcBorders>
              <w:tl2br w:val="nil"/>
              <w:tr2bl w:val="nil"/>
            </w:tcBorders>
            <w:shd w:val="clear" w:color="auto" w:fill="auto"/>
            <w:vAlign w:val="center"/>
          </w:tcPr>
          <w:p w14:paraId="220A1A70">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 A 082023007219</w:t>
            </w:r>
          </w:p>
        </w:tc>
        <w:tc>
          <w:tcPr>
            <w:tcW w:w="1563" w:type="dxa"/>
            <w:tcBorders>
              <w:tl2br w:val="nil"/>
              <w:tr2bl w:val="nil"/>
            </w:tcBorders>
            <w:shd w:val="clear" w:color="auto" w:fill="auto"/>
            <w:vAlign w:val="center"/>
          </w:tcPr>
          <w:p w14:paraId="06649090">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负责设备拆除调试及维保</w:t>
            </w:r>
          </w:p>
        </w:tc>
      </w:tr>
      <w:tr w14:paraId="76E607AF">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1117" w:type="dxa"/>
            <w:tcBorders>
              <w:tl2br w:val="nil"/>
              <w:tr2bl w:val="nil"/>
            </w:tcBorders>
            <w:shd w:val="clear" w:color="auto" w:fill="auto"/>
            <w:vAlign w:val="center"/>
          </w:tcPr>
          <w:p w14:paraId="6A43007B">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陈刚</w:t>
            </w:r>
          </w:p>
        </w:tc>
        <w:tc>
          <w:tcPr>
            <w:tcW w:w="1631" w:type="dxa"/>
            <w:tcBorders>
              <w:tl2br w:val="nil"/>
              <w:tr2bl w:val="nil"/>
            </w:tcBorders>
            <w:shd w:val="clear" w:color="auto" w:fill="auto"/>
            <w:vAlign w:val="center"/>
          </w:tcPr>
          <w:p w14:paraId="54A654F9">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建筑起重机械安装拆卸工（塔式起重机）</w:t>
            </w:r>
          </w:p>
        </w:tc>
        <w:tc>
          <w:tcPr>
            <w:tcW w:w="2106" w:type="dxa"/>
            <w:tcBorders>
              <w:tl2br w:val="nil"/>
              <w:tr2bl w:val="nil"/>
            </w:tcBorders>
            <w:shd w:val="clear" w:color="auto" w:fill="auto"/>
            <w:vAlign w:val="center"/>
          </w:tcPr>
          <w:p w14:paraId="2F9830D6">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510922198601193519</w:t>
            </w:r>
          </w:p>
        </w:tc>
        <w:tc>
          <w:tcPr>
            <w:tcW w:w="2107" w:type="dxa"/>
            <w:tcBorders>
              <w:tl2br w:val="nil"/>
              <w:tr2bl w:val="nil"/>
            </w:tcBorders>
            <w:shd w:val="clear" w:color="auto" w:fill="auto"/>
            <w:vAlign w:val="center"/>
          </w:tcPr>
          <w:p w14:paraId="12190365">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川A082023006907</w:t>
            </w:r>
          </w:p>
        </w:tc>
        <w:tc>
          <w:tcPr>
            <w:tcW w:w="1563" w:type="dxa"/>
            <w:tcBorders>
              <w:tl2br w:val="nil"/>
              <w:tr2bl w:val="nil"/>
            </w:tcBorders>
            <w:shd w:val="clear" w:color="auto" w:fill="auto"/>
            <w:vAlign w:val="center"/>
          </w:tcPr>
          <w:p w14:paraId="1110CA96">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负责设备拆除调试及维保</w:t>
            </w:r>
          </w:p>
        </w:tc>
      </w:tr>
      <w:tr w14:paraId="047AF37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1117" w:type="dxa"/>
            <w:tcBorders>
              <w:tl2br w:val="nil"/>
              <w:tr2bl w:val="nil"/>
            </w:tcBorders>
            <w:shd w:val="clear" w:color="auto" w:fill="auto"/>
            <w:vAlign w:val="center"/>
          </w:tcPr>
          <w:p w14:paraId="79728943">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黄仁训</w:t>
            </w:r>
          </w:p>
        </w:tc>
        <w:tc>
          <w:tcPr>
            <w:tcW w:w="1631" w:type="dxa"/>
            <w:tcBorders>
              <w:tl2br w:val="nil"/>
              <w:tr2bl w:val="nil"/>
            </w:tcBorders>
            <w:shd w:val="clear" w:color="auto" w:fill="auto"/>
            <w:vAlign w:val="center"/>
          </w:tcPr>
          <w:p w14:paraId="005733FA">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建筑起重机械安装拆卸工（塔式起重机）</w:t>
            </w:r>
          </w:p>
        </w:tc>
        <w:tc>
          <w:tcPr>
            <w:tcW w:w="2106" w:type="dxa"/>
            <w:tcBorders>
              <w:tl2br w:val="nil"/>
              <w:tr2bl w:val="nil"/>
            </w:tcBorders>
            <w:shd w:val="clear" w:color="auto" w:fill="auto"/>
            <w:vAlign w:val="center"/>
          </w:tcPr>
          <w:p w14:paraId="6373E9E3">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510113198608137413</w:t>
            </w:r>
          </w:p>
        </w:tc>
        <w:tc>
          <w:tcPr>
            <w:tcW w:w="2107" w:type="dxa"/>
            <w:tcBorders>
              <w:tl2br w:val="nil"/>
              <w:tr2bl w:val="nil"/>
            </w:tcBorders>
            <w:shd w:val="clear" w:color="auto" w:fill="auto"/>
            <w:vAlign w:val="center"/>
          </w:tcPr>
          <w:p w14:paraId="11606A19">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 K 082019700001</w:t>
            </w:r>
          </w:p>
        </w:tc>
        <w:tc>
          <w:tcPr>
            <w:tcW w:w="1563" w:type="dxa"/>
            <w:tcBorders>
              <w:tl2br w:val="nil"/>
              <w:tr2bl w:val="nil"/>
            </w:tcBorders>
            <w:shd w:val="clear" w:color="auto" w:fill="auto"/>
            <w:vAlign w:val="center"/>
          </w:tcPr>
          <w:p w14:paraId="6779D506">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负责设备拆除调试及维保</w:t>
            </w:r>
          </w:p>
        </w:tc>
      </w:tr>
      <w:tr w14:paraId="1A1AB84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1115" w:type="dxa"/>
            <w:tcBorders>
              <w:tl2br w:val="nil"/>
              <w:tr2bl w:val="nil"/>
            </w:tcBorders>
            <w:shd w:val="clear" w:color="auto" w:fill="auto"/>
            <w:vAlign w:val="center"/>
          </w:tcPr>
          <w:p w14:paraId="063B69CA">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明兴富</w:t>
            </w:r>
          </w:p>
        </w:tc>
        <w:tc>
          <w:tcPr>
            <w:tcW w:w="1631" w:type="dxa"/>
            <w:tcBorders>
              <w:tl2br w:val="nil"/>
              <w:tr2bl w:val="nil"/>
            </w:tcBorders>
            <w:shd w:val="clear" w:color="auto" w:fill="auto"/>
            <w:vAlign w:val="center"/>
          </w:tcPr>
          <w:p w14:paraId="6382D653">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建筑电工（维保人员）</w:t>
            </w:r>
          </w:p>
        </w:tc>
        <w:tc>
          <w:tcPr>
            <w:tcW w:w="2106" w:type="dxa"/>
            <w:tcBorders>
              <w:tl2br w:val="nil"/>
              <w:tr2bl w:val="nil"/>
            </w:tcBorders>
            <w:shd w:val="clear" w:color="auto" w:fill="auto"/>
            <w:vAlign w:val="center"/>
          </w:tcPr>
          <w:p w14:paraId="175AF3A8">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510322197807274712</w:t>
            </w:r>
          </w:p>
        </w:tc>
        <w:tc>
          <w:tcPr>
            <w:tcW w:w="2107" w:type="dxa"/>
            <w:tcBorders>
              <w:tl2br w:val="nil"/>
              <w:tr2bl w:val="nil"/>
            </w:tcBorders>
            <w:shd w:val="clear" w:color="auto" w:fill="auto"/>
            <w:vAlign w:val="center"/>
          </w:tcPr>
          <w:p w14:paraId="5D7FE1B0">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川A012023012238</w:t>
            </w:r>
          </w:p>
        </w:tc>
        <w:tc>
          <w:tcPr>
            <w:tcW w:w="1563" w:type="dxa"/>
            <w:tcBorders>
              <w:tl2br w:val="nil"/>
              <w:tr2bl w:val="nil"/>
            </w:tcBorders>
            <w:shd w:val="clear" w:color="auto" w:fill="auto"/>
            <w:vAlign w:val="center"/>
          </w:tcPr>
          <w:p w14:paraId="3B1DE0C7">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负责设备拆除电气调试及维保</w:t>
            </w:r>
          </w:p>
        </w:tc>
      </w:tr>
    </w:tbl>
    <w:p w14:paraId="5E407975">
      <w:pPr>
        <w:rPr>
          <w:lang w:val="en-US" w:eastAsia="zh-CN"/>
        </w:rPr>
      </w:pPr>
    </w:p>
    <w:p w14:paraId="0CBB0D83">
      <w:pPr>
        <w:pStyle w:val="3"/>
        <w:bidi w:val="0"/>
        <w:ind w:left="575" w:leftChars="0" w:hanging="575" w:firstLineChars="0"/>
      </w:pPr>
      <w:r>
        <w:t xml:space="preserve"> </w:t>
      </w:r>
      <w:bookmarkStart w:id="147" w:name="_Toc3502"/>
      <w:bookmarkStart w:id="148" w:name="_Toc24182"/>
      <w:r>
        <w:rPr>
          <w:rFonts w:hint="eastAsia"/>
          <w:lang w:val="en-US" w:eastAsia="zh-CN"/>
        </w:rPr>
        <w:t>施工设备计划</w:t>
      </w:r>
      <w:bookmarkEnd w:id="141"/>
      <w:bookmarkEnd w:id="142"/>
      <w:bookmarkEnd w:id="143"/>
      <w:bookmarkEnd w:id="144"/>
      <w:bookmarkEnd w:id="145"/>
      <w:bookmarkEnd w:id="147"/>
      <w:bookmarkEnd w:id="148"/>
    </w:p>
    <w:p w14:paraId="03C3482E">
      <w:pPr>
        <w:pStyle w:val="14"/>
      </w:pPr>
      <w:bookmarkStart w:id="149" w:name="_Toc6681"/>
      <w:bookmarkStart w:id="150" w:name="_Toc1366"/>
      <w:r>
        <w:t xml:space="preserve">表 </w:t>
      </w:r>
      <w:r>
        <w:fldChar w:fldCharType="begin"/>
      </w:r>
      <w:r>
        <w:instrText xml:space="preserve"> STYLEREF 2 \s </w:instrText>
      </w:r>
      <w:r>
        <w:fldChar w:fldCharType="separate"/>
      </w:r>
      <w:r>
        <w:t>3.4</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lang w:val="en-US" w:eastAsia="zh-CN"/>
        </w:rPr>
        <w:t xml:space="preserve"> </w:t>
      </w:r>
      <w:r>
        <w:rPr>
          <w:rFonts w:hint="eastAsia" w:ascii="黑体" w:hAnsi="宋体" w:cs="黑体"/>
          <w:kern w:val="2"/>
          <w:sz w:val="21"/>
          <w:szCs w:val="21"/>
          <w:highlight w:val="none"/>
          <w:lang w:val="en-US" w:eastAsia="zh-CN" w:bidi="ar"/>
        </w:rPr>
        <w:t>塔机拆除</w:t>
      </w:r>
      <w:r>
        <w:rPr>
          <w:rFonts w:hint="eastAsia" w:ascii="黑体" w:hAnsi="宋体" w:eastAsia="黑体" w:cs="黑体"/>
          <w:kern w:val="2"/>
          <w:sz w:val="21"/>
          <w:szCs w:val="21"/>
          <w:highlight w:val="none"/>
          <w:lang w:val="en-US" w:eastAsia="zh-CN" w:bidi="ar"/>
        </w:rPr>
        <w:t>吊索具和专用工具的配备统计表</w:t>
      </w:r>
    </w:p>
    <w:tbl>
      <w:tblPr>
        <w:tblStyle w:val="29"/>
        <w:tblW w:w="0" w:type="auto"/>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fixed"/>
        <w:tblCellMar>
          <w:top w:w="0" w:type="dxa"/>
          <w:left w:w="108" w:type="dxa"/>
          <w:bottom w:w="0" w:type="dxa"/>
          <w:right w:w="108" w:type="dxa"/>
        </w:tblCellMar>
      </w:tblPr>
      <w:tblGrid>
        <w:gridCol w:w="756"/>
        <w:gridCol w:w="1521"/>
        <w:gridCol w:w="2550"/>
        <w:gridCol w:w="786"/>
        <w:gridCol w:w="1561"/>
        <w:gridCol w:w="1301"/>
      </w:tblGrid>
      <w:tr w14:paraId="3E3CEE13">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739" w:hRule="exact"/>
          <w:jc w:val="center"/>
        </w:trPr>
        <w:tc>
          <w:tcPr>
            <w:tcW w:w="756" w:type="dxa"/>
            <w:tcBorders>
              <w:tl2br w:val="nil"/>
              <w:tr2bl w:val="nil"/>
            </w:tcBorders>
            <w:shd w:val="clear" w:color="auto" w:fill="DAE3F3" w:themeFill="accent5" w:themeFillTint="32"/>
            <w:noWrap w:val="0"/>
            <w:vAlign w:val="center"/>
          </w:tcPr>
          <w:p w14:paraId="20A9F4B5">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序号</w:t>
            </w:r>
          </w:p>
        </w:tc>
        <w:tc>
          <w:tcPr>
            <w:tcW w:w="1521" w:type="dxa"/>
            <w:tcBorders>
              <w:tl2br w:val="nil"/>
              <w:tr2bl w:val="nil"/>
            </w:tcBorders>
            <w:shd w:val="clear" w:color="auto" w:fill="DAE3F3" w:themeFill="accent5" w:themeFillTint="32"/>
            <w:noWrap w:val="0"/>
            <w:vAlign w:val="center"/>
          </w:tcPr>
          <w:p w14:paraId="04D623C9">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名称</w:t>
            </w:r>
          </w:p>
        </w:tc>
        <w:tc>
          <w:tcPr>
            <w:tcW w:w="2550" w:type="dxa"/>
            <w:tcBorders>
              <w:tl2br w:val="nil"/>
              <w:tr2bl w:val="nil"/>
            </w:tcBorders>
            <w:shd w:val="clear" w:color="auto" w:fill="DAE3F3" w:themeFill="accent5" w:themeFillTint="32"/>
            <w:noWrap w:val="0"/>
            <w:vAlign w:val="center"/>
          </w:tcPr>
          <w:p w14:paraId="3132BAC7">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规格</w:t>
            </w:r>
          </w:p>
        </w:tc>
        <w:tc>
          <w:tcPr>
            <w:tcW w:w="786" w:type="dxa"/>
            <w:tcBorders>
              <w:tl2br w:val="nil"/>
              <w:tr2bl w:val="nil"/>
            </w:tcBorders>
            <w:shd w:val="clear" w:color="auto" w:fill="DAE3F3" w:themeFill="accent5" w:themeFillTint="32"/>
            <w:noWrap w:val="0"/>
            <w:vAlign w:val="center"/>
          </w:tcPr>
          <w:p w14:paraId="3DB75DB0">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精度等级</w:t>
            </w:r>
          </w:p>
        </w:tc>
        <w:tc>
          <w:tcPr>
            <w:tcW w:w="1561" w:type="dxa"/>
            <w:tcBorders>
              <w:tl2br w:val="nil"/>
              <w:tr2bl w:val="nil"/>
            </w:tcBorders>
            <w:shd w:val="clear" w:color="auto" w:fill="DAE3F3" w:themeFill="accent5" w:themeFillTint="32"/>
            <w:noWrap w:val="0"/>
            <w:vAlign w:val="center"/>
          </w:tcPr>
          <w:p w14:paraId="73BECF50">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单位</w:t>
            </w:r>
          </w:p>
        </w:tc>
        <w:tc>
          <w:tcPr>
            <w:tcW w:w="1301" w:type="dxa"/>
            <w:tcBorders>
              <w:tl2br w:val="nil"/>
              <w:tr2bl w:val="nil"/>
            </w:tcBorders>
            <w:shd w:val="clear" w:color="auto" w:fill="DAE3F3" w:themeFill="accent5" w:themeFillTint="32"/>
            <w:noWrap w:val="0"/>
            <w:vAlign w:val="center"/>
          </w:tcPr>
          <w:p w14:paraId="3E996A37">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备注</w:t>
            </w:r>
          </w:p>
        </w:tc>
      </w:tr>
      <w:tr w14:paraId="4BCC367B">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756" w:type="dxa"/>
            <w:tcBorders>
              <w:tl2br w:val="nil"/>
              <w:tr2bl w:val="nil"/>
            </w:tcBorders>
            <w:noWrap w:val="0"/>
            <w:vAlign w:val="center"/>
          </w:tcPr>
          <w:p w14:paraId="349C6ECE">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1</w:t>
            </w:r>
          </w:p>
        </w:tc>
        <w:tc>
          <w:tcPr>
            <w:tcW w:w="1521" w:type="dxa"/>
            <w:tcBorders>
              <w:tl2br w:val="nil"/>
              <w:tr2bl w:val="nil"/>
            </w:tcBorders>
            <w:noWrap w:val="0"/>
            <w:vAlign w:val="center"/>
          </w:tcPr>
          <w:p w14:paraId="70612D9A">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汽车吊</w:t>
            </w:r>
          </w:p>
        </w:tc>
        <w:tc>
          <w:tcPr>
            <w:tcW w:w="2550" w:type="dxa"/>
            <w:tcBorders>
              <w:tl2br w:val="nil"/>
              <w:tr2bl w:val="nil"/>
            </w:tcBorders>
            <w:noWrap w:val="0"/>
            <w:vAlign w:val="center"/>
          </w:tcPr>
          <w:p w14:paraId="01C4A22B">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50t</w:t>
            </w:r>
          </w:p>
        </w:tc>
        <w:tc>
          <w:tcPr>
            <w:tcW w:w="786" w:type="dxa"/>
            <w:tcBorders>
              <w:tl2br w:val="nil"/>
              <w:tr2bl w:val="nil"/>
            </w:tcBorders>
            <w:noWrap w:val="0"/>
            <w:vAlign w:val="center"/>
          </w:tcPr>
          <w:p w14:paraId="601060B8">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p>
        </w:tc>
        <w:tc>
          <w:tcPr>
            <w:tcW w:w="1561" w:type="dxa"/>
            <w:tcBorders>
              <w:tl2br w:val="nil"/>
              <w:tr2bl w:val="nil"/>
            </w:tcBorders>
            <w:noWrap w:val="0"/>
            <w:vAlign w:val="center"/>
          </w:tcPr>
          <w:p w14:paraId="4A5920CB">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1辆</w:t>
            </w:r>
          </w:p>
          <w:p w14:paraId="70F416A0">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p>
        </w:tc>
        <w:tc>
          <w:tcPr>
            <w:tcW w:w="1301" w:type="dxa"/>
            <w:tcBorders>
              <w:tl2br w:val="nil"/>
              <w:tr2bl w:val="nil"/>
            </w:tcBorders>
            <w:noWrap w:val="0"/>
            <w:vAlign w:val="center"/>
          </w:tcPr>
          <w:p w14:paraId="7D212199">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合格</w:t>
            </w:r>
          </w:p>
        </w:tc>
      </w:tr>
      <w:tr w14:paraId="67DF0E95">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633" w:hRule="exact"/>
          <w:jc w:val="center"/>
        </w:trPr>
        <w:tc>
          <w:tcPr>
            <w:tcW w:w="756" w:type="dxa"/>
            <w:tcBorders>
              <w:tl2br w:val="nil"/>
              <w:tr2bl w:val="nil"/>
            </w:tcBorders>
            <w:noWrap w:val="0"/>
            <w:vAlign w:val="center"/>
          </w:tcPr>
          <w:p w14:paraId="70749393">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2</w:t>
            </w:r>
          </w:p>
        </w:tc>
        <w:tc>
          <w:tcPr>
            <w:tcW w:w="1521" w:type="dxa"/>
            <w:tcBorders>
              <w:tl2br w:val="nil"/>
              <w:tr2bl w:val="nil"/>
            </w:tcBorders>
            <w:noWrap w:val="0"/>
            <w:vAlign w:val="center"/>
          </w:tcPr>
          <w:p w14:paraId="7F98DE52">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钢丝绳</w:t>
            </w:r>
          </w:p>
        </w:tc>
        <w:tc>
          <w:tcPr>
            <w:tcW w:w="2550" w:type="dxa"/>
            <w:tcBorders>
              <w:tl2br w:val="nil"/>
              <w:tr2bl w:val="nil"/>
            </w:tcBorders>
            <w:noWrap w:val="0"/>
            <w:vAlign w:val="center"/>
          </w:tcPr>
          <w:p w14:paraId="18AF7290">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18mm6×19W+IWR1870Mpa</w:t>
            </w:r>
          </w:p>
        </w:tc>
        <w:tc>
          <w:tcPr>
            <w:tcW w:w="786" w:type="dxa"/>
            <w:tcBorders>
              <w:tl2br w:val="nil"/>
              <w:tr2bl w:val="nil"/>
            </w:tcBorders>
            <w:noWrap w:val="0"/>
            <w:vAlign w:val="center"/>
          </w:tcPr>
          <w:p w14:paraId="4BAD46E2">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p>
        </w:tc>
        <w:tc>
          <w:tcPr>
            <w:tcW w:w="1561" w:type="dxa"/>
            <w:tcBorders>
              <w:tl2br w:val="nil"/>
              <w:tr2bl w:val="nil"/>
            </w:tcBorders>
            <w:noWrap w:val="0"/>
            <w:vAlign w:val="center"/>
          </w:tcPr>
          <w:p w14:paraId="56061BED">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4根</w:t>
            </w:r>
          </w:p>
        </w:tc>
        <w:tc>
          <w:tcPr>
            <w:tcW w:w="1301" w:type="dxa"/>
            <w:tcBorders>
              <w:tl2br w:val="nil"/>
              <w:tr2bl w:val="nil"/>
            </w:tcBorders>
            <w:noWrap w:val="0"/>
            <w:vAlign w:val="center"/>
          </w:tcPr>
          <w:p w14:paraId="10588974">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合格</w:t>
            </w:r>
          </w:p>
        </w:tc>
      </w:tr>
      <w:tr w14:paraId="777E421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633" w:hRule="exact"/>
          <w:jc w:val="center"/>
        </w:trPr>
        <w:tc>
          <w:tcPr>
            <w:tcW w:w="756" w:type="dxa"/>
            <w:tcBorders>
              <w:tl2br w:val="nil"/>
              <w:tr2bl w:val="nil"/>
            </w:tcBorders>
            <w:shd w:val="clear" w:color="auto" w:fill="auto"/>
            <w:noWrap w:val="0"/>
            <w:vAlign w:val="center"/>
          </w:tcPr>
          <w:p w14:paraId="6CC755C3">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kern w:val="2"/>
                <w:sz w:val="21"/>
                <w:szCs w:val="21"/>
                <w:highlight w:val="none"/>
                <w:vertAlign w:val="baseline"/>
                <w:lang w:val="en-US" w:eastAsia="zh-CN" w:bidi="ar-SA"/>
              </w:rPr>
            </w:pPr>
            <w:r>
              <w:rPr>
                <w:rFonts w:hint="eastAsia" w:ascii="宋体" w:hAnsi="宋体" w:eastAsia="宋体" w:cs="宋体"/>
                <w:b w:val="0"/>
                <w:bCs/>
                <w:sz w:val="21"/>
                <w:szCs w:val="21"/>
                <w:highlight w:val="none"/>
                <w:vertAlign w:val="baseline"/>
                <w:lang w:val="en-US" w:eastAsia="zh-CN"/>
              </w:rPr>
              <w:t>3</w:t>
            </w:r>
          </w:p>
        </w:tc>
        <w:tc>
          <w:tcPr>
            <w:tcW w:w="1521" w:type="dxa"/>
            <w:tcBorders>
              <w:tl2br w:val="nil"/>
              <w:tr2bl w:val="nil"/>
            </w:tcBorders>
            <w:noWrap w:val="0"/>
            <w:vAlign w:val="center"/>
          </w:tcPr>
          <w:p w14:paraId="33A41872">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钢丝绳</w:t>
            </w:r>
          </w:p>
        </w:tc>
        <w:tc>
          <w:tcPr>
            <w:tcW w:w="2550" w:type="dxa"/>
            <w:tcBorders>
              <w:tl2br w:val="nil"/>
              <w:tr2bl w:val="nil"/>
            </w:tcBorders>
            <w:noWrap w:val="0"/>
            <w:vAlign w:val="center"/>
          </w:tcPr>
          <w:p w14:paraId="23273156">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16mm6×19W+IWR1870Mpa</w:t>
            </w:r>
          </w:p>
        </w:tc>
        <w:tc>
          <w:tcPr>
            <w:tcW w:w="786" w:type="dxa"/>
            <w:tcBorders>
              <w:tl2br w:val="nil"/>
              <w:tr2bl w:val="nil"/>
            </w:tcBorders>
            <w:noWrap w:val="0"/>
            <w:vAlign w:val="center"/>
          </w:tcPr>
          <w:p w14:paraId="65A593DC">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p>
        </w:tc>
        <w:tc>
          <w:tcPr>
            <w:tcW w:w="1561" w:type="dxa"/>
            <w:tcBorders>
              <w:tl2br w:val="nil"/>
              <w:tr2bl w:val="nil"/>
            </w:tcBorders>
            <w:noWrap w:val="0"/>
            <w:vAlign w:val="center"/>
          </w:tcPr>
          <w:p w14:paraId="59F57615">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2根</w:t>
            </w:r>
          </w:p>
        </w:tc>
        <w:tc>
          <w:tcPr>
            <w:tcW w:w="1301" w:type="dxa"/>
            <w:tcBorders>
              <w:tl2br w:val="nil"/>
              <w:tr2bl w:val="nil"/>
            </w:tcBorders>
            <w:noWrap w:val="0"/>
            <w:vAlign w:val="center"/>
          </w:tcPr>
          <w:p w14:paraId="4B6204E0">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合格</w:t>
            </w:r>
          </w:p>
        </w:tc>
      </w:tr>
      <w:tr w14:paraId="42BE89BB">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756" w:type="dxa"/>
            <w:tcBorders>
              <w:tl2br w:val="nil"/>
              <w:tr2bl w:val="nil"/>
            </w:tcBorders>
            <w:shd w:val="clear" w:color="auto" w:fill="auto"/>
            <w:noWrap w:val="0"/>
            <w:vAlign w:val="center"/>
          </w:tcPr>
          <w:p w14:paraId="5018BEDC">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kern w:val="2"/>
                <w:sz w:val="21"/>
                <w:szCs w:val="21"/>
                <w:highlight w:val="none"/>
                <w:vertAlign w:val="baseline"/>
                <w:lang w:val="en-US" w:eastAsia="zh-CN" w:bidi="ar-SA"/>
              </w:rPr>
            </w:pPr>
            <w:r>
              <w:rPr>
                <w:rFonts w:hint="eastAsia" w:ascii="宋体" w:hAnsi="宋体" w:eastAsia="宋体" w:cs="宋体"/>
                <w:b w:val="0"/>
                <w:bCs/>
                <w:sz w:val="21"/>
                <w:szCs w:val="21"/>
                <w:highlight w:val="none"/>
                <w:vertAlign w:val="baseline"/>
                <w:lang w:val="en-US" w:eastAsia="zh-CN"/>
              </w:rPr>
              <w:t>4</w:t>
            </w:r>
          </w:p>
        </w:tc>
        <w:tc>
          <w:tcPr>
            <w:tcW w:w="1521" w:type="dxa"/>
            <w:tcBorders>
              <w:tl2br w:val="nil"/>
              <w:tr2bl w:val="nil"/>
            </w:tcBorders>
            <w:noWrap w:val="0"/>
            <w:vAlign w:val="center"/>
          </w:tcPr>
          <w:p w14:paraId="60329659">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钢丝绳卸扣</w:t>
            </w:r>
          </w:p>
        </w:tc>
        <w:tc>
          <w:tcPr>
            <w:tcW w:w="2550" w:type="dxa"/>
            <w:tcBorders>
              <w:tl2br w:val="nil"/>
              <w:tr2bl w:val="nil"/>
            </w:tcBorders>
            <w:noWrap w:val="0"/>
            <w:vAlign w:val="center"/>
          </w:tcPr>
          <w:p w14:paraId="5B0E3000">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GB/T 25854-6-DW5</w:t>
            </w:r>
          </w:p>
        </w:tc>
        <w:tc>
          <w:tcPr>
            <w:tcW w:w="786" w:type="dxa"/>
            <w:tcBorders>
              <w:tl2br w:val="nil"/>
              <w:tr2bl w:val="nil"/>
            </w:tcBorders>
            <w:noWrap w:val="0"/>
            <w:vAlign w:val="center"/>
          </w:tcPr>
          <w:p w14:paraId="1E6B7FF9">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p>
        </w:tc>
        <w:tc>
          <w:tcPr>
            <w:tcW w:w="1561" w:type="dxa"/>
            <w:tcBorders>
              <w:tl2br w:val="nil"/>
              <w:tr2bl w:val="nil"/>
            </w:tcBorders>
            <w:noWrap w:val="0"/>
            <w:vAlign w:val="center"/>
          </w:tcPr>
          <w:p w14:paraId="02DD6B14">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1对</w:t>
            </w:r>
          </w:p>
        </w:tc>
        <w:tc>
          <w:tcPr>
            <w:tcW w:w="1301" w:type="dxa"/>
            <w:tcBorders>
              <w:tl2br w:val="nil"/>
              <w:tr2bl w:val="nil"/>
            </w:tcBorders>
            <w:noWrap w:val="0"/>
            <w:vAlign w:val="center"/>
          </w:tcPr>
          <w:p w14:paraId="19D7186D">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合格</w:t>
            </w:r>
          </w:p>
        </w:tc>
      </w:tr>
      <w:tr w14:paraId="5F4A510F">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756" w:type="dxa"/>
            <w:tcBorders>
              <w:tl2br w:val="nil"/>
              <w:tr2bl w:val="nil"/>
            </w:tcBorders>
            <w:shd w:val="clear" w:color="auto" w:fill="auto"/>
            <w:noWrap w:val="0"/>
            <w:vAlign w:val="center"/>
          </w:tcPr>
          <w:p w14:paraId="74CB49D7">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kern w:val="2"/>
                <w:sz w:val="21"/>
                <w:szCs w:val="21"/>
                <w:highlight w:val="none"/>
                <w:vertAlign w:val="baseline"/>
                <w:lang w:val="en-US" w:eastAsia="zh-CN" w:bidi="ar-SA"/>
              </w:rPr>
            </w:pPr>
            <w:r>
              <w:rPr>
                <w:rFonts w:hint="eastAsia" w:ascii="宋体" w:hAnsi="宋体" w:eastAsia="宋体" w:cs="宋体"/>
                <w:b w:val="0"/>
                <w:bCs/>
                <w:sz w:val="21"/>
                <w:szCs w:val="21"/>
                <w:highlight w:val="none"/>
                <w:vertAlign w:val="baseline"/>
                <w:lang w:val="en-US" w:eastAsia="zh-CN"/>
              </w:rPr>
              <w:t>5</w:t>
            </w:r>
          </w:p>
        </w:tc>
        <w:tc>
          <w:tcPr>
            <w:tcW w:w="1521" w:type="dxa"/>
            <w:tcBorders>
              <w:tl2br w:val="nil"/>
              <w:tr2bl w:val="nil"/>
            </w:tcBorders>
            <w:noWrap w:val="0"/>
            <w:vAlign w:val="center"/>
          </w:tcPr>
          <w:p w14:paraId="46506E7A">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倒链</w:t>
            </w:r>
          </w:p>
        </w:tc>
        <w:tc>
          <w:tcPr>
            <w:tcW w:w="2550" w:type="dxa"/>
            <w:tcBorders>
              <w:tl2br w:val="nil"/>
              <w:tr2bl w:val="nil"/>
            </w:tcBorders>
            <w:noWrap w:val="0"/>
            <w:vAlign w:val="center"/>
          </w:tcPr>
          <w:p w14:paraId="711BC617">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2t、3t</w:t>
            </w:r>
          </w:p>
        </w:tc>
        <w:tc>
          <w:tcPr>
            <w:tcW w:w="786" w:type="dxa"/>
            <w:tcBorders>
              <w:tl2br w:val="nil"/>
              <w:tr2bl w:val="nil"/>
            </w:tcBorders>
            <w:noWrap w:val="0"/>
            <w:vAlign w:val="center"/>
          </w:tcPr>
          <w:p w14:paraId="699019E2">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p>
        </w:tc>
        <w:tc>
          <w:tcPr>
            <w:tcW w:w="1561" w:type="dxa"/>
            <w:tcBorders>
              <w:tl2br w:val="nil"/>
              <w:tr2bl w:val="nil"/>
            </w:tcBorders>
            <w:noWrap w:val="0"/>
            <w:vAlign w:val="center"/>
          </w:tcPr>
          <w:p w14:paraId="77770F44">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各2个</w:t>
            </w:r>
          </w:p>
        </w:tc>
        <w:tc>
          <w:tcPr>
            <w:tcW w:w="1301" w:type="dxa"/>
            <w:tcBorders>
              <w:tl2br w:val="nil"/>
              <w:tr2bl w:val="nil"/>
            </w:tcBorders>
            <w:noWrap w:val="0"/>
            <w:vAlign w:val="center"/>
          </w:tcPr>
          <w:p w14:paraId="57634E91">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合格</w:t>
            </w:r>
          </w:p>
        </w:tc>
      </w:tr>
      <w:tr w14:paraId="31B4B523">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756" w:type="dxa"/>
            <w:tcBorders>
              <w:tl2br w:val="nil"/>
              <w:tr2bl w:val="nil"/>
            </w:tcBorders>
            <w:shd w:val="clear" w:color="auto" w:fill="auto"/>
            <w:noWrap w:val="0"/>
            <w:vAlign w:val="center"/>
          </w:tcPr>
          <w:p w14:paraId="5A50F000">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kern w:val="2"/>
                <w:sz w:val="21"/>
                <w:szCs w:val="21"/>
                <w:highlight w:val="none"/>
                <w:vertAlign w:val="baseline"/>
                <w:lang w:val="en-US" w:eastAsia="zh-CN" w:bidi="ar-SA"/>
              </w:rPr>
            </w:pPr>
            <w:r>
              <w:rPr>
                <w:rFonts w:hint="eastAsia" w:ascii="宋体" w:hAnsi="宋体" w:eastAsia="宋体" w:cs="宋体"/>
                <w:b w:val="0"/>
                <w:bCs/>
                <w:sz w:val="21"/>
                <w:szCs w:val="21"/>
                <w:highlight w:val="none"/>
                <w:vertAlign w:val="baseline"/>
                <w:lang w:val="en-US" w:eastAsia="zh-CN"/>
              </w:rPr>
              <w:t>6</w:t>
            </w:r>
          </w:p>
        </w:tc>
        <w:tc>
          <w:tcPr>
            <w:tcW w:w="1521" w:type="dxa"/>
            <w:tcBorders>
              <w:tl2br w:val="nil"/>
              <w:tr2bl w:val="nil"/>
            </w:tcBorders>
            <w:noWrap w:val="0"/>
            <w:vAlign w:val="center"/>
          </w:tcPr>
          <w:p w14:paraId="5ACB993F">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卡环</w:t>
            </w:r>
          </w:p>
        </w:tc>
        <w:tc>
          <w:tcPr>
            <w:tcW w:w="2550" w:type="dxa"/>
            <w:tcBorders>
              <w:tl2br w:val="nil"/>
              <w:tr2bl w:val="nil"/>
            </w:tcBorders>
            <w:noWrap w:val="0"/>
            <w:vAlign w:val="center"/>
          </w:tcPr>
          <w:p w14:paraId="6A2A641C">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10t</w:t>
            </w:r>
          </w:p>
        </w:tc>
        <w:tc>
          <w:tcPr>
            <w:tcW w:w="786" w:type="dxa"/>
            <w:tcBorders>
              <w:tl2br w:val="nil"/>
              <w:tr2bl w:val="nil"/>
            </w:tcBorders>
            <w:noWrap w:val="0"/>
            <w:vAlign w:val="center"/>
          </w:tcPr>
          <w:p w14:paraId="650861BC">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p>
        </w:tc>
        <w:tc>
          <w:tcPr>
            <w:tcW w:w="1561" w:type="dxa"/>
            <w:tcBorders>
              <w:tl2br w:val="nil"/>
              <w:tr2bl w:val="nil"/>
            </w:tcBorders>
            <w:noWrap w:val="0"/>
            <w:vAlign w:val="center"/>
          </w:tcPr>
          <w:p w14:paraId="44437FDB">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2个</w:t>
            </w:r>
          </w:p>
        </w:tc>
        <w:tc>
          <w:tcPr>
            <w:tcW w:w="1301" w:type="dxa"/>
            <w:tcBorders>
              <w:tl2br w:val="nil"/>
              <w:tr2bl w:val="nil"/>
            </w:tcBorders>
            <w:noWrap w:val="0"/>
            <w:vAlign w:val="center"/>
          </w:tcPr>
          <w:p w14:paraId="0F69D212">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合格</w:t>
            </w:r>
          </w:p>
        </w:tc>
      </w:tr>
      <w:tr w14:paraId="6B587F2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756" w:type="dxa"/>
            <w:tcBorders>
              <w:tl2br w:val="nil"/>
              <w:tr2bl w:val="nil"/>
            </w:tcBorders>
            <w:shd w:val="clear" w:color="auto" w:fill="auto"/>
            <w:noWrap w:val="0"/>
            <w:vAlign w:val="center"/>
          </w:tcPr>
          <w:p w14:paraId="1E4F75C2">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kern w:val="2"/>
                <w:sz w:val="21"/>
                <w:szCs w:val="21"/>
                <w:highlight w:val="none"/>
                <w:vertAlign w:val="baseline"/>
                <w:lang w:val="en-US" w:eastAsia="zh-CN" w:bidi="ar-SA"/>
              </w:rPr>
            </w:pPr>
            <w:r>
              <w:rPr>
                <w:rFonts w:hint="eastAsia" w:ascii="宋体" w:hAnsi="宋体" w:eastAsia="宋体" w:cs="宋体"/>
                <w:b w:val="0"/>
                <w:bCs/>
                <w:sz w:val="21"/>
                <w:szCs w:val="21"/>
                <w:highlight w:val="none"/>
                <w:vertAlign w:val="baseline"/>
                <w:lang w:val="en-US" w:eastAsia="zh-CN"/>
              </w:rPr>
              <w:t>7</w:t>
            </w:r>
          </w:p>
        </w:tc>
        <w:tc>
          <w:tcPr>
            <w:tcW w:w="1521" w:type="dxa"/>
            <w:tcBorders>
              <w:tl2br w:val="nil"/>
              <w:tr2bl w:val="nil"/>
            </w:tcBorders>
            <w:noWrap w:val="0"/>
            <w:vAlign w:val="center"/>
          </w:tcPr>
          <w:p w14:paraId="6B6B4B29">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卡环</w:t>
            </w:r>
          </w:p>
        </w:tc>
        <w:tc>
          <w:tcPr>
            <w:tcW w:w="2550" w:type="dxa"/>
            <w:tcBorders>
              <w:tl2br w:val="nil"/>
              <w:tr2bl w:val="nil"/>
            </w:tcBorders>
            <w:noWrap w:val="0"/>
            <w:vAlign w:val="center"/>
          </w:tcPr>
          <w:p w14:paraId="43A48C28">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5t</w:t>
            </w:r>
          </w:p>
        </w:tc>
        <w:tc>
          <w:tcPr>
            <w:tcW w:w="786" w:type="dxa"/>
            <w:tcBorders>
              <w:tl2br w:val="nil"/>
              <w:tr2bl w:val="nil"/>
            </w:tcBorders>
            <w:noWrap w:val="0"/>
            <w:vAlign w:val="center"/>
          </w:tcPr>
          <w:p w14:paraId="640C93AC">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p>
        </w:tc>
        <w:tc>
          <w:tcPr>
            <w:tcW w:w="1561" w:type="dxa"/>
            <w:tcBorders>
              <w:tl2br w:val="nil"/>
              <w:tr2bl w:val="nil"/>
            </w:tcBorders>
            <w:noWrap w:val="0"/>
            <w:vAlign w:val="center"/>
          </w:tcPr>
          <w:p w14:paraId="30C3B331">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 xml:space="preserve"> 4个</w:t>
            </w:r>
          </w:p>
        </w:tc>
        <w:tc>
          <w:tcPr>
            <w:tcW w:w="1301" w:type="dxa"/>
            <w:tcBorders>
              <w:tl2br w:val="nil"/>
              <w:tr2bl w:val="nil"/>
            </w:tcBorders>
            <w:noWrap w:val="0"/>
            <w:vAlign w:val="center"/>
          </w:tcPr>
          <w:p w14:paraId="06F5DB57">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合格</w:t>
            </w:r>
          </w:p>
        </w:tc>
      </w:tr>
      <w:tr w14:paraId="08401D7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756" w:type="dxa"/>
            <w:tcBorders>
              <w:tl2br w:val="nil"/>
              <w:tr2bl w:val="nil"/>
            </w:tcBorders>
            <w:shd w:val="clear" w:color="auto" w:fill="auto"/>
            <w:noWrap w:val="0"/>
            <w:vAlign w:val="center"/>
          </w:tcPr>
          <w:p w14:paraId="119F3526">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kern w:val="2"/>
                <w:sz w:val="21"/>
                <w:szCs w:val="21"/>
                <w:highlight w:val="none"/>
                <w:vertAlign w:val="baseline"/>
                <w:lang w:val="en-US" w:eastAsia="zh-CN" w:bidi="ar-SA"/>
              </w:rPr>
            </w:pPr>
            <w:r>
              <w:rPr>
                <w:rFonts w:hint="eastAsia" w:ascii="宋体" w:hAnsi="宋体" w:eastAsia="宋体" w:cs="宋体"/>
                <w:b w:val="0"/>
                <w:bCs/>
                <w:sz w:val="21"/>
                <w:szCs w:val="21"/>
                <w:highlight w:val="none"/>
                <w:vertAlign w:val="baseline"/>
                <w:lang w:val="en-US" w:eastAsia="zh-CN"/>
              </w:rPr>
              <w:t>8</w:t>
            </w:r>
          </w:p>
        </w:tc>
        <w:tc>
          <w:tcPr>
            <w:tcW w:w="1521" w:type="dxa"/>
            <w:tcBorders>
              <w:tl2br w:val="nil"/>
              <w:tr2bl w:val="nil"/>
            </w:tcBorders>
            <w:noWrap w:val="0"/>
            <w:vAlign w:val="center"/>
          </w:tcPr>
          <w:p w14:paraId="286FE3EC">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大锤</w:t>
            </w:r>
          </w:p>
        </w:tc>
        <w:tc>
          <w:tcPr>
            <w:tcW w:w="2550" w:type="dxa"/>
            <w:tcBorders>
              <w:tl2br w:val="nil"/>
              <w:tr2bl w:val="nil"/>
            </w:tcBorders>
            <w:noWrap w:val="0"/>
            <w:vAlign w:val="center"/>
          </w:tcPr>
          <w:p w14:paraId="254A858E">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20磅</w:t>
            </w:r>
          </w:p>
        </w:tc>
        <w:tc>
          <w:tcPr>
            <w:tcW w:w="786" w:type="dxa"/>
            <w:tcBorders>
              <w:tl2br w:val="nil"/>
              <w:tr2bl w:val="nil"/>
            </w:tcBorders>
            <w:noWrap w:val="0"/>
            <w:vAlign w:val="center"/>
          </w:tcPr>
          <w:p w14:paraId="6955310F">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p>
        </w:tc>
        <w:tc>
          <w:tcPr>
            <w:tcW w:w="1561" w:type="dxa"/>
            <w:tcBorders>
              <w:tl2br w:val="nil"/>
              <w:tr2bl w:val="nil"/>
            </w:tcBorders>
            <w:noWrap w:val="0"/>
            <w:vAlign w:val="center"/>
          </w:tcPr>
          <w:p w14:paraId="75987A91">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4把</w:t>
            </w:r>
          </w:p>
        </w:tc>
        <w:tc>
          <w:tcPr>
            <w:tcW w:w="1301" w:type="dxa"/>
            <w:tcBorders>
              <w:tl2br w:val="nil"/>
              <w:tr2bl w:val="nil"/>
            </w:tcBorders>
            <w:noWrap w:val="0"/>
            <w:vAlign w:val="center"/>
          </w:tcPr>
          <w:p w14:paraId="6BCE79AA">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合格</w:t>
            </w:r>
          </w:p>
        </w:tc>
      </w:tr>
      <w:tr w14:paraId="2E09A740">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756" w:type="dxa"/>
            <w:tcBorders>
              <w:tl2br w:val="nil"/>
              <w:tr2bl w:val="nil"/>
            </w:tcBorders>
            <w:shd w:val="clear" w:color="auto" w:fill="auto"/>
            <w:noWrap w:val="0"/>
            <w:vAlign w:val="center"/>
          </w:tcPr>
          <w:p w14:paraId="12BBE824">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kern w:val="2"/>
                <w:sz w:val="21"/>
                <w:szCs w:val="21"/>
                <w:highlight w:val="none"/>
                <w:vertAlign w:val="baseline"/>
                <w:lang w:val="en-US" w:eastAsia="zh-CN" w:bidi="ar-SA"/>
              </w:rPr>
            </w:pPr>
            <w:r>
              <w:rPr>
                <w:rFonts w:hint="eastAsia" w:ascii="宋体" w:hAnsi="宋体" w:eastAsia="宋体" w:cs="宋体"/>
                <w:b w:val="0"/>
                <w:bCs/>
                <w:sz w:val="21"/>
                <w:szCs w:val="21"/>
                <w:highlight w:val="none"/>
                <w:vertAlign w:val="baseline"/>
                <w:lang w:val="en-US" w:eastAsia="zh-CN"/>
              </w:rPr>
              <w:t>9</w:t>
            </w:r>
          </w:p>
        </w:tc>
        <w:tc>
          <w:tcPr>
            <w:tcW w:w="1521" w:type="dxa"/>
            <w:tcBorders>
              <w:tl2br w:val="nil"/>
              <w:tr2bl w:val="nil"/>
            </w:tcBorders>
            <w:noWrap w:val="0"/>
            <w:vAlign w:val="center"/>
          </w:tcPr>
          <w:p w14:paraId="10C1A7BE">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手锤</w:t>
            </w:r>
          </w:p>
        </w:tc>
        <w:tc>
          <w:tcPr>
            <w:tcW w:w="2550" w:type="dxa"/>
            <w:tcBorders>
              <w:tl2br w:val="nil"/>
              <w:tr2bl w:val="nil"/>
            </w:tcBorders>
            <w:noWrap w:val="0"/>
            <w:vAlign w:val="center"/>
          </w:tcPr>
          <w:p w14:paraId="1752BA40">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8磅</w:t>
            </w:r>
          </w:p>
        </w:tc>
        <w:tc>
          <w:tcPr>
            <w:tcW w:w="786" w:type="dxa"/>
            <w:tcBorders>
              <w:tl2br w:val="nil"/>
              <w:tr2bl w:val="nil"/>
            </w:tcBorders>
            <w:noWrap w:val="0"/>
            <w:vAlign w:val="center"/>
          </w:tcPr>
          <w:p w14:paraId="3AE64CC1">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p>
        </w:tc>
        <w:tc>
          <w:tcPr>
            <w:tcW w:w="1561" w:type="dxa"/>
            <w:tcBorders>
              <w:tl2br w:val="nil"/>
              <w:tr2bl w:val="nil"/>
            </w:tcBorders>
            <w:noWrap w:val="0"/>
            <w:vAlign w:val="center"/>
          </w:tcPr>
          <w:p w14:paraId="01C57143">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2把</w:t>
            </w:r>
          </w:p>
        </w:tc>
        <w:tc>
          <w:tcPr>
            <w:tcW w:w="1301" w:type="dxa"/>
            <w:tcBorders>
              <w:tl2br w:val="nil"/>
              <w:tr2bl w:val="nil"/>
            </w:tcBorders>
            <w:noWrap w:val="0"/>
            <w:vAlign w:val="center"/>
          </w:tcPr>
          <w:p w14:paraId="3BA8B943">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合格</w:t>
            </w:r>
          </w:p>
        </w:tc>
      </w:tr>
      <w:tr w14:paraId="20C63B9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22" w:hRule="exact"/>
          <w:jc w:val="center"/>
        </w:trPr>
        <w:tc>
          <w:tcPr>
            <w:tcW w:w="756" w:type="dxa"/>
            <w:tcBorders>
              <w:tl2br w:val="nil"/>
              <w:tr2bl w:val="nil"/>
            </w:tcBorders>
            <w:shd w:val="clear" w:color="auto" w:fill="auto"/>
            <w:noWrap w:val="0"/>
            <w:vAlign w:val="center"/>
          </w:tcPr>
          <w:p w14:paraId="7E0677D5">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kern w:val="2"/>
                <w:sz w:val="21"/>
                <w:szCs w:val="21"/>
                <w:highlight w:val="none"/>
                <w:vertAlign w:val="baseline"/>
                <w:lang w:val="en-US" w:eastAsia="zh-CN" w:bidi="ar-SA"/>
              </w:rPr>
            </w:pPr>
            <w:r>
              <w:rPr>
                <w:rFonts w:hint="eastAsia" w:ascii="宋体" w:hAnsi="宋体" w:eastAsia="宋体" w:cs="宋体"/>
                <w:b w:val="0"/>
                <w:bCs/>
                <w:sz w:val="21"/>
                <w:szCs w:val="21"/>
                <w:highlight w:val="none"/>
                <w:vertAlign w:val="baseline"/>
                <w:lang w:val="en-US" w:eastAsia="zh-CN"/>
              </w:rPr>
              <w:t>10</w:t>
            </w:r>
          </w:p>
        </w:tc>
        <w:tc>
          <w:tcPr>
            <w:tcW w:w="1521" w:type="dxa"/>
            <w:tcBorders>
              <w:tl2br w:val="nil"/>
              <w:tr2bl w:val="nil"/>
            </w:tcBorders>
            <w:noWrap w:val="0"/>
            <w:vAlign w:val="center"/>
          </w:tcPr>
          <w:p w14:paraId="70E5136E">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溜绳</w:t>
            </w:r>
          </w:p>
        </w:tc>
        <w:tc>
          <w:tcPr>
            <w:tcW w:w="2550" w:type="dxa"/>
            <w:tcBorders>
              <w:tl2br w:val="nil"/>
              <w:tr2bl w:val="nil"/>
            </w:tcBorders>
            <w:noWrap w:val="0"/>
            <w:vAlign w:val="center"/>
          </w:tcPr>
          <w:p w14:paraId="1BDEC7F4">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（16（50m</w:t>
            </w:r>
          </w:p>
        </w:tc>
        <w:tc>
          <w:tcPr>
            <w:tcW w:w="786" w:type="dxa"/>
            <w:tcBorders>
              <w:tl2br w:val="nil"/>
              <w:tr2bl w:val="nil"/>
            </w:tcBorders>
            <w:noWrap w:val="0"/>
            <w:vAlign w:val="center"/>
          </w:tcPr>
          <w:p w14:paraId="21CC4D40">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p>
        </w:tc>
        <w:tc>
          <w:tcPr>
            <w:tcW w:w="1561" w:type="dxa"/>
            <w:tcBorders>
              <w:tl2br w:val="nil"/>
              <w:tr2bl w:val="nil"/>
            </w:tcBorders>
            <w:noWrap w:val="0"/>
            <w:vAlign w:val="center"/>
          </w:tcPr>
          <w:p w14:paraId="19610CFB">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1根</w:t>
            </w:r>
          </w:p>
        </w:tc>
        <w:tc>
          <w:tcPr>
            <w:tcW w:w="1301" w:type="dxa"/>
            <w:tcBorders>
              <w:tl2br w:val="nil"/>
              <w:tr2bl w:val="nil"/>
            </w:tcBorders>
            <w:noWrap w:val="0"/>
            <w:vAlign w:val="center"/>
          </w:tcPr>
          <w:p w14:paraId="30A34C5F">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合格</w:t>
            </w:r>
          </w:p>
        </w:tc>
      </w:tr>
      <w:tr w14:paraId="53FD5B0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756" w:type="dxa"/>
            <w:tcBorders>
              <w:tl2br w:val="nil"/>
              <w:tr2bl w:val="nil"/>
            </w:tcBorders>
            <w:noWrap w:val="0"/>
            <w:vAlign w:val="center"/>
          </w:tcPr>
          <w:p w14:paraId="3A6AF73B">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11</w:t>
            </w:r>
          </w:p>
        </w:tc>
        <w:tc>
          <w:tcPr>
            <w:tcW w:w="1521" w:type="dxa"/>
            <w:tcBorders>
              <w:tl2br w:val="nil"/>
              <w:tr2bl w:val="nil"/>
            </w:tcBorders>
            <w:noWrap w:val="0"/>
            <w:vAlign w:val="center"/>
          </w:tcPr>
          <w:p w14:paraId="0691CF7B">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小绳扣</w:t>
            </w:r>
          </w:p>
        </w:tc>
        <w:tc>
          <w:tcPr>
            <w:tcW w:w="2550" w:type="dxa"/>
            <w:tcBorders>
              <w:tl2br w:val="nil"/>
              <w:tr2bl w:val="nil"/>
            </w:tcBorders>
            <w:noWrap w:val="0"/>
            <w:vAlign w:val="center"/>
          </w:tcPr>
          <w:p w14:paraId="27C76115">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（1（2m</w:t>
            </w:r>
          </w:p>
        </w:tc>
        <w:tc>
          <w:tcPr>
            <w:tcW w:w="786" w:type="dxa"/>
            <w:tcBorders>
              <w:tl2br w:val="nil"/>
              <w:tr2bl w:val="nil"/>
            </w:tcBorders>
            <w:noWrap w:val="0"/>
            <w:vAlign w:val="center"/>
          </w:tcPr>
          <w:p w14:paraId="6CD1C9B1">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p>
        </w:tc>
        <w:tc>
          <w:tcPr>
            <w:tcW w:w="1561" w:type="dxa"/>
            <w:tcBorders>
              <w:tl2br w:val="nil"/>
              <w:tr2bl w:val="nil"/>
            </w:tcBorders>
            <w:noWrap w:val="0"/>
            <w:vAlign w:val="center"/>
          </w:tcPr>
          <w:p w14:paraId="52B37CFE">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1根</w:t>
            </w:r>
          </w:p>
        </w:tc>
        <w:tc>
          <w:tcPr>
            <w:tcW w:w="1301" w:type="dxa"/>
            <w:tcBorders>
              <w:tl2br w:val="nil"/>
              <w:tr2bl w:val="nil"/>
            </w:tcBorders>
            <w:noWrap w:val="0"/>
            <w:vAlign w:val="center"/>
          </w:tcPr>
          <w:p w14:paraId="48325223">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sz w:val="21"/>
                <w:szCs w:val="21"/>
                <w:highlight w:val="none"/>
                <w:vertAlign w:val="baseline"/>
                <w:lang w:val="en-US" w:eastAsia="zh-CN"/>
              </w:rPr>
            </w:pPr>
            <w:r>
              <w:rPr>
                <w:rFonts w:hint="eastAsia" w:ascii="宋体" w:hAnsi="宋体" w:eastAsia="宋体" w:cs="宋体"/>
                <w:b w:val="0"/>
                <w:bCs/>
                <w:sz w:val="21"/>
                <w:szCs w:val="21"/>
                <w:highlight w:val="none"/>
                <w:vertAlign w:val="baseline"/>
                <w:lang w:val="en-US" w:eastAsia="zh-CN"/>
              </w:rPr>
              <w:t>合格</w:t>
            </w:r>
          </w:p>
        </w:tc>
      </w:tr>
    </w:tbl>
    <w:p w14:paraId="02C1B4C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left"/>
        <w:textAlignment w:val="auto"/>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注：施工机械、机具进行检修，保证运转良好；做好易损、易坏件的备品工作；机械、机具有关的负荷实验、计量鉴定证书、使用证、能力鉴定等资料应齐全。</w:t>
      </w:r>
    </w:p>
    <w:p w14:paraId="254BABF6">
      <w:pPr>
        <w:pStyle w:val="14"/>
        <w:spacing w:line="360" w:lineRule="auto"/>
        <w:ind w:firstLine="0" w:firstLineChars="0"/>
        <w:jc w:val="center"/>
      </w:pPr>
      <w:r>
        <w:t xml:space="preserve">表 </w:t>
      </w:r>
      <w:r>
        <w:fldChar w:fldCharType="begin"/>
      </w:r>
      <w:r>
        <w:instrText xml:space="preserve"> STYLEREF 2 \s </w:instrText>
      </w:r>
      <w:r>
        <w:fldChar w:fldCharType="separate"/>
      </w:r>
      <w:r>
        <w:t>3.3</w:t>
      </w:r>
      <w:r>
        <w:fldChar w:fldCharType="end"/>
      </w:r>
      <w:r>
        <w:rPr>
          <w:rFonts w:hint="eastAsia"/>
          <w:lang w:eastAsia="zh-CN"/>
        </w:rPr>
        <w:t>-</w:t>
      </w:r>
      <w:r>
        <w:fldChar w:fldCharType="begin"/>
      </w:r>
      <w:r>
        <w:instrText xml:space="preserve"> SEQ 表 \* ARABIC \s 2 </w:instrText>
      </w:r>
      <w:r>
        <w:fldChar w:fldCharType="separate"/>
      </w:r>
      <w:r>
        <w:t>3</w:t>
      </w:r>
      <w:r>
        <w:fldChar w:fldCharType="end"/>
      </w:r>
      <w:r>
        <w:rPr>
          <w:rFonts w:hint="eastAsia"/>
          <w:lang w:val="en-US" w:eastAsia="zh-CN"/>
        </w:rPr>
        <w:t xml:space="preserve"> </w:t>
      </w:r>
      <w:r>
        <w:rPr>
          <w:rFonts w:hint="eastAsia" w:ascii="黑体" w:hAnsi="宋体" w:cs="黑体"/>
          <w:kern w:val="2"/>
          <w:sz w:val="21"/>
          <w:szCs w:val="21"/>
          <w:highlight w:val="none"/>
          <w:lang w:val="en-US" w:eastAsia="zh-CN" w:bidi="ar"/>
        </w:rPr>
        <w:t>塔机拆除</w:t>
      </w:r>
      <w:r>
        <w:rPr>
          <w:rFonts w:hint="eastAsia" w:ascii="黑体" w:hAnsi="宋体" w:eastAsia="黑体" w:cs="黑体"/>
          <w:kern w:val="2"/>
          <w:sz w:val="21"/>
          <w:szCs w:val="21"/>
          <w:highlight w:val="none"/>
          <w:lang w:val="en-US" w:eastAsia="zh-CN" w:bidi="ar"/>
        </w:rPr>
        <w:t>安全器具</w:t>
      </w:r>
    </w:p>
    <w:tbl>
      <w:tblPr>
        <w:tblStyle w:val="29"/>
        <w:tblW w:w="0" w:type="auto"/>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fixed"/>
        <w:tblCellMar>
          <w:top w:w="0" w:type="dxa"/>
          <w:left w:w="108" w:type="dxa"/>
          <w:bottom w:w="0" w:type="dxa"/>
          <w:right w:w="108" w:type="dxa"/>
        </w:tblCellMar>
      </w:tblPr>
      <w:tblGrid>
        <w:gridCol w:w="821"/>
        <w:gridCol w:w="2408"/>
        <w:gridCol w:w="2127"/>
        <w:gridCol w:w="1560"/>
        <w:gridCol w:w="1522"/>
      </w:tblGrid>
      <w:tr w14:paraId="0E2835D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821" w:type="dxa"/>
            <w:tcBorders>
              <w:tl2br w:val="nil"/>
              <w:tr2bl w:val="nil"/>
            </w:tcBorders>
            <w:shd w:val="clear" w:color="auto" w:fill="DAE3F3" w:themeFill="accent5" w:themeFillTint="32"/>
            <w:noWrap w:val="0"/>
            <w:vAlign w:val="center"/>
          </w:tcPr>
          <w:p w14:paraId="79B08337">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序号</w:t>
            </w:r>
          </w:p>
        </w:tc>
        <w:tc>
          <w:tcPr>
            <w:tcW w:w="2408" w:type="dxa"/>
            <w:tcBorders>
              <w:tl2br w:val="nil"/>
              <w:tr2bl w:val="nil"/>
            </w:tcBorders>
            <w:shd w:val="clear" w:color="auto" w:fill="DAE3F3" w:themeFill="accent5" w:themeFillTint="32"/>
            <w:noWrap w:val="0"/>
            <w:vAlign w:val="center"/>
          </w:tcPr>
          <w:p w14:paraId="452AE7B3">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名  称</w:t>
            </w:r>
          </w:p>
        </w:tc>
        <w:tc>
          <w:tcPr>
            <w:tcW w:w="2127" w:type="dxa"/>
            <w:tcBorders>
              <w:tl2br w:val="nil"/>
              <w:tr2bl w:val="nil"/>
            </w:tcBorders>
            <w:shd w:val="clear" w:color="auto" w:fill="DAE3F3" w:themeFill="accent5" w:themeFillTint="32"/>
            <w:noWrap w:val="0"/>
            <w:vAlign w:val="center"/>
          </w:tcPr>
          <w:p w14:paraId="426F995D">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规  格</w:t>
            </w:r>
          </w:p>
        </w:tc>
        <w:tc>
          <w:tcPr>
            <w:tcW w:w="1560" w:type="dxa"/>
            <w:tcBorders>
              <w:tl2br w:val="nil"/>
              <w:tr2bl w:val="nil"/>
            </w:tcBorders>
            <w:shd w:val="clear" w:color="auto" w:fill="DAE3F3" w:themeFill="accent5" w:themeFillTint="32"/>
            <w:noWrap w:val="0"/>
            <w:vAlign w:val="center"/>
          </w:tcPr>
          <w:p w14:paraId="20DA9DE9">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单位</w:t>
            </w:r>
          </w:p>
        </w:tc>
        <w:tc>
          <w:tcPr>
            <w:tcW w:w="1522" w:type="dxa"/>
            <w:tcBorders>
              <w:tl2br w:val="nil"/>
              <w:tr2bl w:val="nil"/>
            </w:tcBorders>
            <w:shd w:val="clear" w:color="auto" w:fill="DAE3F3" w:themeFill="accent5" w:themeFillTint="32"/>
            <w:noWrap w:val="0"/>
            <w:vAlign w:val="center"/>
          </w:tcPr>
          <w:p w14:paraId="4EB9D2C4">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bCs w:val="0"/>
                <w:sz w:val="21"/>
                <w:szCs w:val="21"/>
                <w:highlight w:val="none"/>
                <w:vertAlign w:val="baseline"/>
                <w:lang w:val="en-US" w:eastAsia="zh-CN"/>
              </w:rPr>
            </w:pPr>
            <w:r>
              <w:rPr>
                <w:rFonts w:hint="eastAsia" w:ascii="宋体" w:hAnsi="宋体" w:eastAsia="宋体" w:cs="宋体"/>
                <w:b/>
                <w:bCs w:val="0"/>
                <w:sz w:val="21"/>
                <w:szCs w:val="21"/>
                <w:highlight w:val="none"/>
                <w:vertAlign w:val="baseline"/>
                <w:lang w:val="en-US" w:eastAsia="zh-CN"/>
              </w:rPr>
              <w:t>数量</w:t>
            </w:r>
          </w:p>
        </w:tc>
      </w:tr>
      <w:tr w14:paraId="083EE4D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821" w:type="dxa"/>
            <w:tcBorders>
              <w:tl2br w:val="nil"/>
              <w:tr2bl w:val="nil"/>
            </w:tcBorders>
            <w:noWrap w:val="0"/>
            <w:vAlign w:val="center"/>
          </w:tcPr>
          <w:p w14:paraId="4AE160E9">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1</w:t>
            </w:r>
          </w:p>
        </w:tc>
        <w:tc>
          <w:tcPr>
            <w:tcW w:w="2408" w:type="dxa"/>
            <w:tcBorders>
              <w:tl2br w:val="nil"/>
              <w:tr2bl w:val="nil"/>
            </w:tcBorders>
            <w:noWrap w:val="0"/>
            <w:vAlign w:val="center"/>
          </w:tcPr>
          <w:p w14:paraId="7362A079">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安全带</w:t>
            </w:r>
          </w:p>
        </w:tc>
        <w:tc>
          <w:tcPr>
            <w:tcW w:w="2127" w:type="dxa"/>
            <w:tcBorders>
              <w:tl2br w:val="nil"/>
              <w:tr2bl w:val="nil"/>
            </w:tcBorders>
            <w:noWrap w:val="0"/>
            <w:vAlign w:val="center"/>
          </w:tcPr>
          <w:p w14:paraId="3A8652E4">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w:t>
            </w:r>
          </w:p>
        </w:tc>
        <w:tc>
          <w:tcPr>
            <w:tcW w:w="1560" w:type="dxa"/>
            <w:tcBorders>
              <w:tl2br w:val="nil"/>
              <w:tr2bl w:val="nil"/>
            </w:tcBorders>
            <w:noWrap w:val="0"/>
            <w:vAlign w:val="center"/>
          </w:tcPr>
          <w:p w14:paraId="615AB0AB">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条</w:t>
            </w:r>
          </w:p>
        </w:tc>
        <w:tc>
          <w:tcPr>
            <w:tcW w:w="1522" w:type="dxa"/>
            <w:tcBorders>
              <w:tl2br w:val="nil"/>
              <w:tr2bl w:val="nil"/>
            </w:tcBorders>
            <w:noWrap w:val="0"/>
            <w:vAlign w:val="center"/>
          </w:tcPr>
          <w:p w14:paraId="6F77437F">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8</w:t>
            </w:r>
          </w:p>
        </w:tc>
      </w:tr>
      <w:tr w14:paraId="3A199A7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821" w:type="dxa"/>
            <w:tcBorders>
              <w:tl2br w:val="nil"/>
              <w:tr2bl w:val="nil"/>
            </w:tcBorders>
            <w:noWrap w:val="0"/>
            <w:vAlign w:val="center"/>
          </w:tcPr>
          <w:p w14:paraId="59C521DB">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2</w:t>
            </w:r>
          </w:p>
        </w:tc>
        <w:tc>
          <w:tcPr>
            <w:tcW w:w="2408" w:type="dxa"/>
            <w:tcBorders>
              <w:tl2br w:val="nil"/>
              <w:tr2bl w:val="nil"/>
            </w:tcBorders>
            <w:noWrap w:val="0"/>
            <w:vAlign w:val="center"/>
          </w:tcPr>
          <w:p w14:paraId="3A81770F">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工具袋</w:t>
            </w:r>
          </w:p>
        </w:tc>
        <w:tc>
          <w:tcPr>
            <w:tcW w:w="2127" w:type="dxa"/>
            <w:tcBorders>
              <w:tl2br w:val="nil"/>
              <w:tr2bl w:val="nil"/>
            </w:tcBorders>
            <w:noWrap w:val="0"/>
            <w:vAlign w:val="center"/>
          </w:tcPr>
          <w:p w14:paraId="19EC5A32">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w:t>
            </w:r>
          </w:p>
        </w:tc>
        <w:tc>
          <w:tcPr>
            <w:tcW w:w="1560" w:type="dxa"/>
            <w:tcBorders>
              <w:tl2br w:val="nil"/>
              <w:tr2bl w:val="nil"/>
            </w:tcBorders>
            <w:noWrap w:val="0"/>
            <w:vAlign w:val="center"/>
          </w:tcPr>
          <w:p w14:paraId="5E5E6D70">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个</w:t>
            </w:r>
          </w:p>
        </w:tc>
        <w:tc>
          <w:tcPr>
            <w:tcW w:w="1522" w:type="dxa"/>
            <w:tcBorders>
              <w:tl2br w:val="nil"/>
              <w:tr2bl w:val="nil"/>
            </w:tcBorders>
            <w:noWrap w:val="0"/>
            <w:vAlign w:val="center"/>
          </w:tcPr>
          <w:p w14:paraId="07F35581">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8</w:t>
            </w:r>
          </w:p>
        </w:tc>
      </w:tr>
      <w:tr w14:paraId="34EE920C">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821" w:type="dxa"/>
            <w:tcBorders>
              <w:tl2br w:val="nil"/>
              <w:tr2bl w:val="nil"/>
            </w:tcBorders>
            <w:noWrap w:val="0"/>
            <w:vAlign w:val="center"/>
          </w:tcPr>
          <w:p w14:paraId="7FEB24A9">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3</w:t>
            </w:r>
          </w:p>
        </w:tc>
        <w:tc>
          <w:tcPr>
            <w:tcW w:w="2408" w:type="dxa"/>
            <w:tcBorders>
              <w:tl2br w:val="nil"/>
              <w:tr2bl w:val="nil"/>
            </w:tcBorders>
            <w:noWrap w:val="0"/>
            <w:vAlign w:val="center"/>
          </w:tcPr>
          <w:p w14:paraId="1E6E0301">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安全帽</w:t>
            </w:r>
          </w:p>
        </w:tc>
        <w:tc>
          <w:tcPr>
            <w:tcW w:w="2127" w:type="dxa"/>
            <w:tcBorders>
              <w:tl2br w:val="nil"/>
              <w:tr2bl w:val="nil"/>
            </w:tcBorders>
            <w:noWrap w:val="0"/>
            <w:vAlign w:val="center"/>
          </w:tcPr>
          <w:p w14:paraId="562B8871">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w:t>
            </w:r>
          </w:p>
        </w:tc>
        <w:tc>
          <w:tcPr>
            <w:tcW w:w="1560" w:type="dxa"/>
            <w:tcBorders>
              <w:tl2br w:val="nil"/>
              <w:tr2bl w:val="nil"/>
            </w:tcBorders>
            <w:noWrap w:val="0"/>
            <w:vAlign w:val="center"/>
          </w:tcPr>
          <w:p w14:paraId="189D08E5">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个</w:t>
            </w:r>
          </w:p>
        </w:tc>
        <w:tc>
          <w:tcPr>
            <w:tcW w:w="1522" w:type="dxa"/>
            <w:tcBorders>
              <w:tl2br w:val="nil"/>
              <w:tr2bl w:val="nil"/>
            </w:tcBorders>
            <w:noWrap w:val="0"/>
            <w:vAlign w:val="center"/>
          </w:tcPr>
          <w:p w14:paraId="0BE756AC">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8</w:t>
            </w:r>
          </w:p>
        </w:tc>
      </w:tr>
      <w:tr w14:paraId="1FAB295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821" w:type="dxa"/>
            <w:tcBorders>
              <w:tl2br w:val="nil"/>
              <w:tr2bl w:val="nil"/>
            </w:tcBorders>
            <w:noWrap w:val="0"/>
            <w:vAlign w:val="center"/>
          </w:tcPr>
          <w:p w14:paraId="4E0B7767">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4</w:t>
            </w:r>
          </w:p>
        </w:tc>
        <w:tc>
          <w:tcPr>
            <w:tcW w:w="2408" w:type="dxa"/>
            <w:tcBorders>
              <w:tl2br w:val="nil"/>
              <w:tr2bl w:val="nil"/>
            </w:tcBorders>
            <w:noWrap w:val="0"/>
            <w:vAlign w:val="center"/>
          </w:tcPr>
          <w:p w14:paraId="2D7B1969">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防滑鞋</w:t>
            </w:r>
          </w:p>
        </w:tc>
        <w:tc>
          <w:tcPr>
            <w:tcW w:w="2127" w:type="dxa"/>
            <w:tcBorders>
              <w:tl2br w:val="nil"/>
              <w:tr2bl w:val="nil"/>
            </w:tcBorders>
            <w:noWrap w:val="0"/>
            <w:vAlign w:val="center"/>
          </w:tcPr>
          <w:p w14:paraId="75E38478">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w:t>
            </w:r>
          </w:p>
        </w:tc>
        <w:tc>
          <w:tcPr>
            <w:tcW w:w="1560" w:type="dxa"/>
            <w:tcBorders>
              <w:tl2br w:val="nil"/>
              <w:tr2bl w:val="nil"/>
            </w:tcBorders>
            <w:noWrap w:val="0"/>
            <w:vAlign w:val="center"/>
          </w:tcPr>
          <w:p w14:paraId="6855949E">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双</w:t>
            </w:r>
          </w:p>
        </w:tc>
        <w:tc>
          <w:tcPr>
            <w:tcW w:w="1522" w:type="dxa"/>
            <w:tcBorders>
              <w:tl2br w:val="nil"/>
              <w:tr2bl w:val="nil"/>
            </w:tcBorders>
            <w:noWrap w:val="0"/>
            <w:vAlign w:val="center"/>
          </w:tcPr>
          <w:p w14:paraId="44612C70">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8</w:t>
            </w:r>
          </w:p>
        </w:tc>
      </w:tr>
      <w:tr w14:paraId="5BB573A4">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821" w:type="dxa"/>
            <w:tcBorders>
              <w:tl2br w:val="nil"/>
              <w:tr2bl w:val="nil"/>
            </w:tcBorders>
            <w:noWrap w:val="0"/>
            <w:vAlign w:val="center"/>
          </w:tcPr>
          <w:p w14:paraId="6F897BC8">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5</w:t>
            </w:r>
          </w:p>
        </w:tc>
        <w:tc>
          <w:tcPr>
            <w:tcW w:w="2408" w:type="dxa"/>
            <w:tcBorders>
              <w:tl2br w:val="nil"/>
              <w:tr2bl w:val="nil"/>
            </w:tcBorders>
            <w:noWrap w:val="0"/>
            <w:vAlign w:val="center"/>
          </w:tcPr>
          <w:p w14:paraId="31CFBD5B">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手套</w:t>
            </w:r>
          </w:p>
        </w:tc>
        <w:tc>
          <w:tcPr>
            <w:tcW w:w="2127" w:type="dxa"/>
            <w:tcBorders>
              <w:tl2br w:val="nil"/>
              <w:tr2bl w:val="nil"/>
            </w:tcBorders>
            <w:noWrap w:val="0"/>
            <w:vAlign w:val="center"/>
          </w:tcPr>
          <w:p w14:paraId="4A21702B">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w:t>
            </w:r>
          </w:p>
        </w:tc>
        <w:tc>
          <w:tcPr>
            <w:tcW w:w="1560" w:type="dxa"/>
            <w:tcBorders>
              <w:tl2br w:val="nil"/>
              <w:tr2bl w:val="nil"/>
            </w:tcBorders>
            <w:noWrap w:val="0"/>
            <w:vAlign w:val="center"/>
          </w:tcPr>
          <w:p w14:paraId="3B39B6B4">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双</w:t>
            </w:r>
          </w:p>
        </w:tc>
        <w:tc>
          <w:tcPr>
            <w:tcW w:w="1522" w:type="dxa"/>
            <w:tcBorders>
              <w:tl2br w:val="nil"/>
              <w:tr2bl w:val="nil"/>
            </w:tcBorders>
            <w:noWrap w:val="0"/>
            <w:vAlign w:val="center"/>
          </w:tcPr>
          <w:p w14:paraId="779AA3D0">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16</w:t>
            </w:r>
          </w:p>
        </w:tc>
      </w:tr>
      <w:tr w14:paraId="4888A12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exact"/>
          <w:jc w:val="center"/>
        </w:trPr>
        <w:tc>
          <w:tcPr>
            <w:tcW w:w="821" w:type="dxa"/>
            <w:tcBorders>
              <w:tl2br w:val="nil"/>
              <w:tr2bl w:val="nil"/>
            </w:tcBorders>
            <w:noWrap w:val="0"/>
            <w:vAlign w:val="center"/>
          </w:tcPr>
          <w:p w14:paraId="3A78EA16">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6</w:t>
            </w:r>
          </w:p>
        </w:tc>
        <w:tc>
          <w:tcPr>
            <w:tcW w:w="2408" w:type="dxa"/>
            <w:tcBorders>
              <w:tl2br w:val="nil"/>
              <w:tr2bl w:val="nil"/>
            </w:tcBorders>
            <w:noWrap w:val="0"/>
            <w:vAlign w:val="center"/>
          </w:tcPr>
          <w:p w14:paraId="468EADFE">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对讲机（口哨）</w:t>
            </w:r>
          </w:p>
        </w:tc>
        <w:tc>
          <w:tcPr>
            <w:tcW w:w="2127" w:type="dxa"/>
            <w:tcBorders>
              <w:tl2br w:val="nil"/>
              <w:tr2bl w:val="nil"/>
            </w:tcBorders>
            <w:noWrap w:val="0"/>
            <w:vAlign w:val="center"/>
          </w:tcPr>
          <w:p w14:paraId="495EB564">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w:t>
            </w:r>
          </w:p>
        </w:tc>
        <w:tc>
          <w:tcPr>
            <w:tcW w:w="1560" w:type="dxa"/>
            <w:tcBorders>
              <w:tl2br w:val="nil"/>
              <w:tr2bl w:val="nil"/>
            </w:tcBorders>
            <w:noWrap w:val="0"/>
            <w:vAlign w:val="center"/>
          </w:tcPr>
          <w:p w14:paraId="21FA6014">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个</w:t>
            </w:r>
          </w:p>
        </w:tc>
        <w:tc>
          <w:tcPr>
            <w:tcW w:w="1522" w:type="dxa"/>
            <w:tcBorders>
              <w:tl2br w:val="nil"/>
              <w:tr2bl w:val="nil"/>
            </w:tcBorders>
            <w:noWrap w:val="0"/>
            <w:vAlign w:val="center"/>
          </w:tcPr>
          <w:p w14:paraId="61CE624C">
            <w:pPr>
              <w:keepNext w:val="0"/>
              <w:keepLines w:val="0"/>
              <w:pageBreakBefore w:val="0"/>
              <w:widowControl w:val="0"/>
              <w:numPr>
                <w:ilvl w:val="0"/>
                <w:numId w:val="0"/>
              </w:numPr>
              <w:kinsoku/>
              <w:wordWrap/>
              <w:overflowPunct/>
              <w:topLinePunct w:val="0"/>
              <w:autoSpaceDE/>
              <w:autoSpaceDN/>
              <w:bidi w:val="0"/>
              <w:spacing w:line="240" w:lineRule="auto"/>
              <w:ind w:firstLine="0" w:firstLineChars="0"/>
              <w:jc w:val="center"/>
              <w:textAlignment w:val="auto"/>
              <w:outlineLvl w:val="9"/>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3</w:t>
            </w:r>
          </w:p>
        </w:tc>
      </w:tr>
      <w:bookmarkEnd w:id="131"/>
      <w:bookmarkEnd w:id="149"/>
      <w:bookmarkEnd w:id="150"/>
    </w:tbl>
    <w:p w14:paraId="73CCDFC3">
      <w:pPr>
        <w:adjustRightInd w:val="0"/>
        <w:snapToGrid w:val="0"/>
        <w:spacing w:line="360" w:lineRule="auto"/>
        <w:rPr>
          <w:rFonts w:ascii="宋体" w:hAnsi="宋体" w:eastAsia="宋体"/>
          <w:snapToGrid w:val="0"/>
          <w:kern w:val="0"/>
          <w:sz w:val="24"/>
          <w:szCs w:val="20"/>
          <w:highlight w:val="none"/>
        </w:rPr>
      </w:pPr>
      <w:bookmarkStart w:id="151" w:name="_Toc10409791"/>
      <w:r>
        <w:rPr>
          <w:rFonts w:hint="eastAsia" w:ascii="宋体" w:hAnsi="宋体" w:eastAsia="宋体"/>
          <w:snapToGrid w:val="0"/>
          <w:kern w:val="0"/>
          <w:sz w:val="24"/>
          <w:szCs w:val="20"/>
          <w:highlight w:val="none"/>
        </w:rPr>
        <w:br w:type="page"/>
      </w:r>
    </w:p>
    <w:p w14:paraId="208E5FBD">
      <w:pPr>
        <w:pStyle w:val="2"/>
        <w:bidi w:val="0"/>
        <w:ind w:left="432" w:leftChars="0" w:hanging="432" w:firstLineChars="0"/>
        <w:rPr>
          <w:rFonts w:hint="eastAsia"/>
          <w:highlight w:val="none"/>
        </w:rPr>
      </w:pPr>
      <w:bookmarkStart w:id="152" w:name="_Toc42641834"/>
      <w:bookmarkEnd w:id="152"/>
      <w:bookmarkStart w:id="153" w:name="_Toc42641835"/>
      <w:bookmarkEnd w:id="153"/>
      <w:bookmarkStart w:id="154" w:name="_Toc42642006"/>
      <w:bookmarkEnd w:id="154"/>
      <w:bookmarkStart w:id="155" w:name="_Toc42642007"/>
      <w:bookmarkEnd w:id="155"/>
      <w:bookmarkStart w:id="156" w:name="_Toc42642294"/>
      <w:bookmarkEnd w:id="156"/>
      <w:bookmarkStart w:id="157" w:name="_Toc42642293"/>
      <w:bookmarkEnd w:id="157"/>
      <w:bookmarkStart w:id="158" w:name="_Toc3445"/>
      <w:bookmarkStart w:id="159" w:name="_Toc8326"/>
      <w:bookmarkStart w:id="160" w:name="_Toc30301"/>
      <w:bookmarkStart w:id="161" w:name="_Toc3218"/>
      <w:r>
        <w:rPr>
          <w:rFonts w:hint="eastAsia"/>
          <w:highlight w:val="none"/>
        </w:rPr>
        <w:t>施工工艺</w:t>
      </w:r>
      <w:bookmarkEnd w:id="151"/>
      <w:bookmarkEnd w:id="158"/>
      <w:bookmarkEnd w:id="159"/>
      <w:bookmarkEnd w:id="160"/>
      <w:bookmarkEnd w:id="161"/>
    </w:p>
    <w:p w14:paraId="6C14B36A">
      <w:pPr>
        <w:pStyle w:val="3"/>
        <w:bidi w:val="0"/>
        <w:ind w:left="575" w:leftChars="0" w:hanging="575" w:firstLineChars="0"/>
      </w:pPr>
      <w:bookmarkStart w:id="162" w:name="_Toc22706"/>
      <w:bookmarkStart w:id="163" w:name="_Toc12984"/>
      <w:bookmarkStart w:id="164" w:name="_Toc16337"/>
      <w:bookmarkStart w:id="165" w:name="_Toc26747"/>
      <w:bookmarkStart w:id="166" w:name="_Toc21345"/>
      <w:bookmarkStart w:id="167" w:name="_Toc23545"/>
      <w:bookmarkStart w:id="168" w:name="_Toc10409792"/>
      <w:r>
        <w:rPr>
          <w:rFonts w:hint="eastAsia"/>
        </w:rPr>
        <w:t>塔机</w:t>
      </w:r>
      <w:r>
        <w:rPr>
          <w:rFonts w:hint="eastAsia"/>
          <w:lang w:val="en-US" w:eastAsia="zh-CN"/>
        </w:rPr>
        <w:t>拆除</w:t>
      </w:r>
      <w:r>
        <w:rPr>
          <w:rFonts w:hint="eastAsia"/>
        </w:rPr>
        <w:t>施工工艺流程</w:t>
      </w:r>
      <w:bookmarkEnd w:id="162"/>
      <w:bookmarkEnd w:id="163"/>
      <w:bookmarkEnd w:id="164"/>
      <w:bookmarkEnd w:id="165"/>
    </w:p>
    <w:p w14:paraId="55B29ED2">
      <w:pPr>
        <w:ind w:firstLine="480" w:firstLineChars="200"/>
        <w:rPr>
          <w:rFonts w:hint="eastAsia" w:ascii="宋体" w:hAnsi="宋体" w:eastAsia="宋体" w:cs="宋体"/>
          <w:lang w:val="en-US" w:eastAsia="zh-CN"/>
        </w:rPr>
      </w:pPr>
      <w:r>
        <w:rPr>
          <w:rFonts w:hint="eastAsia" w:ascii="宋体" w:hAnsi="宋体" w:eastAsia="宋体" w:cs="宋体"/>
          <w:lang w:val="en-US" w:eastAsia="zh-CN"/>
        </w:rPr>
        <w:t>将塔机旋转至拆卸区域，保证该区域无影响拆卸作业的任何障碍。按下述顺序，进行塔机拆卸。其步骤与立塔组装的步骤相反。拆塔具体程序如下：</w:t>
      </w:r>
    </w:p>
    <w:p w14:paraId="2EF04008">
      <w:pPr>
        <w:keepNext w:val="0"/>
        <w:keepLines w:val="0"/>
        <w:widowControl/>
        <w:suppressLineNumbers w:val="0"/>
        <w:jc w:val="left"/>
        <w:rPr>
          <w:rFonts w:ascii="Times New Roman" w:hAnsi="Times New Roman"/>
          <w:caps w:val="0"/>
          <w:smallCaps w:val="0"/>
        </w:rPr>
      </w:pPr>
      <w:r>
        <w:rPr>
          <w:rFonts w:hint="default" w:ascii="Times New Roman" w:hAnsi="Times New Roman" w:eastAsia="宋体" w:cs="Times New Roman"/>
          <w:caps w:val="0"/>
          <w:smallCaps w:val="0"/>
          <w:color w:val="000000"/>
          <w:kern w:val="0"/>
          <w:sz w:val="24"/>
          <w:szCs w:val="24"/>
          <w:lang w:val="en-US" w:eastAsia="zh-CN" w:bidi="ar"/>
        </w:rPr>
        <w:t>1</w:t>
      </w:r>
      <w:r>
        <w:rPr>
          <w:rFonts w:hint="eastAsia" w:ascii="Times New Roman" w:hAnsi="Times New Roman" w:eastAsia="宋体" w:cs="宋体"/>
          <w:caps w:val="0"/>
          <w:smallCaps w:val="0"/>
          <w:color w:val="000000"/>
          <w:kern w:val="0"/>
          <w:sz w:val="24"/>
          <w:szCs w:val="24"/>
          <w:lang w:val="en-US" w:eastAsia="zh-CN" w:bidi="ar"/>
        </w:rPr>
        <w:t xml:space="preserve">）降塔身标准节； </w:t>
      </w:r>
    </w:p>
    <w:p w14:paraId="784B4D63">
      <w:pPr>
        <w:keepNext w:val="0"/>
        <w:keepLines w:val="0"/>
        <w:widowControl/>
        <w:suppressLineNumbers w:val="0"/>
        <w:jc w:val="left"/>
        <w:rPr>
          <w:rFonts w:ascii="Times New Roman" w:hAnsi="Times New Roman"/>
          <w:caps w:val="0"/>
          <w:smallCaps w:val="0"/>
        </w:rPr>
      </w:pPr>
      <w:r>
        <w:rPr>
          <w:rFonts w:hint="default" w:ascii="Times New Roman" w:hAnsi="Times New Roman" w:eastAsia="宋体" w:cs="Times New Roman"/>
          <w:caps w:val="0"/>
          <w:smallCaps w:val="0"/>
          <w:color w:val="000000"/>
          <w:kern w:val="0"/>
          <w:sz w:val="24"/>
          <w:szCs w:val="24"/>
          <w:lang w:val="en-US" w:eastAsia="zh-CN" w:bidi="ar"/>
        </w:rPr>
        <w:t>2</w:t>
      </w:r>
      <w:r>
        <w:rPr>
          <w:rFonts w:hint="eastAsia" w:ascii="Times New Roman" w:hAnsi="Times New Roman" w:eastAsia="宋体" w:cs="宋体"/>
          <w:caps w:val="0"/>
          <w:smallCaps w:val="0"/>
          <w:color w:val="000000"/>
          <w:kern w:val="0"/>
          <w:sz w:val="24"/>
          <w:szCs w:val="24"/>
          <w:lang w:val="en-US" w:eastAsia="zh-CN" w:bidi="ar"/>
        </w:rPr>
        <w:t>）拆下平衡臂配重（留 1</w:t>
      </w:r>
      <w:r>
        <w:rPr>
          <w:rFonts w:hint="default" w:ascii="Times New Roman" w:hAnsi="Times New Roman" w:eastAsia="宋体" w:cs="Times New Roman"/>
          <w:caps w:val="0"/>
          <w:smallCaps w:val="0"/>
          <w:color w:val="000000"/>
          <w:kern w:val="0"/>
          <w:sz w:val="24"/>
          <w:szCs w:val="24"/>
          <w:lang w:val="en-US" w:eastAsia="zh-CN" w:bidi="ar"/>
        </w:rPr>
        <w:t xml:space="preserve"> </w:t>
      </w:r>
      <w:r>
        <w:rPr>
          <w:rFonts w:hint="eastAsia" w:ascii="Times New Roman" w:hAnsi="Times New Roman" w:eastAsia="宋体" w:cs="宋体"/>
          <w:caps w:val="0"/>
          <w:smallCaps w:val="0"/>
          <w:color w:val="000000"/>
          <w:kern w:val="0"/>
          <w:sz w:val="24"/>
          <w:szCs w:val="24"/>
          <w:lang w:val="en-US" w:eastAsia="zh-CN" w:bidi="ar"/>
        </w:rPr>
        <w:t>块 3.2</w:t>
      </w:r>
      <w:r>
        <w:rPr>
          <w:rFonts w:hint="default" w:ascii="Times New Roman" w:hAnsi="Times New Roman" w:eastAsia="宋体" w:cs="Times New Roman"/>
          <w:caps w:val="0"/>
          <w:smallCaps w:val="0"/>
          <w:color w:val="000000"/>
          <w:kern w:val="0"/>
          <w:sz w:val="24"/>
          <w:szCs w:val="24"/>
          <w:lang w:val="en-US" w:eastAsia="zh-CN" w:bidi="ar"/>
        </w:rPr>
        <w:t xml:space="preserve">t </w:t>
      </w:r>
      <w:r>
        <w:rPr>
          <w:rFonts w:hint="eastAsia" w:ascii="Times New Roman" w:hAnsi="Times New Roman" w:eastAsia="宋体" w:cs="宋体"/>
          <w:caps w:val="0"/>
          <w:smallCaps w:val="0"/>
          <w:color w:val="000000"/>
          <w:kern w:val="0"/>
          <w:sz w:val="24"/>
          <w:szCs w:val="24"/>
          <w:lang w:val="en-US" w:eastAsia="zh-CN" w:bidi="ar"/>
        </w:rPr>
        <w:t xml:space="preserve">的配重）； </w:t>
      </w:r>
    </w:p>
    <w:p w14:paraId="4288E33A">
      <w:pPr>
        <w:keepNext w:val="0"/>
        <w:keepLines w:val="0"/>
        <w:widowControl/>
        <w:suppressLineNumbers w:val="0"/>
        <w:jc w:val="left"/>
        <w:rPr>
          <w:rFonts w:ascii="Times New Roman" w:hAnsi="Times New Roman"/>
          <w:caps w:val="0"/>
          <w:smallCaps w:val="0"/>
        </w:rPr>
      </w:pPr>
      <w:r>
        <w:rPr>
          <w:rFonts w:hint="default" w:ascii="Times New Roman" w:hAnsi="Times New Roman" w:eastAsia="宋体" w:cs="Times New Roman"/>
          <w:caps w:val="0"/>
          <w:smallCaps w:val="0"/>
          <w:color w:val="000000"/>
          <w:kern w:val="0"/>
          <w:sz w:val="24"/>
          <w:szCs w:val="24"/>
          <w:lang w:val="en-US" w:eastAsia="zh-CN" w:bidi="ar"/>
        </w:rPr>
        <w:t>3</w:t>
      </w:r>
      <w:r>
        <w:rPr>
          <w:rFonts w:hint="eastAsia" w:ascii="Times New Roman" w:hAnsi="Times New Roman" w:eastAsia="宋体" w:cs="宋体"/>
          <w:caps w:val="0"/>
          <w:smallCaps w:val="0"/>
          <w:color w:val="000000"/>
          <w:kern w:val="0"/>
          <w:sz w:val="24"/>
          <w:szCs w:val="24"/>
          <w:lang w:val="en-US" w:eastAsia="zh-CN" w:bidi="ar"/>
        </w:rPr>
        <w:t>）起重臂的拆卸</w:t>
      </w:r>
      <w:r>
        <w:rPr>
          <w:rFonts w:hint="default" w:ascii="Times New Roman" w:hAnsi="Times New Roman" w:eastAsia="宋体" w:cs="Times New Roman"/>
          <w:caps w:val="0"/>
          <w:smallCaps w:val="0"/>
          <w:color w:val="000000"/>
          <w:kern w:val="0"/>
          <w:sz w:val="24"/>
          <w:szCs w:val="24"/>
          <w:lang w:val="en-US" w:eastAsia="zh-CN" w:bidi="ar"/>
        </w:rPr>
        <w:t>(</w:t>
      </w:r>
      <w:r>
        <w:rPr>
          <w:rFonts w:hint="eastAsia" w:ascii="Times New Roman" w:hAnsi="Times New Roman" w:eastAsia="宋体" w:cs="宋体"/>
          <w:caps w:val="0"/>
          <w:smallCaps w:val="0"/>
          <w:color w:val="000000"/>
          <w:kern w:val="0"/>
          <w:sz w:val="24"/>
          <w:szCs w:val="24"/>
          <w:lang w:val="en-US" w:eastAsia="zh-CN" w:bidi="ar"/>
        </w:rPr>
        <w:t>留臂根节</w:t>
      </w:r>
      <w:r>
        <w:rPr>
          <w:rFonts w:hint="default" w:ascii="Times New Roman" w:hAnsi="Times New Roman" w:eastAsia="宋体" w:cs="Times New Roman"/>
          <w:caps w:val="0"/>
          <w:smallCaps w:val="0"/>
          <w:color w:val="000000"/>
          <w:kern w:val="0"/>
          <w:sz w:val="24"/>
          <w:szCs w:val="24"/>
          <w:lang w:val="en-US" w:eastAsia="zh-CN" w:bidi="ar"/>
        </w:rPr>
        <w:t>)</w:t>
      </w:r>
      <w:r>
        <w:rPr>
          <w:rFonts w:hint="eastAsia" w:ascii="Times New Roman" w:hAnsi="Times New Roman" w:eastAsia="宋体" w:cs="宋体"/>
          <w:caps w:val="0"/>
          <w:smallCaps w:val="0"/>
          <w:color w:val="000000"/>
          <w:kern w:val="0"/>
          <w:sz w:val="24"/>
          <w:szCs w:val="24"/>
          <w:lang w:val="en-US" w:eastAsia="zh-CN" w:bidi="ar"/>
        </w:rPr>
        <w:t xml:space="preserve">； </w:t>
      </w:r>
    </w:p>
    <w:p w14:paraId="01E25DB0">
      <w:pPr>
        <w:keepNext w:val="0"/>
        <w:keepLines w:val="0"/>
        <w:widowControl/>
        <w:suppressLineNumbers w:val="0"/>
        <w:jc w:val="left"/>
        <w:rPr>
          <w:rFonts w:ascii="Times New Roman" w:hAnsi="Times New Roman"/>
          <w:caps w:val="0"/>
          <w:smallCaps w:val="0"/>
        </w:rPr>
      </w:pPr>
      <w:r>
        <w:rPr>
          <w:rFonts w:hint="default" w:ascii="Times New Roman" w:hAnsi="Times New Roman" w:eastAsia="宋体" w:cs="Times New Roman"/>
          <w:caps w:val="0"/>
          <w:smallCaps w:val="0"/>
          <w:color w:val="000000"/>
          <w:kern w:val="0"/>
          <w:sz w:val="24"/>
          <w:szCs w:val="24"/>
          <w:lang w:val="en-US" w:eastAsia="zh-CN" w:bidi="ar"/>
        </w:rPr>
        <w:t>4</w:t>
      </w:r>
      <w:r>
        <w:rPr>
          <w:rFonts w:hint="eastAsia" w:ascii="Times New Roman" w:hAnsi="Times New Roman" w:eastAsia="宋体" w:cs="宋体"/>
          <w:caps w:val="0"/>
          <w:smallCaps w:val="0"/>
          <w:color w:val="000000"/>
          <w:kern w:val="0"/>
          <w:sz w:val="24"/>
          <w:szCs w:val="24"/>
          <w:lang w:val="en-US" w:eastAsia="zh-CN" w:bidi="ar"/>
        </w:rPr>
        <w:t>）拆卸留下的 1</w:t>
      </w:r>
      <w:r>
        <w:rPr>
          <w:rFonts w:hint="default" w:ascii="Times New Roman" w:hAnsi="Times New Roman" w:eastAsia="宋体" w:cs="Times New Roman"/>
          <w:caps w:val="0"/>
          <w:smallCaps w:val="0"/>
          <w:color w:val="000000"/>
          <w:kern w:val="0"/>
          <w:sz w:val="24"/>
          <w:szCs w:val="24"/>
          <w:lang w:val="en-US" w:eastAsia="zh-CN" w:bidi="ar"/>
        </w:rPr>
        <w:t xml:space="preserve"> </w:t>
      </w:r>
      <w:r>
        <w:rPr>
          <w:rFonts w:hint="eastAsia" w:ascii="Times New Roman" w:hAnsi="Times New Roman" w:eastAsia="宋体" w:cs="宋体"/>
          <w:caps w:val="0"/>
          <w:smallCaps w:val="0"/>
          <w:color w:val="000000"/>
          <w:kern w:val="0"/>
          <w:sz w:val="24"/>
          <w:szCs w:val="24"/>
          <w:lang w:val="en-US" w:eastAsia="zh-CN" w:bidi="ar"/>
        </w:rPr>
        <w:t>块 3.2</w:t>
      </w:r>
      <w:r>
        <w:rPr>
          <w:rFonts w:hint="default" w:ascii="Times New Roman" w:hAnsi="Times New Roman" w:eastAsia="宋体" w:cs="Times New Roman"/>
          <w:caps w:val="0"/>
          <w:smallCaps w:val="0"/>
          <w:color w:val="000000"/>
          <w:kern w:val="0"/>
          <w:sz w:val="24"/>
          <w:szCs w:val="24"/>
          <w:lang w:val="en-US" w:eastAsia="zh-CN" w:bidi="ar"/>
        </w:rPr>
        <w:t xml:space="preserve">t </w:t>
      </w:r>
      <w:r>
        <w:rPr>
          <w:rFonts w:hint="eastAsia" w:ascii="Times New Roman" w:hAnsi="Times New Roman" w:eastAsia="宋体" w:cs="宋体"/>
          <w:caps w:val="0"/>
          <w:smallCaps w:val="0"/>
          <w:color w:val="000000"/>
          <w:kern w:val="0"/>
          <w:sz w:val="24"/>
          <w:szCs w:val="24"/>
          <w:lang w:val="en-US" w:eastAsia="zh-CN" w:bidi="ar"/>
        </w:rPr>
        <w:t xml:space="preserve">的配重； </w:t>
      </w:r>
    </w:p>
    <w:p w14:paraId="4196E14B">
      <w:pPr>
        <w:keepNext w:val="0"/>
        <w:keepLines w:val="0"/>
        <w:widowControl/>
        <w:suppressLineNumbers w:val="0"/>
        <w:jc w:val="left"/>
        <w:rPr>
          <w:rFonts w:ascii="Times New Roman" w:hAnsi="Times New Roman"/>
          <w:caps w:val="0"/>
          <w:smallCaps w:val="0"/>
        </w:rPr>
      </w:pPr>
      <w:r>
        <w:rPr>
          <w:rFonts w:hint="default" w:ascii="Times New Roman" w:hAnsi="Times New Roman" w:eastAsia="宋体" w:cs="Times New Roman"/>
          <w:caps w:val="0"/>
          <w:smallCaps w:val="0"/>
          <w:color w:val="000000"/>
          <w:kern w:val="0"/>
          <w:sz w:val="24"/>
          <w:szCs w:val="24"/>
          <w:lang w:val="en-US" w:eastAsia="zh-CN" w:bidi="ar"/>
        </w:rPr>
        <w:t>5</w:t>
      </w:r>
      <w:r>
        <w:rPr>
          <w:rFonts w:hint="eastAsia" w:ascii="Times New Roman" w:hAnsi="Times New Roman" w:eastAsia="宋体" w:cs="宋体"/>
          <w:caps w:val="0"/>
          <w:smallCaps w:val="0"/>
          <w:color w:val="000000"/>
          <w:kern w:val="0"/>
          <w:sz w:val="24"/>
          <w:szCs w:val="24"/>
          <w:lang w:val="en-US" w:eastAsia="zh-CN" w:bidi="ar"/>
        </w:rPr>
        <w:t xml:space="preserve">）平衡臂的拆卸； </w:t>
      </w:r>
    </w:p>
    <w:p w14:paraId="229F3283">
      <w:pPr>
        <w:keepNext w:val="0"/>
        <w:keepLines w:val="0"/>
        <w:widowControl/>
        <w:suppressLineNumbers w:val="0"/>
        <w:jc w:val="left"/>
        <w:rPr>
          <w:rFonts w:ascii="Times New Roman" w:hAnsi="Times New Roman"/>
          <w:caps w:val="0"/>
          <w:smallCaps w:val="0"/>
        </w:rPr>
      </w:pPr>
      <w:r>
        <w:rPr>
          <w:rFonts w:hint="default" w:ascii="Times New Roman" w:hAnsi="Times New Roman" w:eastAsia="宋体" w:cs="Times New Roman"/>
          <w:caps w:val="0"/>
          <w:smallCaps w:val="0"/>
          <w:color w:val="000000"/>
          <w:kern w:val="0"/>
          <w:sz w:val="24"/>
          <w:szCs w:val="24"/>
          <w:lang w:val="en-US" w:eastAsia="zh-CN" w:bidi="ar"/>
        </w:rPr>
        <w:t>6</w:t>
      </w:r>
      <w:r>
        <w:rPr>
          <w:rFonts w:hint="eastAsia" w:ascii="Times New Roman" w:hAnsi="Times New Roman" w:eastAsia="宋体" w:cs="宋体"/>
          <w:caps w:val="0"/>
          <w:smallCaps w:val="0"/>
          <w:color w:val="000000"/>
          <w:kern w:val="0"/>
          <w:sz w:val="24"/>
          <w:szCs w:val="24"/>
          <w:lang w:val="en-US" w:eastAsia="zh-CN" w:bidi="ar"/>
        </w:rPr>
        <w:t xml:space="preserve">）拆卸臂根节； </w:t>
      </w:r>
    </w:p>
    <w:p w14:paraId="127FA404">
      <w:pPr>
        <w:keepNext w:val="0"/>
        <w:keepLines w:val="0"/>
        <w:widowControl/>
        <w:suppressLineNumbers w:val="0"/>
        <w:jc w:val="left"/>
        <w:rPr>
          <w:rFonts w:ascii="Times New Roman" w:hAnsi="Times New Roman"/>
          <w:caps w:val="0"/>
          <w:smallCaps w:val="0"/>
        </w:rPr>
      </w:pPr>
      <w:r>
        <w:rPr>
          <w:rFonts w:hint="default" w:ascii="Times New Roman" w:hAnsi="Times New Roman" w:eastAsia="宋体" w:cs="Times New Roman"/>
          <w:caps w:val="0"/>
          <w:smallCaps w:val="0"/>
          <w:color w:val="000000"/>
          <w:kern w:val="0"/>
          <w:sz w:val="24"/>
          <w:szCs w:val="24"/>
          <w:lang w:val="en-US" w:eastAsia="zh-CN" w:bidi="ar"/>
        </w:rPr>
        <w:t>7</w:t>
      </w:r>
      <w:r>
        <w:rPr>
          <w:rFonts w:hint="eastAsia" w:ascii="Times New Roman" w:hAnsi="Times New Roman" w:eastAsia="宋体" w:cs="宋体"/>
          <w:caps w:val="0"/>
          <w:smallCaps w:val="0"/>
          <w:color w:val="000000"/>
          <w:kern w:val="0"/>
          <w:sz w:val="24"/>
          <w:szCs w:val="24"/>
          <w:lang w:val="en-US" w:eastAsia="zh-CN" w:bidi="ar"/>
        </w:rPr>
        <w:t xml:space="preserve">）拆卸回转总、特殊节成； </w:t>
      </w:r>
    </w:p>
    <w:p w14:paraId="5C52A82C">
      <w:pPr>
        <w:keepNext w:val="0"/>
        <w:keepLines w:val="0"/>
        <w:widowControl/>
        <w:suppressLineNumbers w:val="0"/>
        <w:jc w:val="left"/>
        <w:rPr>
          <w:rFonts w:ascii="Times New Roman" w:hAnsi="Times New Roman"/>
          <w:caps w:val="0"/>
          <w:smallCaps w:val="0"/>
        </w:rPr>
      </w:pPr>
      <w:r>
        <w:rPr>
          <w:rFonts w:hint="default" w:ascii="Times New Roman" w:hAnsi="Times New Roman" w:eastAsia="宋体" w:cs="Times New Roman"/>
          <w:caps w:val="0"/>
          <w:smallCaps w:val="0"/>
          <w:color w:val="000000"/>
          <w:kern w:val="0"/>
          <w:sz w:val="24"/>
          <w:szCs w:val="24"/>
          <w:lang w:val="en-US" w:eastAsia="zh-CN" w:bidi="ar"/>
        </w:rPr>
        <w:t>8</w:t>
      </w:r>
      <w:r>
        <w:rPr>
          <w:rFonts w:hint="eastAsia" w:ascii="Times New Roman" w:hAnsi="Times New Roman" w:eastAsia="宋体" w:cs="宋体"/>
          <w:caps w:val="0"/>
          <w:smallCaps w:val="0"/>
          <w:color w:val="000000"/>
          <w:kern w:val="0"/>
          <w:sz w:val="24"/>
          <w:szCs w:val="24"/>
          <w:lang w:val="en-US" w:eastAsia="zh-CN" w:bidi="ar"/>
        </w:rPr>
        <w:t>） 拆卸爬升架及塔身。</w:t>
      </w:r>
    </w:p>
    <w:p w14:paraId="6656207A">
      <w:pPr>
        <w:pStyle w:val="3"/>
        <w:bidi w:val="0"/>
        <w:ind w:left="575" w:leftChars="0" w:hanging="575" w:firstLineChars="0"/>
        <w:rPr>
          <w:rFonts w:hint="default"/>
          <w:lang w:val="en-US" w:eastAsia="zh-CN"/>
        </w:rPr>
      </w:pPr>
      <w:bookmarkStart w:id="169" w:name="_Toc2153"/>
      <w:bookmarkStart w:id="170" w:name="_Toc28725"/>
      <w:r>
        <w:rPr>
          <w:rFonts w:hint="eastAsia"/>
          <w:lang w:val="en-US" w:eastAsia="zh-CN"/>
        </w:rPr>
        <w:t>主要设备选型</w:t>
      </w:r>
      <w:bookmarkEnd w:id="166"/>
      <w:bookmarkEnd w:id="167"/>
      <w:bookmarkEnd w:id="169"/>
      <w:bookmarkEnd w:id="170"/>
    </w:p>
    <w:p w14:paraId="0BA286F2">
      <w:pPr>
        <w:pStyle w:val="4"/>
        <w:bidi w:val="0"/>
        <w:ind w:left="720" w:leftChars="0" w:hanging="720" w:firstLineChars="0"/>
        <w:rPr>
          <w:b/>
          <w:bCs/>
        </w:rPr>
      </w:pPr>
      <w:r>
        <w:rPr>
          <w:rFonts w:hint="eastAsia"/>
          <w:b/>
          <w:bCs/>
        </w:rPr>
        <w:t>辅助起重设备选型</w:t>
      </w:r>
    </w:p>
    <w:p w14:paraId="19B124ED">
      <w:pPr>
        <w:bidi w:val="0"/>
        <w:ind w:firstLine="480" w:firstLineChars="200"/>
        <w:rPr>
          <w:rFonts w:hint="eastAsia" w:ascii="宋体" w:hAnsi="宋体" w:eastAsia="宋体" w:cs="Times New Roman"/>
          <w:highlight w:val="none"/>
          <w:lang w:val="en-US" w:eastAsia="zh-CN"/>
        </w:rPr>
      </w:pPr>
      <w:r>
        <w:rPr>
          <w:rFonts w:hint="eastAsia"/>
          <w:highlight w:val="none"/>
          <w:lang w:val="en-US" w:eastAsia="zh-CN"/>
        </w:rPr>
        <w:t>结合XGT7020-10S1塔机主要部件重量，</w:t>
      </w:r>
      <w:r>
        <w:rPr>
          <w:rFonts w:hint="eastAsia" w:ascii="宋体" w:hAnsi="宋体" w:eastAsia="宋体" w:cs="宋体"/>
          <w:highlight w:val="none"/>
          <w:lang w:val="en-US" w:eastAsia="zh-CN"/>
        </w:rPr>
        <w:t>选用选用一台50t汽车吊进行塔机部件吊装作业，</w:t>
      </w:r>
      <w:r>
        <w:rPr>
          <w:rFonts w:hint="default"/>
          <w:highlight w:val="none"/>
          <w:lang w:val="en-US" w:eastAsia="zh-CN"/>
        </w:rPr>
        <w:t>工作半径</w:t>
      </w:r>
      <w:r>
        <w:rPr>
          <w:rFonts w:hint="eastAsia"/>
          <w:highlight w:val="none"/>
          <w:lang w:val="en-US" w:eastAsia="zh-CN"/>
        </w:rPr>
        <w:t>不超过14</w:t>
      </w:r>
      <w:r>
        <w:rPr>
          <w:rFonts w:hint="default"/>
          <w:highlight w:val="none"/>
          <w:lang w:val="en-US" w:eastAsia="zh-CN"/>
        </w:rPr>
        <w:t>米</w:t>
      </w:r>
      <w:r>
        <w:rPr>
          <w:rFonts w:hint="eastAsia"/>
          <w:highlight w:val="none"/>
          <w:lang w:val="en-US" w:eastAsia="zh-CN"/>
        </w:rPr>
        <w:t>，允许吊重9.3t＞5.35t(爬升架）</w:t>
      </w:r>
      <w:r>
        <w:rPr>
          <w:rFonts w:hint="default"/>
          <w:highlight w:val="none"/>
          <w:lang w:val="en-US" w:eastAsia="zh-CN"/>
        </w:rPr>
        <w:t>满足使用要求。</w:t>
      </w:r>
      <w:r>
        <w:rPr>
          <w:rFonts w:hint="eastAsia"/>
          <w:highlight w:val="none"/>
          <w:lang w:val="en-US" w:eastAsia="zh-CN"/>
        </w:rPr>
        <w:t>施工场地</w:t>
      </w:r>
      <w:r>
        <w:rPr>
          <w:rFonts w:hint="eastAsia"/>
          <w:highlight w:val="none"/>
        </w:rPr>
        <w:t>局部冲沟发育</w:t>
      </w:r>
      <w:r>
        <w:rPr>
          <w:rFonts w:hint="eastAsia"/>
          <w:highlight w:val="none"/>
          <w:lang w:eastAsia="zh-CN"/>
        </w:rPr>
        <w:t>，</w:t>
      </w:r>
      <w:r>
        <w:rPr>
          <w:rFonts w:hint="eastAsia"/>
          <w:highlight w:val="none"/>
          <w:lang w:val="en-US" w:eastAsia="zh-CN"/>
        </w:rPr>
        <w:t>原地面经过清表后</w:t>
      </w:r>
      <w:r>
        <w:rPr>
          <w:rFonts w:hint="eastAsia"/>
          <w:highlight w:val="none"/>
        </w:rPr>
        <w:t>上层杂填土、素填土已清理出场,现阶段场区内</w:t>
      </w:r>
      <w:r>
        <w:rPr>
          <w:rFonts w:hint="eastAsia"/>
          <w:highlight w:val="none"/>
          <w:lang w:val="en-US" w:eastAsia="zh-CN"/>
        </w:rPr>
        <w:t>基本采用片石、碎石土回填完善，</w:t>
      </w:r>
      <w:r>
        <w:rPr>
          <w:rFonts w:hint="eastAsia"/>
          <w:highlight w:val="none"/>
        </w:rPr>
        <w:t>地基土承载力</w:t>
      </w:r>
      <w:r>
        <w:rPr>
          <w:rFonts w:hint="eastAsia"/>
          <w:highlight w:val="none"/>
          <w:lang w:val="en-US" w:eastAsia="zh-CN"/>
        </w:rPr>
        <w:t>不低于</w:t>
      </w:r>
      <w:r>
        <w:rPr>
          <w:rFonts w:hint="eastAsia"/>
          <w:highlight w:val="none"/>
        </w:rPr>
        <w:t>150kpa</w:t>
      </w:r>
      <w:r>
        <w:rPr>
          <w:rFonts w:hint="eastAsia"/>
          <w:highlight w:val="none"/>
          <w:lang w:eastAsia="zh-CN"/>
        </w:rPr>
        <w:t>，</w:t>
      </w:r>
      <w:r>
        <w:rPr>
          <w:rFonts w:hint="eastAsia" w:ascii="宋体" w:hAnsi="宋体" w:eastAsia="宋体" w:cs="Times New Roman"/>
          <w:highlight w:val="none"/>
          <w:lang w:val="en-US" w:eastAsia="zh-CN"/>
        </w:rPr>
        <w:t>符合起重吊装作业要对吊装场地的地基承载力要求。</w:t>
      </w:r>
    </w:p>
    <w:p w14:paraId="2A13ADA6">
      <w:pPr>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br w:type="page"/>
      </w:r>
    </w:p>
    <w:p w14:paraId="5F41259C">
      <w:pPr>
        <w:pStyle w:val="14"/>
        <w:bidi w:val="0"/>
        <w:jc w:val="center"/>
      </w:pPr>
      <w:r>
        <w:t xml:space="preserve">表 </w:t>
      </w:r>
      <w:r>
        <w:fldChar w:fldCharType="begin"/>
      </w:r>
      <w:r>
        <w:instrText xml:space="preserve"> STYLEREF 3 \s </w:instrText>
      </w:r>
      <w:r>
        <w:fldChar w:fldCharType="separate"/>
      </w:r>
      <w:r>
        <w:t>4.2.1</w:t>
      </w:r>
      <w:r>
        <w:fldChar w:fldCharType="end"/>
      </w:r>
      <w:r>
        <w:rPr>
          <w:rFonts w:hint="eastAsia"/>
          <w:lang w:eastAsia="zh-CN"/>
        </w:rPr>
        <w:t>-</w:t>
      </w:r>
      <w:r>
        <w:fldChar w:fldCharType="begin"/>
      </w:r>
      <w:r>
        <w:instrText xml:space="preserve"> SEQ 表 \* ARABIC \s 3 </w:instrText>
      </w:r>
      <w:r>
        <w:fldChar w:fldCharType="separate"/>
      </w:r>
      <w:r>
        <w:t>1</w:t>
      </w:r>
      <w:r>
        <w:fldChar w:fldCharType="end"/>
      </w:r>
      <w:r>
        <w:rPr>
          <w:rFonts w:hint="eastAsia"/>
          <w:lang w:val="en-US" w:eastAsia="zh-CN"/>
        </w:rPr>
        <w:t xml:space="preserve"> </w:t>
      </w:r>
      <w:r>
        <w:rPr>
          <w:rFonts w:hint="eastAsia"/>
          <w:highlight w:val="none"/>
          <w:lang w:val="en-US" w:eastAsia="zh-CN"/>
        </w:rPr>
        <w:t>XGT7020-10S1塔机各部件重量表</w:t>
      </w:r>
    </w:p>
    <w:p w14:paraId="5F6B80CF">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宋体" w:hAnsi="宋体" w:eastAsia="宋体" w:cs="Times New Roman"/>
          <w:highlight w:val="none"/>
          <w:lang w:val="en-US" w:eastAsia="zh-CN"/>
        </w:rPr>
      </w:pPr>
      <w:r>
        <w:drawing>
          <wp:inline distT="0" distB="0" distL="114300" distR="114300">
            <wp:extent cx="5271135" cy="3072130"/>
            <wp:effectExtent l="0" t="0" r="5715" b="139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6"/>
                    <a:stretch>
                      <a:fillRect/>
                    </a:stretch>
                  </pic:blipFill>
                  <pic:spPr>
                    <a:xfrm>
                      <a:off x="0" y="0"/>
                      <a:ext cx="5271135" cy="3072130"/>
                    </a:xfrm>
                    <a:prstGeom prst="rect">
                      <a:avLst/>
                    </a:prstGeom>
                    <a:noFill/>
                    <a:ln>
                      <a:noFill/>
                    </a:ln>
                  </pic:spPr>
                </pic:pic>
              </a:graphicData>
            </a:graphic>
          </wp:inline>
        </w:drawing>
      </w:r>
    </w:p>
    <w:p w14:paraId="688A6673">
      <w:pPr>
        <w:bidi w:val="0"/>
        <w:jc w:val="center"/>
      </w:pPr>
      <w:r>
        <w:drawing>
          <wp:inline distT="0" distB="0" distL="114300" distR="114300">
            <wp:extent cx="5274310" cy="3322955"/>
            <wp:effectExtent l="0" t="0" r="2540" b="10795"/>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27"/>
                    <a:stretch>
                      <a:fillRect/>
                    </a:stretch>
                  </pic:blipFill>
                  <pic:spPr>
                    <a:xfrm>
                      <a:off x="0" y="0"/>
                      <a:ext cx="5274310" cy="3322955"/>
                    </a:xfrm>
                    <a:prstGeom prst="rect">
                      <a:avLst/>
                    </a:prstGeom>
                    <a:noFill/>
                    <a:ln>
                      <a:noFill/>
                    </a:ln>
                  </pic:spPr>
                </pic:pic>
              </a:graphicData>
            </a:graphic>
          </wp:inline>
        </w:drawing>
      </w:r>
    </w:p>
    <w:p w14:paraId="4A9A559D">
      <w:pPr>
        <w:pStyle w:val="42"/>
        <w:bidi w:val="0"/>
        <w:rPr>
          <w:rFonts w:hint="eastAsia"/>
          <w:highlight w:val="none"/>
          <w:lang w:val="en-US" w:eastAsia="zh-CN"/>
        </w:rPr>
      </w:pPr>
      <w:r>
        <w:t xml:space="preserve">图 </w:t>
      </w:r>
      <w:r>
        <w:fldChar w:fldCharType="begin"/>
      </w:r>
      <w:r>
        <w:instrText xml:space="preserve"> STYLEREF 3 \s </w:instrText>
      </w:r>
      <w:r>
        <w:fldChar w:fldCharType="separate"/>
      </w:r>
      <w:r>
        <w:t>4.2.1</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w:t>
      </w:r>
      <w:r>
        <w:rPr>
          <w:rFonts w:hint="eastAsia"/>
          <w:highlight w:val="none"/>
          <w:lang w:val="en-US" w:eastAsia="zh-CN"/>
        </w:rPr>
        <w:t>50t汽车吊</w:t>
      </w:r>
      <w:r>
        <w:rPr>
          <w:rFonts w:hint="eastAsia"/>
          <w:highlight w:val="none"/>
        </w:rPr>
        <w:t>吊起重量表</w:t>
      </w:r>
    </w:p>
    <w:p w14:paraId="5D9D2E5B">
      <w:pPr>
        <w:bidi w:val="0"/>
        <w:jc w:val="center"/>
      </w:pPr>
      <w:r>
        <w:drawing>
          <wp:inline distT="0" distB="0" distL="114300" distR="114300">
            <wp:extent cx="5273040" cy="4546600"/>
            <wp:effectExtent l="0" t="0" r="3810" b="635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28"/>
                    <a:stretch>
                      <a:fillRect/>
                    </a:stretch>
                  </pic:blipFill>
                  <pic:spPr>
                    <a:xfrm>
                      <a:off x="0" y="0"/>
                      <a:ext cx="5273040" cy="4546600"/>
                    </a:xfrm>
                    <a:prstGeom prst="rect">
                      <a:avLst/>
                    </a:prstGeom>
                    <a:noFill/>
                    <a:ln>
                      <a:noFill/>
                    </a:ln>
                  </pic:spPr>
                </pic:pic>
              </a:graphicData>
            </a:graphic>
          </wp:inline>
        </w:drawing>
      </w:r>
    </w:p>
    <w:p w14:paraId="77664AC0">
      <w:pPr>
        <w:pStyle w:val="14"/>
        <w:bidi w:val="0"/>
        <w:jc w:val="center"/>
        <w:rPr>
          <w:rFonts w:hint="default"/>
          <w:lang w:val="en-US" w:eastAsia="zh-CN"/>
        </w:rPr>
      </w:pPr>
      <w:r>
        <w:t xml:space="preserve">图 </w:t>
      </w:r>
      <w:r>
        <w:fldChar w:fldCharType="begin"/>
      </w:r>
      <w:r>
        <w:instrText xml:space="preserve"> STYLEREF 3 \s </w:instrText>
      </w:r>
      <w:r>
        <w:fldChar w:fldCharType="separate"/>
      </w:r>
      <w:r>
        <w:t>4.2.1</w:t>
      </w:r>
      <w:r>
        <w:fldChar w:fldCharType="end"/>
      </w:r>
      <w:r>
        <w:rPr>
          <w:rFonts w:hint="eastAsia"/>
          <w:lang w:eastAsia="zh-CN"/>
        </w:rPr>
        <w:t>-</w:t>
      </w:r>
      <w:r>
        <w:fldChar w:fldCharType="begin"/>
      </w:r>
      <w:r>
        <w:instrText xml:space="preserve"> SEQ 图 \* ARABIC \s 3 </w:instrText>
      </w:r>
      <w:r>
        <w:fldChar w:fldCharType="separate"/>
      </w:r>
      <w:r>
        <w:t>2</w:t>
      </w:r>
      <w:r>
        <w:fldChar w:fldCharType="end"/>
      </w:r>
      <w:r>
        <w:rPr>
          <w:rFonts w:hint="eastAsia"/>
          <w:lang w:val="en-US" w:eastAsia="zh-CN"/>
        </w:rPr>
        <w:t xml:space="preserve"> </w:t>
      </w:r>
      <w:r>
        <w:rPr>
          <w:rFonts w:hint="eastAsia"/>
          <w:highlight w:val="none"/>
          <w:lang w:val="en-US" w:eastAsia="zh-CN"/>
        </w:rPr>
        <w:t>50t汽车吊吊起重性能曲线</w:t>
      </w:r>
    </w:p>
    <w:p w14:paraId="1BEFDEAA">
      <w:pPr>
        <w:pStyle w:val="4"/>
        <w:bidi w:val="0"/>
        <w:ind w:left="720" w:leftChars="0" w:hanging="720" w:firstLineChars="0"/>
        <w:rPr>
          <w:rFonts w:hint="eastAsia"/>
          <w:b/>
          <w:bCs/>
          <w:lang w:val="en-US" w:eastAsia="zh-CN"/>
        </w:rPr>
      </w:pPr>
      <w:r>
        <w:rPr>
          <w:rFonts w:hint="eastAsia"/>
          <w:b/>
          <w:bCs/>
          <w:lang w:val="en-US" w:eastAsia="zh-CN"/>
        </w:rPr>
        <w:t>吊装钢丝绳选型</w:t>
      </w:r>
    </w:p>
    <w:p w14:paraId="062FE3BB">
      <w:pPr>
        <w:rPr>
          <w:color w:val="auto"/>
        </w:rPr>
      </w:pPr>
      <w:r>
        <w:rPr>
          <w:rFonts w:hint="eastAsia"/>
          <w:color w:val="auto"/>
          <w:lang w:val="en-US" w:eastAsia="zh-CN"/>
        </w:rPr>
        <w:t>1、</w:t>
      </w:r>
      <w:r>
        <w:rPr>
          <w:color w:val="auto"/>
        </w:rPr>
        <w:t>钢丝绳选型依据</w:t>
      </w:r>
    </w:p>
    <w:p w14:paraId="0B65EECD">
      <w:pPr>
        <w:ind w:firstLine="480"/>
        <w:rPr>
          <w:rFonts w:ascii="Times New Roman" w:hAnsi="Times New Roman" w:eastAsia="宋体" w:cs="Times New Roman"/>
        </w:rPr>
      </w:pPr>
      <w:r>
        <w:rPr>
          <w:rFonts w:hint="eastAsia" w:ascii="Times New Roman" w:hAnsi="Times New Roman" w:eastAsia="宋体" w:cs="Times New Roman"/>
        </w:rPr>
        <w:t>根据起吊重量选择相对应的钢丝绳和卸扣。</w:t>
      </w:r>
    </w:p>
    <w:p w14:paraId="4CFDCF07">
      <w:pPr>
        <w:ind w:firstLine="480"/>
        <w:rPr>
          <w:rFonts w:ascii="Times New Roman" w:hAnsi="Times New Roman" w:eastAsia="宋体" w:cs="Times New Roman"/>
        </w:rPr>
      </w:pPr>
      <w:r>
        <w:rPr>
          <w:rFonts w:hint="eastAsia" w:ascii="Times New Roman" w:hAnsi="Times New Roman" w:eastAsia="宋体" w:cs="Times New Roman"/>
        </w:rPr>
        <w:t>有对称分布的与垂直方向具有相同角度的单肢吊索组成的多肢吊索的工作荷载按《一般用途钢丝绳吊索特性和技术条件》公式计算：</w:t>
      </w:r>
    </w:p>
    <w:p w14:paraId="70E4A187">
      <w:pPr>
        <w:widowControl w:val="0"/>
        <w:tabs>
          <w:tab w:val="left" w:pos="1320"/>
        </w:tabs>
        <w:spacing w:line="360" w:lineRule="auto"/>
        <w:ind w:firstLine="0" w:firstLineChars="0"/>
        <w:jc w:val="center"/>
        <w:rPr>
          <w:rFonts w:ascii="Times New Roman" w:hAnsi="Times New Roman" w:eastAsia="宋体" w:cs="Times New Roman"/>
          <w:i/>
          <w:kern w:val="2"/>
          <w:sz w:val="24"/>
          <w:szCs w:val="21"/>
          <w:lang w:val="en-US" w:eastAsia="zh-CN" w:bidi="ar-SA"/>
        </w:rPr>
      </w:pPr>
      <m:oMathPara>
        <m:oMath>
          <m:r>
            <m:rPr>
              <m:nor/>
              <m:sty m:val="p"/>
            </m:rPr>
            <w:rPr>
              <w:b w:val="0"/>
              <w:i w:val="0"/>
            </w:rPr>
            <m:t>WLL=</m:t>
          </m:r>
          <m:sSub>
            <m:sSubPr>
              <m:ctrlPr>
                <w:rPr>
                  <w:rFonts w:ascii="Cambria Math" w:hAnsi="Cambria Math"/>
                </w:rPr>
              </m:ctrlPr>
            </m:sSubPr>
            <m:e>
              <m:r>
                <m:rPr>
                  <m:nor/>
                  <m:sty m:val="p"/>
                </m:rPr>
                <w:rPr>
                  <w:b w:val="0"/>
                  <w:i w:val="0"/>
                </w:rPr>
                <m:t>F</m:t>
              </m:r>
              <m:ctrlPr>
                <w:rPr>
                  <w:rFonts w:ascii="Cambria Math" w:hAnsi="Cambria Math"/>
                </w:rPr>
              </m:ctrlPr>
            </m:e>
            <m:sub>
              <m:r>
                <m:rPr>
                  <m:nor/>
                  <m:sty m:val="p"/>
                </m:rPr>
                <w:rPr>
                  <w:b w:val="0"/>
                  <w:i w:val="0"/>
                </w:rPr>
                <m:t>0</m:t>
              </m:r>
              <m:ctrlPr>
                <w:rPr>
                  <w:rFonts w:ascii="Cambria Math" w:hAnsi="Cambria Math"/>
                </w:rPr>
              </m:ctrlPr>
            </m:sub>
          </m:sSub>
          <m:r>
            <m:rPr>
              <m:nor/>
              <m:sty m:val="p"/>
            </m:rPr>
            <w:rPr>
              <w:b w:val="0"/>
              <w:i w:val="0"/>
            </w:rPr>
            <m:t>×</m:t>
          </m:r>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e</m:t>
              </m:r>
              <m:ctrlPr>
                <w:rPr>
                  <w:rFonts w:ascii="Cambria Math" w:hAnsi="Cambria Math"/>
                </w:rPr>
              </m:ctrlPr>
            </m:sub>
          </m:sSub>
          <m:r>
            <m:rPr>
              <m:nor/>
              <m:sty m:val="p"/>
            </m:rPr>
            <w:rPr>
              <w:b w:val="0"/>
              <w:i w:val="0"/>
            </w:rPr>
            <m:t>×K÷</m:t>
          </m:r>
          <m:d>
            <m:dPr>
              <m:ctrlPr>
                <w:rPr>
                  <w:rFonts w:ascii="Cambria Math" w:hAnsi="Cambria Math"/>
                </w:rPr>
              </m:ctrlPr>
            </m:dPr>
            <m:e>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m</m:t>
                  </m:r>
                  <m:ctrlPr>
                    <w:rPr>
                      <w:rFonts w:ascii="Cambria Math" w:hAnsi="Cambria Math"/>
                    </w:rPr>
                  </m:ctrlPr>
                </m:sub>
              </m:sSub>
              <m:r>
                <m:rPr>
                  <m:nor/>
                  <m:sty m:val="p"/>
                </m:rPr>
                <w:rPr>
                  <w:b w:val="0"/>
                  <w:i w:val="0"/>
                </w:rPr>
                <m:t>×</m:t>
              </m:r>
              <m:sSub>
                <m:sSubPr>
                  <m:ctrlPr>
                    <w:rPr>
                      <w:rFonts w:ascii="Cambria Math" w:hAnsi="Cambria Math"/>
                    </w:rPr>
                  </m:ctrlPr>
                </m:sSubPr>
                <m:e>
                  <m:r>
                    <m:rPr>
                      <m:nor/>
                      <m:sty m:val="p"/>
                    </m:rPr>
                    <w:rPr>
                      <w:b w:val="0"/>
                      <w:i w:val="0"/>
                    </w:rPr>
                    <m:t>K</m:t>
                  </m:r>
                  <m:ctrlPr>
                    <w:rPr>
                      <w:rFonts w:ascii="Cambria Math" w:hAnsi="Cambria Math"/>
                    </w:rPr>
                  </m:ctrlPr>
                </m:e>
                <m:sub>
                  <m:r>
                    <m:rPr>
                      <m:nor/>
                      <m:sty m:val="p"/>
                    </m:rPr>
                    <w:rPr>
                      <w:b w:val="0"/>
                      <w:i w:val="0"/>
                    </w:rPr>
                    <m:t>u</m:t>
                  </m:r>
                  <m:ctrlPr>
                    <w:rPr>
                      <w:rFonts w:ascii="Cambria Math" w:hAnsi="Cambria Math"/>
                    </w:rPr>
                  </m:ctrlPr>
                </m:sub>
              </m:sSub>
              <m:ctrlPr>
                <w:rPr>
                  <w:rFonts w:ascii="Cambria Math" w:hAnsi="Cambria Math"/>
                </w:rPr>
              </m:ctrlPr>
            </m:e>
          </m:d>
        </m:oMath>
      </m:oMathPara>
    </w:p>
    <w:p w14:paraId="752F742A">
      <w:pPr>
        <w:widowControl w:val="0"/>
        <w:tabs>
          <w:tab w:val="left" w:pos="1200"/>
        </w:tabs>
        <w:spacing w:line="360" w:lineRule="auto"/>
        <w:ind w:firstLine="0" w:firstLineChars="0"/>
        <w:jc w:val="both"/>
        <w:rPr>
          <w:rFonts w:hint="eastAsia"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式中：</w:t>
      </w:r>
    </w:p>
    <w:tbl>
      <w:tblPr>
        <w:tblStyle w:val="1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4"/>
        <w:gridCol w:w="832"/>
        <w:gridCol w:w="7286"/>
      </w:tblGrid>
      <w:tr w14:paraId="38BE3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2DFC396F">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p>
        </w:tc>
        <w:tc>
          <w:tcPr>
            <w:tcW w:w="850" w:type="dxa"/>
          </w:tcPr>
          <w:p w14:paraId="473469B0">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r>
              <w:rPr>
                <w:rFonts w:ascii="Times New Roman" w:hAnsi="Times New Roman" w:eastAsia="宋体" w:cs="Times New Roman"/>
                <w:i/>
                <w:kern w:val="0"/>
                <w:sz w:val="24"/>
                <w:szCs w:val="20"/>
                <w:lang w:val="en-US" w:eastAsia="zh-CN" w:bidi="ar-SA"/>
              </w:rPr>
              <w:t>WLL</w:t>
            </w:r>
          </w:p>
        </w:tc>
        <w:tc>
          <w:tcPr>
            <w:tcW w:w="8048" w:type="dxa"/>
          </w:tcPr>
          <w:p w14:paraId="54AD3B52">
            <w:pPr>
              <w:widowControl w:val="0"/>
              <w:tabs>
                <w:tab w:val="left" w:pos="1200"/>
              </w:tabs>
              <w:spacing w:line="360" w:lineRule="auto"/>
              <w:ind w:firstLine="0" w:firstLineChars="0"/>
              <w:jc w:val="both"/>
              <w:rPr>
                <w:rFonts w:ascii="Times New Roman" w:hAnsi="Times New Roman" w:eastAsia="宋体" w:cs="Times New Roman"/>
                <w:kern w:val="0"/>
                <w:sz w:val="24"/>
                <w:szCs w:val="20"/>
                <w:lang w:val="en-US" w:eastAsia="zh-CN" w:bidi="ar-SA"/>
              </w:rPr>
            </w:pPr>
            <w:r>
              <w:rPr>
                <w:rFonts w:hint="eastAsia" w:ascii="Times New Roman" w:hAnsi="Times New Roman" w:eastAsia="宋体" w:cs="Times New Roman"/>
                <w:kern w:val="0"/>
                <w:sz w:val="24"/>
                <w:szCs w:val="20"/>
                <w:lang w:val="en-US" w:eastAsia="zh-CN" w:bidi="ar-SA"/>
              </w:rPr>
              <w:t>——吊索额定工作荷载，单位为t；</w:t>
            </w:r>
          </w:p>
        </w:tc>
      </w:tr>
      <w:tr w14:paraId="6237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0C0624A3">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p>
        </w:tc>
        <w:tc>
          <w:tcPr>
            <w:tcW w:w="850" w:type="dxa"/>
          </w:tcPr>
          <w:p w14:paraId="538FA6EC">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r>
              <w:rPr>
                <w:rFonts w:ascii="Times New Roman" w:hAnsi="Times New Roman" w:eastAsia="宋体" w:cs="Times New Roman"/>
                <w:i/>
                <w:kern w:val="0"/>
                <w:sz w:val="24"/>
                <w:szCs w:val="20"/>
                <w:lang w:val="en-US" w:eastAsia="zh-CN" w:bidi="ar-SA"/>
              </w:rPr>
              <w:t>F</w:t>
            </w:r>
            <w:r>
              <w:rPr>
                <w:rFonts w:ascii="Times New Roman" w:hAnsi="Times New Roman" w:eastAsia="宋体" w:cs="Times New Roman"/>
                <w:i/>
                <w:kern w:val="0"/>
                <w:sz w:val="24"/>
                <w:szCs w:val="20"/>
                <w:vertAlign w:val="subscript"/>
                <w:lang w:val="en-US" w:eastAsia="zh-CN" w:bidi="ar-SA"/>
              </w:rPr>
              <w:t>0</w:t>
            </w:r>
          </w:p>
        </w:tc>
        <w:tc>
          <w:tcPr>
            <w:tcW w:w="8048" w:type="dxa"/>
          </w:tcPr>
          <w:p w14:paraId="15C5BCC6">
            <w:pPr>
              <w:widowControl w:val="0"/>
              <w:tabs>
                <w:tab w:val="left" w:pos="1200"/>
              </w:tabs>
              <w:spacing w:line="360" w:lineRule="auto"/>
              <w:ind w:firstLine="0" w:firstLineChars="0"/>
              <w:jc w:val="both"/>
              <w:rPr>
                <w:rFonts w:ascii="Times New Roman" w:hAnsi="Times New Roman" w:eastAsia="宋体" w:cs="Times New Roman"/>
                <w:kern w:val="0"/>
                <w:sz w:val="24"/>
                <w:szCs w:val="20"/>
                <w:lang w:val="en-US" w:eastAsia="zh-CN" w:bidi="ar-SA"/>
              </w:rPr>
            </w:pPr>
            <w:r>
              <w:rPr>
                <w:rFonts w:hint="eastAsia" w:ascii="Times New Roman" w:hAnsi="Times New Roman" w:eastAsia="宋体" w:cs="Times New Roman"/>
                <w:kern w:val="0"/>
                <w:sz w:val="24"/>
                <w:szCs w:val="20"/>
                <w:lang w:val="en-US" w:eastAsia="zh-CN" w:bidi="ar-SA"/>
              </w:rPr>
              <w:t>——钢丝绳最小破断拉力，单位为kN；</w:t>
            </w:r>
          </w:p>
        </w:tc>
      </w:tr>
      <w:tr w14:paraId="1DF6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3749B339">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p>
        </w:tc>
        <w:tc>
          <w:tcPr>
            <w:tcW w:w="850" w:type="dxa"/>
          </w:tcPr>
          <w:p w14:paraId="367D49B3">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r>
              <w:rPr>
                <w:rFonts w:ascii="Times New Roman" w:hAnsi="Times New Roman" w:eastAsia="宋体" w:cs="Times New Roman"/>
                <w:i/>
                <w:kern w:val="0"/>
                <w:sz w:val="24"/>
                <w:szCs w:val="20"/>
                <w:lang w:val="en-US" w:eastAsia="zh-CN" w:bidi="ar-SA"/>
              </w:rPr>
              <w:t>K</w:t>
            </w:r>
            <w:r>
              <w:rPr>
                <w:rFonts w:ascii="Times New Roman" w:hAnsi="Times New Roman" w:eastAsia="宋体" w:cs="Times New Roman"/>
                <w:i/>
                <w:kern w:val="0"/>
                <w:sz w:val="24"/>
                <w:szCs w:val="20"/>
                <w:vertAlign w:val="subscript"/>
                <w:lang w:val="en-US" w:eastAsia="zh-CN" w:bidi="ar-SA"/>
              </w:rPr>
              <w:t>e</w:t>
            </w:r>
          </w:p>
        </w:tc>
        <w:tc>
          <w:tcPr>
            <w:tcW w:w="8048" w:type="dxa"/>
          </w:tcPr>
          <w:p w14:paraId="6AAC1001">
            <w:pPr>
              <w:widowControl w:val="0"/>
              <w:tabs>
                <w:tab w:val="left" w:pos="1200"/>
              </w:tabs>
              <w:spacing w:line="360" w:lineRule="auto"/>
              <w:ind w:firstLine="0" w:firstLineChars="0"/>
              <w:jc w:val="both"/>
              <w:rPr>
                <w:rFonts w:ascii="Times New Roman" w:hAnsi="Times New Roman" w:eastAsia="宋体" w:cs="Times New Roman"/>
                <w:kern w:val="0"/>
                <w:sz w:val="24"/>
                <w:szCs w:val="20"/>
                <w:lang w:val="en-US" w:eastAsia="zh-CN" w:bidi="ar-SA"/>
              </w:rPr>
            </w:pPr>
            <w:r>
              <w:rPr>
                <w:rFonts w:hint="eastAsia" w:ascii="Times New Roman" w:hAnsi="Times New Roman" w:eastAsia="宋体" w:cs="Times New Roman"/>
                <w:kern w:val="0"/>
                <w:sz w:val="24"/>
                <w:szCs w:val="20"/>
                <w:lang w:val="en-US" w:eastAsia="zh-CN" w:bidi="ar-SA"/>
              </w:rPr>
              <w:t>——接头形式效能近似系数，压制接头取，插编接头取5；</w:t>
            </w:r>
          </w:p>
        </w:tc>
      </w:tr>
      <w:tr w14:paraId="53C5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459EB6D9">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p>
        </w:tc>
        <w:tc>
          <w:tcPr>
            <w:tcW w:w="850" w:type="dxa"/>
          </w:tcPr>
          <w:p w14:paraId="49FC7306">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r>
              <w:rPr>
                <w:rFonts w:hint="eastAsia" w:ascii="Times New Roman" w:hAnsi="Times New Roman" w:eastAsia="宋体" w:cs="Times New Roman"/>
                <w:i/>
                <w:kern w:val="0"/>
                <w:sz w:val="24"/>
                <w:szCs w:val="20"/>
                <w:lang w:val="en-US" w:eastAsia="zh-CN" w:bidi="ar-SA"/>
              </w:rPr>
              <w:t>K</w:t>
            </w:r>
          </w:p>
        </w:tc>
        <w:tc>
          <w:tcPr>
            <w:tcW w:w="8048" w:type="dxa"/>
          </w:tcPr>
          <w:p w14:paraId="5D391A16">
            <w:pPr>
              <w:widowControl w:val="0"/>
              <w:tabs>
                <w:tab w:val="left" w:pos="1200"/>
              </w:tabs>
              <w:spacing w:line="360" w:lineRule="auto"/>
              <w:ind w:firstLine="0" w:firstLineChars="0"/>
              <w:jc w:val="both"/>
              <w:rPr>
                <w:rFonts w:ascii="Times New Roman" w:hAnsi="Times New Roman" w:eastAsia="宋体" w:cs="Times New Roman"/>
                <w:kern w:val="0"/>
                <w:sz w:val="24"/>
                <w:szCs w:val="20"/>
                <w:lang w:val="en-US" w:eastAsia="zh-CN" w:bidi="ar-SA"/>
              </w:rPr>
            </w:pPr>
            <w:r>
              <w:rPr>
                <w:rFonts w:hint="eastAsia" w:ascii="Times New Roman" w:hAnsi="Times New Roman" w:eastAsia="宋体" w:cs="Times New Roman"/>
                <w:kern w:val="0"/>
                <w:sz w:val="24"/>
                <w:szCs w:val="20"/>
                <w:lang w:val="en-US" w:eastAsia="zh-CN" w:bidi="ar-SA"/>
              </w:rPr>
              <w:t>——肢的数量与垂直方向角度的相关系数，两肢吊索取，3～4肢吊索取；</w:t>
            </w:r>
          </w:p>
        </w:tc>
      </w:tr>
      <w:tr w14:paraId="1647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286EB9EA">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p>
        </w:tc>
        <w:tc>
          <w:tcPr>
            <w:tcW w:w="850" w:type="dxa"/>
          </w:tcPr>
          <w:p w14:paraId="37CCC0AC">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r>
              <w:rPr>
                <w:rFonts w:ascii="Times New Roman" w:hAnsi="Times New Roman" w:eastAsia="宋体" w:cs="Times New Roman"/>
                <w:i/>
                <w:kern w:val="0"/>
                <w:sz w:val="24"/>
                <w:szCs w:val="20"/>
                <w:lang w:val="en-US" w:eastAsia="zh-CN" w:bidi="ar-SA"/>
              </w:rPr>
              <w:t>K</w:t>
            </w:r>
            <w:r>
              <w:rPr>
                <w:rFonts w:ascii="Times New Roman" w:hAnsi="Times New Roman" w:eastAsia="宋体" w:cs="Times New Roman"/>
                <w:i/>
                <w:kern w:val="0"/>
                <w:sz w:val="24"/>
                <w:szCs w:val="20"/>
                <w:vertAlign w:val="subscript"/>
                <w:lang w:val="en-US" w:eastAsia="zh-CN" w:bidi="ar-SA"/>
              </w:rPr>
              <w:t>u</w:t>
            </w:r>
          </w:p>
        </w:tc>
        <w:tc>
          <w:tcPr>
            <w:tcW w:w="8048" w:type="dxa"/>
          </w:tcPr>
          <w:p w14:paraId="2CD336BA">
            <w:pPr>
              <w:widowControl w:val="0"/>
              <w:tabs>
                <w:tab w:val="left" w:pos="1200"/>
              </w:tabs>
              <w:spacing w:line="360" w:lineRule="auto"/>
              <w:ind w:firstLine="0" w:firstLineChars="0"/>
              <w:jc w:val="both"/>
              <w:rPr>
                <w:rFonts w:ascii="Times New Roman" w:hAnsi="Times New Roman" w:eastAsia="宋体" w:cs="Times New Roman"/>
                <w:kern w:val="0"/>
                <w:sz w:val="24"/>
                <w:szCs w:val="20"/>
                <w:lang w:val="en-US" w:eastAsia="zh-CN" w:bidi="ar-SA"/>
              </w:rPr>
            </w:pPr>
            <w:r>
              <w:rPr>
                <w:rFonts w:hint="eastAsia" w:ascii="Times New Roman" w:hAnsi="Times New Roman" w:eastAsia="宋体" w:cs="Times New Roman"/>
                <w:kern w:val="0"/>
                <w:sz w:val="24"/>
                <w:szCs w:val="20"/>
                <w:lang w:val="en-US" w:eastAsia="zh-CN" w:bidi="ar-SA"/>
              </w:rPr>
              <w:t>——安全系数，一般取6；</w:t>
            </w:r>
          </w:p>
        </w:tc>
      </w:tr>
      <w:tr w14:paraId="7D70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39C62FB2">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p>
        </w:tc>
        <w:tc>
          <w:tcPr>
            <w:tcW w:w="850" w:type="dxa"/>
          </w:tcPr>
          <w:p w14:paraId="6ED101F3">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r>
              <w:rPr>
                <w:rFonts w:ascii="Times New Roman" w:hAnsi="Times New Roman" w:eastAsia="宋体" w:cs="Times New Roman"/>
                <w:i/>
                <w:kern w:val="0"/>
                <w:sz w:val="24"/>
                <w:szCs w:val="20"/>
                <w:lang w:val="en-US" w:eastAsia="zh-CN" w:bidi="ar-SA"/>
              </w:rPr>
              <w:t>K</w:t>
            </w:r>
            <w:r>
              <w:rPr>
                <w:rFonts w:ascii="Times New Roman" w:hAnsi="Times New Roman" w:eastAsia="宋体" w:cs="Times New Roman"/>
                <w:i/>
                <w:kern w:val="0"/>
                <w:sz w:val="24"/>
                <w:szCs w:val="20"/>
                <w:vertAlign w:val="subscript"/>
                <w:lang w:val="en-US" w:eastAsia="zh-CN" w:bidi="ar-SA"/>
              </w:rPr>
              <w:t>m</w:t>
            </w:r>
          </w:p>
        </w:tc>
        <w:tc>
          <w:tcPr>
            <w:tcW w:w="8048" w:type="dxa"/>
          </w:tcPr>
          <w:p w14:paraId="0BCC12F7">
            <w:pPr>
              <w:widowControl w:val="0"/>
              <w:tabs>
                <w:tab w:val="left" w:pos="1200"/>
              </w:tabs>
              <w:spacing w:line="360" w:lineRule="auto"/>
              <w:ind w:firstLine="0" w:firstLineChars="0"/>
              <w:jc w:val="both"/>
              <w:rPr>
                <w:rFonts w:ascii="Times New Roman" w:hAnsi="Times New Roman" w:eastAsia="宋体" w:cs="Times New Roman"/>
                <w:kern w:val="0"/>
                <w:sz w:val="24"/>
                <w:szCs w:val="20"/>
                <w:lang w:val="en-US" w:eastAsia="zh-CN" w:bidi="ar-SA"/>
              </w:rPr>
            </w:pPr>
            <w:r>
              <w:rPr>
                <w:rFonts w:hint="eastAsia" w:ascii="Times New Roman" w:hAnsi="Times New Roman" w:eastAsia="宋体" w:cs="Times New Roman"/>
                <w:kern w:val="0"/>
                <w:sz w:val="24"/>
                <w:szCs w:val="20"/>
                <w:lang w:val="en-US" w:eastAsia="zh-CN" w:bidi="ar-SA"/>
              </w:rPr>
              <w:t>——质量与力的转换系数，取值为0665。</w:t>
            </w:r>
          </w:p>
        </w:tc>
      </w:tr>
    </w:tbl>
    <w:p w14:paraId="5432BA07">
      <w:pPr>
        <w:widowControl w:val="0"/>
        <w:tabs>
          <w:tab w:val="left" w:pos="1200"/>
        </w:tabs>
        <w:spacing w:line="360" w:lineRule="auto"/>
        <w:ind w:firstLine="0" w:firstLineChars="0"/>
        <w:jc w:val="both"/>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钢丝绳最小破断拉力按《重要用途钢丝绳》公式计算：</w:t>
      </w:r>
    </w:p>
    <w:p w14:paraId="53E64925">
      <w:pPr>
        <w:widowControl w:val="0"/>
        <w:tabs>
          <w:tab w:val="left" w:pos="1320"/>
        </w:tabs>
        <w:spacing w:line="360" w:lineRule="auto"/>
        <w:ind w:firstLine="0" w:firstLineChars="0"/>
        <w:jc w:val="center"/>
        <w:rPr>
          <w:rFonts w:ascii="Times New Roman" w:hAnsi="Times New Roman" w:eastAsia="宋体" w:cs="Times New Roman"/>
          <w:i/>
          <w:kern w:val="2"/>
          <w:sz w:val="24"/>
          <w:szCs w:val="21"/>
          <w:lang w:val="en-US" w:eastAsia="zh-CN" w:bidi="ar-SA"/>
        </w:rPr>
      </w:pPr>
      <m:oMathPara>
        <m:oMath>
          <m:sSub>
            <m:sSubPr>
              <m:ctrlPr>
                <w:rPr>
                  <w:rFonts w:ascii="Cambria Math" w:hAnsi="Cambria Math"/>
                </w:rPr>
              </m:ctrlPr>
            </m:sSubPr>
            <m:e>
              <m:r>
                <m:rPr>
                  <m:nor/>
                  <m:sty m:val="p"/>
                </m:rPr>
                <w:rPr>
                  <w:b w:val="0"/>
                  <w:i w:val="0"/>
                </w:rPr>
                <m:t>F</m:t>
              </m:r>
              <m:ctrlPr>
                <w:rPr>
                  <w:rFonts w:ascii="Cambria Math" w:hAnsi="Cambria Math"/>
                </w:rPr>
              </m:ctrlPr>
            </m:e>
            <m:sub>
              <m:r>
                <m:rPr>
                  <m:nor/>
                  <m:sty m:val="p"/>
                </m:rPr>
                <w:rPr>
                  <w:b w:val="0"/>
                  <w:i w:val="0"/>
                </w:rPr>
                <m:t>0</m:t>
              </m:r>
              <m:ctrlPr>
                <w:rPr>
                  <w:rFonts w:ascii="Cambria Math" w:hAnsi="Cambria Math"/>
                </w:rPr>
              </m:ctrlPr>
            </m:sub>
          </m:sSub>
          <m:r>
            <m:rPr>
              <m:nor/>
              <m:sty m:val="p"/>
            </m:rPr>
            <w:rPr>
              <w:b w:val="0"/>
              <w:i w:val="0"/>
            </w:rPr>
            <m:t>=</m:t>
          </m:r>
          <m:sSup>
            <m:sSupPr>
              <m:ctrlPr>
                <w:rPr>
                  <w:rFonts w:ascii="Cambria Math" w:hAnsi="Cambria Math"/>
                </w:rPr>
              </m:ctrlPr>
            </m:sSupPr>
            <m:e>
              <m:r>
                <m:rPr>
                  <m:nor/>
                  <m:sty m:val="p"/>
                </m:rPr>
                <w:rPr>
                  <w:b w:val="0"/>
                  <w:i w:val="0"/>
                </w:rPr>
                <m:t>K</m:t>
              </m:r>
              <m:ctrlPr>
                <w:rPr>
                  <w:rFonts w:ascii="Cambria Math" w:hAnsi="Cambria Math"/>
                </w:rPr>
              </m:ctrlPr>
            </m:e>
            <m:sup>
              <m:r>
                <m:rPr>
                  <m:nor/>
                  <m:sty m:val="p"/>
                </m:rPr>
                <w:rPr>
                  <w:b w:val="0"/>
                  <w:i w:val="0"/>
                </w:rPr>
                <m:t>'</m:t>
              </m:r>
              <m:ctrlPr>
                <w:rPr>
                  <w:rFonts w:ascii="Cambria Math" w:hAnsi="Cambria Math"/>
                </w:rPr>
              </m:ctrlPr>
            </m:sup>
          </m:sSup>
          <m:r>
            <m:rPr>
              <m:nor/>
              <m:sty m:val="p"/>
            </m:rPr>
            <w:rPr>
              <w:b w:val="0"/>
              <w:i w:val="0"/>
            </w:rPr>
            <m:t>×</m:t>
          </m:r>
          <m:sSup>
            <m:sSupPr>
              <m:ctrlPr>
                <w:rPr>
                  <w:rFonts w:ascii="Cambria Math" w:hAnsi="Cambria Math"/>
                </w:rPr>
              </m:ctrlPr>
            </m:sSupPr>
            <m:e>
              <m:r>
                <m:rPr>
                  <m:nor/>
                  <m:sty m:val="p"/>
                </m:rPr>
                <w:rPr>
                  <w:b w:val="0"/>
                  <w:i w:val="0"/>
                </w:rPr>
                <m:t>D</m:t>
              </m:r>
              <m:ctrlPr>
                <w:rPr>
                  <w:rFonts w:ascii="Cambria Math" w:hAnsi="Cambria Math"/>
                </w:rPr>
              </m:ctrlPr>
            </m:e>
            <m:sup>
              <m:r>
                <m:rPr>
                  <m:nor/>
                  <m:sty m:val="p"/>
                </m:rPr>
                <w:rPr>
                  <w:b w:val="0"/>
                  <w:i w:val="0"/>
                </w:rPr>
                <m:t>2</m:t>
              </m:r>
              <m:ctrlPr>
                <w:rPr>
                  <w:rFonts w:ascii="Cambria Math" w:hAnsi="Cambria Math"/>
                </w:rPr>
              </m:ctrlPr>
            </m:sup>
          </m:sSup>
          <m:r>
            <m:rPr>
              <m:nor/>
              <m:sty m:val="p"/>
            </m:rPr>
            <w:rPr>
              <w:b w:val="0"/>
              <w:i w:val="0"/>
            </w:rPr>
            <m:t>×</m:t>
          </m:r>
          <m:sSub>
            <m:sSubPr>
              <m:ctrlPr>
                <w:rPr>
                  <w:rFonts w:ascii="Cambria Math" w:hAnsi="Cambria Math"/>
                </w:rPr>
              </m:ctrlPr>
            </m:sSubPr>
            <m:e>
              <m:r>
                <m:rPr>
                  <m:nor/>
                  <m:sty m:val="p"/>
                </m:rPr>
                <w:rPr>
                  <w:b w:val="0"/>
                  <w:i w:val="0"/>
                </w:rPr>
                <m:t>R</m:t>
              </m:r>
              <m:ctrlPr>
                <w:rPr>
                  <w:rFonts w:ascii="Cambria Math" w:hAnsi="Cambria Math"/>
                </w:rPr>
              </m:ctrlPr>
            </m:e>
            <m:sub>
              <m:r>
                <m:rPr>
                  <m:nor/>
                  <m:sty m:val="p"/>
                </m:rPr>
                <w:rPr>
                  <w:b w:val="0"/>
                  <w:i w:val="0"/>
                </w:rPr>
                <m:t>0</m:t>
              </m:r>
              <m:ctrlPr>
                <w:rPr>
                  <w:rFonts w:ascii="Cambria Math" w:hAnsi="Cambria Math"/>
                </w:rPr>
              </m:ctrlPr>
            </m:sub>
          </m:sSub>
          <m:r>
            <m:rPr>
              <m:nor/>
              <m:sty m:val="p"/>
            </m:rPr>
            <w:rPr>
              <w:b w:val="0"/>
              <w:i w:val="0"/>
            </w:rPr>
            <m:t>÷1000</m:t>
          </m:r>
        </m:oMath>
      </m:oMathPara>
    </w:p>
    <w:p w14:paraId="00C7F164">
      <w:pPr>
        <w:widowControl w:val="0"/>
        <w:tabs>
          <w:tab w:val="left" w:pos="1200"/>
        </w:tabs>
        <w:spacing w:line="360" w:lineRule="auto"/>
        <w:ind w:firstLine="0" w:firstLineChars="0"/>
        <w:jc w:val="both"/>
        <w:rPr>
          <w:rFonts w:ascii="Times New Roman" w:hAnsi="Times New Roman" w:eastAsia="宋体" w:cs="Times New Roman"/>
          <w:kern w:val="2"/>
          <w:sz w:val="24"/>
          <w:szCs w:val="21"/>
          <w:lang w:val="en-US" w:eastAsia="zh-CN" w:bidi="ar-SA"/>
        </w:rPr>
      </w:pPr>
      <w:r>
        <w:rPr>
          <w:rFonts w:hint="eastAsia" w:ascii="Times New Roman" w:hAnsi="Times New Roman" w:eastAsia="宋体" w:cs="Times New Roman"/>
          <w:kern w:val="2"/>
          <w:sz w:val="24"/>
          <w:szCs w:val="21"/>
          <w:lang w:val="en-US" w:eastAsia="zh-CN" w:bidi="ar-SA"/>
        </w:rPr>
        <w:t>式中：</w:t>
      </w:r>
    </w:p>
    <w:tbl>
      <w:tblPr>
        <w:tblStyle w:val="1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
        <w:gridCol w:w="819"/>
        <w:gridCol w:w="7327"/>
      </w:tblGrid>
      <w:tr w14:paraId="3253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1AAA3A89">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p>
        </w:tc>
        <w:tc>
          <w:tcPr>
            <w:tcW w:w="865" w:type="dxa"/>
            <w:vAlign w:val="center"/>
          </w:tcPr>
          <w:p w14:paraId="1475275D">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r>
              <w:rPr>
                <w:rFonts w:ascii="Times New Roman" w:hAnsi="Times New Roman" w:eastAsia="宋体" w:cs="Times New Roman"/>
                <w:i/>
                <w:kern w:val="0"/>
                <w:sz w:val="24"/>
                <w:szCs w:val="20"/>
                <w:lang w:val="en-US" w:eastAsia="zh-CN" w:bidi="ar-SA"/>
              </w:rPr>
              <w:t>F</w:t>
            </w:r>
            <w:r>
              <w:rPr>
                <w:rFonts w:ascii="Times New Roman" w:hAnsi="Times New Roman" w:eastAsia="宋体" w:cs="Times New Roman"/>
                <w:i/>
                <w:kern w:val="0"/>
                <w:sz w:val="24"/>
                <w:szCs w:val="20"/>
                <w:vertAlign w:val="subscript"/>
                <w:lang w:val="en-US" w:eastAsia="zh-CN" w:bidi="ar-SA"/>
              </w:rPr>
              <w:t>0</w:t>
            </w:r>
          </w:p>
        </w:tc>
        <w:tc>
          <w:tcPr>
            <w:tcW w:w="8063" w:type="dxa"/>
          </w:tcPr>
          <w:p w14:paraId="396A7BC3">
            <w:pPr>
              <w:widowControl w:val="0"/>
              <w:tabs>
                <w:tab w:val="left" w:pos="1200"/>
              </w:tabs>
              <w:spacing w:line="360" w:lineRule="auto"/>
              <w:ind w:firstLine="0" w:firstLineChars="0"/>
              <w:jc w:val="both"/>
              <w:rPr>
                <w:rFonts w:ascii="Times New Roman" w:hAnsi="Times New Roman" w:eastAsia="宋体" w:cs="Times New Roman"/>
                <w:kern w:val="0"/>
                <w:sz w:val="24"/>
                <w:szCs w:val="20"/>
                <w:lang w:val="en-US" w:eastAsia="zh-CN" w:bidi="ar-SA"/>
              </w:rPr>
            </w:pPr>
            <w:r>
              <w:rPr>
                <w:rFonts w:hint="eastAsia" w:ascii="Times New Roman" w:hAnsi="Times New Roman" w:eastAsia="宋体" w:cs="Times New Roman"/>
                <w:kern w:val="0"/>
                <w:sz w:val="24"/>
                <w:szCs w:val="20"/>
                <w:lang w:val="en-US" w:eastAsia="zh-CN" w:bidi="ar-SA"/>
              </w:rPr>
              <w:t>——钢丝绳最小破断拉力，单位为kN；</w:t>
            </w:r>
          </w:p>
        </w:tc>
      </w:tr>
      <w:tr w14:paraId="0966E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07817978">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p>
        </w:tc>
        <w:tc>
          <w:tcPr>
            <w:tcW w:w="865" w:type="dxa"/>
            <w:vAlign w:val="center"/>
          </w:tcPr>
          <w:p w14:paraId="05583AA4">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r>
              <w:rPr>
                <w:rFonts w:ascii="Times New Roman" w:hAnsi="Times New Roman" w:eastAsia="宋体" w:cs="Times New Roman"/>
                <w:i/>
                <w:kern w:val="0"/>
                <w:sz w:val="24"/>
                <w:szCs w:val="20"/>
                <w:lang w:val="en-US" w:eastAsia="zh-CN" w:bidi="ar-SA"/>
              </w:rPr>
              <w:t>D</w:t>
            </w:r>
          </w:p>
        </w:tc>
        <w:tc>
          <w:tcPr>
            <w:tcW w:w="8063" w:type="dxa"/>
          </w:tcPr>
          <w:p w14:paraId="1E38C3BB">
            <w:pPr>
              <w:widowControl w:val="0"/>
              <w:tabs>
                <w:tab w:val="left" w:pos="1200"/>
              </w:tabs>
              <w:spacing w:line="360" w:lineRule="auto"/>
              <w:ind w:firstLine="0" w:firstLineChars="0"/>
              <w:jc w:val="both"/>
              <w:rPr>
                <w:rFonts w:ascii="Times New Roman" w:hAnsi="Times New Roman" w:eastAsia="宋体" w:cs="Times New Roman"/>
                <w:kern w:val="0"/>
                <w:sz w:val="24"/>
                <w:szCs w:val="20"/>
                <w:lang w:val="en-US" w:eastAsia="zh-CN" w:bidi="ar-SA"/>
              </w:rPr>
            </w:pPr>
            <w:r>
              <w:rPr>
                <w:rFonts w:hint="eastAsia" w:ascii="Times New Roman" w:hAnsi="Times New Roman" w:eastAsia="宋体" w:cs="Times New Roman"/>
                <w:kern w:val="0"/>
                <w:sz w:val="24"/>
                <w:szCs w:val="20"/>
                <w:lang w:val="en-US" w:eastAsia="zh-CN" w:bidi="ar-SA"/>
              </w:rPr>
              <w:t>——钢丝绳公称直径，单位为mm；</w:t>
            </w:r>
          </w:p>
        </w:tc>
      </w:tr>
      <w:tr w14:paraId="0D29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41AF4A84">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p>
        </w:tc>
        <w:tc>
          <w:tcPr>
            <w:tcW w:w="865" w:type="dxa"/>
            <w:vAlign w:val="center"/>
          </w:tcPr>
          <w:p w14:paraId="06209684">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r>
              <w:rPr>
                <w:rFonts w:ascii="Times New Roman" w:hAnsi="Times New Roman" w:eastAsia="宋体" w:cs="Times New Roman"/>
                <w:i/>
                <w:kern w:val="0"/>
                <w:sz w:val="24"/>
                <w:szCs w:val="20"/>
                <w:lang w:val="en-US" w:eastAsia="zh-CN" w:bidi="ar-SA"/>
              </w:rPr>
              <w:t>R</w:t>
            </w:r>
            <w:r>
              <w:rPr>
                <w:rFonts w:ascii="Times New Roman" w:hAnsi="Times New Roman" w:eastAsia="宋体" w:cs="Times New Roman"/>
                <w:i/>
                <w:kern w:val="0"/>
                <w:sz w:val="24"/>
                <w:szCs w:val="20"/>
                <w:vertAlign w:val="subscript"/>
                <w:lang w:val="en-US" w:eastAsia="zh-CN" w:bidi="ar-SA"/>
              </w:rPr>
              <w:t>0</w:t>
            </w:r>
          </w:p>
        </w:tc>
        <w:tc>
          <w:tcPr>
            <w:tcW w:w="8063" w:type="dxa"/>
          </w:tcPr>
          <w:p w14:paraId="65A87194">
            <w:pPr>
              <w:widowControl w:val="0"/>
              <w:tabs>
                <w:tab w:val="left" w:pos="1200"/>
              </w:tabs>
              <w:spacing w:line="360" w:lineRule="auto"/>
              <w:ind w:firstLine="0" w:firstLineChars="0"/>
              <w:jc w:val="both"/>
              <w:rPr>
                <w:rFonts w:ascii="Times New Roman" w:hAnsi="Times New Roman" w:eastAsia="宋体" w:cs="Times New Roman"/>
                <w:kern w:val="0"/>
                <w:sz w:val="24"/>
                <w:szCs w:val="20"/>
                <w:lang w:val="en-US" w:eastAsia="zh-CN" w:bidi="ar-SA"/>
              </w:rPr>
            </w:pPr>
            <w:r>
              <w:rPr>
                <w:rFonts w:hint="eastAsia" w:ascii="Times New Roman" w:hAnsi="Times New Roman" w:eastAsia="宋体" w:cs="Times New Roman"/>
                <w:kern w:val="0"/>
                <w:sz w:val="24"/>
                <w:szCs w:val="20"/>
                <w:lang w:val="en-US" w:eastAsia="zh-CN" w:bidi="ar-SA"/>
              </w:rPr>
              <w:t>——钢丝绳公称抗拉强度，取1</w:t>
            </w:r>
            <w:r>
              <w:rPr>
                <w:rFonts w:hint="eastAsia" w:cs="Times New Roman"/>
                <w:kern w:val="0"/>
                <w:sz w:val="24"/>
                <w:szCs w:val="20"/>
                <w:lang w:val="en-US" w:eastAsia="zh-CN" w:bidi="ar-SA"/>
              </w:rPr>
              <w:t>87</w:t>
            </w:r>
            <w:r>
              <w:rPr>
                <w:rFonts w:hint="eastAsia" w:ascii="Times New Roman" w:hAnsi="Times New Roman" w:eastAsia="宋体" w:cs="Times New Roman"/>
                <w:kern w:val="0"/>
                <w:sz w:val="24"/>
                <w:szCs w:val="20"/>
                <w:lang w:val="en-US" w:eastAsia="zh-CN" w:bidi="ar-SA"/>
              </w:rPr>
              <w:t>0MPa；</w:t>
            </w:r>
          </w:p>
        </w:tc>
      </w:tr>
      <w:tr w14:paraId="14E5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dxa"/>
          </w:tcPr>
          <w:p w14:paraId="4AD8CCCA">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p>
        </w:tc>
        <w:tc>
          <w:tcPr>
            <w:tcW w:w="865" w:type="dxa"/>
            <w:vAlign w:val="center"/>
          </w:tcPr>
          <w:p w14:paraId="49736AA3">
            <w:pPr>
              <w:widowControl w:val="0"/>
              <w:tabs>
                <w:tab w:val="left" w:pos="1320"/>
              </w:tabs>
              <w:spacing w:line="360" w:lineRule="auto"/>
              <w:ind w:firstLine="0" w:firstLineChars="0"/>
              <w:jc w:val="center"/>
              <w:rPr>
                <w:rFonts w:ascii="Times New Roman" w:hAnsi="Times New Roman" w:eastAsia="宋体" w:cs="Times New Roman"/>
                <w:i/>
                <w:kern w:val="0"/>
                <w:sz w:val="24"/>
                <w:szCs w:val="20"/>
                <w:lang w:val="en-US" w:eastAsia="zh-CN" w:bidi="ar-SA"/>
              </w:rPr>
            </w:pPr>
            <w:r>
              <w:rPr>
                <w:rFonts w:hint="eastAsia" w:ascii="Times New Roman" w:hAnsi="Times New Roman" w:eastAsia="宋体" w:cs="Times New Roman"/>
                <w:i/>
                <w:kern w:val="0"/>
                <w:sz w:val="24"/>
                <w:szCs w:val="20"/>
                <w:lang w:val="en-US" w:eastAsia="zh-CN" w:bidi="ar-SA"/>
              </w:rPr>
              <w:t>K</w:t>
            </w:r>
            <w:r>
              <w:rPr>
                <w:rFonts w:ascii="Times New Roman" w:hAnsi="Times New Roman" w:eastAsia="宋体" w:cs="Times New Roman"/>
                <w:i/>
                <w:kern w:val="0"/>
                <w:sz w:val="24"/>
                <w:szCs w:val="20"/>
                <w:lang w:val="en-US" w:eastAsia="zh-CN" w:bidi="ar-SA"/>
              </w:rPr>
              <w:t>’</w:t>
            </w:r>
          </w:p>
        </w:tc>
        <w:tc>
          <w:tcPr>
            <w:tcW w:w="8063" w:type="dxa"/>
          </w:tcPr>
          <w:p w14:paraId="13D54380">
            <w:pPr>
              <w:widowControl w:val="0"/>
              <w:tabs>
                <w:tab w:val="left" w:pos="1200"/>
              </w:tabs>
              <w:spacing w:line="360" w:lineRule="auto"/>
              <w:ind w:firstLine="0" w:firstLineChars="0"/>
              <w:jc w:val="both"/>
              <w:rPr>
                <w:rFonts w:ascii="Times New Roman" w:hAnsi="Times New Roman" w:eastAsia="宋体" w:cs="Times New Roman"/>
                <w:kern w:val="0"/>
                <w:sz w:val="24"/>
                <w:szCs w:val="20"/>
                <w:lang w:val="en-US" w:eastAsia="zh-CN" w:bidi="ar-SA"/>
              </w:rPr>
            </w:pPr>
            <w:r>
              <w:rPr>
                <w:rFonts w:hint="eastAsia" w:ascii="Times New Roman" w:hAnsi="Times New Roman" w:eastAsia="宋体" w:cs="Times New Roman"/>
                <w:kern w:val="0"/>
                <w:sz w:val="24"/>
                <w:szCs w:val="20"/>
                <w:lang w:val="en-US" w:eastAsia="zh-CN" w:bidi="ar-SA"/>
              </w:rPr>
              <w:t>——钢丝绳的最小破断拉力系数，6×</w:t>
            </w:r>
            <w:r>
              <w:rPr>
                <w:rFonts w:hint="eastAsia" w:cs="Times New Roman"/>
                <w:kern w:val="0"/>
                <w:sz w:val="24"/>
                <w:szCs w:val="20"/>
                <w:lang w:val="en-US" w:eastAsia="zh-CN" w:bidi="ar-SA"/>
              </w:rPr>
              <w:t>19W</w:t>
            </w:r>
            <w:r>
              <w:rPr>
                <w:rFonts w:hint="eastAsia" w:ascii="Times New Roman" w:hAnsi="Times New Roman" w:eastAsia="宋体" w:cs="Times New Roman"/>
                <w:kern w:val="0"/>
                <w:sz w:val="24"/>
                <w:szCs w:val="20"/>
                <w:lang w:val="en-US" w:eastAsia="zh-CN" w:bidi="ar-SA"/>
              </w:rPr>
              <w:t>+IWR钢丝绳取</w:t>
            </w:r>
            <w:r>
              <w:rPr>
                <w:rFonts w:hint="eastAsia" w:cs="Times New Roman"/>
                <w:kern w:val="0"/>
                <w:sz w:val="24"/>
                <w:szCs w:val="20"/>
                <w:lang w:val="en-US" w:eastAsia="zh-CN" w:bidi="ar-SA"/>
              </w:rPr>
              <w:t>3</w:t>
            </w:r>
            <w:r>
              <w:rPr>
                <w:rFonts w:hint="eastAsia" w:ascii="Times New Roman" w:hAnsi="Times New Roman" w:eastAsia="宋体" w:cs="Times New Roman"/>
                <w:kern w:val="0"/>
                <w:sz w:val="24"/>
                <w:szCs w:val="20"/>
                <w:lang w:val="en-US" w:eastAsia="zh-CN" w:bidi="ar-SA"/>
              </w:rPr>
              <w:t>。</w:t>
            </w:r>
          </w:p>
        </w:tc>
      </w:tr>
    </w:tbl>
    <w:p w14:paraId="39DB1C7B">
      <w:pPr>
        <w:ind w:firstLine="480"/>
        <w:rPr>
          <w:rFonts w:ascii="Times New Roman" w:hAnsi="Times New Roman" w:eastAsia="宋体" w:cs="Times New Roman"/>
          <w:highlight w:val="none"/>
        </w:rPr>
      </w:pPr>
      <w:r>
        <w:rPr>
          <w:rFonts w:hint="eastAsia" w:ascii="Times New Roman" w:hAnsi="Times New Roman" w:eastAsia="宋体" w:cs="Times New Roman"/>
          <w:highlight w:val="none"/>
        </w:rPr>
        <w:t>采用四点吊的</w:t>
      </w:r>
      <w:r>
        <w:rPr>
          <w:rFonts w:hint="eastAsia" w:ascii="Times New Roman" w:hAnsi="Times New Roman" w:cs="Times New Roman"/>
          <w:highlight w:val="none"/>
          <w:lang w:eastAsia="zh-CN"/>
        </w:rPr>
        <w:t>塔机</w:t>
      </w:r>
      <w:r>
        <w:rPr>
          <w:rFonts w:hint="eastAsia" w:ascii="Times New Roman" w:hAnsi="Times New Roman" w:eastAsia="宋体" w:cs="Times New Roman"/>
          <w:highlight w:val="none"/>
        </w:rPr>
        <w:t>主要部件</w:t>
      </w:r>
      <w:r>
        <w:rPr>
          <w:rFonts w:hint="eastAsia" w:cs="Times New Roman"/>
          <w:highlight w:val="none"/>
          <w:lang w:val="en-US" w:eastAsia="zh-CN"/>
        </w:rPr>
        <w:t>中</w:t>
      </w:r>
      <w:r>
        <w:rPr>
          <w:rFonts w:hint="eastAsia" w:ascii="Times New Roman" w:hAnsi="Times New Roman" w:eastAsia="宋体" w:cs="Times New Roman"/>
          <w:highlight w:val="none"/>
        </w:rPr>
        <w:t>最大重量为</w:t>
      </w:r>
      <w:r>
        <w:rPr>
          <w:rFonts w:hint="eastAsia" w:ascii="Times New Roman" w:hAnsi="Times New Roman" w:cs="Times New Roman"/>
          <w:highlight w:val="none"/>
          <w:lang w:val="en-US" w:eastAsia="zh-CN"/>
        </w:rPr>
        <w:t>爬升架</w:t>
      </w:r>
      <w:r>
        <w:rPr>
          <w:rFonts w:hint="eastAsia" w:ascii="Times New Roman" w:hAnsi="Times New Roman" w:eastAsia="宋体" w:cs="Times New Roman"/>
          <w:highlight w:val="none"/>
        </w:rPr>
        <w:t>，</w:t>
      </w:r>
      <w:r>
        <w:rPr>
          <w:rFonts w:hint="eastAsia" w:ascii="Times New Roman" w:hAnsi="Times New Roman" w:cs="Times New Roman"/>
          <w:highlight w:val="none"/>
          <w:lang w:val="en-US" w:eastAsia="zh-CN"/>
        </w:rPr>
        <w:t>爬升架</w:t>
      </w:r>
      <w:r>
        <w:rPr>
          <w:rFonts w:hint="eastAsia" w:ascii="Times New Roman" w:hAnsi="Times New Roman" w:eastAsia="宋体" w:cs="Times New Roman"/>
          <w:highlight w:val="none"/>
        </w:rPr>
        <w:t>起重量约</w:t>
      </w:r>
      <w:r>
        <w:rPr>
          <w:rFonts w:hint="eastAsia" w:ascii="Times New Roman" w:hAnsi="Times New Roman" w:cs="Times New Roman"/>
          <w:highlight w:val="none"/>
          <w:lang w:val="en-US" w:eastAsia="zh-CN"/>
        </w:rPr>
        <w:t>5.35</w:t>
      </w:r>
      <w:r>
        <w:rPr>
          <w:rFonts w:hint="eastAsia" w:cs="Times New Roman"/>
          <w:highlight w:val="none"/>
          <w:lang w:val="en-US" w:eastAsia="zh-CN"/>
        </w:rPr>
        <w:t>t</w:t>
      </w:r>
      <w:r>
        <w:rPr>
          <w:rFonts w:hint="eastAsia" w:ascii="Times New Roman" w:hAnsi="Times New Roman" w:eastAsia="宋体" w:cs="Times New Roman"/>
          <w:highlight w:val="none"/>
        </w:rPr>
        <w:t>，钢丝绳与</w:t>
      </w:r>
      <w:r>
        <w:rPr>
          <w:rFonts w:hint="eastAsia" w:ascii="Times New Roman" w:hAnsi="Times New Roman" w:cs="Times New Roman"/>
          <w:highlight w:val="none"/>
          <w:lang w:val="en-US" w:eastAsia="zh-CN"/>
        </w:rPr>
        <w:t>爬升架</w:t>
      </w:r>
      <w:r>
        <w:rPr>
          <w:rFonts w:hint="eastAsia" w:ascii="Times New Roman" w:hAnsi="Times New Roman" w:eastAsia="宋体" w:cs="Times New Roman"/>
          <w:highlight w:val="none"/>
        </w:rPr>
        <w:t>成60°夹角，以</w:t>
      </w:r>
      <w:r>
        <w:rPr>
          <w:rFonts w:hint="eastAsia" w:cs="Times New Roman"/>
          <w:highlight w:val="none"/>
          <w:lang w:val="en-US" w:eastAsia="zh-CN"/>
        </w:rPr>
        <w:t>爬升架</w:t>
      </w:r>
      <w:r>
        <w:rPr>
          <w:rFonts w:hint="eastAsia" w:ascii="Times New Roman" w:hAnsi="Times New Roman" w:eastAsia="宋体" w:cs="Times New Roman"/>
          <w:highlight w:val="none"/>
        </w:rPr>
        <w:t>四个销轴孔作为吊装孔，钢丝绳采用压制接头。</w:t>
      </w:r>
    </w:p>
    <w:p w14:paraId="6AD5428C">
      <w:pPr>
        <w:ind w:firstLine="480"/>
        <w:rPr>
          <w:rFonts w:ascii="Times New Roman" w:hAnsi="Times New Roman" w:eastAsia="宋体" w:cs="Times New Roman"/>
          <w:highlight w:val="none"/>
        </w:rPr>
      </w:pPr>
      <w:r>
        <w:rPr>
          <w:rFonts w:hint="eastAsia" w:ascii="Times New Roman" w:hAnsi="Times New Roman" w:eastAsia="宋体" w:cs="Times New Roman"/>
          <w:highlight w:val="none"/>
        </w:rPr>
        <w:t>每根钢丝绳最小破断拉力：</w:t>
      </w:r>
    </w:p>
    <w:p w14:paraId="605403D7">
      <w:pPr>
        <w:widowControl w:val="0"/>
        <w:tabs>
          <w:tab w:val="left" w:pos="1320"/>
        </w:tabs>
        <w:spacing w:line="360" w:lineRule="auto"/>
        <w:ind w:firstLine="0" w:firstLineChars="0"/>
        <w:jc w:val="center"/>
        <w:rPr>
          <w:rFonts w:ascii="Times New Roman" w:hAnsi="Times New Roman" w:eastAsia="宋体" w:cs="Times New Roman"/>
          <w:i/>
          <w:kern w:val="2"/>
          <w:sz w:val="24"/>
          <w:szCs w:val="21"/>
          <w:highlight w:val="none"/>
          <w:lang w:val="en-US" w:eastAsia="zh-CN" w:bidi="ar-SA"/>
        </w:rPr>
      </w:pPr>
      <m:oMathPara>
        <m:oMath>
          <m:sSub>
            <m:sSubPr>
              <m:ctrlPr>
                <w:rPr>
                  <w:rFonts w:ascii="Cambria Math" w:hAnsi="Cambria Math"/>
                  <w:b w:val="0"/>
                  <w:i w:val="0"/>
                  <w:highlight w:val="none"/>
                </w:rPr>
              </m:ctrlPr>
            </m:sSubPr>
            <m:e>
              <m:r>
                <m:rPr>
                  <m:nor/>
                  <m:sty m:val="p"/>
                </m:rPr>
                <w:rPr>
                  <w:rFonts w:ascii="Times New Roman" w:hAnsi="Times New Roman"/>
                  <w:b w:val="0"/>
                  <w:i w:val="0"/>
                  <w:highlight w:val="none"/>
                </w:rPr>
                <m:t>F</m:t>
              </m:r>
              <m:ctrlPr>
                <w:rPr>
                  <w:rFonts w:ascii="Cambria Math" w:hAnsi="Cambria Math"/>
                  <w:b w:val="0"/>
                  <w:i w:val="0"/>
                  <w:highlight w:val="none"/>
                </w:rPr>
              </m:ctrlPr>
            </m:e>
            <m:sub>
              <m:r>
                <m:rPr>
                  <m:nor/>
                  <m:sty m:val="p"/>
                </m:rPr>
                <w:rPr>
                  <w:rFonts w:ascii="Times New Roman" w:hAnsi="Times New Roman"/>
                  <w:b w:val="0"/>
                  <w:i w:val="0"/>
                  <w:highlight w:val="none"/>
                </w:rPr>
                <m:t>0</m:t>
              </m:r>
              <m:ctrlPr>
                <w:rPr>
                  <w:rFonts w:ascii="Cambria Math" w:hAnsi="Cambria Math"/>
                  <w:b w:val="0"/>
                  <w:i w:val="0"/>
                  <w:highlight w:val="none"/>
                </w:rPr>
              </m:ctrlPr>
            </m:sub>
          </m:sSub>
          <m:r>
            <m:rPr>
              <m:nor/>
              <m:sty m:val="p"/>
            </m:rPr>
            <w:rPr>
              <w:rFonts w:ascii="Times New Roman" w:hAnsi="Times New Roman"/>
              <w:b w:val="0"/>
              <w:i w:val="0"/>
              <w:highlight w:val="none"/>
            </w:rPr>
            <m:t>=</m:t>
          </m:r>
          <m:f>
            <m:fPr>
              <m:ctrlPr>
                <w:rPr>
                  <w:rFonts w:ascii="Cambria Math" w:hAnsi="Cambria Math"/>
                  <w:b w:val="0"/>
                  <w:i w:val="0"/>
                  <w:highlight w:val="none"/>
                </w:rPr>
              </m:ctrlPr>
            </m:fPr>
            <m:num>
              <m:r>
                <m:rPr>
                  <m:nor/>
                  <m:sty m:val="p"/>
                </m:rPr>
                <w:rPr>
                  <w:rFonts w:ascii="Times New Roman" w:hAnsi="Times New Roman"/>
                  <w:b w:val="0"/>
                  <w:i w:val="0"/>
                  <w:highlight w:val="none"/>
                </w:rPr>
                <m:t>WLL×</m:t>
              </m:r>
              <m:sSub>
                <m:sSubPr>
                  <m:ctrlPr>
                    <w:rPr>
                      <w:rFonts w:ascii="Cambria Math" w:hAnsi="Cambria Math"/>
                      <w:b w:val="0"/>
                      <w:i w:val="0"/>
                      <w:highlight w:val="none"/>
                    </w:rPr>
                  </m:ctrlPr>
                </m:sSubPr>
                <m:e>
                  <m:r>
                    <m:rPr>
                      <m:nor/>
                      <m:sty m:val="p"/>
                    </m:rPr>
                    <w:rPr>
                      <w:rFonts w:ascii="Times New Roman" w:hAnsi="Times New Roman"/>
                      <w:b w:val="0"/>
                      <w:i w:val="0"/>
                      <w:highlight w:val="none"/>
                    </w:rPr>
                    <m:t>K</m:t>
                  </m:r>
                  <m:ctrlPr>
                    <w:rPr>
                      <w:rFonts w:ascii="Cambria Math" w:hAnsi="Cambria Math"/>
                      <w:b w:val="0"/>
                      <w:i w:val="0"/>
                      <w:highlight w:val="none"/>
                    </w:rPr>
                  </m:ctrlPr>
                </m:e>
                <m:sub>
                  <m:r>
                    <m:rPr>
                      <m:nor/>
                      <m:sty m:val="p"/>
                    </m:rPr>
                    <w:rPr>
                      <w:rFonts w:ascii="Times New Roman" w:hAnsi="Times New Roman"/>
                      <w:b w:val="0"/>
                      <w:i w:val="0"/>
                      <w:highlight w:val="none"/>
                    </w:rPr>
                    <m:t>m</m:t>
                  </m:r>
                  <m:ctrlPr>
                    <w:rPr>
                      <w:rFonts w:ascii="Cambria Math" w:hAnsi="Cambria Math"/>
                      <w:b w:val="0"/>
                      <w:i w:val="0"/>
                      <w:highlight w:val="none"/>
                    </w:rPr>
                  </m:ctrlPr>
                </m:sub>
              </m:sSub>
              <m:r>
                <m:rPr>
                  <m:nor/>
                  <m:sty m:val="p"/>
                </m:rPr>
                <w:rPr>
                  <w:rFonts w:ascii="Times New Roman" w:hAnsi="Times New Roman"/>
                  <w:b w:val="0"/>
                  <w:i w:val="0"/>
                  <w:highlight w:val="none"/>
                </w:rPr>
                <m:t>×</m:t>
              </m:r>
              <m:sSub>
                <m:sSubPr>
                  <m:ctrlPr>
                    <w:rPr>
                      <w:rFonts w:ascii="Cambria Math" w:hAnsi="Cambria Math"/>
                      <w:b w:val="0"/>
                      <w:i w:val="0"/>
                      <w:highlight w:val="none"/>
                    </w:rPr>
                  </m:ctrlPr>
                </m:sSubPr>
                <m:e>
                  <m:r>
                    <m:rPr>
                      <m:nor/>
                      <m:sty m:val="p"/>
                    </m:rPr>
                    <w:rPr>
                      <w:rFonts w:ascii="Times New Roman" w:hAnsi="Times New Roman"/>
                      <w:b w:val="0"/>
                      <w:i w:val="0"/>
                      <w:highlight w:val="none"/>
                    </w:rPr>
                    <m:t>K</m:t>
                  </m:r>
                  <m:ctrlPr>
                    <w:rPr>
                      <w:rFonts w:ascii="Cambria Math" w:hAnsi="Cambria Math"/>
                      <w:b w:val="0"/>
                      <w:i w:val="0"/>
                      <w:highlight w:val="none"/>
                    </w:rPr>
                  </m:ctrlPr>
                </m:e>
                <m:sub>
                  <m:r>
                    <m:rPr>
                      <m:nor/>
                      <m:sty m:val="p"/>
                    </m:rPr>
                    <w:rPr>
                      <w:rFonts w:ascii="Times New Roman" w:hAnsi="Times New Roman"/>
                      <w:b w:val="0"/>
                      <w:i w:val="0"/>
                      <w:highlight w:val="none"/>
                    </w:rPr>
                    <m:t>u</m:t>
                  </m:r>
                  <m:ctrlPr>
                    <w:rPr>
                      <w:rFonts w:ascii="Cambria Math" w:hAnsi="Cambria Math"/>
                      <w:b w:val="0"/>
                      <w:i w:val="0"/>
                      <w:highlight w:val="none"/>
                    </w:rPr>
                  </m:ctrlPr>
                </m:sub>
              </m:sSub>
              <m:ctrlPr>
                <w:rPr>
                  <w:rFonts w:ascii="Cambria Math" w:hAnsi="Cambria Math"/>
                  <w:b w:val="0"/>
                  <w:i w:val="0"/>
                  <w:highlight w:val="none"/>
                </w:rPr>
              </m:ctrlPr>
            </m:num>
            <m:den>
              <m:sSub>
                <m:sSubPr>
                  <m:ctrlPr>
                    <w:rPr>
                      <w:rFonts w:ascii="Cambria Math" w:hAnsi="Cambria Math"/>
                      <w:b w:val="0"/>
                      <w:i w:val="0"/>
                      <w:highlight w:val="none"/>
                    </w:rPr>
                  </m:ctrlPr>
                </m:sSubPr>
                <m:e>
                  <m:r>
                    <m:rPr>
                      <m:nor/>
                      <m:sty m:val="p"/>
                    </m:rPr>
                    <w:rPr>
                      <w:rFonts w:ascii="Times New Roman" w:hAnsi="Times New Roman"/>
                      <w:b w:val="0"/>
                      <w:i w:val="0"/>
                      <w:highlight w:val="none"/>
                    </w:rPr>
                    <m:t>K</m:t>
                  </m:r>
                  <m:ctrlPr>
                    <w:rPr>
                      <w:rFonts w:ascii="Cambria Math" w:hAnsi="Cambria Math"/>
                      <w:b w:val="0"/>
                      <w:i w:val="0"/>
                      <w:highlight w:val="none"/>
                    </w:rPr>
                  </m:ctrlPr>
                </m:e>
                <m:sub>
                  <m:r>
                    <m:rPr>
                      <m:nor/>
                      <m:sty m:val="p"/>
                    </m:rPr>
                    <w:rPr>
                      <w:rFonts w:ascii="Times New Roman" w:hAnsi="Times New Roman"/>
                      <w:b w:val="0"/>
                      <w:i w:val="0"/>
                      <w:highlight w:val="none"/>
                    </w:rPr>
                    <m:t>e</m:t>
                  </m:r>
                  <m:ctrlPr>
                    <w:rPr>
                      <w:rFonts w:ascii="Cambria Math" w:hAnsi="Cambria Math"/>
                      <w:b w:val="0"/>
                      <w:i w:val="0"/>
                      <w:highlight w:val="none"/>
                    </w:rPr>
                  </m:ctrlPr>
                </m:sub>
              </m:sSub>
              <m:r>
                <m:rPr>
                  <m:nor/>
                  <m:sty m:val="p"/>
                </m:rPr>
                <w:rPr>
                  <w:rFonts w:ascii="Times New Roman" w:hAnsi="Times New Roman"/>
                  <w:b w:val="0"/>
                  <w:i w:val="0"/>
                  <w:highlight w:val="none"/>
                </w:rPr>
                <m:t>×K</m:t>
              </m:r>
              <m:ctrlPr>
                <w:rPr>
                  <w:rFonts w:ascii="Cambria Math" w:hAnsi="Cambria Math"/>
                  <w:b w:val="0"/>
                  <w:i w:val="0"/>
                  <w:highlight w:val="none"/>
                </w:rPr>
              </m:ctrlPr>
            </m:den>
          </m:f>
          <m:r>
            <m:rPr>
              <m:nor/>
              <m:sty m:val="p"/>
            </m:rPr>
            <w:rPr>
              <w:rFonts w:ascii="Times New Roman" w:hAnsi="Times New Roman"/>
              <w:b w:val="0"/>
              <w:i w:val="0"/>
              <w:highlight w:val="none"/>
            </w:rPr>
            <m:t>=</m:t>
          </m:r>
          <m:f>
            <m:fPr>
              <m:ctrlPr>
                <w:rPr>
                  <w:rFonts w:ascii="Cambria Math" w:hAnsi="Cambria Math"/>
                  <w:b w:val="0"/>
                  <w:i w:val="0"/>
                  <w:highlight w:val="none"/>
                </w:rPr>
              </m:ctrlPr>
            </m:fPr>
            <m:num>
              <m:r>
                <m:rPr>
                  <m:nor/>
                  <m:sty m:val="p"/>
                </m:rPr>
                <w:rPr>
                  <w:rFonts w:hint="default" w:ascii="Times New Roman" w:hAnsi="Times New Roman"/>
                  <w:b w:val="0"/>
                  <w:i w:val="0"/>
                  <w:highlight w:val="none"/>
                  <w:lang w:val="en-US" w:eastAsia="zh-CN"/>
                </w:rPr>
                <m:t>5.35</m:t>
              </m:r>
              <m:r>
                <m:rPr>
                  <m:nor/>
                  <m:sty m:val="p"/>
                </m:rPr>
                <w:rPr>
                  <w:rFonts w:ascii="Times New Roman" w:hAnsi="Times New Roman"/>
                  <w:b w:val="0"/>
                  <w:i w:val="0"/>
                  <w:highlight w:val="none"/>
                </w:rPr>
                <m:t>×9.80665×6</m:t>
              </m:r>
              <m:ctrlPr>
                <w:rPr>
                  <w:rFonts w:ascii="Cambria Math" w:hAnsi="Cambria Math"/>
                  <w:b w:val="0"/>
                  <w:i w:val="0"/>
                  <w:highlight w:val="none"/>
                </w:rPr>
              </m:ctrlPr>
            </m:num>
            <m:den>
              <m:r>
                <m:rPr>
                  <m:nor/>
                  <m:sty m:val="p"/>
                </m:rPr>
                <w:rPr>
                  <w:rFonts w:ascii="Times New Roman" w:hAnsi="Times New Roman"/>
                  <w:b w:val="0"/>
                  <w:i w:val="0"/>
                  <w:highlight w:val="none"/>
                </w:rPr>
                <m:t>0.9×2.1</m:t>
              </m:r>
              <m:ctrlPr>
                <w:rPr>
                  <w:rFonts w:ascii="Cambria Math" w:hAnsi="Cambria Math"/>
                  <w:b w:val="0"/>
                  <w:i w:val="0"/>
                  <w:highlight w:val="none"/>
                </w:rPr>
              </m:ctrlPr>
            </m:den>
          </m:f>
          <m:r>
            <m:rPr>
              <m:nor/>
              <m:sty m:val="p"/>
            </m:rPr>
            <w:rPr>
              <w:rFonts w:ascii="Times New Roman" w:hAnsi="Times New Roman"/>
              <w:b w:val="0"/>
              <w:i w:val="0"/>
              <w:highlight w:val="none"/>
            </w:rPr>
            <m:t>=</m:t>
          </m:r>
          <m:r>
            <m:rPr>
              <m:nor/>
              <m:sty m:val="p"/>
            </m:rPr>
            <w:rPr>
              <w:rFonts w:hint="default" w:ascii="Times New Roman" w:hAnsi="Times New Roman"/>
              <w:b w:val="0"/>
              <w:i w:val="0"/>
              <w:highlight w:val="none"/>
              <w:lang w:val="en-US" w:eastAsia="zh-CN"/>
            </w:rPr>
            <m:t>166.56</m:t>
          </m:r>
          <m:r>
            <m:rPr>
              <m:nor/>
              <m:sty m:val="p"/>
            </m:rPr>
            <w:rPr>
              <w:rFonts w:ascii="Times New Roman" w:hAnsi="Times New Roman"/>
              <w:b w:val="0"/>
              <w:i w:val="0"/>
              <w:highlight w:val="none"/>
            </w:rPr>
            <m:t>kN</m:t>
          </m:r>
        </m:oMath>
      </m:oMathPara>
    </w:p>
    <w:p w14:paraId="33EFE3FD">
      <w:pPr>
        <w:ind w:firstLine="480"/>
        <w:rPr>
          <w:rFonts w:ascii="Times New Roman" w:hAnsi="Times New Roman" w:eastAsia="宋体" w:cs="Times New Roman"/>
          <w:highlight w:val="none"/>
        </w:rPr>
      </w:pPr>
      <w:r>
        <w:rPr>
          <w:rFonts w:hint="eastAsia" w:ascii="Times New Roman" w:hAnsi="Times New Roman" w:eastAsia="宋体" w:cs="Times New Roman"/>
          <w:highlight w:val="none"/>
        </w:rPr>
        <w:t>则钢丝绳最小公称直径：</w:t>
      </w:r>
    </w:p>
    <w:p w14:paraId="41247D7F">
      <w:pPr>
        <w:widowControl w:val="0"/>
        <w:tabs>
          <w:tab w:val="left" w:pos="1320"/>
        </w:tabs>
        <w:spacing w:line="360" w:lineRule="auto"/>
        <w:ind w:firstLine="0" w:firstLineChars="0"/>
        <w:jc w:val="center"/>
        <w:rPr>
          <w:rFonts w:ascii="Times New Roman" w:hAnsi="Times New Roman" w:eastAsia="宋体" w:cs="Times New Roman"/>
          <w:i/>
          <w:kern w:val="2"/>
          <w:sz w:val="24"/>
          <w:szCs w:val="21"/>
          <w:highlight w:val="none"/>
          <w:lang w:val="en-US" w:eastAsia="zh-CN" w:bidi="ar-SA"/>
        </w:rPr>
      </w:pPr>
      <m:oMathPara>
        <m:oMath>
          <m:r>
            <m:rPr>
              <m:nor/>
              <m:sty m:val="p"/>
            </m:rPr>
            <w:rPr>
              <w:rFonts w:ascii="Times New Roman" w:hAnsi="Times New Roman"/>
              <w:b w:val="0"/>
              <w:i w:val="0"/>
              <w:highlight w:val="none"/>
            </w:rPr>
            <m:t>D=</m:t>
          </m:r>
          <m:rad>
            <m:radPr>
              <m:degHide m:val="1"/>
              <m:ctrlPr>
                <w:rPr>
                  <w:rFonts w:ascii="Cambria Math" w:hAnsi="Cambria Math"/>
                  <w:b w:val="0"/>
                  <w:i w:val="0"/>
                  <w:highlight w:val="none"/>
                </w:rPr>
              </m:ctrlPr>
            </m:radPr>
            <m:deg>
              <m:ctrlPr>
                <w:rPr>
                  <w:rFonts w:ascii="Cambria Math" w:hAnsi="Cambria Math"/>
                  <w:b w:val="0"/>
                  <w:i w:val="0"/>
                  <w:highlight w:val="none"/>
                </w:rPr>
              </m:ctrlPr>
            </m:deg>
            <m:e>
              <m:f>
                <m:fPr>
                  <m:ctrlPr>
                    <w:rPr>
                      <w:rFonts w:ascii="Cambria Math" w:hAnsi="Cambria Math"/>
                      <w:b w:val="0"/>
                      <w:i w:val="0"/>
                      <w:highlight w:val="none"/>
                    </w:rPr>
                  </m:ctrlPr>
                </m:fPr>
                <m:num>
                  <m:r>
                    <m:rPr>
                      <m:nor/>
                      <m:sty m:val="p"/>
                    </m:rPr>
                    <w:rPr>
                      <w:rFonts w:ascii="Times New Roman" w:hAnsi="Times New Roman"/>
                      <w:b w:val="0"/>
                      <w:i w:val="0"/>
                      <w:highlight w:val="none"/>
                    </w:rPr>
                    <m:t>1000×</m:t>
                  </m:r>
                  <m:sSub>
                    <m:sSubPr>
                      <m:ctrlPr>
                        <w:rPr>
                          <w:rFonts w:ascii="Cambria Math" w:hAnsi="Cambria Math"/>
                          <w:b w:val="0"/>
                          <w:i w:val="0"/>
                          <w:highlight w:val="none"/>
                        </w:rPr>
                      </m:ctrlPr>
                    </m:sSubPr>
                    <m:e>
                      <m:r>
                        <m:rPr>
                          <m:nor/>
                          <m:sty m:val="p"/>
                        </m:rPr>
                        <w:rPr>
                          <w:rFonts w:ascii="Times New Roman" w:hAnsi="Times New Roman"/>
                          <w:b w:val="0"/>
                          <w:i w:val="0"/>
                          <w:highlight w:val="none"/>
                        </w:rPr>
                        <m:t>F</m:t>
                      </m:r>
                      <m:ctrlPr>
                        <w:rPr>
                          <w:rFonts w:ascii="Cambria Math" w:hAnsi="Cambria Math"/>
                          <w:b w:val="0"/>
                          <w:i w:val="0"/>
                          <w:highlight w:val="none"/>
                        </w:rPr>
                      </m:ctrlPr>
                    </m:e>
                    <m:sub>
                      <m:r>
                        <m:rPr>
                          <m:nor/>
                          <m:sty m:val="p"/>
                        </m:rPr>
                        <w:rPr>
                          <w:rFonts w:ascii="Times New Roman" w:hAnsi="Times New Roman"/>
                          <w:b w:val="0"/>
                          <w:i w:val="0"/>
                          <w:highlight w:val="none"/>
                        </w:rPr>
                        <m:t>0</m:t>
                      </m:r>
                      <m:ctrlPr>
                        <w:rPr>
                          <w:rFonts w:ascii="Cambria Math" w:hAnsi="Cambria Math"/>
                          <w:b w:val="0"/>
                          <w:i w:val="0"/>
                          <w:highlight w:val="none"/>
                        </w:rPr>
                      </m:ctrlPr>
                    </m:sub>
                  </m:sSub>
                  <m:ctrlPr>
                    <w:rPr>
                      <w:rFonts w:ascii="Cambria Math" w:hAnsi="Cambria Math"/>
                      <w:b w:val="0"/>
                      <w:i w:val="0"/>
                      <w:highlight w:val="none"/>
                    </w:rPr>
                  </m:ctrlPr>
                </m:num>
                <m:den>
                  <m:sSup>
                    <m:sSupPr>
                      <m:ctrlPr>
                        <w:rPr>
                          <w:rFonts w:ascii="Cambria Math" w:hAnsi="Cambria Math"/>
                          <w:b w:val="0"/>
                          <w:i w:val="0"/>
                          <w:highlight w:val="none"/>
                        </w:rPr>
                      </m:ctrlPr>
                    </m:sSupPr>
                    <m:e>
                      <m:r>
                        <m:rPr>
                          <m:nor/>
                          <m:sty m:val="p"/>
                        </m:rPr>
                        <w:rPr>
                          <w:rFonts w:ascii="Times New Roman" w:hAnsi="Times New Roman"/>
                          <w:b w:val="0"/>
                          <w:i w:val="0"/>
                          <w:highlight w:val="none"/>
                        </w:rPr>
                        <m:t>K</m:t>
                      </m:r>
                      <m:ctrlPr>
                        <w:rPr>
                          <w:rFonts w:ascii="Cambria Math" w:hAnsi="Cambria Math"/>
                          <w:b w:val="0"/>
                          <w:i w:val="0"/>
                          <w:highlight w:val="none"/>
                        </w:rPr>
                      </m:ctrlPr>
                    </m:e>
                    <m:sup>
                      <m:r>
                        <m:rPr>
                          <m:nor/>
                          <m:sty m:val="p"/>
                        </m:rPr>
                        <w:rPr>
                          <w:rFonts w:ascii="Times New Roman" w:hAnsi="Times New Roman"/>
                          <w:b w:val="0"/>
                          <w:i w:val="0"/>
                          <w:highlight w:val="none"/>
                        </w:rPr>
                        <m:t>'</m:t>
                      </m:r>
                      <m:ctrlPr>
                        <w:rPr>
                          <w:rFonts w:ascii="Cambria Math" w:hAnsi="Cambria Math"/>
                          <w:b w:val="0"/>
                          <w:i w:val="0"/>
                          <w:highlight w:val="none"/>
                        </w:rPr>
                      </m:ctrlPr>
                    </m:sup>
                  </m:sSup>
                  <m:r>
                    <m:rPr>
                      <m:nor/>
                      <m:sty m:val="p"/>
                    </m:rPr>
                    <w:rPr>
                      <w:rFonts w:ascii="Times New Roman" w:hAnsi="Times New Roman"/>
                      <w:b w:val="0"/>
                      <w:i w:val="0"/>
                      <w:highlight w:val="none"/>
                    </w:rPr>
                    <m:t>×</m:t>
                  </m:r>
                  <m:sSub>
                    <m:sSubPr>
                      <m:ctrlPr>
                        <w:rPr>
                          <w:rFonts w:ascii="Cambria Math" w:hAnsi="Cambria Math"/>
                          <w:b w:val="0"/>
                          <w:i w:val="0"/>
                          <w:highlight w:val="none"/>
                        </w:rPr>
                      </m:ctrlPr>
                    </m:sSubPr>
                    <m:e>
                      <m:r>
                        <m:rPr>
                          <m:nor/>
                          <m:sty m:val="p"/>
                        </m:rPr>
                        <w:rPr>
                          <w:rFonts w:ascii="Times New Roman" w:hAnsi="Times New Roman"/>
                          <w:b w:val="0"/>
                          <w:i w:val="0"/>
                          <w:highlight w:val="none"/>
                        </w:rPr>
                        <m:t>R</m:t>
                      </m:r>
                      <m:ctrlPr>
                        <w:rPr>
                          <w:rFonts w:ascii="Cambria Math" w:hAnsi="Cambria Math"/>
                          <w:b w:val="0"/>
                          <w:i w:val="0"/>
                          <w:highlight w:val="none"/>
                        </w:rPr>
                      </m:ctrlPr>
                    </m:e>
                    <m:sub>
                      <m:r>
                        <m:rPr>
                          <m:nor/>
                          <m:sty m:val="p"/>
                        </m:rPr>
                        <w:rPr>
                          <w:rFonts w:ascii="Times New Roman" w:hAnsi="Times New Roman"/>
                          <w:b w:val="0"/>
                          <w:i w:val="0"/>
                          <w:highlight w:val="none"/>
                        </w:rPr>
                        <m:t>0</m:t>
                      </m:r>
                      <m:ctrlPr>
                        <w:rPr>
                          <w:rFonts w:ascii="Cambria Math" w:hAnsi="Cambria Math"/>
                          <w:b w:val="0"/>
                          <w:i w:val="0"/>
                          <w:highlight w:val="none"/>
                        </w:rPr>
                      </m:ctrlPr>
                    </m:sub>
                  </m:sSub>
                  <m:ctrlPr>
                    <w:rPr>
                      <w:rFonts w:ascii="Cambria Math" w:hAnsi="Cambria Math"/>
                      <w:b w:val="0"/>
                      <w:i w:val="0"/>
                      <w:highlight w:val="none"/>
                    </w:rPr>
                  </m:ctrlPr>
                </m:den>
              </m:f>
              <m:ctrlPr>
                <w:rPr>
                  <w:rFonts w:ascii="Cambria Math" w:hAnsi="Cambria Math"/>
                  <w:b w:val="0"/>
                  <w:i w:val="0"/>
                  <w:highlight w:val="none"/>
                </w:rPr>
              </m:ctrlPr>
            </m:e>
          </m:rad>
          <m:r>
            <m:rPr>
              <m:nor/>
              <m:sty m:val="p"/>
            </m:rPr>
            <w:rPr>
              <w:rFonts w:ascii="Times New Roman" w:hAnsi="Times New Roman"/>
              <w:b w:val="0"/>
              <w:i w:val="0"/>
              <w:highlight w:val="none"/>
            </w:rPr>
            <m:t>=</m:t>
          </m:r>
          <m:rad>
            <m:radPr>
              <m:degHide m:val="1"/>
              <m:ctrlPr>
                <w:rPr>
                  <w:rFonts w:ascii="Cambria Math" w:hAnsi="Cambria Math"/>
                  <w:b w:val="0"/>
                  <w:i w:val="0"/>
                  <w:highlight w:val="none"/>
                </w:rPr>
              </m:ctrlPr>
            </m:radPr>
            <m:deg>
              <m:ctrlPr>
                <w:rPr>
                  <w:rFonts w:ascii="Cambria Math" w:hAnsi="Cambria Math"/>
                  <w:b w:val="0"/>
                  <w:i w:val="0"/>
                  <w:highlight w:val="none"/>
                </w:rPr>
              </m:ctrlPr>
            </m:deg>
            <m:e>
              <m:f>
                <m:fPr>
                  <m:ctrlPr>
                    <w:rPr>
                      <w:rFonts w:ascii="Cambria Math" w:hAnsi="Cambria Math"/>
                      <w:b w:val="0"/>
                      <w:i w:val="0"/>
                      <w:highlight w:val="none"/>
                    </w:rPr>
                  </m:ctrlPr>
                </m:fPr>
                <m:num>
                  <m:r>
                    <m:rPr>
                      <m:nor/>
                      <m:sty m:val="p"/>
                    </m:rPr>
                    <w:rPr>
                      <w:rFonts w:ascii="Times New Roman" w:hAnsi="Times New Roman"/>
                      <w:b w:val="0"/>
                      <w:i w:val="0"/>
                      <w:highlight w:val="none"/>
                    </w:rPr>
                    <m:t>1000×</m:t>
                  </m:r>
                  <m:r>
                    <m:rPr>
                      <m:nor/>
                      <m:sty m:val="p"/>
                    </m:rPr>
                    <w:rPr>
                      <w:rFonts w:hint="default" w:ascii="Times New Roman" w:hAnsi="Times New Roman"/>
                      <w:b w:val="0"/>
                      <w:i w:val="0"/>
                      <w:highlight w:val="none"/>
                      <w:lang w:val="en-US" w:eastAsia="zh-CN"/>
                    </w:rPr>
                    <m:t>166.56</m:t>
                  </m:r>
                  <m:ctrlPr>
                    <w:rPr>
                      <w:rFonts w:ascii="Cambria Math" w:hAnsi="Cambria Math"/>
                      <w:b w:val="0"/>
                      <w:i w:val="0"/>
                      <w:highlight w:val="none"/>
                    </w:rPr>
                  </m:ctrlPr>
                </m:num>
                <m:den>
                  <m:r>
                    <m:rPr>
                      <m:nor/>
                      <m:sty m:val="p"/>
                    </m:rPr>
                    <w:rPr>
                      <w:rFonts w:ascii="Times New Roman" w:hAnsi="Times New Roman"/>
                      <w:b w:val="0"/>
                      <w:i w:val="0"/>
                      <w:highlight w:val="none"/>
                    </w:rPr>
                    <m:t>0.33×1</m:t>
                  </m:r>
                  <m:r>
                    <m:rPr>
                      <m:nor/>
                      <m:sty m:val="p"/>
                    </m:rPr>
                    <w:rPr>
                      <w:rFonts w:hint="default" w:ascii="Times New Roman" w:hAnsi="Times New Roman"/>
                      <w:b w:val="0"/>
                      <w:i w:val="0"/>
                      <w:highlight w:val="none"/>
                      <w:lang w:val="en-US" w:eastAsia="zh-CN"/>
                    </w:rPr>
                    <m:t>87</m:t>
                  </m:r>
                  <m:r>
                    <m:rPr>
                      <m:nor/>
                      <m:sty m:val="p"/>
                    </m:rPr>
                    <w:rPr>
                      <w:rFonts w:ascii="Times New Roman" w:hAnsi="Times New Roman"/>
                      <w:b w:val="0"/>
                      <w:i w:val="0"/>
                      <w:highlight w:val="none"/>
                    </w:rPr>
                    <m:t>0</m:t>
                  </m:r>
                  <m:ctrlPr>
                    <w:rPr>
                      <w:rFonts w:ascii="Cambria Math" w:hAnsi="Cambria Math"/>
                      <w:b w:val="0"/>
                      <w:i w:val="0"/>
                      <w:highlight w:val="none"/>
                    </w:rPr>
                  </m:ctrlPr>
                </m:den>
              </m:f>
              <m:ctrlPr>
                <w:rPr>
                  <w:rFonts w:ascii="Cambria Math" w:hAnsi="Cambria Math"/>
                  <w:b w:val="0"/>
                  <w:i w:val="0"/>
                  <w:highlight w:val="none"/>
                </w:rPr>
              </m:ctrlPr>
            </m:e>
          </m:rad>
          <m:r>
            <m:rPr>
              <m:nor/>
              <m:sty m:val="p"/>
            </m:rPr>
            <w:rPr>
              <w:rFonts w:ascii="Times New Roman" w:hAnsi="Times New Roman"/>
              <w:b w:val="0"/>
              <w:i w:val="0"/>
              <w:highlight w:val="none"/>
            </w:rPr>
            <m:t>=</m:t>
          </m:r>
          <m:r>
            <m:rPr>
              <m:nor/>
              <m:sty m:val="p"/>
            </m:rPr>
            <w:rPr>
              <w:rFonts w:hint="default" w:ascii="Times New Roman" w:hAnsi="Times New Roman"/>
              <w:b w:val="0"/>
              <w:i w:val="0"/>
              <w:highlight w:val="none"/>
              <w:lang w:val="en-US" w:eastAsia="zh-CN"/>
            </w:rPr>
            <m:t>16.43</m:t>
          </m:r>
          <m:r>
            <m:rPr>
              <m:nor/>
              <m:sty m:val="p"/>
            </m:rPr>
            <w:rPr>
              <w:rFonts w:ascii="Times New Roman" w:hAnsi="Times New Roman"/>
              <w:b w:val="0"/>
              <w:i w:val="0"/>
              <w:highlight w:val="none"/>
            </w:rPr>
            <m:t>mm</m:t>
          </m:r>
        </m:oMath>
      </m:oMathPara>
    </w:p>
    <w:p w14:paraId="40639581">
      <w:pPr>
        <w:ind w:firstLine="480"/>
        <w:rPr>
          <w:rFonts w:ascii="Times New Roman" w:hAnsi="Times New Roman" w:eastAsia="宋体" w:cs="Times New Roman"/>
          <w:highlight w:val="none"/>
        </w:rPr>
      </w:pPr>
      <w:r>
        <w:rPr>
          <w:rFonts w:hint="eastAsia" w:ascii="Times New Roman" w:hAnsi="Times New Roman" w:eastAsia="宋体" w:cs="Times New Roman"/>
          <w:highlight w:val="none"/>
        </w:rPr>
        <w:t>采用</w:t>
      </w:r>
      <w:r>
        <w:rPr>
          <w:rFonts w:hint="eastAsia" w:ascii="Times New Roman" w:hAnsi="Times New Roman" w:eastAsia="宋体" w:cs="Times New Roman"/>
          <w:highlight w:val="none"/>
          <w:lang w:val="en-US" w:eastAsia="zh-CN"/>
        </w:rPr>
        <w:t>φ</w:t>
      </w:r>
      <w:r>
        <w:rPr>
          <w:rFonts w:hint="eastAsia" w:ascii="Times New Roman" w:hAnsi="Times New Roman" w:cs="Times New Roman"/>
          <w:highlight w:val="none"/>
          <w:lang w:val="en-US" w:eastAsia="zh-CN"/>
        </w:rPr>
        <w:t>18</w:t>
      </w:r>
      <w:r>
        <w:rPr>
          <w:rFonts w:hint="eastAsia" w:ascii="Times New Roman" w:hAnsi="Times New Roman" w:eastAsia="宋体" w:cs="Times New Roman"/>
          <w:highlight w:val="none"/>
        </w:rPr>
        <w:t>mm钢丝绳可满足要求。</w:t>
      </w:r>
    </w:p>
    <w:p w14:paraId="530C2CE8">
      <w:pPr>
        <w:ind w:firstLine="480"/>
      </w:pPr>
      <w:r>
        <w:rPr>
          <w:rFonts w:hint="eastAsia"/>
        </w:rPr>
        <w:t>采用两点吊的</w:t>
      </w:r>
      <w:r>
        <w:rPr>
          <w:rFonts w:hint="eastAsia"/>
          <w:lang w:eastAsia="zh-CN"/>
        </w:rPr>
        <w:t>塔机</w:t>
      </w:r>
      <w:r>
        <w:rPr>
          <w:rFonts w:hint="eastAsia"/>
        </w:rPr>
        <w:t>主要部件中最大重量为平衡重，平衡重最大重量约</w:t>
      </w:r>
      <w:r>
        <w:rPr>
          <w:rFonts w:hint="eastAsia"/>
          <w:lang w:val="en-US" w:eastAsia="zh-CN"/>
        </w:rPr>
        <w:t>3.2</w:t>
      </w:r>
      <w:r>
        <w:rPr>
          <w:rFonts w:hint="eastAsia"/>
        </w:rPr>
        <w:t>t，钢丝绳与</w:t>
      </w:r>
      <w:r>
        <w:rPr>
          <w:rFonts w:hint="eastAsia"/>
          <w:lang w:val="en-US" w:eastAsia="zh-CN"/>
        </w:rPr>
        <w:t>平衡重</w:t>
      </w:r>
      <w:r>
        <w:rPr>
          <w:rFonts w:hint="eastAsia"/>
        </w:rPr>
        <w:t>成60°夹角，</w:t>
      </w:r>
      <w:r>
        <w:rPr>
          <w:rFonts w:hint="eastAsia"/>
          <w:lang w:val="en-US" w:eastAsia="zh-CN"/>
        </w:rPr>
        <w:t>平衡重</w:t>
      </w:r>
      <w:r>
        <w:rPr>
          <w:rFonts w:hint="eastAsia"/>
        </w:rPr>
        <w:t>吊装采用两点吊，在</w:t>
      </w:r>
      <w:r>
        <w:rPr>
          <w:rFonts w:hint="eastAsia"/>
          <w:lang w:val="en-US" w:eastAsia="zh-CN"/>
        </w:rPr>
        <w:t>平衡重</w:t>
      </w:r>
      <w:r>
        <w:rPr>
          <w:rFonts w:hint="eastAsia"/>
        </w:rPr>
        <w:t>上设置2个吊点，钢丝绳采用压制接头。</w:t>
      </w:r>
    </w:p>
    <w:p w14:paraId="228D6BFB">
      <w:pPr>
        <w:ind w:firstLine="480"/>
      </w:pPr>
      <w:r>
        <w:rPr>
          <w:rFonts w:hint="eastAsia"/>
        </w:rPr>
        <w:t>每根钢丝绳最小破断拉力：</w:t>
      </w:r>
    </w:p>
    <w:p w14:paraId="207F773F">
      <w:pPr>
        <w:tabs>
          <w:tab w:val="left" w:pos="1320"/>
        </w:tabs>
        <w:ind w:firstLine="0" w:firstLineChars="0"/>
        <w:jc w:val="center"/>
        <w:rPr>
          <w:i/>
        </w:rPr>
      </w:pPr>
      <m:oMathPara>
        <m:oMath>
          <m:sSub>
            <m:sSubPr>
              <m:ctrlPr>
                <w:rPr>
                  <w:rFonts w:ascii="Cambria Math" w:hAnsi="Cambria Math"/>
                  <w:b w:val="0"/>
                  <w:i w:val="0"/>
                  <w:highlight w:val="none"/>
                </w:rPr>
              </m:ctrlPr>
            </m:sSubPr>
            <m:e>
              <m:r>
                <m:rPr>
                  <m:nor/>
                  <m:sty m:val="p"/>
                </m:rPr>
                <w:rPr>
                  <w:rFonts w:ascii="Times New Roman" w:hAnsi="Times New Roman"/>
                  <w:b w:val="0"/>
                  <w:i w:val="0"/>
                  <w:highlight w:val="none"/>
                </w:rPr>
                <m:t>F</m:t>
              </m:r>
              <m:ctrlPr>
                <w:rPr>
                  <w:rFonts w:ascii="Cambria Math" w:hAnsi="Cambria Math"/>
                  <w:b w:val="0"/>
                  <w:i w:val="0"/>
                  <w:highlight w:val="none"/>
                </w:rPr>
              </m:ctrlPr>
            </m:e>
            <m:sub>
              <m:r>
                <m:rPr>
                  <m:nor/>
                  <m:sty m:val="p"/>
                </m:rPr>
                <w:rPr>
                  <w:rFonts w:ascii="Times New Roman" w:hAnsi="Times New Roman"/>
                  <w:b w:val="0"/>
                  <w:i w:val="0"/>
                  <w:highlight w:val="none"/>
                </w:rPr>
                <m:t>0</m:t>
              </m:r>
              <m:ctrlPr>
                <w:rPr>
                  <w:rFonts w:ascii="Cambria Math" w:hAnsi="Cambria Math"/>
                  <w:b w:val="0"/>
                  <w:i w:val="0"/>
                  <w:highlight w:val="none"/>
                </w:rPr>
              </m:ctrlPr>
            </m:sub>
          </m:sSub>
          <m:r>
            <m:rPr>
              <m:nor/>
              <m:sty m:val="p"/>
            </m:rPr>
            <w:rPr>
              <w:rFonts w:ascii="Times New Roman" w:hAnsi="Times New Roman"/>
              <w:b w:val="0"/>
              <w:i w:val="0"/>
              <w:highlight w:val="none"/>
            </w:rPr>
            <m:t>=</m:t>
          </m:r>
          <m:f>
            <m:fPr>
              <m:ctrlPr>
                <w:rPr>
                  <w:rFonts w:ascii="Cambria Math" w:hAnsi="Cambria Math"/>
                  <w:b w:val="0"/>
                  <w:i w:val="0"/>
                  <w:highlight w:val="none"/>
                </w:rPr>
              </m:ctrlPr>
            </m:fPr>
            <m:num>
              <m:r>
                <m:rPr>
                  <m:nor/>
                  <m:sty m:val="p"/>
                </m:rPr>
                <w:rPr>
                  <w:rFonts w:ascii="Times New Roman" w:hAnsi="Times New Roman"/>
                  <w:b w:val="0"/>
                  <w:i w:val="0"/>
                  <w:highlight w:val="none"/>
                </w:rPr>
                <m:t>WLL×</m:t>
              </m:r>
              <m:sSub>
                <m:sSubPr>
                  <m:ctrlPr>
                    <w:rPr>
                      <w:rFonts w:ascii="Cambria Math" w:hAnsi="Cambria Math"/>
                      <w:b w:val="0"/>
                      <w:i w:val="0"/>
                      <w:highlight w:val="none"/>
                    </w:rPr>
                  </m:ctrlPr>
                </m:sSubPr>
                <m:e>
                  <m:r>
                    <m:rPr>
                      <m:nor/>
                      <m:sty m:val="p"/>
                    </m:rPr>
                    <w:rPr>
                      <w:rFonts w:ascii="Times New Roman" w:hAnsi="Times New Roman"/>
                      <w:b w:val="0"/>
                      <w:i w:val="0"/>
                      <w:highlight w:val="none"/>
                    </w:rPr>
                    <m:t>K</m:t>
                  </m:r>
                  <m:ctrlPr>
                    <w:rPr>
                      <w:rFonts w:ascii="Cambria Math" w:hAnsi="Cambria Math"/>
                      <w:b w:val="0"/>
                      <w:i w:val="0"/>
                      <w:highlight w:val="none"/>
                    </w:rPr>
                  </m:ctrlPr>
                </m:e>
                <m:sub>
                  <m:r>
                    <m:rPr>
                      <m:nor/>
                      <m:sty m:val="p"/>
                    </m:rPr>
                    <w:rPr>
                      <w:rFonts w:ascii="Times New Roman" w:hAnsi="Times New Roman"/>
                      <w:b w:val="0"/>
                      <w:i w:val="0"/>
                      <w:highlight w:val="none"/>
                    </w:rPr>
                    <m:t>m</m:t>
                  </m:r>
                  <m:ctrlPr>
                    <w:rPr>
                      <w:rFonts w:ascii="Cambria Math" w:hAnsi="Cambria Math"/>
                      <w:b w:val="0"/>
                      <w:i w:val="0"/>
                      <w:highlight w:val="none"/>
                    </w:rPr>
                  </m:ctrlPr>
                </m:sub>
              </m:sSub>
              <m:r>
                <m:rPr>
                  <m:nor/>
                  <m:sty m:val="p"/>
                </m:rPr>
                <w:rPr>
                  <w:rFonts w:ascii="Times New Roman" w:hAnsi="Times New Roman"/>
                  <w:b w:val="0"/>
                  <w:i w:val="0"/>
                  <w:highlight w:val="none"/>
                </w:rPr>
                <m:t>×</m:t>
              </m:r>
              <m:sSub>
                <m:sSubPr>
                  <m:ctrlPr>
                    <w:rPr>
                      <w:rFonts w:ascii="Cambria Math" w:hAnsi="Cambria Math"/>
                      <w:b w:val="0"/>
                      <w:i w:val="0"/>
                      <w:highlight w:val="none"/>
                    </w:rPr>
                  </m:ctrlPr>
                </m:sSubPr>
                <m:e>
                  <m:r>
                    <m:rPr>
                      <m:nor/>
                      <m:sty m:val="p"/>
                    </m:rPr>
                    <w:rPr>
                      <w:rFonts w:ascii="Times New Roman" w:hAnsi="Times New Roman"/>
                      <w:b w:val="0"/>
                      <w:i w:val="0"/>
                      <w:highlight w:val="none"/>
                    </w:rPr>
                    <m:t>K</m:t>
                  </m:r>
                  <m:ctrlPr>
                    <w:rPr>
                      <w:rFonts w:ascii="Cambria Math" w:hAnsi="Cambria Math"/>
                      <w:b w:val="0"/>
                      <w:i w:val="0"/>
                      <w:highlight w:val="none"/>
                    </w:rPr>
                  </m:ctrlPr>
                </m:e>
                <m:sub>
                  <m:r>
                    <m:rPr>
                      <m:nor/>
                      <m:sty m:val="p"/>
                    </m:rPr>
                    <w:rPr>
                      <w:rFonts w:ascii="Times New Roman" w:hAnsi="Times New Roman"/>
                      <w:b w:val="0"/>
                      <w:i w:val="0"/>
                      <w:highlight w:val="none"/>
                    </w:rPr>
                    <m:t>u</m:t>
                  </m:r>
                  <m:ctrlPr>
                    <w:rPr>
                      <w:rFonts w:ascii="Cambria Math" w:hAnsi="Cambria Math"/>
                      <w:b w:val="0"/>
                      <w:i w:val="0"/>
                      <w:highlight w:val="none"/>
                    </w:rPr>
                  </m:ctrlPr>
                </m:sub>
              </m:sSub>
              <m:ctrlPr>
                <w:rPr>
                  <w:rFonts w:ascii="Cambria Math" w:hAnsi="Cambria Math"/>
                  <w:b w:val="0"/>
                  <w:i w:val="0"/>
                  <w:highlight w:val="none"/>
                </w:rPr>
              </m:ctrlPr>
            </m:num>
            <m:den>
              <m:sSub>
                <m:sSubPr>
                  <m:ctrlPr>
                    <w:rPr>
                      <w:rFonts w:ascii="Cambria Math" w:hAnsi="Cambria Math"/>
                      <w:b w:val="0"/>
                      <w:i w:val="0"/>
                      <w:highlight w:val="none"/>
                    </w:rPr>
                  </m:ctrlPr>
                </m:sSubPr>
                <m:e>
                  <m:r>
                    <m:rPr>
                      <m:nor/>
                      <m:sty m:val="p"/>
                    </m:rPr>
                    <w:rPr>
                      <w:rFonts w:ascii="Times New Roman" w:hAnsi="Times New Roman"/>
                      <w:b w:val="0"/>
                      <w:i w:val="0"/>
                      <w:highlight w:val="none"/>
                    </w:rPr>
                    <m:t>K</m:t>
                  </m:r>
                  <m:ctrlPr>
                    <w:rPr>
                      <w:rFonts w:ascii="Cambria Math" w:hAnsi="Cambria Math"/>
                      <w:b w:val="0"/>
                      <w:i w:val="0"/>
                      <w:highlight w:val="none"/>
                    </w:rPr>
                  </m:ctrlPr>
                </m:e>
                <m:sub>
                  <m:r>
                    <m:rPr>
                      <m:nor/>
                      <m:sty m:val="p"/>
                    </m:rPr>
                    <w:rPr>
                      <w:rFonts w:ascii="Times New Roman" w:hAnsi="Times New Roman"/>
                      <w:b w:val="0"/>
                      <w:i w:val="0"/>
                      <w:highlight w:val="none"/>
                    </w:rPr>
                    <m:t>e</m:t>
                  </m:r>
                  <m:ctrlPr>
                    <w:rPr>
                      <w:rFonts w:ascii="Cambria Math" w:hAnsi="Cambria Math"/>
                      <w:b w:val="0"/>
                      <w:i w:val="0"/>
                      <w:highlight w:val="none"/>
                    </w:rPr>
                  </m:ctrlPr>
                </m:sub>
              </m:sSub>
              <m:r>
                <m:rPr>
                  <m:nor/>
                  <m:sty m:val="p"/>
                </m:rPr>
                <w:rPr>
                  <w:rFonts w:ascii="Times New Roman" w:hAnsi="Times New Roman"/>
                  <w:b w:val="0"/>
                  <w:i w:val="0"/>
                  <w:highlight w:val="none"/>
                </w:rPr>
                <m:t>×K</m:t>
              </m:r>
              <m:ctrlPr>
                <w:rPr>
                  <w:rFonts w:ascii="Cambria Math" w:hAnsi="Cambria Math"/>
                  <w:b w:val="0"/>
                  <w:i w:val="0"/>
                  <w:highlight w:val="none"/>
                </w:rPr>
              </m:ctrlPr>
            </m:den>
          </m:f>
          <m:r>
            <m:rPr>
              <m:nor/>
              <m:sty m:val="p"/>
            </m:rPr>
            <w:rPr>
              <w:rFonts w:ascii="Times New Roman" w:hAnsi="Times New Roman"/>
              <w:b w:val="0"/>
              <w:i w:val="0"/>
              <w:highlight w:val="none"/>
            </w:rPr>
            <m:t>=</m:t>
          </m:r>
          <m:f>
            <m:fPr>
              <m:ctrlPr>
                <w:rPr>
                  <w:rFonts w:ascii="Cambria Math" w:hAnsi="Cambria Math"/>
                  <w:b w:val="0"/>
                  <w:i w:val="0"/>
                  <w:highlight w:val="none"/>
                </w:rPr>
              </m:ctrlPr>
            </m:fPr>
            <m:num>
              <m:r>
                <m:rPr>
                  <m:nor/>
                  <m:sty m:val="p"/>
                </m:rPr>
                <w:rPr>
                  <w:rFonts w:ascii="Times New Roman" w:hAnsi="Times New Roman"/>
                  <w:b w:val="0"/>
                  <w:i w:val="0"/>
                  <w:highlight w:val="none"/>
                </w:rPr>
                <m:t>3.</m:t>
              </m:r>
              <m:r>
                <m:rPr>
                  <m:nor/>
                  <m:sty m:val="p"/>
                </m:rPr>
                <w:rPr>
                  <w:rFonts w:hint="default" w:ascii="Times New Roman" w:hAnsi="Times New Roman"/>
                  <w:b w:val="0"/>
                  <w:i w:val="0"/>
                  <w:highlight w:val="none"/>
                  <w:lang w:val="en-US" w:eastAsia="zh-CN"/>
                </w:rPr>
                <m:t>2</m:t>
              </m:r>
              <m:r>
                <m:rPr>
                  <m:nor/>
                  <m:sty m:val="p"/>
                </m:rPr>
                <w:rPr>
                  <w:rFonts w:ascii="Times New Roman" w:hAnsi="Times New Roman"/>
                  <w:b w:val="0"/>
                  <w:i w:val="0"/>
                  <w:highlight w:val="none"/>
                </w:rPr>
                <m:t>×9.80665×6</m:t>
              </m:r>
              <m:ctrlPr>
                <w:rPr>
                  <w:rFonts w:ascii="Cambria Math" w:hAnsi="Cambria Math"/>
                  <w:b w:val="0"/>
                  <w:i w:val="0"/>
                  <w:highlight w:val="none"/>
                </w:rPr>
              </m:ctrlPr>
            </m:num>
            <m:den>
              <m:r>
                <m:rPr>
                  <m:nor/>
                  <m:sty m:val="p"/>
                </m:rPr>
                <w:rPr>
                  <w:rFonts w:ascii="Times New Roman" w:hAnsi="Times New Roman"/>
                  <w:b w:val="0"/>
                  <w:i w:val="0"/>
                  <w:highlight w:val="none"/>
                </w:rPr>
                <m:t>0.9×1.4</m:t>
              </m:r>
              <m:ctrlPr>
                <w:rPr>
                  <w:rFonts w:ascii="Cambria Math" w:hAnsi="Cambria Math"/>
                  <w:b w:val="0"/>
                  <w:i w:val="0"/>
                  <w:highlight w:val="none"/>
                </w:rPr>
              </m:ctrlPr>
            </m:den>
          </m:f>
          <m:r>
            <m:rPr>
              <m:nor/>
              <m:sty m:val="p"/>
            </m:rPr>
            <w:rPr>
              <w:rFonts w:ascii="Times New Roman" w:hAnsi="Times New Roman"/>
              <w:b w:val="0"/>
              <w:i w:val="0"/>
              <w:highlight w:val="none"/>
            </w:rPr>
            <m:t>=</m:t>
          </m:r>
          <m:r>
            <m:rPr>
              <m:nor/>
              <m:sty m:val="p"/>
            </m:rPr>
            <w:rPr>
              <w:rFonts w:hint="default" w:ascii="Times New Roman" w:hAnsi="Times New Roman"/>
              <w:b w:val="0"/>
              <w:i w:val="0"/>
              <w:highlight w:val="none"/>
              <w:lang w:val="en-US" w:eastAsia="zh-CN"/>
            </w:rPr>
            <m:t>149.44</m:t>
          </m:r>
          <m:r>
            <m:rPr>
              <m:nor/>
              <m:sty m:val="p"/>
            </m:rPr>
            <w:rPr>
              <w:rFonts w:ascii="Times New Roman" w:hAnsi="Times New Roman"/>
              <w:b w:val="0"/>
              <w:i w:val="0"/>
              <w:highlight w:val="none"/>
            </w:rPr>
            <m:t>kN</m:t>
          </m:r>
        </m:oMath>
      </m:oMathPara>
    </w:p>
    <w:p w14:paraId="3667CC27">
      <w:pPr>
        <w:ind w:firstLine="480"/>
      </w:pPr>
      <w:r>
        <w:rPr>
          <w:rFonts w:hint="eastAsia"/>
        </w:rPr>
        <w:t>则钢丝绳最小公称直径：</w:t>
      </w:r>
    </w:p>
    <w:p w14:paraId="44DB8081">
      <w:pPr>
        <w:tabs>
          <w:tab w:val="left" w:pos="1320"/>
        </w:tabs>
        <w:ind w:firstLine="0" w:firstLineChars="0"/>
        <w:jc w:val="center"/>
        <w:rPr>
          <w:i/>
        </w:rPr>
      </w:pPr>
      <m:oMathPara>
        <m:oMath>
          <m:r>
            <m:rPr>
              <m:nor/>
              <m:sty m:val="p"/>
            </m:rPr>
            <w:rPr>
              <w:rFonts w:ascii="Times New Roman" w:hAnsi="Times New Roman"/>
              <w:b w:val="0"/>
              <w:i w:val="0"/>
              <w:highlight w:val="none"/>
            </w:rPr>
            <m:t>D=</m:t>
          </m:r>
          <m:rad>
            <m:radPr>
              <m:degHide m:val="1"/>
              <m:ctrlPr>
                <w:rPr>
                  <w:rFonts w:ascii="Cambria Math" w:hAnsi="Cambria Math"/>
                  <w:b w:val="0"/>
                  <w:i w:val="0"/>
                  <w:highlight w:val="none"/>
                </w:rPr>
              </m:ctrlPr>
            </m:radPr>
            <m:deg>
              <m:ctrlPr>
                <w:rPr>
                  <w:rFonts w:ascii="Cambria Math" w:hAnsi="Cambria Math"/>
                  <w:b w:val="0"/>
                  <w:i w:val="0"/>
                  <w:highlight w:val="none"/>
                </w:rPr>
              </m:ctrlPr>
            </m:deg>
            <m:e>
              <m:f>
                <m:fPr>
                  <m:ctrlPr>
                    <w:rPr>
                      <w:rFonts w:ascii="Cambria Math" w:hAnsi="Cambria Math"/>
                      <w:b w:val="0"/>
                      <w:i w:val="0"/>
                      <w:highlight w:val="none"/>
                    </w:rPr>
                  </m:ctrlPr>
                </m:fPr>
                <m:num>
                  <m:r>
                    <m:rPr>
                      <m:nor/>
                      <m:sty m:val="p"/>
                    </m:rPr>
                    <w:rPr>
                      <w:rFonts w:ascii="Times New Roman" w:hAnsi="Times New Roman"/>
                      <w:b w:val="0"/>
                      <w:i w:val="0"/>
                      <w:highlight w:val="none"/>
                    </w:rPr>
                    <m:t>1000×</m:t>
                  </m:r>
                  <m:sSub>
                    <m:sSubPr>
                      <m:ctrlPr>
                        <w:rPr>
                          <w:rFonts w:ascii="Cambria Math" w:hAnsi="Cambria Math"/>
                          <w:b w:val="0"/>
                          <w:i w:val="0"/>
                          <w:highlight w:val="none"/>
                        </w:rPr>
                      </m:ctrlPr>
                    </m:sSubPr>
                    <m:e>
                      <m:r>
                        <m:rPr>
                          <m:nor/>
                          <m:sty m:val="p"/>
                        </m:rPr>
                        <w:rPr>
                          <w:rFonts w:ascii="Times New Roman" w:hAnsi="Times New Roman"/>
                          <w:b w:val="0"/>
                          <w:i w:val="0"/>
                          <w:highlight w:val="none"/>
                        </w:rPr>
                        <m:t>F</m:t>
                      </m:r>
                      <m:ctrlPr>
                        <w:rPr>
                          <w:rFonts w:ascii="Cambria Math" w:hAnsi="Cambria Math"/>
                          <w:b w:val="0"/>
                          <w:i w:val="0"/>
                          <w:highlight w:val="none"/>
                        </w:rPr>
                      </m:ctrlPr>
                    </m:e>
                    <m:sub>
                      <m:r>
                        <m:rPr>
                          <m:nor/>
                          <m:sty m:val="p"/>
                        </m:rPr>
                        <w:rPr>
                          <w:rFonts w:ascii="Times New Roman" w:hAnsi="Times New Roman"/>
                          <w:b w:val="0"/>
                          <w:i w:val="0"/>
                          <w:highlight w:val="none"/>
                        </w:rPr>
                        <m:t>0</m:t>
                      </m:r>
                      <m:ctrlPr>
                        <w:rPr>
                          <w:rFonts w:ascii="Cambria Math" w:hAnsi="Cambria Math"/>
                          <w:b w:val="0"/>
                          <w:i w:val="0"/>
                          <w:highlight w:val="none"/>
                        </w:rPr>
                      </m:ctrlPr>
                    </m:sub>
                  </m:sSub>
                  <m:ctrlPr>
                    <w:rPr>
                      <w:rFonts w:ascii="Cambria Math" w:hAnsi="Cambria Math"/>
                      <w:b w:val="0"/>
                      <w:i w:val="0"/>
                      <w:highlight w:val="none"/>
                    </w:rPr>
                  </m:ctrlPr>
                </m:num>
                <m:den>
                  <m:sSup>
                    <m:sSupPr>
                      <m:ctrlPr>
                        <w:rPr>
                          <w:rFonts w:ascii="Cambria Math" w:hAnsi="Cambria Math"/>
                          <w:b w:val="0"/>
                          <w:i w:val="0"/>
                          <w:highlight w:val="none"/>
                        </w:rPr>
                      </m:ctrlPr>
                    </m:sSupPr>
                    <m:e>
                      <m:r>
                        <m:rPr>
                          <m:nor/>
                          <m:sty m:val="p"/>
                        </m:rPr>
                        <w:rPr>
                          <w:rFonts w:ascii="Times New Roman" w:hAnsi="Times New Roman"/>
                          <w:b w:val="0"/>
                          <w:i w:val="0"/>
                          <w:highlight w:val="none"/>
                        </w:rPr>
                        <m:t>K</m:t>
                      </m:r>
                      <m:ctrlPr>
                        <w:rPr>
                          <w:rFonts w:ascii="Cambria Math" w:hAnsi="Cambria Math"/>
                          <w:b w:val="0"/>
                          <w:i w:val="0"/>
                          <w:highlight w:val="none"/>
                        </w:rPr>
                      </m:ctrlPr>
                    </m:e>
                    <m:sup>
                      <m:r>
                        <m:rPr>
                          <m:nor/>
                          <m:sty m:val="p"/>
                        </m:rPr>
                        <w:rPr>
                          <w:rFonts w:ascii="Times New Roman" w:hAnsi="Times New Roman"/>
                          <w:b w:val="0"/>
                          <w:i w:val="0"/>
                          <w:highlight w:val="none"/>
                        </w:rPr>
                        <m:t>'</m:t>
                      </m:r>
                      <m:ctrlPr>
                        <w:rPr>
                          <w:rFonts w:ascii="Cambria Math" w:hAnsi="Cambria Math"/>
                          <w:b w:val="0"/>
                          <w:i w:val="0"/>
                          <w:highlight w:val="none"/>
                        </w:rPr>
                      </m:ctrlPr>
                    </m:sup>
                  </m:sSup>
                  <m:r>
                    <m:rPr>
                      <m:nor/>
                      <m:sty m:val="p"/>
                    </m:rPr>
                    <w:rPr>
                      <w:rFonts w:ascii="Times New Roman" w:hAnsi="Times New Roman"/>
                      <w:b w:val="0"/>
                      <w:i w:val="0"/>
                      <w:highlight w:val="none"/>
                    </w:rPr>
                    <m:t>×</m:t>
                  </m:r>
                  <m:sSub>
                    <m:sSubPr>
                      <m:ctrlPr>
                        <w:rPr>
                          <w:rFonts w:ascii="Cambria Math" w:hAnsi="Cambria Math"/>
                          <w:b w:val="0"/>
                          <w:i w:val="0"/>
                          <w:highlight w:val="none"/>
                        </w:rPr>
                      </m:ctrlPr>
                    </m:sSubPr>
                    <m:e>
                      <m:r>
                        <m:rPr>
                          <m:nor/>
                          <m:sty m:val="p"/>
                        </m:rPr>
                        <w:rPr>
                          <w:rFonts w:ascii="Times New Roman" w:hAnsi="Times New Roman"/>
                          <w:b w:val="0"/>
                          <w:i w:val="0"/>
                          <w:highlight w:val="none"/>
                        </w:rPr>
                        <m:t>R</m:t>
                      </m:r>
                      <m:ctrlPr>
                        <w:rPr>
                          <w:rFonts w:ascii="Cambria Math" w:hAnsi="Cambria Math"/>
                          <w:b w:val="0"/>
                          <w:i w:val="0"/>
                          <w:highlight w:val="none"/>
                        </w:rPr>
                      </m:ctrlPr>
                    </m:e>
                    <m:sub>
                      <m:r>
                        <m:rPr>
                          <m:nor/>
                          <m:sty m:val="p"/>
                        </m:rPr>
                        <w:rPr>
                          <w:rFonts w:ascii="Times New Roman" w:hAnsi="Times New Roman"/>
                          <w:b w:val="0"/>
                          <w:i w:val="0"/>
                          <w:highlight w:val="none"/>
                        </w:rPr>
                        <m:t>0</m:t>
                      </m:r>
                      <m:ctrlPr>
                        <w:rPr>
                          <w:rFonts w:ascii="Cambria Math" w:hAnsi="Cambria Math"/>
                          <w:b w:val="0"/>
                          <w:i w:val="0"/>
                          <w:highlight w:val="none"/>
                        </w:rPr>
                      </m:ctrlPr>
                    </m:sub>
                  </m:sSub>
                  <m:ctrlPr>
                    <w:rPr>
                      <w:rFonts w:ascii="Cambria Math" w:hAnsi="Cambria Math"/>
                      <w:b w:val="0"/>
                      <w:i w:val="0"/>
                      <w:highlight w:val="none"/>
                    </w:rPr>
                  </m:ctrlPr>
                </m:den>
              </m:f>
              <m:ctrlPr>
                <w:rPr>
                  <w:rFonts w:ascii="Cambria Math" w:hAnsi="Cambria Math"/>
                  <w:b w:val="0"/>
                  <w:i w:val="0"/>
                  <w:highlight w:val="none"/>
                </w:rPr>
              </m:ctrlPr>
            </m:e>
          </m:rad>
          <m:r>
            <m:rPr>
              <m:nor/>
              <m:sty m:val="p"/>
            </m:rPr>
            <w:rPr>
              <w:rFonts w:ascii="Times New Roman" w:hAnsi="Times New Roman"/>
              <w:b w:val="0"/>
              <w:i w:val="0"/>
              <w:highlight w:val="none"/>
            </w:rPr>
            <m:t>=</m:t>
          </m:r>
          <m:rad>
            <m:radPr>
              <m:degHide m:val="1"/>
              <m:ctrlPr>
                <w:rPr>
                  <w:rFonts w:ascii="Cambria Math" w:hAnsi="Cambria Math"/>
                  <w:b w:val="0"/>
                  <w:i w:val="0"/>
                  <w:highlight w:val="none"/>
                </w:rPr>
              </m:ctrlPr>
            </m:radPr>
            <m:deg>
              <m:ctrlPr>
                <w:rPr>
                  <w:rFonts w:ascii="Cambria Math" w:hAnsi="Cambria Math"/>
                  <w:b w:val="0"/>
                  <w:i w:val="0"/>
                  <w:highlight w:val="none"/>
                </w:rPr>
              </m:ctrlPr>
            </m:deg>
            <m:e>
              <m:f>
                <m:fPr>
                  <m:ctrlPr>
                    <w:rPr>
                      <w:rFonts w:ascii="Cambria Math" w:hAnsi="Cambria Math"/>
                      <w:b w:val="0"/>
                      <w:i w:val="0"/>
                      <w:highlight w:val="none"/>
                    </w:rPr>
                  </m:ctrlPr>
                </m:fPr>
                <m:num>
                  <m:r>
                    <m:rPr>
                      <m:nor/>
                      <m:sty m:val="p"/>
                    </m:rPr>
                    <w:rPr>
                      <w:rFonts w:ascii="Times New Roman" w:hAnsi="Times New Roman"/>
                      <w:b w:val="0"/>
                      <w:i w:val="0"/>
                      <w:highlight w:val="none"/>
                    </w:rPr>
                    <m:t>1000×</m:t>
                  </m:r>
                  <m:r>
                    <m:rPr>
                      <m:nor/>
                      <m:sty m:val="p"/>
                    </m:rPr>
                    <w:rPr>
                      <w:rFonts w:hint="default" w:ascii="Times New Roman" w:hAnsi="Times New Roman"/>
                      <w:b w:val="0"/>
                      <w:i w:val="0"/>
                      <w:highlight w:val="none"/>
                      <w:lang w:val="en-US" w:eastAsia="zh-CN"/>
                    </w:rPr>
                    <m:t>149.44</m:t>
                  </m:r>
                  <m:ctrlPr>
                    <w:rPr>
                      <w:rFonts w:ascii="Cambria Math" w:hAnsi="Cambria Math"/>
                      <w:b w:val="0"/>
                      <w:i w:val="0"/>
                      <w:highlight w:val="none"/>
                    </w:rPr>
                  </m:ctrlPr>
                </m:num>
                <m:den>
                  <m:r>
                    <m:rPr>
                      <m:nor/>
                      <m:sty m:val="p"/>
                    </m:rPr>
                    <w:rPr>
                      <w:rFonts w:ascii="Times New Roman" w:hAnsi="Times New Roman"/>
                      <w:b w:val="0"/>
                      <w:i w:val="0"/>
                      <w:highlight w:val="none"/>
                    </w:rPr>
                    <m:t>0.33×1870</m:t>
                  </m:r>
                  <m:ctrlPr>
                    <w:rPr>
                      <w:rFonts w:ascii="Cambria Math" w:hAnsi="Cambria Math"/>
                      <w:b w:val="0"/>
                      <w:i w:val="0"/>
                      <w:highlight w:val="none"/>
                    </w:rPr>
                  </m:ctrlPr>
                </m:den>
              </m:f>
              <m:ctrlPr>
                <w:rPr>
                  <w:rFonts w:ascii="Cambria Math" w:hAnsi="Cambria Math"/>
                  <w:b w:val="0"/>
                  <w:i w:val="0"/>
                  <w:highlight w:val="none"/>
                </w:rPr>
              </m:ctrlPr>
            </m:e>
          </m:rad>
          <m:r>
            <m:rPr>
              <m:nor/>
              <m:sty m:val="p"/>
            </m:rPr>
            <w:rPr>
              <w:rFonts w:ascii="Times New Roman" w:hAnsi="Times New Roman"/>
              <w:b w:val="0"/>
              <w:i w:val="0"/>
              <w:highlight w:val="none"/>
            </w:rPr>
            <m:t>=</m:t>
          </m:r>
          <m:r>
            <m:rPr>
              <m:nor/>
              <m:sty m:val="p"/>
            </m:rPr>
            <w:rPr>
              <w:rFonts w:hint="default" w:ascii="Times New Roman" w:hAnsi="Times New Roman"/>
              <w:b w:val="0"/>
              <w:i w:val="0"/>
              <w:highlight w:val="none"/>
              <w:lang w:val="en-US" w:eastAsia="zh-CN"/>
            </w:rPr>
            <m:t>15.57</m:t>
          </m:r>
          <m:r>
            <m:rPr>
              <m:nor/>
              <m:sty m:val="p"/>
            </m:rPr>
            <w:rPr>
              <w:rFonts w:ascii="Times New Roman" w:hAnsi="Times New Roman"/>
              <w:b w:val="0"/>
              <w:i w:val="0"/>
              <w:highlight w:val="none"/>
            </w:rPr>
            <m:t>mm</m:t>
          </m:r>
        </m:oMath>
      </m:oMathPara>
    </w:p>
    <w:p w14:paraId="6FEE7FDA">
      <w:pPr>
        <w:widowControl w:val="0"/>
        <w:tabs>
          <w:tab w:val="left" w:pos="1320"/>
        </w:tabs>
        <w:spacing w:line="360" w:lineRule="auto"/>
        <w:ind w:firstLine="0" w:firstLineChars="0"/>
        <w:jc w:val="center"/>
        <w:rPr>
          <w:rFonts w:ascii="Times New Roman" w:hAnsi="Times New Roman" w:eastAsia="宋体" w:cs="Times New Roman"/>
          <w:i/>
          <w:kern w:val="2"/>
          <w:sz w:val="24"/>
          <w:szCs w:val="21"/>
          <w:highlight w:val="none"/>
          <w:lang w:val="en-US" w:eastAsia="zh-CN" w:bidi="ar-SA"/>
        </w:rPr>
      </w:pPr>
    </w:p>
    <w:p w14:paraId="0DED9656">
      <w:pPr>
        <w:ind w:firstLine="480"/>
        <w:rPr>
          <w:rFonts w:ascii="Times New Roman" w:hAnsi="Times New Roman" w:eastAsia="宋体" w:cs="Times New Roman"/>
          <w:highlight w:val="none"/>
        </w:rPr>
      </w:pPr>
      <w:r>
        <w:rPr>
          <w:rFonts w:hint="eastAsia" w:ascii="宋体" w:hAnsi="宋体" w:eastAsia="宋体" w:cs="宋体"/>
          <w:highlight w:val="none"/>
        </w:rPr>
        <w:t>采用</w:t>
      </w:r>
      <w:r>
        <w:rPr>
          <w:rFonts w:hint="eastAsia" w:ascii="SJQY" w:hAnsi="SJQY" w:eastAsia="SJQY" w:cs="Times New Roman"/>
          <w:highlight w:val="none"/>
          <w:lang w:val="en-US" w:eastAsia="zh-CN"/>
        </w:rPr>
        <w:t>φ</w:t>
      </w:r>
      <w:r>
        <w:rPr>
          <w:rFonts w:hint="eastAsia" w:ascii="Times New Roman" w:hAnsi="Times New Roman" w:cs="Times New Roman"/>
          <w:highlight w:val="none"/>
          <w:lang w:val="en-US" w:eastAsia="zh-CN"/>
        </w:rPr>
        <w:t>16</w:t>
      </w:r>
      <w:r>
        <w:rPr>
          <w:rFonts w:hint="eastAsia" w:ascii="Times New Roman" w:hAnsi="Times New Roman" w:eastAsia="宋体" w:cs="Times New Roman"/>
          <w:highlight w:val="none"/>
        </w:rPr>
        <w:t>mm钢丝绳可满足要求。</w:t>
      </w:r>
    </w:p>
    <w:p w14:paraId="5CBEBC27">
      <w:pPr>
        <w:bidi w:val="0"/>
        <w:rPr>
          <w:highlight w:val="none"/>
          <w:lang w:val="en-US" w:eastAsia="zh-CN"/>
        </w:rPr>
      </w:pPr>
      <w:bookmarkStart w:id="171" w:name="_Toc132535969"/>
      <w:r>
        <w:rPr>
          <w:rFonts w:hint="eastAsia"/>
          <w:highlight w:val="none"/>
          <w:lang w:val="en-US" w:eastAsia="zh-CN"/>
        </w:rPr>
        <w:t>卸扣选型</w:t>
      </w:r>
      <w:bookmarkEnd w:id="171"/>
    </w:p>
    <w:p w14:paraId="41A4DDB7">
      <w:pPr>
        <w:ind w:firstLine="480"/>
        <w:rPr>
          <w:rFonts w:ascii="Times New Roman" w:hAnsi="Times New Roman" w:eastAsia="宋体" w:cs="Times New Roman"/>
          <w:highlight w:val="none"/>
        </w:rPr>
      </w:pPr>
      <w:r>
        <w:rPr>
          <w:rFonts w:hint="eastAsia" w:ascii="Times New Roman" w:hAnsi="Times New Roman" w:eastAsia="宋体" w:cs="Times New Roman"/>
          <w:highlight w:val="none"/>
        </w:rPr>
        <w:t>卸扣根据《一般起重用D形和弓形锻造卸扣》（GB/T25854-2010）的规定选用。</w:t>
      </w:r>
    </w:p>
    <w:p w14:paraId="0648627C">
      <w:pPr>
        <w:keepNext/>
        <w:tabs>
          <w:tab w:val="left" w:pos="360"/>
        </w:tabs>
        <w:spacing w:line="360" w:lineRule="auto"/>
        <w:jc w:val="center"/>
        <w:rPr>
          <w:rFonts w:ascii="Times New Roman" w:hAnsi="Times New Roman" w:eastAsia="黑体" w:cs="Times New Roman"/>
          <w:kern w:val="2"/>
          <w:sz w:val="21"/>
          <w:highlight w:val="none"/>
          <w:lang w:val="en-US" w:eastAsia="zh-CN" w:bidi="ar-SA"/>
        </w:rPr>
      </w:pPr>
      <w:r>
        <w:rPr>
          <w:rFonts w:hint="eastAsia" w:ascii="Times New Roman" w:hAnsi="Times New Roman" w:eastAsia="黑体" w:cs="Times New Roman"/>
          <w:kern w:val="2"/>
          <w:sz w:val="21"/>
          <w:highlight w:val="none"/>
          <w:lang w:val="en-US" w:eastAsia="zh-CN" w:bidi="ar-SA"/>
        </w:rPr>
        <w:t>表4.2.2</w:t>
      </w:r>
      <w:r>
        <w:rPr>
          <w:rFonts w:ascii="Times New Roman" w:hAnsi="Times New Roman" w:eastAsia="黑体" w:cs="Times New Roman"/>
          <w:kern w:val="2"/>
          <w:sz w:val="21"/>
          <w:highlight w:val="none"/>
          <w:lang w:val="en-US" w:eastAsia="zh-CN" w:bidi="ar-SA"/>
        </w:rPr>
        <w:noBreakHyphen/>
      </w:r>
      <w:r>
        <w:rPr>
          <w:rFonts w:hint="eastAsia" w:ascii="Times New Roman" w:hAnsi="Times New Roman" w:eastAsia="黑体" w:cs="Times New Roman"/>
          <w:kern w:val="2"/>
          <w:sz w:val="21"/>
          <w:highlight w:val="none"/>
          <w:lang w:val="en-US" w:eastAsia="zh-CN" w:bidi="ar-SA"/>
        </w:rPr>
        <w:t>1D形卸扣尺寸</w:t>
      </w:r>
    </w:p>
    <w:tbl>
      <w:tblPr>
        <w:tblStyle w:val="16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103"/>
        <w:gridCol w:w="1104"/>
        <w:gridCol w:w="1104"/>
        <w:gridCol w:w="982"/>
        <w:gridCol w:w="982"/>
        <w:gridCol w:w="1125"/>
        <w:gridCol w:w="927"/>
        <w:gridCol w:w="1009"/>
      </w:tblGrid>
      <w:tr w14:paraId="5EFBB9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trPr>
        <w:tc>
          <w:tcPr>
            <w:tcW w:w="1986" w:type="pct"/>
            <w:gridSpan w:val="3"/>
            <w:shd w:val="clear" w:color="auto" w:fill="4472C4"/>
            <w:vAlign w:val="center"/>
          </w:tcPr>
          <w:p w14:paraId="1A1B26BA">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lang w:val="en-US" w:eastAsia="zh-CN" w:bidi="ar-SA"/>
              </w:rPr>
            </w:pPr>
            <w:r>
              <w:rPr>
                <w:rFonts w:ascii="Times New Roman" w:hAnsi="Times New Roman" w:eastAsia="仿宋" w:cs="Times New Roman"/>
                <w:b/>
                <w:color w:val="FFFFFF"/>
                <w:kern w:val="0"/>
                <w:sz w:val="21"/>
                <w:szCs w:val="21"/>
                <w:highlight w:val="none"/>
                <w:lang w:val="en-US" w:eastAsia="zh-CN" w:bidi="ar-SA"/>
              </w:rPr>
              <w:t>极限工作荷载WLL</w:t>
            </w:r>
          </w:p>
        </w:tc>
        <w:tc>
          <w:tcPr>
            <w:tcW w:w="589" w:type="pct"/>
            <w:vMerge w:val="restart"/>
            <w:shd w:val="clear" w:color="auto" w:fill="4472C4"/>
            <w:vAlign w:val="center"/>
          </w:tcPr>
          <w:p w14:paraId="3C8DAF18">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lang w:val="en-US" w:eastAsia="zh-CN" w:bidi="ar-SA"/>
              </w:rPr>
            </w:pPr>
            <w:r>
              <w:rPr>
                <w:rFonts w:ascii="Times New Roman" w:hAnsi="Times New Roman" w:eastAsia="仿宋" w:cs="Times New Roman"/>
                <w:b/>
                <w:color w:val="FFFFFF"/>
                <w:kern w:val="0"/>
                <w:sz w:val="21"/>
                <w:szCs w:val="21"/>
                <w:highlight w:val="none"/>
                <w:lang w:val="en-US" w:eastAsia="zh-CN" w:bidi="ar-SA"/>
              </w:rPr>
              <w:t>d</w:t>
            </w:r>
            <w:r>
              <w:rPr>
                <w:rFonts w:ascii="Times New Roman" w:hAnsi="Times New Roman" w:eastAsia="仿宋" w:cs="Times New Roman"/>
                <w:b/>
                <w:color w:val="FFFFFF"/>
                <w:kern w:val="0"/>
                <w:sz w:val="21"/>
                <w:szCs w:val="21"/>
                <w:highlight w:val="none"/>
                <w:vertAlign w:val="superscript"/>
                <w:lang w:val="en-US" w:eastAsia="zh-CN" w:bidi="ar-SA"/>
              </w:rPr>
              <w:t>a</w:t>
            </w:r>
          </w:p>
          <w:p w14:paraId="7C723F25">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lang w:val="en-US" w:eastAsia="zh-CN" w:bidi="ar-SA"/>
              </w:rPr>
            </w:pPr>
            <w:r>
              <w:rPr>
                <w:rFonts w:ascii="Times New Roman" w:hAnsi="Times New Roman" w:eastAsia="仿宋" w:cs="Times New Roman"/>
                <w:b/>
                <w:color w:val="FFFFFF"/>
                <w:kern w:val="0"/>
                <w:sz w:val="21"/>
                <w:szCs w:val="21"/>
                <w:highlight w:val="none"/>
                <w:lang w:val="en-US" w:eastAsia="zh-CN" w:bidi="ar-SA"/>
              </w:rPr>
              <w:t>max</w:t>
            </w:r>
          </w:p>
        </w:tc>
        <w:tc>
          <w:tcPr>
            <w:tcW w:w="589" w:type="pct"/>
            <w:vMerge w:val="restart"/>
            <w:shd w:val="clear" w:color="auto" w:fill="4472C4"/>
            <w:vAlign w:val="center"/>
          </w:tcPr>
          <w:p w14:paraId="1B401A5A">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lang w:val="en-US" w:eastAsia="zh-CN" w:bidi="ar-SA"/>
              </w:rPr>
            </w:pPr>
            <w:r>
              <w:rPr>
                <w:rFonts w:ascii="Times New Roman" w:hAnsi="Times New Roman" w:eastAsia="仿宋" w:cs="Times New Roman"/>
                <w:b/>
                <w:color w:val="FFFFFF"/>
                <w:kern w:val="0"/>
                <w:sz w:val="21"/>
                <w:szCs w:val="21"/>
                <w:highlight w:val="none"/>
                <w:lang w:val="en-US" w:eastAsia="zh-CN" w:bidi="ar-SA"/>
              </w:rPr>
              <w:t>D</w:t>
            </w:r>
            <w:r>
              <w:rPr>
                <w:rFonts w:ascii="Times New Roman" w:hAnsi="Times New Roman" w:eastAsia="仿宋" w:cs="Times New Roman"/>
                <w:b/>
                <w:color w:val="FFFFFF"/>
                <w:kern w:val="0"/>
                <w:sz w:val="21"/>
                <w:szCs w:val="21"/>
                <w:highlight w:val="none"/>
                <w:vertAlign w:val="superscript"/>
                <w:lang w:val="en-US" w:eastAsia="zh-CN" w:bidi="ar-SA"/>
              </w:rPr>
              <w:t>b</w:t>
            </w:r>
          </w:p>
          <w:p w14:paraId="1C0EFF4C">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lang w:val="en-US" w:eastAsia="zh-CN" w:bidi="ar-SA"/>
              </w:rPr>
            </w:pPr>
            <w:r>
              <w:rPr>
                <w:rFonts w:ascii="Times New Roman" w:hAnsi="Times New Roman" w:eastAsia="仿宋" w:cs="Times New Roman"/>
                <w:b/>
                <w:color w:val="FFFFFF"/>
                <w:kern w:val="0"/>
                <w:sz w:val="21"/>
                <w:szCs w:val="21"/>
                <w:highlight w:val="none"/>
                <w:lang w:val="en-US" w:eastAsia="zh-CN" w:bidi="ar-SA"/>
              </w:rPr>
              <w:t>max</w:t>
            </w:r>
          </w:p>
        </w:tc>
        <w:tc>
          <w:tcPr>
            <w:tcW w:w="675" w:type="pct"/>
            <w:vMerge w:val="restart"/>
            <w:shd w:val="clear" w:color="auto" w:fill="4472C4"/>
            <w:vAlign w:val="center"/>
          </w:tcPr>
          <w:p w14:paraId="397AFEC8">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vertAlign w:val="superscript"/>
                <w:lang w:val="en-US" w:eastAsia="zh-CN" w:bidi="ar-SA"/>
              </w:rPr>
            </w:pPr>
            <w:r>
              <w:rPr>
                <w:rFonts w:ascii="Times New Roman" w:hAnsi="Times New Roman" w:eastAsia="仿宋" w:cs="Times New Roman"/>
                <w:b/>
                <w:color w:val="FFFFFF"/>
                <w:kern w:val="0"/>
                <w:sz w:val="21"/>
                <w:szCs w:val="21"/>
                <w:highlight w:val="none"/>
                <w:lang w:val="en-US" w:eastAsia="zh-CN" w:bidi="ar-SA"/>
              </w:rPr>
              <w:t>e</w:t>
            </w:r>
            <w:r>
              <w:rPr>
                <w:rFonts w:ascii="Times New Roman" w:hAnsi="Times New Roman" w:eastAsia="仿宋" w:cs="Times New Roman"/>
                <w:b/>
                <w:color w:val="FFFFFF"/>
                <w:kern w:val="0"/>
                <w:sz w:val="21"/>
                <w:szCs w:val="21"/>
                <w:highlight w:val="none"/>
                <w:vertAlign w:val="superscript"/>
                <w:lang w:val="en-US" w:eastAsia="zh-CN" w:bidi="ar-SA"/>
              </w:rPr>
              <w:t>c</w:t>
            </w:r>
          </w:p>
          <w:p w14:paraId="4A44E612">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lang w:val="en-US" w:eastAsia="zh-CN" w:bidi="ar-SA"/>
              </w:rPr>
            </w:pPr>
            <w:r>
              <w:rPr>
                <w:rFonts w:ascii="Times New Roman" w:hAnsi="Times New Roman" w:eastAsia="仿宋" w:cs="Times New Roman"/>
                <w:b/>
                <w:color w:val="FFFFFF"/>
                <w:kern w:val="0"/>
                <w:sz w:val="21"/>
                <w:szCs w:val="21"/>
                <w:highlight w:val="none"/>
                <w:lang w:val="en-US" w:eastAsia="zh-CN" w:bidi="ar-SA"/>
              </w:rPr>
              <w:t>max</w:t>
            </w:r>
          </w:p>
        </w:tc>
        <w:tc>
          <w:tcPr>
            <w:tcW w:w="556" w:type="pct"/>
            <w:vMerge w:val="restart"/>
            <w:shd w:val="clear" w:color="auto" w:fill="4472C4"/>
            <w:vAlign w:val="center"/>
          </w:tcPr>
          <w:p w14:paraId="32B3B16E">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lang w:val="en-US" w:eastAsia="zh-CN" w:bidi="ar-SA"/>
              </w:rPr>
            </w:pPr>
            <w:r>
              <w:rPr>
                <w:rFonts w:ascii="Times New Roman" w:hAnsi="Times New Roman" w:eastAsia="仿宋" w:cs="Times New Roman"/>
                <w:b/>
                <w:color w:val="FFFFFF"/>
                <w:kern w:val="0"/>
                <w:sz w:val="21"/>
                <w:szCs w:val="21"/>
                <w:highlight w:val="none"/>
                <w:lang w:val="en-US" w:eastAsia="zh-CN" w:bidi="ar-SA"/>
              </w:rPr>
              <w:t>S</w:t>
            </w:r>
            <w:r>
              <w:rPr>
                <w:rFonts w:ascii="Times New Roman" w:hAnsi="Times New Roman" w:eastAsia="仿宋" w:cs="Times New Roman"/>
                <w:b/>
                <w:color w:val="FFFFFF"/>
                <w:kern w:val="0"/>
                <w:sz w:val="21"/>
                <w:szCs w:val="21"/>
                <w:highlight w:val="none"/>
                <w:vertAlign w:val="superscript"/>
                <w:lang w:val="en-US" w:eastAsia="zh-CN" w:bidi="ar-SA"/>
              </w:rPr>
              <w:t>d</w:t>
            </w:r>
          </w:p>
          <w:p w14:paraId="2F8BD615">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lang w:val="en-US" w:eastAsia="zh-CN" w:bidi="ar-SA"/>
              </w:rPr>
            </w:pPr>
            <w:r>
              <w:rPr>
                <w:rFonts w:ascii="Times New Roman" w:hAnsi="Times New Roman" w:eastAsia="仿宋" w:cs="Times New Roman"/>
                <w:b/>
                <w:color w:val="FFFFFF"/>
                <w:kern w:val="0"/>
                <w:sz w:val="21"/>
                <w:szCs w:val="21"/>
                <w:highlight w:val="none"/>
                <w:lang w:val="en-US" w:eastAsia="zh-CN" w:bidi="ar-SA"/>
              </w:rPr>
              <w:t>min</w:t>
            </w:r>
          </w:p>
        </w:tc>
        <w:tc>
          <w:tcPr>
            <w:tcW w:w="605" w:type="pct"/>
            <w:vMerge w:val="restart"/>
            <w:shd w:val="clear" w:color="auto" w:fill="4472C4"/>
            <w:vAlign w:val="center"/>
          </w:tcPr>
          <w:p w14:paraId="3D08B927">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vertAlign w:val="superscript"/>
                <w:lang w:val="en-US" w:eastAsia="zh-CN" w:bidi="ar-SA"/>
              </w:rPr>
            </w:pPr>
            <w:r>
              <w:rPr>
                <w:rFonts w:ascii="Times New Roman" w:hAnsi="Times New Roman" w:eastAsia="仿宋" w:cs="Times New Roman"/>
                <w:b/>
                <w:color w:val="FFFFFF"/>
                <w:kern w:val="0"/>
                <w:sz w:val="21"/>
                <w:szCs w:val="21"/>
                <w:highlight w:val="none"/>
                <w:lang w:val="en-US" w:eastAsia="zh-CN" w:bidi="ar-SA"/>
              </w:rPr>
              <w:t>W</w:t>
            </w:r>
            <w:r>
              <w:rPr>
                <w:rFonts w:ascii="Times New Roman" w:hAnsi="Times New Roman" w:eastAsia="仿宋" w:cs="Times New Roman"/>
                <w:b/>
                <w:color w:val="FFFFFF"/>
                <w:kern w:val="0"/>
                <w:sz w:val="21"/>
                <w:szCs w:val="21"/>
                <w:highlight w:val="none"/>
                <w:vertAlign w:val="superscript"/>
                <w:lang w:val="en-US" w:eastAsia="zh-CN" w:bidi="ar-SA"/>
              </w:rPr>
              <w:t>b</w:t>
            </w:r>
          </w:p>
          <w:p w14:paraId="68728BD6">
            <w:pPr>
              <w:widowControl w:val="0"/>
              <w:spacing w:line="240" w:lineRule="auto"/>
              <w:ind w:firstLine="0" w:firstLineChars="0"/>
              <w:jc w:val="center"/>
              <w:rPr>
                <w:rFonts w:ascii="Times New Roman" w:hAnsi="Times New Roman" w:eastAsia="仿宋" w:cs="Times New Roman"/>
                <w:b w:val="0"/>
                <w:color w:val="FFFFFF"/>
                <w:kern w:val="0"/>
                <w:sz w:val="21"/>
                <w:szCs w:val="21"/>
                <w:highlight w:val="none"/>
                <w:lang w:val="en-US" w:eastAsia="zh-CN" w:bidi="ar-SA"/>
              </w:rPr>
            </w:pPr>
            <w:r>
              <w:rPr>
                <w:rFonts w:ascii="Times New Roman" w:hAnsi="Times New Roman" w:eastAsia="仿宋" w:cs="Times New Roman"/>
                <w:b/>
                <w:color w:val="FFFFFF"/>
                <w:kern w:val="0"/>
                <w:sz w:val="21"/>
                <w:szCs w:val="21"/>
                <w:highlight w:val="none"/>
                <w:lang w:val="en-US" w:eastAsia="zh-CN" w:bidi="ar-SA"/>
              </w:rPr>
              <w:t>min</w:t>
            </w:r>
          </w:p>
        </w:tc>
      </w:tr>
      <w:tr w14:paraId="693D1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4472C4"/>
            <w:vAlign w:val="center"/>
          </w:tcPr>
          <w:p w14:paraId="405D57B0">
            <w:pPr>
              <w:widowControl w:val="0"/>
              <w:spacing w:line="240" w:lineRule="auto"/>
              <w:ind w:firstLine="0" w:firstLineChars="0"/>
              <w:jc w:val="center"/>
              <w:rPr>
                <w:rFonts w:ascii="Times New Roman" w:hAnsi="Times New Roman" w:eastAsia="仿宋" w:cs="Times New Roman"/>
                <w:b/>
                <w:bCs/>
                <w:color w:val="FFFFFF"/>
                <w:kern w:val="0"/>
                <w:sz w:val="21"/>
                <w:szCs w:val="21"/>
                <w:highlight w:val="none"/>
                <w:lang w:val="en-US" w:eastAsia="zh-CN" w:bidi="ar-SA"/>
              </w:rPr>
            </w:pPr>
            <w:r>
              <w:rPr>
                <w:rFonts w:ascii="Times New Roman" w:hAnsi="Times New Roman" w:eastAsia="仿宋" w:cs="Times New Roman"/>
                <w:b/>
                <w:bCs/>
                <w:color w:val="FFFFFF"/>
                <w:kern w:val="0"/>
                <w:sz w:val="21"/>
                <w:szCs w:val="21"/>
                <w:highlight w:val="none"/>
                <w:lang w:val="en-US" w:eastAsia="zh-CN" w:bidi="ar-SA"/>
              </w:rPr>
              <w:t>4级</w:t>
            </w:r>
          </w:p>
        </w:tc>
        <w:tc>
          <w:tcPr>
            <w:tcW w:w="662" w:type="pct"/>
            <w:shd w:val="clear" w:color="auto" w:fill="4472C4"/>
            <w:vAlign w:val="center"/>
          </w:tcPr>
          <w:p w14:paraId="1A85691C">
            <w:pPr>
              <w:widowControl w:val="0"/>
              <w:spacing w:line="240" w:lineRule="auto"/>
              <w:ind w:firstLine="0" w:firstLineChars="0"/>
              <w:jc w:val="center"/>
              <w:rPr>
                <w:rFonts w:ascii="Times New Roman" w:hAnsi="Times New Roman" w:eastAsia="仿宋" w:cs="Times New Roman"/>
                <w:b/>
                <w:bCs/>
                <w:color w:val="FFFFFF"/>
                <w:kern w:val="0"/>
                <w:sz w:val="21"/>
                <w:szCs w:val="21"/>
                <w:highlight w:val="none"/>
                <w:lang w:val="en-US" w:eastAsia="zh-CN" w:bidi="ar-SA"/>
              </w:rPr>
            </w:pPr>
            <w:r>
              <w:rPr>
                <w:rFonts w:ascii="Times New Roman" w:hAnsi="Times New Roman" w:eastAsia="仿宋" w:cs="Times New Roman"/>
                <w:b/>
                <w:bCs/>
                <w:color w:val="FFFFFF"/>
                <w:kern w:val="0"/>
                <w:sz w:val="21"/>
                <w:szCs w:val="21"/>
                <w:highlight w:val="none"/>
                <w:lang w:val="en-US" w:eastAsia="zh-CN" w:bidi="ar-SA"/>
              </w:rPr>
              <w:t>6级</w:t>
            </w:r>
          </w:p>
        </w:tc>
        <w:tc>
          <w:tcPr>
            <w:tcW w:w="662" w:type="pct"/>
            <w:shd w:val="clear" w:color="auto" w:fill="4472C4"/>
            <w:vAlign w:val="center"/>
          </w:tcPr>
          <w:p w14:paraId="0463F612">
            <w:pPr>
              <w:widowControl w:val="0"/>
              <w:spacing w:line="240" w:lineRule="auto"/>
              <w:ind w:firstLine="0" w:firstLineChars="0"/>
              <w:jc w:val="center"/>
              <w:rPr>
                <w:rFonts w:ascii="Times New Roman" w:hAnsi="Times New Roman" w:eastAsia="仿宋" w:cs="Times New Roman"/>
                <w:b/>
                <w:bCs/>
                <w:color w:val="FFFFFF"/>
                <w:kern w:val="0"/>
                <w:sz w:val="21"/>
                <w:szCs w:val="21"/>
                <w:highlight w:val="none"/>
                <w:lang w:val="en-US" w:eastAsia="zh-CN" w:bidi="ar-SA"/>
              </w:rPr>
            </w:pPr>
            <w:r>
              <w:rPr>
                <w:rFonts w:ascii="Times New Roman" w:hAnsi="Times New Roman" w:eastAsia="仿宋" w:cs="Times New Roman"/>
                <w:b/>
                <w:bCs/>
                <w:color w:val="FFFFFF"/>
                <w:kern w:val="0"/>
                <w:sz w:val="21"/>
                <w:szCs w:val="21"/>
                <w:highlight w:val="none"/>
                <w:lang w:val="en-US" w:eastAsia="zh-CN" w:bidi="ar-SA"/>
              </w:rPr>
              <w:t>8级</w:t>
            </w:r>
          </w:p>
        </w:tc>
        <w:tc>
          <w:tcPr>
            <w:tcW w:w="589" w:type="pct"/>
            <w:vMerge w:val="continue"/>
            <w:shd w:val="clear" w:color="auto" w:fill="auto"/>
            <w:vAlign w:val="center"/>
          </w:tcPr>
          <w:p w14:paraId="4FD4FBBB">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p>
        </w:tc>
        <w:tc>
          <w:tcPr>
            <w:tcW w:w="589" w:type="pct"/>
            <w:vMerge w:val="continue"/>
            <w:shd w:val="clear" w:color="auto" w:fill="auto"/>
            <w:vAlign w:val="center"/>
          </w:tcPr>
          <w:p w14:paraId="17C434CB">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p>
        </w:tc>
        <w:tc>
          <w:tcPr>
            <w:tcW w:w="675" w:type="pct"/>
            <w:vMerge w:val="continue"/>
            <w:shd w:val="clear" w:color="auto" w:fill="auto"/>
            <w:vAlign w:val="center"/>
          </w:tcPr>
          <w:p w14:paraId="57453B3F">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p>
        </w:tc>
        <w:tc>
          <w:tcPr>
            <w:tcW w:w="556" w:type="pct"/>
            <w:vMerge w:val="continue"/>
            <w:shd w:val="clear" w:color="auto" w:fill="auto"/>
            <w:vAlign w:val="center"/>
          </w:tcPr>
          <w:p w14:paraId="1A9A9F23">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p>
        </w:tc>
        <w:tc>
          <w:tcPr>
            <w:tcW w:w="605" w:type="pct"/>
            <w:vMerge w:val="continue"/>
            <w:shd w:val="clear" w:color="auto" w:fill="auto"/>
            <w:vAlign w:val="center"/>
          </w:tcPr>
          <w:p w14:paraId="5AC9193E">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p>
        </w:tc>
      </w:tr>
      <w:tr w14:paraId="42601D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986" w:type="pct"/>
            <w:gridSpan w:val="3"/>
            <w:shd w:val="clear" w:color="auto" w:fill="auto"/>
            <w:vAlign w:val="center"/>
          </w:tcPr>
          <w:p w14:paraId="0442388E">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t</w:t>
            </w:r>
          </w:p>
        </w:tc>
        <w:tc>
          <w:tcPr>
            <w:tcW w:w="3014" w:type="pct"/>
            <w:gridSpan w:val="5"/>
            <w:shd w:val="clear" w:color="auto" w:fill="auto"/>
            <w:vAlign w:val="center"/>
          </w:tcPr>
          <w:p w14:paraId="32848BB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mm</w:t>
            </w:r>
          </w:p>
        </w:tc>
      </w:tr>
      <w:tr w14:paraId="60178B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206FC4C1">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5</w:t>
            </w:r>
          </w:p>
        </w:tc>
        <w:tc>
          <w:tcPr>
            <w:tcW w:w="662" w:type="pct"/>
            <w:shd w:val="clear" w:color="auto" w:fill="auto"/>
            <w:vAlign w:val="center"/>
          </w:tcPr>
          <w:p w14:paraId="6EF7E6D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8</w:t>
            </w:r>
          </w:p>
        </w:tc>
        <w:tc>
          <w:tcPr>
            <w:tcW w:w="662" w:type="pct"/>
            <w:shd w:val="clear" w:color="auto" w:fill="auto"/>
            <w:vAlign w:val="center"/>
          </w:tcPr>
          <w:p w14:paraId="40DD3BBF">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10</w:t>
            </w:r>
          </w:p>
        </w:tc>
        <w:tc>
          <w:tcPr>
            <w:tcW w:w="589" w:type="pct"/>
            <w:shd w:val="clear" w:color="auto" w:fill="auto"/>
            <w:vAlign w:val="center"/>
          </w:tcPr>
          <w:p w14:paraId="4B0D6202">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3</w:t>
            </w:r>
          </w:p>
        </w:tc>
        <w:tc>
          <w:tcPr>
            <w:tcW w:w="589" w:type="pct"/>
            <w:shd w:val="clear" w:color="auto" w:fill="auto"/>
            <w:vAlign w:val="center"/>
          </w:tcPr>
          <w:p w14:paraId="0F21F28F">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3</w:t>
            </w:r>
          </w:p>
        </w:tc>
        <w:tc>
          <w:tcPr>
            <w:tcW w:w="675" w:type="pct"/>
            <w:shd w:val="clear" w:color="auto" w:fill="auto"/>
            <w:vAlign w:val="center"/>
          </w:tcPr>
          <w:p w14:paraId="3C906B7C">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7</w:t>
            </w:r>
          </w:p>
        </w:tc>
        <w:tc>
          <w:tcPr>
            <w:tcW w:w="556" w:type="pct"/>
            <w:shd w:val="clear" w:color="auto" w:fill="auto"/>
            <w:vAlign w:val="center"/>
          </w:tcPr>
          <w:p w14:paraId="6FE65073">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71</w:t>
            </w:r>
          </w:p>
        </w:tc>
        <w:tc>
          <w:tcPr>
            <w:tcW w:w="605" w:type="pct"/>
            <w:shd w:val="clear" w:color="auto" w:fill="auto"/>
            <w:vAlign w:val="center"/>
          </w:tcPr>
          <w:p w14:paraId="7067C6AC">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3</w:t>
            </w:r>
          </w:p>
        </w:tc>
      </w:tr>
      <w:tr w14:paraId="1F93D6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513113B0">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p>
        </w:tc>
        <w:tc>
          <w:tcPr>
            <w:tcW w:w="662" w:type="pct"/>
            <w:shd w:val="clear" w:color="auto" w:fill="auto"/>
            <w:vAlign w:val="center"/>
          </w:tcPr>
          <w:p w14:paraId="1DDA6D5F">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10</w:t>
            </w:r>
          </w:p>
        </w:tc>
        <w:tc>
          <w:tcPr>
            <w:tcW w:w="662" w:type="pct"/>
            <w:shd w:val="clear" w:color="auto" w:fill="auto"/>
            <w:vAlign w:val="center"/>
          </w:tcPr>
          <w:p w14:paraId="4ADE910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w:t>
            </w:r>
          </w:p>
        </w:tc>
        <w:tc>
          <w:tcPr>
            <w:tcW w:w="589" w:type="pct"/>
            <w:shd w:val="clear" w:color="auto" w:fill="auto"/>
            <w:vAlign w:val="center"/>
          </w:tcPr>
          <w:p w14:paraId="17A16B06">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3</w:t>
            </w:r>
          </w:p>
        </w:tc>
        <w:tc>
          <w:tcPr>
            <w:tcW w:w="589" w:type="pct"/>
            <w:shd w:val="clear" w:color="auto" w:fill="auto"/>
            <w:vAlign w:val="center"/>
          </w:tcPr>
          <w:p w14:paraId="642BB3B1">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40</w:t>
            </w:r>
          </w:p>
        </w:tc>
        <w:tc>
          <w:tcPr>
            <w:tcW w:w="675" w:type="pct"/>
            <w:shd w:val="clear" w:color="auto" w:fill="auto"/>
            <w:vAlign w:val="center"/>
          </w:tcPr>
          <w:p w14:paraId="076AB69A">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88</w:t>
            </w:r>
          </w:p>
        </w:tc>
        <w:tc>
          <w:tcPr>
            <w:tcW w:w="556" w:type="pct"/>
            <w:shd w:val="clear" w:color="auto" w:fill="auto"/>
            <w:vAlign w:val="center"/>
          </w:tcPr>
          <w:p w14:paraId="08D8FDBB">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80</w:t>
            </w:r>
          </w:p>
        </w:tc>
        <w:tc>
          <w:tcPr>
            <w:tcW w:w="605" w:type="pct"/>
            <w:shd w:val="clear" w:color="auto" w:fill="auto"/>
            <w:vAlign w:val="center"/>
          </w:tcPr>
          <w:p w14:paraId="0D5F3BA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40</w:t>
            </w:r>
          </w:p>
        </w:tc>
      </w:tr>
      <w:tr w14:paraId="340909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005139FC">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8</w:t>
            </w:r>
          </w:p>
        </w:tc>
        <w:tc>
          <w:tcPr>
            <w:tcW w:w="662" w:type="pct"/>
            <w:shd w:val="clear" w:color="auto" w:fill="auto"/>
            <w:vAlign w:val="center"/>
          </w:tcPr>
          <w:p w14:paraId="5A564523">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w:t>
            </w:r>
          </w:p>
        </w:tc>
        <w:tc>
          <w:tcPr>
            <w:tcW w:w="662" w:type="pct"/>
            <w:shd w:val="clear" w:color="auto" w:fill="auto"/>
            <w:vAlign w:val="center"/>
          </w:tcPr>
          <w:p w14:paraId="4BDE809A">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16</w:t>
            </w:r>
          </w:p>
        </w:tc>
        <w:tc>
          <w:tcPr>
            <w:tcW w:w="589" w:type="pct"/>
            <w:shd w:val="clear" w:color="auto" w:fill="auto"/>
            <w:vAlign w:val="center"/>
          </w:tcPr>
          <w:p w14:paraId="65183D01">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40</w:t>
            </w:r>
          </w:p>
        </w:tc>
        <w:tc>
          <w:tcPr>
            <w:tcW w:w="589" w:type="pct"/>
            <w:shd w:val="clear" w:color="auto" w:fill="auto"/>
            <w:vAlign w:val="center"/>
          </w:tcPr>
          <w:p w14:paraId="57B75613">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45</w:t>
            </w:r>
          </w:p>
        </w:tc>
        <w:tc>
          <w:tcPr>
            <w:tcW w:w="675" w:type="pct"/>
            <w:shd w:val="clear" w:color="auto" w:fill="auto"/>
            <w:vAlign w:val="center"/>
          </w:tcPr>
          <w:p w14:paraId="09720215">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99</w:t>
            </w:r>
          </w:p>
        </w:tc>
        <w:tc>
          <w:tcPr>
            <w:tcW w:w="556" w:type="pct"/>
            <w:shd w:val="clear" w:color="auto" w:fill="auto"/>
            <w:vAlign w:val="center"/>
          </w:tcPr>
          <w:p w14:paraId="73D03D99">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90</w:t>
            </w:r>
          </w:p>
        </w:tc>
        <w:tc>
          <w:tcPr>
            <w:tcW w:w="605" w:type="pct"/>
            <w:shd w:val="clear" w:color="auto" w:fill="auto"/>
            <w:vAlign w:val="center"/>
          </w:tcPr>
          <w:p w14:paraId="0B2BDC28">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45</w:t>
            </w:r>
          </w:p>
        </w:tc>
      </w:tr>
      <w:tr w14:paraId="34C3B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56BF4977">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10</w:t>
            </w:r>
          </w:p>
        </w:tc>
        <w:tc>
          <w:tcPr>
            <w:tcW w:w="662" w:type="pct"/>
            <w:shd w:val="clear" w:color="auto" w:fill="auto"/>
            <w:vAlign w:val="center"/>
          </w:tcPr>
          <w:p w14:paraId="4EF11F46">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16</w:t>
            </w:r>
          </w:p>
        </w:tc>
        <w:tc>
          <w:tcPr>
            <w:tcW w:w="662" w:type="pct"/>
            <w:shd w:val="clear" w:color="auto" w:fill="auto"/>
            <w:vAlign w:val="center"/>
          </w:tcPr>
          <w:p w14:paraId="4CC6DF44">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20</w:t>
            </w:r>
          </w:p>
        </w:tc>
        <w:tc>
          <w:tcPr>
            <w:tcW w:w="589" w:type="pct"/>
            <w:shd w:val="clear" w:color="auto" w:fill="auto"/>
            <w:vAlign w:val="center"/>
          </w:tcPr>
          <w:p w14:paraId="15ACFF80">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45</w:t>
            </w:r>
          </w:p>
        </w:tc>
        <w:tc>
          <w:tcPr>
            <w:tcW w:w="589" w:type="pct"/>
            <w:shd w:val="clear" w:color="auto" w:fill="auto"/>
            <w:vAlign w:val="center"/>
          </w:tcPr>
          <w:p w14:paraId="23CE2543">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50</w:t>
            </w:r>
          </w:p>
        </w:tc>
        <w:tc>
          <w:tcPr>
            <w:tcW w:w="675" w:type="pct"/>
            <w:shd w:val="clear" w:color="auto" w:fill="auto"/>
            <w:vAlign w:val="center"/>
          </w:tcPr>
          <w:p w14:paraId="6B9B43F0">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110</w:t>
            </w:r>
          </w:p>
        </w:tc>
        <w:tc>
          <w:tcPr>
            <w:tcW w:w="556" w:type="pct"/>
            <w:shd w:val="clear" w:color="auto" w:fill="auto"/>
            <w:vAlign w:val="center"/>
          </w:tcPr>
          <w:p w14:paraId="3AFB07D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100</w:t>
            </w:r>
          </w:p>
        </w:tc>
        <w:tc>
          <w:tcPr>
            <w:tcW w:w="605" w:type="pct"/>
            <w:shd w:val="clear" w:color="auto" w:fill="auto"/>
            <w:vAlign w:val="center"/>
          </w:tcPr>
          <w:p w14:paraId="012B764C">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50</w:t>
            </w:r>
          </w:p>
        </w:tc>
      </w:tr>
      <w:tr w14:paraId="6AA62F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4BA1DB41">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w:t>
            </w:r>
          </w:p>
        </w:tc>
        <w:tc>
          <w:tcPr>
            <w:tcW w:w="662" w:type="pct"/>
            <w:shd w:val="clear" w:color="auto" w:fill="auto"/>
            <w:vAlign w:val="center"/>
          </w:tcPr>
          <w:p w14:paraId="06A8D955">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20</w:t>
            </w:r>
          </w:p>
        </w:tc>
        <w:tc>
          <w:tcPr>
            <w:tcW w:w="662" w:type="pct"/>
            <w:shd w:val="clear" w:color="auto" w:fill="auto"/>
            <w:vAlign w:val="center"/>
          </w:tcPr>
          <w:p w14:paraId="1B31D01A">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25</w:t>
            </w:r>
          </w:p>
        </w:tc>
        <w:tc>
          <w:tcPr>
            <w:tcW w:w="589" w:type="pct"/>
            <w:shd w:val="clear" w:color="auto" w:fill="auto"/>
            <w:vAlign w:val="center"/>
          </w:tcPr>
          <w:p w14:paraId="1F2CD984">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50</w:t>
            </w:r>
          </w:p>
        </w:tc>
        <w:tc>
          <w:tcPr>
            <w:tcW w:w="589" w:type="pct"/>
            <w:shd w:val="clear" w:color="auto" w:fill="auto"/>
            <w:vAlign w:val="center"/>
          </w:tcPr>
          <w:p w14:paraId="345C629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56</w:t>
            </w:r>
          </w:p>
        </w:tc>
        <w:tc>
          <w:tcPr>
            <w:tcW w:w="675" w:type="pct"/>
            <w:shd w:val="clear" w:color="auto" w:fill="auto"/>
            <w:vAlign w:val="center"/>
          </w:tcPr>
          <w:p w14:paraId="66BACEBC">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12</w:t>
            </w:r>
          </w:p>
        </w:tc>
        <w:tc>
          <w:tcPr>
            <w:tcW w:w="556" w:type="pct"/>
            <w:shd w:val="clear" w:color="auto" w:fill="auto"/>
            <w:vAlign w:val="center"/>
          </w:tcPr>
          <w:p w14:paraId="32439705">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112</w:t>
            </w:r>
          </w:p>
        </w:tc>
        <w:tc>
          <w:tcPr>
            <w:tcW w:w="605" w:type="pct"/>
            <w:shd w:val="clear" w:color="auto" w:fill="auto"/>
            <w:vAlign w:val="center"/>
          </w:tcPr>
          <w:p w14:paraId="1EE2BC87">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56</w:t>
            </w:r>
          </w:p>
        </w:tc>
      </w:tr>
      <w:tr w14:paraId="0ACCF4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40021D20">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16</w:t>
            </w:r>
          </w:p>
        </w:tc>
        <w:tc>
          <w:tcPr>
            <w:tcW w:w="662" w:type="pct"/>
            <w:shd w:val="clear" w:color="auto" w:fill="auto"/>
            <w:vAlign w:val="center"/>
          </w:tcPr>
          <w:p w14:paraId="3003C444">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25</w:t>
            </w:r>
          </w:p>
        </w:tc>
        <w:tc>
          <w:tcPr>
            <w:tcW w:w="662" w:type="pct"/>
            <w:shd w:val="clear" w:color="auto" w:fill="auto"/>
            <w:vAlign w:val="center"/>
          </w:tcPr>
          <w:p w14:paraId="50413B1A">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32</w:t>
            </w:r>
          </w:p>
        </w:tc>
        <w:tc>
          <w:tcPr>
            <w:tcW w:w="589" w:type="pct"/>
            <w:shd w:val="clear" w:color="auto" w:fill="auto"/>
            <w:vAlign w:val="center"/>
          </w:tcPr>
          <w:p w14:paraId="272AF77F">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56</w:t>
            </w:r>
          </w:p>
        </w:tc>
        <w:tc>
          <w:tcPr>
            <w:tcW w:w="589" w:type="pct"/>
            <w:shd w:val="clear" w:color="auto" w:fill="auto"/>
            <w:vAlign w:val="center"/>
          </w:tcPr>
          <w:p w14:paraId="0EBAAF6F">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63</w:t>
            </w:r>
          </w:p>
        </w:tc>
        <w:tc>
          <w:tcPr>
            <w:tcW w:w="675" w:type="pct"/>
            <w:shd w:val="clear" w:color="auto" w:fill="auto"/>
            <w:vAlign w:val="center"/>
          </w:tcPr>
          <w:p w14:paraId="2BABC47E">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13</w:t>
            </w:r>
          </w:p>
        </w:tc>
        <w:tc>
          <w:tcPr>
            <w:tcW w:w="556" w:type="pct"/>
            <w:shd w:val="clear" w:color="auto" w:fill="auto"/>
            <w:vAlign w:val="center"/>
          </w:tcPr>
          <w:p w14:paraId="211816D0">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125</w:t>
            </w:r>
          </w:p>
        </w:tc>
        <w:tc>
          <w:tcPr>
            <w:tcW w:w="605" w:type="pct"/>
            <w:shd w:val="clear" w:color="auto" w:fill="auto"/>
            <w:vAlign w:val="center"/>
          </w:tcPr>
          <w:p w14:paraId="2292E2C7">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63</w:t>
            </w:r>
          </w:p>
        </w:tc>
      </w:tr>
      <w:tr w14:paraId="6D7085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62C5213F">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20</w:t>
            </w:r>
          </w:p>
        </w:tc>
        <w:tc>
          <w:tcPr>
            <w:tcW w:w="662" w:type="pct"/>
            <w:shd w:val="clear" w:color="auto" w:fill="auto"/>
            <w:vAlign w:val="center"/>
          </w:tcPr>
          <w:p w14:paraId="02E6A525">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32</w:t>
            </w:r>
          </w:p>
        </w:tc>
        <w:tc>
          <w:tcPr>
            <w:tcW w:w="662" w:type="pct"/>
            <w:shd w:val="clear" w:color="auto" w:fill="auto"/>
            <w:vAlign w:val="center"/>
          </w:tcPr>
          <w:p w14:paraId="2EA683CA">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40</w:t>
            </w:r>
          </w:p>
        </w:tc>
        <w:tc>
          <w:tcPr>
            <w:tcW w:w="589" w:type="pct"/>
            <w:shd w:val="clear" w:color="auto" w:fill="auto"/>
            <w:vAlign w:val="center"/>
          </w:tcPr>
          <w:p w14:paraId="6F0528CF">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63</w:t>
            </w:r>
          </w:p>
        </w:tc>
        <w:tc>
          <w:tcPr>
            <w:tcW w:w="589" w:type="pct"/>
            <w:shd w:val="clear" w:color="auto" w:fill="auto"/>
            <w:vAlign w:val="center"/>
          </w:tcPr>
          <w:p w14:paraId="571A9227">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71</w:t>
            </w:r>
          </w:p>
        </w:tc>
        <w:tc>
          <w:tcPr>
            <w:tcW w:w="675" w:type="pct"/>
            <w:shd w:val="clear" w:color="auto" w:fill="auto"/>
            <w:vAlign w:val="center"/>
          </w:tcPr>
          <w:p w14:paraId="282470C3">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15</w:t>
            </w:r>
          </w:p>
        </w:tc>
        <w:tc>
          <w:tcPr>
            <w:tcW w:w="556" w:type="pct"/>
            <w:shd w:val="clear" w:color="auto" w:fill="auto"/>
            <w:vAlign w:val="center"/>
          </w:tcPr>
          <w:p w14:paraId="000DA5D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140</w:t>
            </w:r>
          </w:p>
        </w:tc>
        <w:tc>
          <w:tcPr>
            <w:tcW w:w="605" w:type="pct"/>
            <w:shd w:val="clear" w:color="auto" w:fill="auto"/>
            <w:vAlign w:val="center"/>
          </w:tcPr>
          <w:p w14:paraId="73A35950">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71</w:t>
            </w:r>
          </w:p>
        </w:tc>
      </w:tr>
      <w:tr w14:paraId="0E7044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78ADC450">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25</w:t>
            </w:r>
          </w:p>
        </w:tc>
        <w:tc>
          <w:tcPr>
            <w:tcW w:w="662" w:type="pct"/>
            <w:shd w:val="clear" w:color="auto" w:fill="auto"/>
            <w:vAlign w:val="center"/>
          </w:tcPr>
          <w:p w14:paraId="047F3D6F">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40</w:t>
            </w:r>
          </w:p>
        </w:tc>
        <w:tc>
          <w:tcPr>
            <w:tcW w:w="662" w:type="pct"/>
            <w:shd w:val="clear" w:color="auto" w:fill="auto"/>
            <w:vAlign w:val="center"/>
          </w:tcPr>
          <w:p w14:paraId="0DED6B2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50</w:t>
            </w:r>
          </w:p>
        </w:tc>
        <w:tc>
          <w:tcPr>
            <w:tcW w:w="589" w:type="pct"/>
            <w:shd w:val="clear" w:color="auto" w:fill="auto"/>
            <w:vAlign w:val="center"/>
          </w:tcPr>
          <w:p w14:paraId="6C2BAF41">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71</w:t>
            </w:r>
          </w:p>
        </w:tc>
        <w:tc>
          <w:tcPr>
            <w:tcW w:w="589" w:type="pct"/>
            <w:shd w:val="clear" w:color="auto" w:fill="auto"/>
            <w:vAlign w:val="center"/>
          </w:tcPr>
          <w:p w14:paraId="55E751B7">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80</w:t>
            </w:r>
          </w:p>
        </w:tc>
        <w:tc>
          <w:tcPr>
            <w:tcW w:w="675" w:type="pct"/>
            <w:shd w:val="clear" w:color="auto" w:fill="auto"/>
            <w:vAlign w:val="center"/>
          </w:tcPr>
          <w:p w14:paraId="3E662266">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178</w:t>
            </w:r>
          </w:p>
        </w:tc>
        <w:tc>
          <w:tcPr>
            <w:tcW w:w="556" w:type="pct"/>
            <w:shd w:val="clear" w:color="auto" w:fill="auto"/>
            <w:vAlign w:val="center"/>
          </w:tcPr>
          <w:p w14:paraId="7923C9B4">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160</w:t>
            </w:r>
          </w:p>
        </w:tc>
        <w:tc>
          <w:tcPr>
            <w:tcW w:w="605" w:type="pct"/>
            <w:shd w:val="clear" w:color="auto" w:fill="auto"/>
            <w:vAlign w:val="center"/>
          </w:tcPr>
          <w:p w14:paraId="2E05BB33">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80</w:t>
            </w:r>
          </w:p>
        </w:tc>
      </w:tr>
      <w:tr w14:paraId="0BFB23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22D21F10">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32</w:t>
            </w:r>
          </w:p>
        </w:tc>
        <w:tc>
          <w:tcPr>
            <w:tcW w:w="662" w:type="pct"/>
            <w:shd w:val="clear" w:color="auto" w:fill="auto"/>
            <w:vAlign w:val="center"/>
          </w:tcPr>
          <w:p w14:paraId="42B7F615">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50</w:t>
            </w:r>
          </w:p>
        </w:tc>
        <w:tc>
          <w:tcPr>
            <w:tcW w:w="662" w:type="pct"/>
            <w:shd w:val="clear" w:color="auto" w:fill="auto"/>
            <w:vAlign w:val="center"/>
          </w:tcPr>
          <w:p w14:paraId="359C02A6">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63</w:t>
            </w:r>
          </w:p>
        </w:tc>
        <w:tc>
          <w:tcPr>
            <w:tcW w:w="589" w:type="pct"/>
            <w:shd w:val="clear" w:color="auto" w:fill="auto"/>
            <w:vAlign w:val="center"/>
          </w:tcPr>
          <w:p w14:paraId="2FBBBD05">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80</w:t>
            </w:r>
          </w:p>
        </w:tc>
        <w:tc>
          <w:tcPr>
            <w:tcW w:w="589" w:type="pct"/>
            <w:shd w:val="clear" w:color="auto" w:fill="auto"/>
            <w:vAlign w:val="center"/>
          </w:tcPr>
          <w:p w14:paraId="20713F0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90</w:t>
            </w:r>
          </w:p>
        </w:tc>
        <w:tc>
          <w:tcPr>
            <w:tcW w:w="675" w:type="pct"/>
            <w:shd w:val="clear" w:color="auto" w:fill="auto"/>
            <w:vAlign w:val="center"/>
          </w:tcPr>
          <w:p w14:paraId="0AC6D75F">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198</w:t>
            </w:r>
          </w:p>
        </w:tc>
        <w:tc>
          <w:tcPr>
            <w:tcW w:w="556" w:type="pct"/>
            <w:shd w:val="clear" w:color="auto" w:fill="auto"/>
            <w:vAlign w:val="center"/>
          </w:tcPr>
          <w:p w14:paraId="61583F25">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180</w:t>
            </w:r>
          </w:p>
        </w:tc>
        <w:tc>
          <w:tcPr>
            <w:tcW w:w="605" w:type="pct"/>
            <w:shd w:val="clear" w:color="auto" w:fill="auto"/>
            <w:vAlign w:val="center"/>
          </w:tcPr>
          <w:p w14:paraId="306C8D98">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90</w:t>
            </w:r>
          </w:p>
        </w:tc>
      </w:tr>
      <w:tr w14:paraId="7EFD45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662" w:type="pct"/>
            <w:shd w:val="clear" w:color="auto" w:fill="auto"/>
            <w:vAlign w:val="center"/>
          </w:tcPr>
          <w:p w14:paraId="03EE739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40</w:t>
            </w:r>
          </w:p>
        </w:tc>
        <w:tc>
          <w:tcPr>
            <w:tcW w:w="662" w:type="pct"/>
            <w:shd w:val="clear" w:color="auto" w:fill="auto"/>
            <w:vAlign w:val="center"/>
          </w:tcPr>
          <w:p w14:paraId="384CBC20">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63</w:t>
            </w:r>
          </w:p>
        </w:tc>
        <w:tc>
          <w:tcPr>
            <w:tcW w:w="662" w:type="pct"/>
            <w:shd w:val="clear" w:color="auto" w:fill="auto"/>
            <w:vAlign w:val="center"/>
          </w:tcPr>
          <w:p w14:paraId="79B504BD">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80</w:t>
            </w:r>
          </w:p>
        </w:tc>
        <w:tc>
          <w:tcPr>
            <w:tcW w:w="589" w:type="pct"/>
            <w:shd w:val="clear" w:color="auto" w:fill="auto"/>
            <w:vAlign w:val="center"/>
          </w:tcPr>
          <w:p w14:paraId="414A4192">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90</w:t>
            </w:r>
          </w:p>
        </w:tc>
        <w:tc>
          <w:tcPr>
            <w:tcW w:w="589" w:type="pct"/>
            <w:shd w:val="clear" w:color="auto" w:fill="auto"/>
            <w:vAlign w:val="center"/>
          </w:tcPr>
          <w:p w14:paraId="5DFF15C4">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100</w:t>
            </w:r>
          </w:p>
        </w:tc>
        <w:tc>
          <w:tcPr>
            <w:tcW w:w="675" w:type="pct"/>
            <w:shd w:val="clear" w:color="auto" w:fill="auto"/>
            <w:vAlign w:val="center"/>
          </w:tcPr>
          <w:p w14:paraId="024973D4">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220</w:t>
            </w:r>
          </w:p>
        </w:tc>
        <w:tc>
          <w:tcPr>
            <w:tcW w:w="556" w:type="pct"/>
            <w:shd w:val="clear" w:color="auto" w:fill="auto"/>
            <w:vAlign w:val="center"/>
          </w:tcPr>
          <w:p w14:paraId="448F1577">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200</w:t>
            </w:r>
          </w:p>
        </w:tc>
        <w:tc>
          <w:tcPr>
            <w:tcW w:w="605" w:type="pct"/>
            <w:shd w:val="clear" w:color="auto" w:fill="auto"/>
            <w:vAlign w:val="center"/>
          </w:tcPr>
          <w:p w14:paraId="7098B7E6">
            <w:pPr>
              <w:widowControl w:val="0"/>
              <w:spacing w:line="240" w:lineRule="auto"/>
              <w:ind w:firstLine="0" w:firstLineChars="0"/>
              <w:jc w:val="center"/>
              <w:rPr>
                <w:rFonts w:ascii="Times New Roman" w:hAnsi="Times New Roman" w:eastAsia="仿宋" w:cs="Times New Roman"/>
                <w:color w:val="000000"/>
                <w:kern w:val="0"/>
                <w:sz w:val="21"/>
                <w:szCs w:val="21"/>
                <w:highlight w:val="none"/>
                <w:lang w:val="en-US" w:eastAsia="zh-CN" w:bidi="ar-SA"/>
              </w:rPr>
            </w:pPr>
            <w:r>
              <w:rPr>
                <w:rFonts w:ascii="Times New Roman" w:hAnsi="Times New Roman" w:eastAsia="仿宋" w:cs="Times New Roman"/>
                <w:color w:val="000000"/>
                <w:kern w:val="0"/>
                <w:sz w:val="21"/>
                <w:szCs w:val="21"/>
                <w:highlight w:val="none"/>
                <w:lang w:val="en-US" w:eastAsia="zh-CN" w:bidi="ar-SA"/>
              </w:rPr>
              <w:t>100</w:t>
            </w:r>
          </w:p>
        </w:tc>
      </w:tr>
    </w:tbl>
    <w:p w14:paraId="2B473CC5">
      <w:pPr>
        <w:ind w:firstLine="480"/>
        <w:rPr>
          <w:rFonts w:ascii="Times New Roman" w:hAnsi="Times New Roman" w:eastAsia="宋体" w:cs="Times New Roman"/>
          <w:highlight w:val="none"/>
        </w:rPr>
      </w:pPr>
      <w:r>
        <w:rPr>
          <w:rFonts w:hint="eastAsia" w:ascii="Times New Roman" w:hAnsi="Times New Roman" w:eastAsia="宋体" w:cs="Times New Roman"/>
          <w:highlight w:val="none"/>
        </w:rPr>
        <w:t>四点吊的</w:t>
      </w:r>
      <w:r>
        <w:rPr>
          <w:rFonts w:hint="eastAsia" w:ascii="Times New Roman" w:hAnsi="Times New Roman" w:cs="Times New Roman"/>
          <w:highlight w:val="none"/>
          <w:lang w:eastAsia="zh-CN"/>
        </w:rPr>
        <w:t>塔机</w:t>
      </w:r>
      <w:r>
        <w:rPr>
          <w:rFonts w:hint="eastAsia" w:ascii="Times New Roman" w:hAnsi="Times New Roman" w:eastAsia="宋体" w:cs="Times New Roman"/>
          <w:highlight w:val="none"/>
        </w:rPr>
        <w:t>主要部件</w:t>
      </w:r>
      <w:r>
        <w:rPr>
          <w:rFonts w:hint="eastAsia" w:cs="Times New Roman"/>
          <w:highlight w:val="none"/>
          <w:lang w:val="en-US" w:eastAsia="zh-CN"/>
        </w:rPr>
        <w:t>为</w:t>
      </w:r>
      <w:r>
        <w:rPr>
          <w:rFonts w:hint="eastAsia" w:ascii="Times New Roman" w:hAnsi="Times New Roman" w:cs="Times New Roman"/>
          <w:highlight w:val="none"/>
          <w:lang w:val="en-US" w:eastAsia="zh-CN"/>
        </w:rPr>
        <w:t>爬升架</w:t>
      </w:r>
      <w:r>
        <w:rPr>
          <w:rFonts w:hint="eastAsia" w:cs="Times New Roman"/>
          <w:highlight w:val="none"/>
          <w:lang w:eastAsia="zh-CN"/>
        </w:rPr>
        <w:t>，</w:t>
      </w:r>
      <w:r>
        <w:rPr>
          <w:rFonts w:hint="eastAsia" w:ascii="Times New Roman" w:hAnsi="Times New Roman" w:cs="Times New Roman"/>
          <w:highlight w:val="none"/>
          <w:lang w:val="en-US" w:eastAsia="zh-CN"/>
        </w:rPr>
        <w:t>爬升架</w:t>
      </w:r>
      <w:r>
        <w:rPr>
          <w:rFonts w:hint="eastAsia" w:ascii="Times New Roman" w:hAnsi="Times New Roman" w:eastAsia="宋体" w:cs="Times New Roman"/>
          <w:highlight w:val="none"/>
        </w:rPr>
        <w:t>最大重量约</w:t>
      </w:r>
      <w:r>
        <w:rPr>
          <w:rFonts w:hint="eastAsia" w:ascii="Times New Roman" w:hAnsi="Times New Roman" w:cs="Times New Roman"/>
          <w:highlight w:val="none"/>
          <w:lang w:val="en-US" w:eastAsia="zh-CN"/>
        </w:rPr>
        <w:t>5.35</w:t>
      </w:r>
      <w:r>
        <w:rPr>
          <w:rFonts w:hint="eastAsia" w:ascii="Times New Roman" w:hAnsi="Times New Roman" w:eastAsia="宋体" w:cs="Times New Roman"/>
          <w:highlight w:val="none"/>
          <w:lang w:val="en-US" w:eastAsia="zh-CN"/>
        </w:rPr>
        <w:t>t</w:t>
      </w:r>
      <w:r>
        <w:rPr>
          <w:rFonts w:hint="eastAsia" w:ascii="Times New Roman" w:hAnsi="Times New Roman" w:eastAsia="宋体" w:cs="Times New Roman"/>
          <w:highlight w:val="none"/>
        </w:rPr>
        <w:t>，钢丝绳连接卸扣工作荷载：</w:t>
      </w:r>
    </w:p>
    <w:p w14:paraId="33190F2F">
      <w:pPr>
        <w:ind w:firstLine="480"/>
        <w:rPr>
          <w:rFonts w:ascii="Times New Roman" w:hAnsi="Times New Roman" w:eastAsia="宋体" w:cs="Times New Roman"/>
          <w:highlight w:val="none"/>
        </w:rPr>
      </w:pPr>
      <m:oMath>
        <m:r>
          <m:rPr>
            <m:nor/>
            <m:sty m:val="p"/>
          </m:rPr>
          <w:rPr>
            <w:rFonts w:hint="eastAsia" w:ascii="Times New Roman" w:hAnsi="Times New Roman"/>
            <w:b w:val="0"/>
            <w:i w:val="0"/>
            <w:highlight w:val="none"/>
            <w:lang w:val="en-US" w:eastAsia="zh-CN"/>
          </w:rPr>
          <m:t>WL</m:t>
        </m:r>
        <m:sSub>
          <m:sSubPr>
            <m:ctrlPr>
              <w:rPr>
                <w:rFonts w:hint="eastAsia" w:ascii="Cambria Math" w:hAnsi="Cambria Math"/>
                <w:b w:val="0"/>
                <w:i w:val="0"/>
                <w:highlight w:val="none"/>
                <w:lang w:val="en-US" w:eastAsia="zh-CN"/>
              </w:rPr>
            </m:ctrlPr>
          </m:sSubPr>
          <m:e>
            <m:r>
              <m:rPr>
                <m:nor/>
                <m:sty m:val="p"/>
              </m:rPr>
              <w:rPr>
                <w:rFonts w:hint="eastAsia" w:ascii="Times New Roman" w:hAnsi="Times New Roman"/>
                <w:b w:val="0"/>
                <w:i w:val="0"/>
                <w:highlight w:val="none"/>
                <w:lang w:val="en-US" w:eastAsia="zh-CN"/>
              </w:rPr>
              <m:t>L</m:t>
            </m:r>
            <m:ctrlPr>
              <w:rPr>
                <w:rFonts w:hint="eastAsia" w:ascii="Cambria Math" w:hAnsi="Cambria Math"/>
                <w:b w:val="0"/>
                <w:i w:val="0"/>
                <w:highlight w:val="none"/>
                <w:lang w:val="en-US" w:eastAsia="zh-CN"/>
              </w:rPr>
            </m:ctrlPr>
          </m:e>
          <m:sub>
            <m:r>
              <m:rPr>
                <m:nor/>
                <m:sty m:val="p"/>
              </m:rPr>
              <w:rPr>
                <w:rFonts w:hint="eastAsia" w:ascii="Times New Roman" w:hAnsi="Times New Roman"/>
                <w:b w:val="0"/>
                <w:i w:val="0"/>
                <w:highlight w:val="none"/>
                <w:lang w:val="en-US" w:eastAsia="zh-CN"/>
              </w:rPr>
              <m:t>0</m:t>
            </m:r>
            <m:ctrlPr>
              <w:rPr>
                <w:rFonts w:hint="eastAsia" w:ascii="Cambria Math" w:hAnsi="Cambria Math"/>
                <w:b w:val="0"/>
                <w:i w:val="0"/>
                <w:highlight w:val="none"/>
                <w:lang w:val="en-US" w:eastAsia="zh-CN"/>
              </w:rPr>
            </m:ctrlPr>
          </m:sub>
        </m:sSub>
        <m:r>
          <m:rPr>
            <m:nor/>
            <m:sty m:val="p"/>
          </m:rPr>
          <w:rPr>
            <w:rFonts w:hint="eastAsia" w:ascii="Times New Roman" w:hAnsi="Times New Roman"/>
            <w:b w:val="0"/>
            <w:i w:val="0"/>
            <w:highlight w:val="none"/>
            <w:lang w:val="en-US" w:eastAsia="zh-CN"/>
          </w:rPr>
          <m:t>=</m:t>
        </m:r>
        <m:f>
          <m:fPr>
            <m:ctrlPr>
              <w:rPr>
                <w:rFonts w:hint="eastAsia" w:ascii="Cambria Math" w:hAnsi="Cambria Math"/>
                <w:b w:val="0"/>
                <w:i w:val="0"/>
                <w:highlight w:val="none"/>
                <w:lang w:val="en-US" w:eastAsia="zh-CN"/>
              </w:rPr>
            </m:ctrlPr>
          </m:fPr>
          <m:num>
            <m:r>
              <m:rPr>
                <m:sty m:val="p"/>
              </m:rPr>
              <w:rPr>
                <w:rFonts w:hint="default" w:ascii="Times New Roman" w:hAnsi="Times New Roman"/>
                <w:highlight w:val="none"/>
                <w:lang w:val="en-US" w:eastAsia="zh-CN"/>
              </w:rPr>
              <m:t>166.56</m:t>
            </m:r>
            <m:ctrlPr>
              <w:rPr>
                <w:rFonts w:hint="eastAsia" w:ascii="Cambria Math" w:hAnsi="Cambria Math"/>
                <w:b w:val="0"/>
                <w:i w:val="0"/>
                <w:highlight w:val="none"/>
                <w:lang w:val="en-US" w:eastAsia="zh-CN"/>
              </w:rPr>
            </m:ctrlPr>
          </m:num>
          <m:den>
            <m:r>
              <m:rPr>
                <m:nor/>
                <m:sty m:val="p"/>
              </m:rPr>
              <w:rPr>
                <w:rFonts w:hint="eastAsia" w:ascii="Times New Roman" w:hAnsi="Times New Roman"/>
                <w:b w:val="0"/>
                <w:i w:val="0"/>
                <w:highlight w:val="none"/>
                <w:lang w:val="en-US" w:eastAsia="zh-CN"/>
              </w:rPr>
              <m:t>6</m:t>
            </m:r>
            <m:ctrlPr>
              <w:rPr>
                <w:rFonts w:hint="eastAsia" w:ascii="Cambria Math" w:hAnsi="Cambria Math"/>
                <w:b w:val="0"/>
                <w:i w:val="0"/>
                <w:highlight w:val="none"/>
                <w:lang w:val="en-US" w:eastAsia="zh-CN"/>
              </w:rPr>
            </m:ctrlPr>
          </m:den>
        </m:f>
        <m:r>
          <m:rPr>
            <m:nor/>
            <m:sty m:val="p"/>
          </m:rPr>
          <w:rPr>
            <w:rFonts w:hint="eastAsia" w:ascii="Times New Roman" w:hAnsi="Times New Roman"/>
            <w:b w:val="0"/>
            <w:i w:val="0"/>
            <w:highlight w:val="none"/>
            <w:lang w:val="en-US" w:eastAsia="zh-CN"/>
          </w:rPr>
          <m:t>=</m:t>
        </m:r>
        <m:r>
          <m:rPr>
            <m:nor/>
            <m:sty m:val="p"/>
          </m:rPr>
          <w:rPr>
            <w:rFonts w:hint="default" w:ascii="Times New Roman" w:hAnsi="Times New Roman"/>
            <w:b w:val="0"/>
            <w:i w:val="0"/>
            <w:highlight w:val="none"/>
            <w:lang w:val="en-US" w:eastAsia="zh-CN"/>
          </w:rPr>
          <m:t>27.76kN</m:t>
        </m:r>
      </m:oMath>
      <w:r>
        <w:rPr>
          <w:rFonts w:hint="eastAsia" w:ascii="Times New Roman" w:hAnsi="Times New Roman" w:eastAsia="宋体" w:cs="Times New Roman"/>
          <w:highlight w:val="none"/>
        </w:rPr>
        <w:t>，选用卸扣GB/T25854-6-DW</w:t>
      </w: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rPr>
        <w:t>。</w:t>
      </w:r>
    </w:p>
    <w:p w14:paraId="4899DA47">
      <w:pPr>
        <w:ind w:firstLine="480"/>
        <w:rPr>
          <w:rFonts w:ascii="Times New Roman" w:hAnsi="Times New Roman" w:eastAsia="宋体" w:cs="Times New Roman"/>
          <w:highlight w:val="none"/>
        </w:rPr>
      </w:pPr>
      <w:r>
        <w:rPr>
          <w:rFonts w:hint="eastAsia" w:cs="Times New Roman"/>
          <w:highlight w:val="none"/>
          <w:lang w:val="en-US" w:eastAsia="zh-CN"/>
        </w:rPr>
        <w:t>两</w:t>
      </w:r>
      <w:r>
        <w:rPr>
          <w:rFonts w:hint="eastAsia" w:ascii="Times New Roman" w:hAnsi="Times New Roman" w:eastAsia="宋体" w:cs="Times New Roman"/>
          <w:highlight w:val="none"/>
        </w:rPr>
        <w:t>点吊的</w:t>
      </w:r>
      <w:r>
        <w:rPr>
          <w:rFonts w:hint="eastAsia" w:ascii="Times New Roman" w:hAnsi="Times New Roman" w:cs="Times New Roman"/>
          <w:highlight w:val="none"/>
          <w:lang w:eastAsia="zh-CN"/>
        </w:rPr>
        <w:t>塔机</w:t>
      </w:r>
      <w:r>
        <w:rPr>
          <w:rFonts w:hint="eastAsia" w:ascii="Times New Roman" w:hAnsi="Times New Roman" w:eastAsia="宋体" w:cs="Times New Roman"/>
          <w:highlight w:val="none"/>
        </w:rPr>
        <w:t>主要部件</w:t>
      </w:r>
      <w:r>
        <w:rPr>
          <w:rFonts w:hint="eastAsia" w:cs="Times New Roman"/>
          <w:highlight w:val="none"/>
          <w:lang w:val="en-US" w:eastAsia="zh-CN"/>
        </w:rPr>
        <w:t>为</w:t>
      </w:r>
      <w:r>
        <w:rPr>
          <w:rFonts w:hint="eastAsia" w:ascii="Times New Roman" w:hAnsi="Times New Roman" w:cs="Times New Roman"/>
          <w:highlight w:val="none"/>
          <w:lang w:val="en-US" w:eastAsia="zh-CN"/>
        </w:rPr>
        <w:t>平衡重</w:t>
      </w:r>
      <w:r>
        <w:rPr>
          <w:rFonts w:hint="eastAsia" w:cs="Times New Roman"/>
          <w:highlight w:val="none"/>
          <w:lang w:eastAsia="zh-CN"/>
        </w:rPr>
        <w:t>，</w:t>
      </w:r>
      <w:r>
        <w:rPr>
          <w:rFonts w:hint="eastAsia" w:ascii="Times New Roman" w:hAnsi="Times New Roman" w:cs="Times New Roman"/>
          <w:highlight w:val="none"/>
          <w:lang w:val="en-US" w:eastAsia="zh-CN"/>
        </w:rPr>
        <w:t>平衡重</w:t>
      </w:r>
      <w:r>
        <w:rPr>
          <w:rFonts w:hint="eastAsia" w:ascii="Times New Roman" w:hAnsi="Times New Roman" w:eastAsia="宋体" w:cs="Times New Roman"/>
          <w:highlight w:val="none"/>
        </w:rPr>
        <w:t>最大重量</w:t>
      </w:r>
      <w:r>
        <w:rPr>
          <w:rFonts w:hint="eastAsia" w:ascii="Times New Roman" w:hAnsi="Times New Roman" w:cs="Times New Roman"/>
          <w:highlight w:val="none"/>
          <w:lang w:val="en-US" w:eastAsia="zh-CN"/>
        </w:rPr>
        <w:t>约3.2</w:t>
      </w:r>
      <w:r>
        <w:rPr>
          <w:rFonts w:hint="eastAsia" w:ascii="Times New Roman" w:hAnsi="Times New Roman" w:eastAsia="宋体" w:cs="Times New Roman"/>
          <w:highlight w:val="none"/>
          <w:lang w:val="en-US" w:eastAsia="zh-CN"/>
        </w:rPr>
        <w:t>t</w:t>
      </w:r>
      <w:r>
        <w:rPr>
          <w:rFonts w:hint="eastAsia" w:ascii="Times New Roman" w:hAnsi="Times New Roman" w:eastAsia="宋体" w:cs="Times New Roman"/>
          <w:highlight w:val="none"/>
        </w:rPr>
        <w:t>，钢丝绳连接卸扣工作荷载：</w:t>
      </w:r>
    </w:p>
    <w:p w14:paraId="4F3B97A0">
      <w:pPr>
        <w:ind w:firstLine="480"/>
        <w:rPr>
          <w:rFonts w:hint="eastAsia" w:ascii="Times New Roman" w:hAnsi="Times New Roman" w:eastAsia="宋体" w:cs="Times New Roman"/>
          <w:highlight w:val="none"/>
        </w:rPr>
      </w:pPr>
      <m:oMath>
        <m:r>
          <m:rPr>
            <m:nor/>
            <m:sty m:val="p"/>
          </m:rPr>
          <w:rPr>
            <w:rFonts w:ascii="Times New Roman" w:hAnsi="Times New Roman"/>
            <w:b w:val="0"/>
            <w:i w:val="0"/>
            <w:highlight w:val="none"/>
          </w:rPr>
          <m:t>WL</m:t>
        </m:r>
        <m:sSub>
          <m:sSubPr>
            <m:ctrlPr>
              <w:rPr>
                <w:rFonts w:ascii="Cambria Math" w:hAnsi="Cambria Math"/>
                <w:b w:val="0"/>
                <w:i w:val="0"/>
                <w:highlight w:val="none"/>
              </w:rPr>
            </m:ctrlPr>
          </m:sSubPr>
          <m:e>
            <m:r>
              <m:rPr>
                <m:nor/>
                <m:sty m:val="p"/>
              </m:rPr>
              <w:rPr>
                <w:rFonts w:ascii="Times New Roman" w:hAnsi="Times New Roman"/>
                <w:b w:val="0"/>
                <w:i w:val="0"/>
                <w:highlight w:val="none"/>
              </w:rPr>
              <m:t>L</m:t>
            </m:r>
            <m:ctrlPr>
              <w:rPr>
                <w:rFonts w:ascii="Cambria Math" w:hAnsi="Cambria Math"/>
                <w:b w:val="0"/>
                <w:i w:val="0"/>
                <w:highlight w:val="none"/>
              </w:rPr>
            </m:ctrlPr>
          </m:e>
          <m:sub>
            <m:r>
              <m:rPr>
                <m:nor/>
                <m:sty m:val="p"/>
              </m:rPr>
              <w:rPr>
                <w:rFonts w:ascii="Times New Roman" w:hAnsi="Times New Roman"/>
                <w:b w:val="0"/>
                <w:i w:val="0"/>
                <w:highlight w:val="none"/>
              </w:rPr>
              <m:t>0</m:t>
            </m:r>
            <m:ctrlPr>
              <w:rPr>
                <w:rFonts w:ascii="Cambria Math" w:hAnsi="Cambria Math"/>
                <w:b w:val="0"/>
                <w:i w:val="0"/>
                <w:highlight w:val="none"/>
              </w:rPr>
            </m:ctrlPr>
          </m:sub>
        </m:sSub>
        <m:r>
          <m:rPr>
            <m:nor/>
            <m:sty m:val="p"/>
          </m:rPr>
          <w:rPr>
            <w:rFonts w:ascii="Times New Roman" w:hAnsi="Times New Roman"/>
            <w:b w:val="0"/>
            <w:i w:val="0"/>
            <w:highlight w:val="none"/>
          </w:rPr>
          <m:t>=</m:t>
        </m:r>
        <m:f>
          <m:fPr>
            <m:ctrlPr>
              <w:rPr>
                <w:rFonts w:ascii="Cambria Math" w:hAnsi="Cambria Math"/>
                <w:b w:val="0"/>
                <w:i w:val="0"/>
                <w:highlight w:val="none"/>
              </w:rPr>
            </m:ctrlPr>
          </m:fPr>
          <m:num>
            <m:r>
              <m:rPr>
                <m:sty m:val="p"/>
              </m:rPr>
              <w:rPr>
                <w:rFonts w:hint="default" w:ascii="Times New Roman" w:hAnsi="Times New Roman"/>
                <w:highlight w:val="none"/>
                <w:lang w:val="en-US" w:eastAsia="zh-CN"/>
              </w:rPr>
              <m:t>149.44</m:t>
            </m:r>
            <m:ctrlPr>
              <w:rPr>
                <w:rFonts w:ascii="Cambria Math" w:hAnsi="Cambria Math"/>
                <w:b w:val="0"/>
                <w:i w:val="0"/>
                <w:highlight w:val="none"/>
              </w:rPr>
            </m:ctrlPr>
          </m:num>
          <m:den>
            <m:r>
              <m:rPr>
                <m:nor/>
                <m:sty m:val="p"/>
              </m:rPr>
              <w:rPr>
                <w:rFonts w:ascii="Times New Roman" w:hAnsi="Times New Roman"/>
                <w:b w:val="0"/>
                <w:i w:val="0"/>
                <w:highlight w:val="none"/>
              </w:rPr>
              <m:t>6</m:t>
            </m:r>
            <m:ctrlPr>
              <w:rPr>
                <w:rFonts w:ascii="Cambria Math" w:hAnsi="Cambria Math"/>
                <w:b w:val="0"/>
                <w:i w:val="0"/>
                <w:highlight w:val="none"/>
              </w:rPr>
            </m:ctrlPr>
          </m:den>
        </m:f>
        <m:r>
          <m:rPr>
            <m:nor/>
            <m:sty m:val="p"/>
          </m:rPr>
          <w:rPr>
            <w:rFonts w:ascii="Times New Roman" w:hAnsi="Times New Roman"/>
            <w:b w:val="0"/>
            <w:i w:val="0"/>
            <w:highlight w:val="none"/>
          </w:rPr>
          <m:t>=</m:t>
        </m:r>
        <m:r>
          <m:rPr>
            <m:nor/>
            <m:sty m:val="p"/>
          </m:rPr>
          <w:rPr>
            <w:rFonts w:hint="default" w:ascii="Times New Roman" w:hAnsi="Times New Roman"/>
            <w:b w:val="0"/>
            <w:i w:val="0"/>
            <w:highlight w:val="none"/>
            <w:lang w:val="en-US" w:eastAsia="zh-CN"/>
          </w:rPr>
          <m:t>24.91</m:t>
        </m:r>
        <m:r>
          <m:rPr>
            <m:nor/>
            <m:sty m:val="p"/>
          </m:rPr>
          <w:rPr>
            <w:rFonts w:hint="eastAsia" w:ascii="Times New Roman" w:hAnsi="Times New Roman"/>
            <w:b w:val="0"/>
            <w:i w:val="0"/>
            <w:highlight w:val="none"/>
            <w:lang w:val="en-US" w:eastAsia="zh-CN"/>
          </w:rPr>
          <m:t>k</m:t>
        </m:r>
        <m:r>
          <m:rPr>
            <m:nor/>
            <m:sty m:val="p"/>
          </m:rPr>
          <w:rPr>
            <w:rFonts w:ascii="Times New Roman" w:hAnsi="Times New Roman"/>
            <w:b w:val="0"/>
            <w:i w:val="0"/>
            <w:highlight w:val="none"/>
          </w:rPr>
          <m:t>N</m:t>
        </m:r>
      </m:oMath>
      <w:r>
        <w:rPr>
          <w:rFonts w:hint="eastAsia" w:ascii="Times New Roman" w:hAnsi="Times New Roman" w:eastAsia="宋体" w:cs="Times New Roman"/>
          <w:highlight w:val="none"/>
        </w:rPr>
        <w:t>，选用卸扣GB/T25854-6-DW</w:t>
      </w: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rPr>
        <w:t>。</w:t>
      </w:r>
    </w:p>
    <w:p w14:paraId="22DB5F92">
      <w:pPr>
        <w:ind w:firstLine="420" w:firstLineChars="0"/>
        <w:rPr>
          <w:highlight w:val="none"/>
        </w:rPr>
      </w:pPr>
      <w:r>
        <w:rPr>
          <w:color w:val="auto"/>
          <w:highlight w:val="none"/>
        </w:rPr>
        <w:t>根据</w:t>
      </w:r>
      <w:r>
        <w:rPr>
          <w:rFonts w:hint="eastAsia"/>
          <w:color w:val="auto"/>
          <w:highlight w:val="none"/>
          <w:lang w:eastAsia="zh-CN"/>
        </w:rPr>
        <w:t>塔机</w:t>
      </w:r>
      <w:r>
        <w:rPr>
          <w:color w:val="auto"/>
          <w:highlight w:val="none"/>
        </w:rPr>
        <w:t>基础设计参数及</w:t>
      </w:r>
      <w:r>
        <w:rPr>
          <w:rFonts w:hint="eastAsia"/>
          <w:color w:val="auto"/>
          <w:highlight w:val="none"/>
          <w:lang w:eastAsia="zh-CN"/>
        </w:rPr>
        <w:t>塔机</w:t>
      </w:r>
      <w:r>
        <w:rPr>
          <w:color w:val="auto"/>
          <w:highlight w:val="none"/>
        </w:rPr>
        <w:t>主要部件重量及吊</w:t>
      </w:r>
      <w:r>
        <w:rPr>
          <w:rFonts w:hint="eastAsia"/>
          <w:color w:val="auto"/>
          <w:highlight w:val="none"/>
        </w:rPr>
        <w:t>装</w:t>
      </w:r>
      <w:r>
        <w:rPr>
          <w:color w:val="auto"/>
          <w:highlight w:val="none"/>
        </w:rPr>
        <w:t>高度，确定</w:t>
      </w:r>
      <w:r>
        <w:rPr>
          <w:rFonts w:hint="eastAsia"/>
          <w:color w:val="auto"/>
          <w:highlight w:val="none"/>
          <w:lang w:val="en-US" w:eastAsia="zh-CN"/>
        </w:rPr>
        <w:t>拆除</w:t>
      </w:r>
      <w:r>
        <w:rPr>
          <w:color w:val="auto"/>
          <w:highlight w:val="none"/>
        </w:rPr>
        <w:t>过程中所需的最大吊重、最大钢丝绳夹角，结合施工现场实际情况，确定起重钢丝绳型号。钢丝绳及卸扣选型见下表。</w:t>
      </w:r>
    </w:p>
    <w:p w14:paraId="6D8DC8A9">
      <w:pPr>
        <w:pStyle w:val="14"/>
        <w:rPr>
          <w:color w:val="auto"/>
          <w:highlight w:val="none"/>
        </w:rPr>
      </w:pPr>
      <w:r>
        <w:rPr>
          <w:color w:val="auto"/>
          <w:highlight w:val="none"/>
        </w:rPr>
        <w:t>表</w:t>
      </w:r>
      <w:r>
        <w:rPr>
          <w:rFonts w:hint="eastAsia"/>
          <w:color w:val="auto"/>
          <w:highlight w:val="none"/>
          <w:lang w:val="en-US" w:eastAsia="zh-CN"/>
        </w:rPr>
        <w:t>4.2.2-2</w:t>
      </w:r>
      <w:r>
        <w:rPr>
          <w:color w:val="auto"/>
          <w:highlight w:val="none"/>
        </w:rPr>
        <w:t>钢丝绳选型表</w:t>
      </w:r>
    </w:p>
    <w:tbl>
      <w:tblPr>
        <w:tblStyle w:val="30"/>
        <w:tblW w:w="650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79"/>
        <w:gridCol w:w="1559"/>
        <w:gridCol w:w="2835"/>
        <w:gridCol w:w="567"/>
        <w:gridCol w:w="567"/>
      </w:tblGrid>
      <w:tr w14:paraId="6E3A00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979" w:type="dxa"/>
            <w:vAlign w:val="center"/>
          </w:tcPr>
          <w:p w14:paraId="1E8BDD9B">
            <w:pPr>
              <w:pStyle w:val="167"/>
              <w:rPr>
                <w:b w:val="0"/>
                <w:color w:val="auto"/>
              </w:rPr>
            </w:pPr>
            <w:r>
              <w:rPr>
                <w:b/>
                <w:color w:val="auto"/>
              </w:rPr>
              <w:t>序号</w:t>
            </w:r>
          </w:p>
        </w:tc>
        <w:tc>
          <w:tcPr>
            <w:tcW w:w="1559" w:type="dxa"/>
            <w:vAlign w:val="center"/>
          </w:tcPr>
          <w:p w14:paraId="5F3CBD3C">
            <w:pPr>
              <w:pStyle w:val="167"/>
              <w:rPr>
                <w:b w:val="0"/>
                <w:color w:val="auto"/>
              </w:rPr>
            </w:pPr>
            <w:r>
              <w:rPr>
                <w:b/>
                <w:color w:val="auto"/>
              </w:rPr>
              <w:t>设备名称</w:t>
            </w:r>
          </w:p>
        </w:tc>
        <w:tc>
          <w:tcPr>
            <w:tcW w:w="2835" w:type="dxa"/>
            <w:vAlign w:val="center"/>
          </w:tcPr>
          <w:p w14:paraId="16AC168F">
            <w:pPr>
              <w:pStyle w:val="167"/>
              <w:rPr>
                <w:b w:val="0"/>
                <w:color w:val="auto"/>
              </w:rPr>
            </w:pPr>
            <w:r>
              <w:rPr>
                <w:b/>
                <w:color w:val="auto"/>
              </w:rPr>
              <w:t>规格型号</w:t>
            </w:r>
          </w:p>
        </w:tc>
        <w:tc>
          <w:tcPr>
            <w:tcW w:w="567" w:type="dxa"/>
            <w:vAlign w:val="center"/>
          </w:tcPr>
          <w:p w14:paraId="01C20C6B">
            <w:pPr>
              <w:pStyle w:val="167"/>
              <w:rPr>
                <w:b w:val="0"/>
                <w:color w:val="auto"/>
              </w:rPr>
            </w:pPr>
            <w:r>
              <w:rPr>
                <w:b/>
                <w:color w:val="auto"/>
              </w:rPr>
              <w:t>单位</w:t>
            </w:r>
          </w:p>
        </w:tc>
        <w:tc>
          <w:tcPr>
            <w:tcW w:w="567" w:type="dxa"/>
            <w:vAlign w:val="center"/>
          </w:tcPr>
          <w:p w14:paraId="06B8DE46">
            <w:pPr>
              <w:pStyle w:val="167"/>
              <w:rPr>
                <w:b w:val="0"/>
                <w:color w:val="auto"/>
              </w:rPr>
            </w:pPr>
            <w:r>
              <w:rPr>
                <w:b/>
                <w:color w:val="auto"/>
              </w:rPr>
              <w:t>数量</w:t>
            </w:r>
          </w:p>
        </w:tc>
      </w:tr>
      <w:tr w14:paraId="78442A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79" w:type="dxa"/>
            <w:vAlign w:val="center"/>
          </w:tcPr>
          <w:p w14:paraId="2FC243D7">
            <w:pPr>
              <w:pStyle w:val="167"/>
              <w:rPr>
                <w:rFonts w:hint="default" w:eastAsia="宋体"/>
                <w:color w:val="auto"/>
                <w:lang w:val="en-US" w:eastAsia="zh-CN"/>
              </w:rPr>
            </w:pPr>
            <w:r>
              <w:rPr>
                <w:rFonts w:hint="eastAsia"/>
                <w:color w:val="auto"/>
                <w:lang w:val="en-US" w:eastAsia="zh-CN"/>
              </w:rPr>
              <w:t>1</w:t>
            </w:r>
          </w:p>
        </w:tc>
        <w:tc>
          <w:tcPr>
            <w:tcW w:w="1559" w:type="dxa"/>
            <w:vAlign w:val="center"/>
          </w:tcPr>
          <w:p w14:paraId="7AA6E8E1">
            <w:pPr>
              <w:pStyle w:val="167"/>
              <w:rPr>
                <w:color w:val="auto"/>
              </w:rPr>
            </w:pPr>
            <w:r>
              <w:rPr>
                <w:color w:val="auto"/>
              </w:rPr>
              <w:t>起重用钢丝绳</w:t>
            </w:r>
          </w:p>
        </w:tc>
        <w:tc>
          <w:tcPr>
            <w:tcW w:w="2835" w:type="dxa"/>
            <w:vAlign w:val="center"/>
          </w:tcPr>
          <w:p w14:paraId="0DC5F848">
            <w:pPr>
              <w:pStyle w:val="167"/>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18</w:t>
            </w:r>
            <w:r>
              <w:rPr>
                <w:rFonts w:hint="eastAsia" w:ascii="Times New Roman" w:hAnsi="Times New Roman" w:eastAsia="宋体" w:cs="Times New Roman"/>
                <w:color w:val="auto"/>
                <w:kern w:val="2"/>
                <w:sz w:val="21"/>
                <w:szCs w:val="21"/>
                <w:highlight w:val="none"/>
                <w:lang w:val="en-US" w:eastAsia="zh-CN" w:bidi="ar-SA"/>
              </w:rPr>
              <w:t>mm6×19W+IWR1870Mpa</w:t>
            </w:r>
          </w:p>
        </w:tc>
        <w:tc>
          <w:tcPr>
            <w:tcW w:w="567" w:type="dxa"/>
            <w:vAlign w:val="center"/>
          </w:tcPr>
          <w:p w14:paraId="6382F595">
            <w:pPr>
              <w:pStyle w:val="167"/>
              <w:rPr>
                <w:color w:val="auto"/>
              </w:rPr>
            </w:pPr>
            <w:r>
              <w:rPr>
                <w:color w:val="auto"/>
              </w:rPr>
              <w:t>根</w:t>
            </w:r>
          </w:p>
        </w:tc>
        <w:tc>
          <w:tcPr>
            <w:tcW w:w="567" w:type="dxa"/>
            <w:vAlign w:val="center"/>
          </w:tcPr>
          <w:p w14:paraId="33DA2E9F">
            <w:pPr>
              <w:pStyle w:val="167"/>
              <w:rPr>
                <w:rFonts w:hint="eastAsia" w:eastAsia="宋体"/>
                <w:color w:val="auto"/>
                <w:lang w:eastAsia="zh-CN"/>
              </w:rPr>
            </w:pPr>
            <w:r>
              <w:rPr>
                <w:rFonts w:hint="eastAsia"/>
                <w:color w:val="auto"/>
                <w:lang w:val="en-US" w:eastAsia="zh-CN"/>
              </w:rPr>
              <w:t>4</w:t>
            </w:r>
          </w:p>
        </w:tc>
      </w:tr>
      <w:tr w14:paraId="688517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79" w:type="dxa"/>
            <w:shd w:val="clear" w:color="auto" w:fill="auto"/>
            <w:vAlign w:val="center"/>
          </w:tcPr>
          <w:p w14:paraId="25C499F6">
            <w:pPr>
              <w:pStyle w:val="167"/>
              <w:ind w:firstLine="0" w:firstLineChars="0"/>
              <w:rPr>
                <w:rFonts w:hint="default" w:ascii="宋体" w:hAnsi="宋体" w:eastAsia="宋体" w:cstheme="minorBidi"/>
                <w:color w:val="auto"/>
                <w:kern w:val="2"/>
                <w:sz w:val="21"/>
                <w:szCs w:val="22"/>
                <w:lang w:val="en-US" w:eastAsia="zh-CN" w:bidi="ar-SA"/>
              </w:rPr>
            </w:pPr>
            <w:r>
              <w:rPr>
                <w:rFonts w:hint="eastAsia"/>
                <w:color w:val="auto"/>
                <w:lang w:val="en-US" w:eastAsia="zh-CN"/>
              </w:rPr>
              <w:t>2</w:t>
            </w:r>
          </w:p>
        </w:tc>
        <w:tc>
          <w:tcPr>
            <w:tcW w:w="1559" w:type="dxa"/>
            <w:shd w:val="clear" w:color="auto" w:fill="auto"/>
            <w:vAlign w:val="center"/>
          </w:tcPr>
          <w:p w14:paraId="0163205C">
            <w:pPr>
              <w:pStyle w:val="167"/>
              <w:ind w:firstLine="0" w:firstLineChars="0"/>
              <w:rPr>
                <w:rFonts w:ascii="宋体" w:hAnsi="宋体" w:eastAsia="宋体" w:cstheme="minorBidi"/>
                <w:color w:val="auto"/>
                <w:kern w:val="2"/>
                <w:sz w:val="21"/>
                <w:szCs w:val="22"/>
                <w:lang w:val="en-US" w:eastAsia="zh-CN" w:bidi="ar-SA"/>
              </w:rPr>
            </w:pPr>
            <w:r>
              <w:rPr>
                <w:color w:val="auto"/>
              </w:rPr>
              <w:t>起重用钢丝绳</w:t>
            </w:r>
          </w:p>
        </w:tc>
        <w:tc>
          <w:tcPr>
            <w:tcW w:w="2835" w:type="dxa"/>
            <w:shd w:val="clear" w:color="auto" w:fill="auto"/>
            <w:vAlign w:val="center"/>
          </w:tcPr>
          <w:p w14:paraId="12D807B9">
            <w:pPr>
              <w:pStyle w:val="167"/>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16</w:t>
            </w:r>
            <w:r>
              <w:rPr>
                <w:rFonts w:hint="eastAsia" w:ascii="Times New Roman" w:hAnsi="Times New Roman" w:eastAsia="宋体" w:cs="Times New Roman"/>
                <w:color w:val="auto"/>
                <w:kern w:val="2"/>
                <w:sz w:val="21"/>
                <w:szCs w:val="21"/>
                <w:highlight w:val="none"/>
                <w:lang w:val="en-US" w:eastAsia="zh-CN" w:bidi="ar-SA"/>
              </w:rPr>
              <w:t>mm6×19W+IWR1870Mpa</w:t>
            </w:r>
          </w:p>
        </w:tc>
        <w:tc>
          <w:tcPr>
            <w:tcW w:w="567" w:type="dxa"/>
            <w:shd w:val="clear" w:color="auto" w:fill="auto"/>
            <w:vAlign w:val="center"/>
          </w:tcPr>
          <w:p w14:paraId="4F608B68">
            <w:pPr>
              <w:pStyle w:val="167"/>
              <w:ind w:firstLine="0" w:firstLineChars="0"/>
              <w:rPr>
                <w:rFonts w:ascii="宋体" w:hAnsi="宋体" w:eastAsia="宋体" w:cstheme="minorBidi"/>
                <w:color w:val="auto"/>
                <w:kern w:val="2"/>
                <w:sz w:val="21"/>
                <w:szCs w:val="22"/>
                <w:lang w:val="en-US" w:eastAsia="zh-CN" w:bidi="ar-SA"/>
              </w:rPr>
            </w:pPr>
            <w:r>
              <w:rPr>
                <w:color w:val="auto"/>
              </w:rPr>
              <w:t>根</w:t>
            </w:r>
          </w:p>
        </w:tc>
        <w:tc>
          <w:tcPr>
            <w:tcW w:w="567" w:type="dxa"/>
            <w:shd w:val="clear" w:color="auto" w:fill="auto"/>
            <w:vAlign w:val="center"/>
          </w:tcPr>
          <w:p w14:paraId="3BDA637F">
            <w:pPr>
              <w:pStyle w:val="167"/>
              <w:ind w:firstLine="0" w:firstLineChars="0"/>
              <w:rPr>
                <w:rFonts w:hint="eastAsia" w:ascii="宋体" w:hAnsi="宋体" w:eastAsia="宋体" w:cstheme="minorBidi"/>
                <w:color w:val="auto"/>
                <w:kern w:val="2"/>
                <w:sz w:val="21"/>
                <w:szCs w:val="22"/>
                <w:lang w:val="en-US" w:eastAsia="zh-CN" w:bidi="ar-SA"/>
              </w:rPr>
            </w:pPr>
            <w:r>
              <w:rPr>
                <w:rFonts w:hint="eastAsia"/>
                <w:color w:val="auto"/>
                <w:lang w:val="en-US" w:eastAsia="zh-CN"/>
              </w:rPr>
              <w:t>2</w:t>
            </w:r>
          </w:p>
        </w:tc>
      </w:tr>
      <w:tr w14:paraId="4AB81E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79" w:type="dxa"/>
            <w:vAlign w:val="center"/>
          </w:tcPr>
          <w:p w14:paraId="5A3229ED">
            <w:pPr>
              <w:pStyle w:val="167"/>
              <w:rPr>
                <w:rFonts w:hint="default"/>
                <w:color w:val="auto"/>
                <w:lang w:val="en-US" w:eastAsia="zh-CN"/>
              </w:rPr>
            </w:pPr>
            <w:r>
              <w:rPr>
                <w:rFonts w:hint="eastAsia"/>
                <w:color w:val="auto"/>
                <w:lang w:val="en-US" w:eastAsia="zh-CN"/>
              </w:rPr>
              <w:t>3</w:t>
            </w:r>
          </w:p>
        </w:tc>
        <w:tc>
          <w:tcPr>
            <w:tcW w:w="1559" w:type="dxa"/>
            <w:vAlign w:val="center"/>
          </w:tcPr>
          <w:p w14:paraId="569D6ECB">
            <w:pPr>
              <w:pStyle w:val="167"/>
              <w:ind w:firstLine="0" w:firstLineChars="0"/>
              <w:rPr>
                <w:rFonts w:ascii="Times New Roman" w:hAnsi="Times New Roman" w:eastAsia="宋体" w:cstheme="minorBidi"/>
                <w:color w:val="auto"/>
                <w:kern w:val="2"/>
                <w:sz w:val="21"/>
                <w:szCs w:val="21"/>
                <w:lang w:val="en-US" w:eastAsia="zh-CN" w:bidi="ar-SA"/>
              </w:rPr>
            </w:pPr>
            <w:r>
              <w:rPr>
                <w:color w:val="auto"/>
              </w:rPr>
              <w:t>卸扣</w:t>
            </w:r>
          </w:p>
        </w:tc>
        <w:tc>
          <w:tcPr>
            <w:tcW w:w="2835" w:type="dxa"/>
            <w:vAlign w:val="center"/>
          </w:tcPr>
          <w:p w14:paraId="6BE2BE7A">
            <w:pPr>
              <w:pStyle w:val="167"/>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GB/T 25854-6-DW5</w:t>
            </w:r>
          </w:p>
        </w:tc>
        <w:tc>
          <w:tcPr>
            <w:tcW w:w="567" w:type="dxa"/>
            <w:vAlign w:val="center"/>
          </w:tcPr>
          <w:p w14:paraId="7C56EF10">
            <w:pPr>
              <w:pStyle w:val="167"/>
              <w:ind w:firstLine="0" w:firstLineChars="0"/>
              <w:rPr>
                <w:rFonts w:ascii="Times New Roman" w:hAnsi="Times New Roman" w:eastAsia="宋体" w:cstheme="minorBidi"/>
                <w:color w:val="auto"/>
                <w:kern w:val="2"/>
                <w:sz w:val="21"/>
                <w:szCs w:val="21"/>
                <w:lang w:val="en-US" w:eastAsia="zh-CN" w:bidi="ar-SA"/>
              </w:rPr>
            </w:pPr>
            <w:r>
              <w:rPr>
                <w:color w:val="auto"/>
              </w:rPr>
              <w:t>个</w:t>
            </w:r>
          </w:p>
        </w:tc>
        <w:tc>
          <w:tcPr>
            <w:tcW w:w="567" w:type="dxa"/>
            <w:vAlign w:val="center"/>
          </w:tcPr>
          <w:p w14:paraId="64983CE7">
            <w:pPr>
              <w:pStyle w:val="167"/>
              <w:ind w:firstLine="0" w:firstLineChars="0"/>
              <w:rPr>
                <w:rFonts w:ascii="Times New Roman" w:hAnsi="Times New Roman" w:eastAsia="宋体" w:cstheme="minorBidi"/>
                <w:color w:val="auto"/>
                <w:kern w:val="2"/>
                <w:sz w:val="21"/>
                <w:szCs w:val="21"/>
                <w:lang w:val="en-US" w:eastAsia="zh-CN" w:bidi="ar-SA"/>
              </w:rPr>
            </w:pPr>
            <w:r>
              <w:rPr>
                <w:color w:val="auto"/>
              </w:rPr>
              <w:t>4</w:t>
            </w:r>
          </w:p>
        </w:tc>
      </w:tr>
      <w:bookmarkEnd w:id="168"/>
    </w:tbl>
    <w:p w14:paraId="168BFC03">
      <w:pPr>
        <w:pStyle w:val="3"/>
        <w:bidi w:val="0"/>
        <w:ind w:left="575" w:leftChars="0" w:hanging="575" w:firstLineChars="0"/>
        <w:rPr>
          <w:rFonts w:hint="eastAsia"/>
          <w:lang w:val="en-US" w:eastAsia="zh-CN"/>
        </w:rPr>
      </w:pPr>
      <w:bookmarkStart w:id="172" w:name="_Toc25689"/>
      <w:bookmarkStart w:id="173" w:name="_Toc25257"/>
      <w:r>
        <w:rPr>
          <w:rFonts w:hint="eastAsia"/>
          <w:lang w:val="en-US" w:eastAsia="zh-CN"/>
        </w:rPr>
        <w:t xml:space="preserve"> </w:t>
      </w:r>
      <w:bookmarkStart w:id="174" w:name="_Toc6030"/>
      <w:bookmarkStart w:id="175" w:name="_Toc29035"/>
      <w:bookmarkStart w:id="176" w:name="_Toc23573"/>
      <w:r>
        <w:rPr>
          <w:rFonts w:hint="eastAsia"/>
          <w:lang w:val="en-US" w:eastAsia="zh-CN"/>
        </w:rPr>
        <w:t>塔机拆除前施工准备</w:t>
      </w:r>
      <w:bookmarkEnd w:id="172"/>
      <w:bookmarkEnd w:id="173"/>
      <w:bookmarkEnd w:id="174"/>
      <w:bookmarkEnd w:id="175"/>
      <w:bookmarkEnd w:id="176"/>
    </w:p>
    <w:p w14:paraId="552C5E1F">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1）由于拆卸塔机时，建筑物已建完，工作场地受限制，应注意工作程序和吊装堆放位置，保证没有障碍物影响拆塔操作。</w:t>
      </w:r>
    </w:p>
    <w:p w14:paraId="31A7AA6C">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2）拆塔过程中，塔机应处于平衡状态。 </w:t>
      </w:r>
    </w:p>
    <w:p w14:paraId="36B66B07">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3）禁止在拆卸时起升吊钩进行任何起升或者下降操作。 </w:t>
      </w:r>
    </w:p>
    <w:p w14:paraId="523EDD30">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4）拆卸过程中，禁止塔身上部进行回转操作。 </w:t>
      </w:r>
    </w:p>
    <w:p w14:paraId="08A22134">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5）拆卸进行前，应将起重臂回转至爬升架引进标准节一侧。 </w:t>
      </w:r>
    </w:p>
    <w:p w14:paraId="01526A5C">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6）塔机拆塔之前，顶升机构由于长期停止使用，应对顶升机构进行保养和试运转，在试运转过程中，应对限位器，回转机构的制动器等进行可靠性检查； </w:t>
      </w:r>
    </w:p>
    <w:p w14:paraId="1DCBCF3D">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7）对于拆卸的部件，如起重臂、平衡臂等必须遵守规章，以防止当拆卸某一部件时，其余部分有失去平衡的危险。 </w:t>
      </w:r>
    </w:p>
    <w:p w14:paraId="35478848">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8）在拆塔过程中，吊运钢丝绳及吊带的选择要合理，物件捆绑必须牢固。 </w:t>
      </w:r>
    </w:p>
    <w:p w14:paraId="6F446078">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9）塔机拆卸对顶升机构来说是重载连续作业，所以应对顶升机构的主要受力件经常检查； </w:t>
      </w:r>
    </w:p>
    <w:p w14:paraId="0D3DA307">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10）顶升机构工作时，所有操作人员应集中精力观察各相对运动件的相对位置是否正常（如滚轮与主弦杆之间，爬升架与塔身之间），是否有阻碍爬升架运动（特别是下降运动时）的物件； </w:t>
      </w:r>
    </w:p>
    <w:p w14:paraId="103BBCF7">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11）顶升系统的检查与测试： </w:t>
      </w:r>
    </w:p>
    <w:p w14:paraId="494085A3">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a. 检查液压系统各部件是否完好、有无漏、渗油现象。顶升油缸运动是否顺畅、到位。 </w:t>
      </w:r>
    </w:p>
    <w:p w14:paraId="3262361E">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rPr>
      </w:pPr>
      <w:r>
        <w:rPr>
          <w:rFonts w:hint="eastAsia" w:ascii="宋体" w:hAnsi="宋体" w:eastAsia="宋体" w:cs="宋体"/>
          <w:color w:val="000000"/>
          <w:kern w:val="0"/>
          <w:sz w:val="24"/>
          <w:szCs w:val="24"/>
          <w:lang w:val="en-US" w:eastAsia="zh-CN" w:bidi="ar"/>
        </w:rPr>
        <w:t xml:space="preserve">b. 检查顶升油箱油位计显示油量在油缸完全收回时是否在 1/3 到 2/3 刻度之间，如果 油量减少应及时补油。 </w:t>
      </w:r>
    </w:p>
    <w:p w14:paraId="3C2C659F">
      <w:pPr>
        <w:rPr>
          <w:rFonts w:hint="eastAsia"/>
          <w:lang w:val="en-US" w:eastAsia="zh-CN"/>
        </w:rPr>
      </w:pPr>
      <w:r>
        <w:rPr>
          <w:rFonts w:hint="eastAsia" w:ascii="宋体" w:hAnsi="宋体" w:eastAsia="宋体" w:cs="宋体"/>
          <w:color w:val="000000"/>
          <w:kern w:val="0"/>
          <w:sz w:val="24"/>
          <w:szCs w:val="24"/>
          <w:lang w:val="en-US" w:eastAsia="zh-CN" w:bidi="ar"/>
        </w:rPr>
        <w:t>c. 操作顶升控制手柄进行试顶升动作，当液压系统压力到达溢流阀设定的压力后保持 10 秒，如果压力一直保持不变，则顶升系统可进行降节操作。</w:t>
      </w:r>
    </w:p>
    <w:p w14:paraId="24362B61">
      <w:pPr>
        <w:pStyle w:val="3"/>
        <w:bidi w:val="0"/>
        <w:ind w:left="575" w:leftChars="0" w:hanging="575" w:firstLineChars="0"/>
        <w:rPr>
          <w:rFonts w:hint="eastAsia"/>
          <w:color w:val="auto"/>
          <w:highlight w:val="none"/>
        </w:rPr>
      </w:pPr>
      <w:bookmarkStart w:id="177" w:name="_Toc4365"/>
      <w:bookmarkStart w:id="178" w:name="_Toc18873"/>
      <w:r>
        <w:rPr>
          <w:rFonts w:hint="eastAsia"/>
          <w:color w:val="auto"/>
          <w:highlight w:val="none"/>
        </w:rPr>
        <w:t xml:space="preserve"> </w:t>
      </w:r>
      <w:bookmarkStart w:id="179" w:name="_Toc2939"/>
      <w:bookmarkStart w:id="180" w:name="_Toc20222"/>
      <w:r>
        <w:rPr>
          <w:rFonts w:hint="eastAsia"/>
          <w:color w:val="auto"/>
          <w:highlight w:val="none"/>
        </w:rPr>
        <w:t>塔机</w:t>
      </w:r>
      <w:r>
        <w:rPr>
          <w:rFonts w:hint="eastAsia"/>
          <w:color w:val="auto"/>
          <w:highlight w:val="none"/>
          <w:lang w:val="en-US" w:eastAsia="zh-CN"/>
        </w:rPr>
        <w:t>拆除</w:t>
      </w:r>
      <w:r>
        <w:rPr>
          <w:rFonts w:hint="eastAsia"/>
          <w:color w:val="auto"/>
          <w:highlight w:val="none"/>
        </w:rPr>
        <w:t>具体步骤</w:t>
      </w:r>
      <w:bookmarkEnd w:id="177"/>
      <w:bookmarkEnd w:id="178"/>
      <w:bookmarkEnd w:id="179"/>
      <w:bookmarkEnd w:id="180"/>
    </w:p>
    <w:p w14:paraId="4EC07D0D">
      <w:pPr>
        <w:pStyle w:val="4"/>
        <w:bidi w:val="0"/>
        <w:ind w:left="864" w:leftChars="0" w:hanging="864" w:firstLineChars="0"/>
        <w:rPr>
          <w:rFonts w:hint="eastAsia" w:ascii="Times New Roman" w:hAnsi="Times New Roman"/>
          <w:b/>
          <w:bCs/>
          <w:caps w:val="0"/>
          <w:smallCaps w:val="0"/>
          <w:lang w:val="en-US" w:eastAsia="zh-CN"/>
        </w:rPr>
      </w:pPr>
      <w:bookmarkStart w:id="181" w:name="_Toc23487"/>
      <w:bookmarkStart w:id="182" w:name="_Toc4092"/>
      <w:bookmarkStart w:id="183" w:name="_Toc4173"/>
      <w:bookmarkStart w:id="184" w:name="_Toc7966"/>
      <w:r>
        <w:rPr>
          <w:rFonts w:hint="eastAsia" w:ascii="Times New Roman" w:hAnsi="Times New Roman"/>
          <w:b/>
          <w:bCs/>
          <w:caps w:val="0"/>
          <w:smallCaps w:val="0"/>
          <w:lang w:val="en-US" w:eastAsia="zh-CN"/>
        </w:rPr>
        <w:t>降塔</w:t>
      </w:r>
    </w:p>
    <w:p w14:paraId="7F45F4D4">
      <w:pPr>
        <w:rPr>
          <w:rFonts w:hint="eastAsia" w:ascii="Times New Roman" w:hAnsi="Times New Roman"/>
          <w:b/>
          <w:bCs/>
          <w:caps w:val="0"/>
          <w:smallCaps w:val="0"/>
          <w:lang w:val="en-US" w:eastAsia="zh-CN"/>
        </w:rPr>
      </w:pPr>
      <w:r>
        <w:rPr>
          <w:rFonts w:hint="eastAsia" w:ascii="Times New Roman" w:hAnsi="Times New Roman"/>
          <w:b/>
          <w:bCs/>
          <w:caps w:val="0"/>
          <w:smallCaps w:val="0"/>
          <w:lang w:val="en-US" w:eastAsia="zh-CN"/>
        </w:rPr>
        <w:t>1、降节前的准备</w:t>
      </w:r>
    </w:p>
    <w:p w14:paraId="479D315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（1）按液压泵站要求给其油箱加油；</w:t>
      </w:r>
    </w:p>
    <w:p w14:paraId="1EA9220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（2）清理好降节时下方摆放标准节的场地；</w:t>
      </w:r>
    </w:p>
    <w:p w14:paraId="61206D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（3）使降节过程所用时间最短；</w:t>
      </w:r>
    </w:p>
    <w:p w14:paraId="6B7E69B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（4）放松电缆长度略大于总的降节高度，并紧固好电缆；</w:t>
      </w:r>
    </w:p>
    <w:p w14:paraId="64F7B50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（5）将起重臂旋转至爬升架前方（顶升油缸正好位于平衡臂下方）；</w:t>
      </w:r>
    </w:p>
    <w:p w14:paraId="36B6513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（6）在引进平台上准备好引进滚轮，爬升架平台上准备好塔身高强度螺栓。</w:t>
      </w:r>
    </w:p>
    <w:p w14:paraId="1EB1004B">
      <w:pPr>
        <w:rPr>
          <w:rFonts w:hint="eastAsia" w:ascii="Times New Roman" w:hAnsi="Times New Roman"/>
          <w:b/>
          <w:bCs/>
          <w:caps w:val="0"/>
          <w:smallCaps w:val="0"/>
          <w:lang w:val="en-US" w:eastAsia="zh-CN"/>
        </w:rPr>
      </w:pPr>
      <w:r>
        <w:rPr>
          <w:rFonts w:hint="eastAsia" w:ascii="Times New Roman" w:hAnsi="Times New Roman"/>
          <w:b/>
          <w:bCs/>
          <w:caps w:val="0"/>
          <w:smallCaps w:val="0"/>
          <w:lang w:val="en-US" w:eastAsia="zh-CN"/>
        </w:rPr>
        <w:t>2、降节前塔机的配平</w:t>
      </w:r>
    </w:p>
    <w:p w14:paraId="469C6ED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（1）塔机配平前，必须先将载重小车运行到配平参考位置，并吊起一节标准节，然后拆除</w:t>
      </w:r>
      <w:r>
        <w:rPr>
          <w:rFonts w:hint="eastAsia" w:ascii="宋体" w:hAnsi="宋体" w:eastAsia="宋体" w:cs="宋体"/>
          <w:highlight w:val="none"/>
          <w:lang w:val="en-US" w:eastAsia="zh-CN"/>
        </w:rPr>
        <w:t>特殊节四个支脚与标准节的连接销轴</w:t>
      </w:r>
      <w:r>
        <w:rPr>
          <w:rFonts w:hint="eastAsia" w:ascii="宋体" w:hAnsi="宋体" w:eastAsia="宋体" w:cs="宋体"/>
          <w:lang w:val="en-US" w:eastAsia="zh-CN"/>
        </w:rPr>
        <w:t>；</w:t>
      </w:r>
    </w:p>
    <w:p w14:paraId="084243A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pPr>
      <w:r>
        <w:drawing>
          <wp:inline distT="0" distB="0" distL="114300" distR="114300">
            <wp:extent cx="5268595" cy="1323975"/>
            <wp:effectExtent l="0" t="0" r="8255" b="9525"/>
            <wp:docPr id="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2"/>
                    <pic:cNvPicPr>
                      <a:picLocks noChangeAspect="1"/>
                    </pic:cNvPicPr>
                  </pic:nvPicPr>
                  <pic:blipFill>
                    <a:blip r:embed="rId29"/>
                    <a:stretch>
                      <a:fillRect/>
                    </a:stretch>
                  </pic:blipFill>
                  <pic:spPr>
                    <a:xfrm>
                      <a:off x="0" y="0"/>
                      <a:ext cx="5268595" cy="1323975"/>
                    </a:xfrm>
                    <a:prstGeom prst="rect">
                      <a:avLst/>
                    </a:prstGeom>
                    <a:noFill/>
                    <a:ln>
                      <a:noFill/>
                    </a:ln>
                  </pic:spPr>
                </pic:pic>
              </a:graphicData>
            </a:graphic>
          </wp:inline>
        </w:drawing>
      </w:r>
      <w:r>
        <w:drawing>
          <wp:inline distT="0" distB="0" distL="114300" distR="114300">
            <wp:extent cx="4627880" cy="2560955"/>
            <wp:effectExtent l="0" t="0" r="1270" b="10795"/>
            <wp:docPr id="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
                    <pic:cNvPicPr>
                      <a:picLocks noChangeAspect="1"/>
                    </pic:cNvPicPr>
                  </pic:nvPicPr>
                  <pic:blipFill>
                    <a:blip r:embed="rId30"/>
                    <a:stretch>
                      <a:fillRect/>
                    </a:stretch>
                  </pic:blipFill>
                  <pic:spPr>
                    <a:xfrm>
                      <a:off x="0" y="0"/>
                      <a:ext cx="4627880" cy="2560955"/>
                    </a:xfrm>
                    <a:prstGeom prst="rect">
                      <a:avLst/>
                    </a:prstGeom>
                    <a:noFill/>
                    <a:ln>
                      <a:noFill/>
                    </a:ln>
                  </pic:spPr>
                </pic:pic>
              </a:graphicData>
            </a:graphic>
          </wp:inline>
        </w:drawing>
      </w:r>
    </w:p>
    <w:p w14:paraId="09B71CCB">
      <w:pPr>
        <w:pStyle w:val="1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lang w:val="en-US" w:eastAsia="zh-CN"/>
        </w:rPr>
      </w:pPr>
      <w:r>
        <w:t xml:space="preserve">图 </w:t>
      </w:r>
      <w:r>
        <w:fldChar w:fldCharType="begin"/>
      </w:r>
      <w:r>
        <w:instrText xml:space="preserve"> STYLEREF 3 \s </w:instrText>
      </w:r>
      <w:r>
        <w:fldChar w:fldCharType="separate"/>
      </w:r>
      <w:r>
        <w:t>4.4.1</w:t>
      </w:r>
      <w:r>
        <w:fldChar w:fldCharType="end"/>
      </w:r>
      <w:r>
        <w:rPr>
          <w:rFonts w:hint="eastAsia"/>
          <w:lang w:eastAsia="zh-CN"/>
        </w:rPr>
        <w:t>-</w:t>
      </w:r>
      <w:r>
        <w:fldChar w:fldCharType="begin"/>
      </w:r>
      <w:r>
        <w:instrText xml:space="preserve"> SEQ 图 \* ARABIC \s 3 </w:instrText>
      </w:r>
      <w:r>
        <w:fldChar w:fldCharType="separate"/>
      </w:r>
      <w:r>
        <w:t>1</w:t>
      </w:r>
      <w:r>
        <w:fldChar w:fldCharType="end"/>
      </w:r>
      <w:r>
        <w:rPr>
          <w:rFonts w:hint="eastAsia"/>
          <w:lang w:val="en-US" w:eastAsia="zh-CN"/>
        </w:rPr>
        <w:t xml:space="preserve">  理论配平数据表</w:t>
      </w:r>
    </w:p>
    <w:p w14:paraId="626D8CF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（2）将液压顶升系统操纵杆推至“顶升方向”，使爬升架顶升至特殊节支脚刚刚脱离塔身节的主弦杆的位置；</w:t>
      </w:r>
    </w:p>
    <w:p w14:paraId="6740BD6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通过检验特殊节支腿与塔身主弦杆是否在一条垂直线上，并观察爬升架上8个导轮与塔身主弦杆间隙是否基本相同来检查塔机是否平衡。略微调整载重小车的配平位置，直至平衡，必须使得塔机上部重心落在顶升油缸梁的位置上；</w:t>
      </w:r>
    </w:p>
    <w:p w14:paraId="2FB024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（4）记录载重小车的配平位置，也可用布条系在该处的斜腹杆上作为标志以便拆卸时用，但要注意，这个标志的位置随起重臂长度不同而改变；</w:t>
      </w:r>
    </w:p>
    <w:p w14:paraId="54FB48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aps w:val="0"/>
          <w:smallCaps w:val="0"/>
          <w:lang w:val="en-US" w:eastAsia="zh-CN"/>
        </w:rPr>
      </w:pPr>
      <w:r>
        <w:rPr>
          <w:rFonts w:hint="eastAsia" w:ascii="宋体" w:hAnsi="宋体" w:eastAsia="宋体" w:cs="宋体"/>
          <w:lang w:val="en-US" w:eastAsia="zh-CN"/>
        </w:rPr>
        <w:t>（5）操纵液压系统使</w:t>
      </w:r>
      <w:r>
        <w:rPr>
          <w:rFonts w:hint="eastAsia" w:cs="宋体"/>
          <w:lang w:val="en-US" w:eastAsia="zh-CN"/>
        </w:rPr>
        <w:t>爬升架</w:t>
      </w:r>
      <w:r>
        <w:rPr>
          <w:rFonts w:hint="eastAsia" w:ascii="宋体" w:hAnsi="宋体" w:eastAsia="宋体" w:cs="宋体"/>
          <w:lang w:val="en-US" w:eastAsia="zh-CN"/>
        </w:rPr>
        <w:t>下降，连接好特殊节和塔身标准节间的连接销轴。</w:t>
      </w:r>
    </w:p>
    <w:p w14:paraId="0636E41B">
      <w:pPr>
        <w:rPr>
          <w:rFonts w:hint="eastAsia" w:ascii="Times New Roman" w:hAnsi="Times New Roman"/>
          <w:b/>
          <w:bCs/>
          <w:caps w:val="0"/>
          <w:smallCaps w:val="0"/>
          <w:lang w:val="en-US" w:eastAsia="zh-CN"/>
        </w:rPr>
      </w:pPr>
      <w:r>
        <w:rPr>
          <w:rFonts w:hint="eastAsia" w:ascii="Times New Roman" w:hAnsi="Times New Roman"/>
          <w:b/>
          <w:bCs/>
          <w:caps w:val="0"/>
          <w:smallCaps w:val="0"/>
          <w:lang w:val="en-US" w:eastAsia="zh-CN"/>
        </w:rPr>
        <w:t>3、降节作业</w:t>
      </w:r>
    </w:p>
    <w:p w14:paraId="02A9AF3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（1）将起重臂回转到标准节的引进方向（即爬升架中有开口的一侧），使回转制动器处于制动状态，载重小车停在配平位置（与</w:t>
      </w:r>
      <w:r>
        <w:rPr>
          <w:rFonts w:hint="eastAsia" w:cs="宋体"/>
          <w:lang w:val="en-US" w:eastAsia="zh-CN"/>
        </w:rPr>
        <w:t>立塔</w:t>
      </w:r>
      <w:r>
        <w:rPr>
          <w:rFonts w:hint="eastAsia" w:ascii="宋体" w:hAnsi="宋体" w:eastAsia="宋体" w:cs="宋体"/>
          <w:lang w:val="en-US" w:eastAsia="zh-CN"/>
        </w:rPr>
        <w:t>顶升加节时载重小车的配平位置一致）；</w:t>
      </w:r>
    </w:p>
    <w:p w14:paraId="07D79E1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（2）拆除最上面标准节与特殊节的连接</w:t>
      </w:r>
      <w:r>
        <w:rPr>
          <w:rFonts w:hint="eastAsia" w:cs="宋体"/>
          <w:lang w:val="en-US" w:eastAsia="zh-CN"/>
        </w:rPr>
        <w:t>螺栓</w:t>
      </w:r>
      <w:r>
        <w:rPr>
          <w:rFonts w:hint="eastAsia" w:ascii="宋体" w:hAnsi="宋体" w:eastAsia="宋体" w:cs="宋体"/>
          <w:lang w:val="en-US" w:eastAsia="zh-CN"/>
        </w:rPr>
        <w:t>，伸长顶升油缸，将顶升横梁顶在从上往下数第三个踏步的圆弧槽内，插好防脱销，稍稍向上顶升，将引进轮按规定方向放至到标准节下方，并保证安全可靠；然后拆掉最上面的塔身标准节与下一节标准节的连接</w:t>
      </w:r>
      <w:r>
        <w:rPr>
          <w:rFonts w:hint="eastAsia" w:cs="宋体"/>
          <w:lang w:val="en-US" w:eastAsia="zh-CN"/>
        </w:rPr>
        <w:t>螺栓</w:t>
      </w:r>
      <w:r>
        <w:rPr>
          <w:rFonts w:hint="eastAsia" w:ascii="宋体" w:hAnsi="宋体" w:eastAsia="宋体" w:cs="宋体"/>
          <w:lang w:val="en-US" w:eastAsia="zh-CN"/>
        </w:rPr>
        <w:t>；</w:t>
      </w:r>
    </w:p>
    <w:p w14:paraId="32BA82E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（3）继续顶升至最上面标准节与下方标准节离开，把标准节推出引进横梁并支稳(推出时且不可用力过猛，以免标准节冲出引进梁而倾翻，造成事故)；</w:t>
      </w:r>
    </w:p>
    <w:p w14:paraId="17D2476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（4）拨开活动爬爪，回缩油缸，让活动爬爪躲过距它最近的一对踏步后，复位放平，继续下降至活动爬爪支承在下一对踏步上并支承住上部结构后，退回防脱销，再回缩油缸至顶升横梁从踏步上移开；</w:t>
      </w:r>
    </w:p>
    <w:p w14:paraId="77C8D81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（5）伸出油缸，将顶升横梁顶在下一对踏步上，插好防脱销，稍微顶升至爬爪翻转时能躲过原来支承的踏步后停止，拨开爬爪，回缩油缸，至下一标准节与特殊节相接触为止；</w:t>
      </w:r>
    </w:p>
    <w:p w14:paraId="3623158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（6）将特殊节与塔身标准节之间用</w:t>
      </w:r>
      <w:r>
        <w:rPr>
          <w:rFonts w:hint="eastAsia" w:cs="宋体"/>
          <w:lang w:val="en-US" w:eastAsia="zh-CN"/>
        </w:rPr>
        <w:t>高强螺栓</w:t>
      </w:r>
      <w:r>
        <w:rPr>
          <w:rFonts w:hint="eastAsia" w:ascii="宋体" w:hAnsi="宋体" w:eastAsia="宋体" w:cs="宋体"/>
          <w:lang w:val="en-US" w:eastAsia="zh-CN"/>
        </w:rPr>
        <w:t>紧固牢，用小车吊钩将标准节吊至地面；</w:t>
      </w:r>
    </w:p>
    <w:p w14:paraId="797E126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（7）重复上述动作，将塔身标准节依次拆下，并堆放好；</w:t>
      </w:r>
    </w:p>
    <w:p w14:paraId="2130A58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（8）塔身拆至只剩下一节标准节和一节基础节时（12m），停止降节。</w:t>
      </w:r>
    </w:p>
    <w:p w14:paraId="0EDA352D">
      <w:pPr>
        <w:pStyle w:val="4"/>
        <w:bidi w:val="0"/>
        <w:ind w:left="864" w:leftChars="0" w:hanging="864" w:firstLineChars="0"/>
        <w:rPr>
          <w:rFonts w:hint="eastAsia" w:ascii="Times New Roman" w:hAnsi="Times New Roman"/>
          <w:b/>
          <w:bCs/>
          <w:caps w:val="0"/>
          <w:smallCaps w:val="0"/>
          <w:lang w:val="en-US" w:eastAsia="zh-CN"/>
        </w:rPr>
      </w:pPr>
      <w:bookmarkStart w:id="185" w:name="_Toc9650"/>
      <w:r>
        <w:rPr>
          <w:rFonts w:hint="eastAsia" w:ascii="Times New Roman" w:hAnsi="Times New Roman"/>
          <w:b/>
          <w:bCs/>
          <w:caps w:val="0"/>
          <w:smallCaps w:val="0"/>
          <w:lang w:val="en-US" w:eastAsia="zh-CN"/>
        </w:rPr>
        <w:t>拆除配重</w:t>
      </w:r>
      <w:bookmarkEnd w:id="185"/>
    </w:p>
    <w:p w14:paraId="1633609E">
      <w:pPr>
        <w:keepNext w:val="0"/>
        <w:keepLines w:val="0"/>
        <w:pageBreakBefore w:val="0"/>
        <w:widowControl w:val="0"/>
        <w:numPr>
          <w:ilvl w:val="0"/>
          <w:numId w:val="6"/>
        </w:numPr>
        <w:kinsoku/>
        <w:wordWrap/>
        <w:overflowPunct/>
        <w:topLinePunct w:val="0"/>
        <w:autoSpaceDE/>
        <w:autoSpaceDN/>
        <w:bidi w:val="0"/>
        <w:adjustRightInd/>
        <w:snapToGrid/>
        <w:ind w:firstLine="480" w:firstLineChars="200"/>
        <w:textAlignment w:val="auto"/>
        <w:rPr>
          <w:rFonts w:hint="eastAsia" w:ascii="Times New Roman" w:hAnsi="Times New Roman"/>
          <w:caps w:val="0"/>
          <w:smallCaps w:val="0"/>
          <w:lang w:val="en-US" w:eastAsia="zh-CN"/>
        </w:rPr>
      </w:pPr>
      <w:r>
        <w:rPr>
          <w:rFonts w:hint="eastAsia" w:ascii="Times New Roman" w:hAnsi="Times New Roman"/>
          <w:caps w:val="0"/>
          <w:smallCaps w:val="0"/>
          <w:highlight w:val="none"/>
          <w:lang w:val="en-US" w:eastAsia="zh-CN"/>
        </w:rPr>
        <w:t>先拆除</w:t>
      </w:r>
      <w:r>
        <w:rPr>
          <w:rFonts w:hint="eastAsia"/>
          <w:caps w:val="0"/>
          <w:smallCaps w:val="0"/>
          <w:highlight w:val="none"/>
          <w:lang w:val="en-US" w:eastAsia="zh-CN"/>
        </w:rPr>
        <w:t>4</w:t>
      </w:r>
      <w:r>
        <w:rPr>
          <w:rFonts w:hint="eastAsia" w:ascii="Times New Roman" w:hAnsi="Times New Roman"/>
          <w:caps w:val="0"/>
          <w:smallCaps w:val="0"/>
          <w:highlight w:val="none"/>
          <w:lang w:val="en-US" w:eastAsia="zh-CN"/>
        </w:rPr>
        <w:t>块平衡重，留塔身侧1块3.2t配重，最重配重块重3.2t，50T汽车吊</w:t>
      </w:r>
      <w:r>
        <w:rPr>
          <w:rFonts w:hint="eastAsia" w:ascii="Times New Roman" w:hAnsi="Times New Roman" w:eastAsia="宋体" w:cs="宋体"/>
          <w:caps w:val="0"/>
          <w:smallCaps w:val="0"/>
          <w:color w:val="auto"/>
          <w:sz w:val="24"/>
          <w:szCs w:val="24"/>
          <w:highlight w:val="none"/>
          <w:lang w:val="en-US" w:eastAsia="zh-CN"/>
        </w:rPr>
        <w:t>主臂长</w:t>
      </w:r>
      <w:r>
        <w:rPr>
          <w:rFonts w:hint="eastAsia" w:ascii="Times New Roman" w:hAnsi="Times New Roman" w:cs="宋体"/>
          <w:caps w:val="0"/>
          <w:smallCaps w:val="0"/>
          <w:color w:val="auto"/>
          <w:sz w:val="24"/>
          <w:szCs w:val="24"/>
          <w:highlight w:val="none"/>
          <w:lang w:val="en-US" w:eastAsia="zh-CN"/>
        </w:rPr>
        <w:t>39.2m，</w:t>
      </w:r>
      <w:r>
        <w:rPr>
          <w:rFonts w:hint="eastAsia" w:ascii="Times New Roman" w:hAnsi="Times New Roman"/>
          <w:caps w:val="0"/>
          <w:smallCaps w:val="0"/>
          <w:highlight w:val="none"/>
          <w:lang w:val="en-US" w:eastAsia="zh-CN"/>
        </w:rPr>
        <w:t>吊距为14m。50T汽车吊起重能力为9.3t&gt;3.2t，50T</w:t>
      </w:r>
      <w:r>
        <w:rPr>
          <w:rFonts w:hint="eastAsia" w:ascii="Times New Roman" w:hAnsi="Times New Roman"/>
          <w:caps w:val="0"/>
          <w:smallCaps w:val="0"/>
          <w:lang w:val="en-US" w:eastAsia="zh-CN"/>
        </w:rPr>
        <w:t>汽车吊起重性能满足要求。</w:t>
      </w:r>
    </w:p>
    <w:p w14:paraId="5E388089">
      <w:pPr>
        <w:numPr>
          <w:ilvl w:val="0"/>
          <w:numId w:val="0"/>
        </w:numPr>
        <w:jc w:val="center"/>
        <w:rPr>
          <w:rFonts w:hint="eastAsia" w:ascii="Times New Roman" w:hAnsi="Times New Roman"/>
          <w:caps w:val="0"/>
          <w:smallCaps w:val="0"/>
          <w:lang w:val="en-US" w:eastAsia="zh-CN"/>
        </w:rPr>
      </w:pPr>
      <w:r>
        <w:drawing>
          <wp:inline distT="0" distB="0" distL="114300" distR="114300">
            <wp:extent cx="3875405" cy="2158365"/>
            <wp:effectExtent l="0" t="0" r="10795"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1"/>
                    <a:stretch>
                      <a:fillRect/>
                    </a:stretch>
                  </pic:blipFill>
                  <pic:spPr>
                    <a:xfrm>
                      <a:off x="0" y="0"/>
                      <a:ext cx="3875405" cy="2158365"/>
                    </a:xfrm>
                    <a:prstGeom prst="rect">
                      <a:avLst/>
                    </a:prstGeom>
                    <a:noFill/>
                    <a:ln>
                      <a:noFill/>
                    </a:ln>
                  </pic:spPr>
                </pic:pic>
              </a:graphicData>
            </a:graphic>
          </wp:inline>
        </w:drawing>
      </w:r>
    </w:p>
    <w:p w14:paraId="2613A3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aps w:val="0"/>
          <w:smallCaps w:val="0"/>
          <w:lang w:val="en-US" w:eastAsia="zh-CN"/>
        </w:rPr>
      </w:pPr>
      <w:r>
        <w:rPr>
          <w:rFonts w:hint="eastAsia" w:ascii="Times New Roman" w:hAnsi="Times New Roman"/>
          <w:caps w:val="0"/>
          <w:smallCaps w:val="0"/>
          <w:lang w:val="en-US" w:eastAsia="zh-CN"/>
        </w:rPr>
        <w:t>（2）配重块吊装采用两点吊，以配重部顶部预埋的2个吊耳板作为吊装孔，</w:t>
      </w:r>
      <w:r>
        <w:rPr>
          <w:rFonts w:hint="eastAsia" w:ascii="Times New Roman" w:hAnsi="Times New Roman"/>
          <w:caps w:val="0"/>
          <w:smallCaps w:val="0"/>
          <w:highlight w:val="none"/>
          <w:lang w:val="en-US" w:eastAsia="zh-CN"/>
        </w:rPr>
        <w:t>采用2根16mm6×19W+IWR1870Mpa的钢丝绳配套GB/T 25854-6-DW5卸扣进行起吊，50T汽车吊站位图</w:t>
      </w:r>
      <w:r>
        <w:rPr>
          <w:rFonts w:hint="eastAsia" w:ascii="Times New Roman" w:hAnsi="Times New Roman"/>
          <w:caps w:val="0"/>
          <w:smallCaps w:val="0"/>
          <w:lang w:val="en-US" w:eastAsia="zh-CN"/>
        </w:rPr>
        <w:t>如下。</w:t>
      </w:r>
    </w:p>
    <w:p w14:paraId="1177FAC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caps w:val="0"/>
          <w:smallCaps w:val="0"/>
          <w:lang w:val="en-US" w:eastAsia="zh-CN"/>
        </w:rPr>
      </w:pPr>
      <w:r>
        <w:drawing>
          <wp:inline distT="0" distB="0" distL="114300" distR="114300">
            <wp:extent cx="3409315" cy="3630295"/>
            <wp:effectExtent l="0" t="0" r="635" b="825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32"/>
                    <a:stretch>
                      <a:fillRect/>
                    </a:stretch>
                  </pic:blipFill>
                  <pic:spPr>
                    <a:xfrm>
                      <a:off x="0" y="0"/>
                      <a:ext cx="3409315" cy="3630295"/>
                    </a:xfrm>
                    <a:prstGeom prst="rect">
                      <a:avLst/>
                    </a:prstGeom>
                    <a:noFill/>
                    <a:ln>
                      <a:noFill/>
                    </a:ln>
                  </pic:spPr>
                </pic:pic>
              </a:graphicData>
            </a:graphic>
          </wp:inline>
        </w:drawing>
      </w:r>
    </w:p>
    <w:p w14:paraId="37631BC8">
      <w:pPr>
        <w:pStyle w:val="14"/>
        <w:bidi w:val="0"/>
        <w:rPr>
          <w:rFonts w:ascii="Times New Roman" w:hAnsi="Times New Roman"/>
          <w:caps w:val="0"/>
          <w:smallCaps w:val="0"/>
        </w:rPr>
      </w:pPr>
      <w:r>
        <w:rPr>
          <w:rFonts w:hint="eastAsia" w:ascii="Times New Roman" w:hAnsi="Times New Roman" w:eastAsia="宋体" w:cs="宋体"/>
          <w:caps w:val="0"/>
          <w:smallCaps w:val="0"/>
          <w:sz w:val="24"/>
          <w:szCs w:val="24"/>
        </w:rPr>
        <w:t>图</w:t>
      </w:r>
      <w:r>
        <w:rPr>
          <w:rFonts w:hint="eastAsia" w:ascii="Times New Roman" w:hAnsi="Times New Roman" w:eastAsia="宋体" w:cs="宋体"/>
          <w:caps w:val="0"/>
          <w:smallCaps w:val="0"/>
          <w:sz w:val="24"/>
          <w:szCs w:val="24"/>
        </w:rPr>
        <w:fldChar w:fldCharType="begin"/>
      </w:r>
      <w:r>
        <w:rPr>
          <w:rFonts w:hint="eastAsia" w:ascii="Times New Roman" w:hAnsi="Times New Roman" w:eastAsia="宋体" w:cs="宋体"/>
          <w:caps w:val="0"/>
          <w:smallCaps w:val="0"/>
          <w:sz w:val="24"/>
          <w:szCs w:val="24"/>
        </w:rPr>
        <w:instrText xml:space="preserve">STYLEREF 3\s</w:instrText>
      </w:r>
      <w:r>
        <w:rPr>
          <w:rFonts w:hint="eastAsia" w:ascii="Times New Roman" w:hAnsi="Times New Roman" w:eastAsia="宋体" w:cs="宋体"/>
          <w:caps w:val="0"/>
          <w:smallCaps w:val="0"/>
          <w:sz w:val="24"/>
          <w:szCs w:val="24"/>
        </w:rPr>
        <w:fldChar w:fldCharType="separate"/>
      </w:r>
      <w:r>
        <w:rPr>
          <w:rFonts w:hint="eastAsia" w:ascii="Times New Roman" w:hAnsi="Times New Roman" w:eastAsia="宋体" w:cs="宋体"/>
          <w:caps w:val="0"/>
          <w:smallCaps w:val="0"/>
          <w:sz w:val="24"/>
          <w:szCs w:val="24"/>
        </w:rPr>
        <w:t>4.4.2</w:t>
      </w:r>
      <w:r>
        <w:rPr>
          <w:rFonts w:hint="eastAsia" w:ascii="Times New Roman" w:hAnsi="Times New Roman" w:eastAsia="宋体" w:cs="宋体"/>
          <w:caps w:val="0"/>
          <w:smallCaps w:val="0"/>
          <w:sz w:val="24"/>
          <w:szCs w:val="24"/>
        </w:rPr>
        <w:fldChar w:fldCharType="end"/>
      </w:r>
      <w:r>
        <w:rPr>
          <w:rFonts w:hint="eastAsia" w:ascii="Times New Roman" w:hAnsi="Times New Roman" w:cs="宋体"/>
          <w:caps w:val="0"/>
          <w:smallCaps w:val="0"/>
          <w:sz w:val="24"/>
          <w:szCs w:val="24"/>
          <w:lang w:val="en-US" w:eastAsia="zh-CN"/>
        </w:rPr>
        <w:t xml:space="preserve">-1  </w:t>
      </w:r>
      <w:r>
        <w:rPr>
          <w:rFonts w:hint="eastAsia"/>
          <w:caps w:val="0"/>
          <w:smallCaps w:val="0"/>
          <w:lang w:val="en-US" w:eastAsia="zh-CN"/>
        </w:rPr>
        <w:t>XGT7020-10S1</w:t>
      </w:r>
      <w:r>
        <w:rPr>
          <w:rFonts w:hint="eastAsia" w:ascii="Times New Roman" w:hAnsi="Times New Roman"/>
          <w:caps w:val="0"/>
          <w:smallCaps w:val="0"/>
          <w:highlight w:val="none"/>
          <w:lang w:val="en-US" w:eastAsia="zh-CN"/>
        </w:rPr>
        <w:t>平衡重拆除平面图</w:t>
      </w:r>
      <w:r>
        <w:drawing>
          <wp:inline distT="0" distB="0" distL="114300" distR="114300">
            <wp:extent cx="5090160" cy="2767330"/>
            <wp:effectExtent l="0" t="0" r="15240" b="13970"/>
            <wp:docPr id="10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2"/>
                    <pic:cNvPicPr>
                      <a:picLocks noChangeAspect="1"/>
                    </pic:cNvPicPr>
                  </pic:nvPicPr>
                  <pic:blipFill>
                    <a:blip r:embed="rId33"/>
                    <a:stretch>
                      <a:fillRect/>
                    </a:stretch>
                  </pic:blipFill>
                  <pic:spPr>
                    <a:xfrm>
                      <a:off x="0" y="0"/>
                      <a:ext cx="5090160" cy="2767330"/>
                    </a:xfrm>
                    <a:prstGeom prst="rect">
                      <a:avLst/>
                    </a:prstGeom>
                    <a:noFill/>
                    <a:ln>
                      <a:noFill/>
                    </a:ln>
                  </pic:spPr>
                </pic:pic>
              </a:graphicData>
            </a:graphic>
          </wp:inline>
        </w:drawing>
      </w:r>
    </w:p>
    <w:p w14:paraId="7E889104">
      <w:pPr>
        <w:pStyle w:val="14"/>
        <w:bidi w:val="0"/>
        <w:rPr>
          <w:rFonts w:hint="default" w:ascii="Times New Roman" w:hAnsi="Times New Roman"/>
          <w:caps w:val="0"/>
          <w:smallCaps w:val="0"/>
          <w:highlight w:val="none"/>
          <w:lang w:val="en-US" w:eastAsia="zh-CN"/>
        </w:rPr>
      </w:pPr>
      <w:r>
        <w:rPr>
          <w:rFonts w:hint="eastAsia" w:ascii="Times New Roman" w:hAnsi="Times New Roman" w:eastAsia="宋体" w:cs="宋体"/>
          <w:caps w:val="0"/>
          <w:smallCaps w:val="0"/>
          <w:sz w:val="24"/>
          <w:szCs w:val="24"/>
        </w:rPr>
        <w:t>图</w:t>
      </w:r>
      <w:r>
        <w:rPr>
          <w:rFonts w:hint="eastAsia" w:ascii="Times New Roman" w:hAnsi="Times New Roman" w:eastAsia="宋体" w:cs="宋体"/>
          <w:caps w:val="0"/>
          <w:smallCaps w:val="0"/>
          <w:sz w:val="24"/>
          <w:szCs w:val="24"/>
        </w:rPr>
        <w:fldChar w:fldCharType="begin"/>
      </w:r>
      <w:r>
        <w:rPr>
          <w:rFonts w:hint="eastAsia" w:ascii="Times New Roman" w:hAnsi="Times New Roman" w:eastAsia="宋体" w:cs="宋体"/>
          <w:caps w:val="0"/>
          <w:smallCaps w:val="0"/>
          <w:sz w:val="24"/>
          <w:szCs w:val="24"/>
        </w:rPr>
        <w:instrText xml:space="preserve">STYLEREF 3\s</w:instrText>
      </w:r>
      <w:r>
        <w:rPr>
          <w:rFonts w:hint="eastAsia" w:ascii="Times New Roman" w:hAnsi="Times New Roman" w:eastAsia="宋体" w:cs="宋体"/>
          <w:caps w:val="0"/>
          <w:smallCaps w:val="0"/>
          <w:sz w:val="24"/>
          <w:szCs w:val="24"/>
        </w:rPr>
        <w:fldChar w:fldCharType="separate"/>
      </w:r>
      <w:r>
        <w:rPr>
          <w:rFonts w:hint="eastAsia" w:ascii="Times New Roman" w:hAnsi="Times New Roman" w:eastAsia="宋体" w:cs="宋体"/>
          <w:caps w:val="0"/>
          <w:smallCaps w:val="0"/>
          <w:sz w:val="24"/>
          <w:szCs w:val="24"/>
        </w:rPr>
        <w:t>4.4.2</w:t>
      </w:r>
      <w:r>
        <w:rPr>
          <w:rFonts w:hint="eastAsia" w:ascii="Times New Roman" w:hAnsi="Times New Roman" w:eastAsia="宋体" w:cs="宋体"/>
          <w:caps w:val="0"/>
          <w:smallCaps w:val="0"/>
          <w:sz w:val="24"/>
          <w:szCs w:val="24"/>
        </w:rPr>
        <w:fldChar w:fldCharType="end"/>
      </w:r>
      <w:r>
        <w:rPr>
          <w:rFonts w:hint="eastAsia" w:ascii="Times New Roman" w:hAnsi="Times New Roman" w:cs="宋体"/>
          <w:caps w:val="0"/>
          <w:smallCaps w:val="0"/>
          <w:sz w:val="24"/>
          <w:szCs w:val="24"/>
          <w:lang w:val="en-US" w:eastAsia="zh-CN"/>
        </w:rPr>
        <w:t xml:space="preserve">-2  </w:t>
      </w:r>
      <w:r>
        <w:rPr>
          <w:rFonts w:hint="eastAsia"/>
          <w:caps w:val="0"/>
          <w:smallCaps w:val="0"/>
          <w:lang w:val="en-US" w:eastAsia="zh-CN"/>
        </w:rPr>
        <w:t>XGT7020-10S1</w:t>
      </w:r>
      <w:r>
        <w:rPr>
          <w:rFonts w:hint="eastAsia" w:ascii="Times New Roman" w:hAnsi="Times New Roman"/>
          <w:caps w:val="0"/>
          <w:smallCaps w:val="0"/>
          <w:highlight w:val="none"/>
          <w:lang w:val="en-US" w:eastAsia="zh-CN"/>
        </w:rPr>
        <w:t>平衡重拆除立面图</w:t>
      </w:r>
    </w:p>
    <w:p w14:paraId="45B395F5">
      <w:pPr>
        <w:pStyle w:val="4"/>
        <w:bidi w:val="0"/>
        <w:rPr>
          <w:rFonts w:hint="eastAsia" w:ascii="Times New Roman" w:hAnsi="Times New Roman"/>
          <w:b/>
          <w:bCs/>
          <w:caps w:val="0"/>
          <w:smallCaps w:val="0"/>
          <w:lang w:val="en-US" w:eastAsia="zh-CN"/>
        </w:rPr>
      </w:pPr>
      <w:bookmarkStart w:id="186" w:name="_Toc30899"/>
      <w:r>
        <w:rPr>
          <w:rFonts w:hint="eastAsia" w:ascii="Times New Roman" w:hAnsi="Times New Roman"/>
          <w:b/>
          <w:bCs/>
          <w:caps w:val="0"/>
          <w:smallCaps w:val="0"/>
          <w:lang w:val="en-US" w:eastAsia="zh-CN"/>
        </w:rPr>
        <w:t>拆除起重臂</w:t>
      </w:r>
      <w:bookmarkEnd w:id="186"/>
    </w:p>
    <w:p w14:paraId="1B1CD830">
      <w:pPr>
        <w:numPr>
          <w:ilvl w:val="0"/>
          <w:numId w:val="7"/>
        </w:numPr>
        <w:ind w:firstLineChars="0"/>
        <w:rPr>
          <w:rFonts w:hint="eastAsia" w:ascii="Times New Roman" w:hAnsi="Times New Roman" w:eastAsia="宋体" w:cs="宋体"/>
          <w:caps w:val="0"/>
          <w:smallCaps w:val="0"/>
          <w:color w:val="auto"/>
          <w:sz w:val="24"/>
          <w:szCs w:val="24"/>
          <w:lang w:val="en-US" w:eastAsia="zh-CN"/>
        </w:rPr>
      </w:pPr>
      <w:r>
        <w:rPr>
          <w:rFonts w:hint="eastAsia" w:ascii="Times New Roman" w:hAnsi="Times New Roman" w:eastAsia="宋体" w:cs="宋体"/>
          <w:caps w:val="0"/>
          <w:smallCaps w:val="0"/>
          <w:color w:val="auto"/>
          <w:sz w:val="24"/>
          <w:szCs w:val="24"/>
          <w:lang w:val="en-US" w:eastAsia="zh-CN"/>
        </w:rPr>
        <w:t>放下吊钩至地面，拆除起重钢丝绳与起重臂前端上的防扭装置连接，开动起升机构，回收全部钢丝绳；</w:t>
      </w:r>
    </w:p>
    <w:p w14:paraId="1A858813">
      <w:pPr>
        <w:numPr>
          <w:ilvl w:val="0"/>
          <w:numId w:val="7"/>
        </w:numPr>
        <w:ind w:firstLineChars="0"/>
        <w:rPr>
          <w:rFonts w:hint="eastAsia" w:ascii="Times New Roman" w:hAnsi="Times New Roman" w:eastAsia="宋体" w:cs="宋体"/>
          <w:caps w:val="0"/>
          <w:smallCaps w:val="0"/>
          <w:color w:val="auto"/>
          <w:sz w:val="24"/>
          <w:szCs w:val="24"/>
          <w:highlight w:val="none"/>
          <w:lang w:val="en-US" w:eastAsia="zh-CN"/>
        </w:rPr>
      </w:pPr>
      <w:r>
        <w:rPr>
          <w:rFonts w:hint="eastAsia" w:ascii="Times New Roman" w:hAnsi="Times New Roman" w:cs="宋体"/>
          <w:caps w:val="0"/>
          <w:smallCaps w:val="0"/>
          <w:color w:val="auto"/>
          <w:sz w:val="24"/>
          <w:szCs w:val="24"/>
          <w:highlight w:val="none"/>
          <w:lang w:val="en-US" w:eastAsia="zh-CN"/>
        </w:rPr>
        <w:t>起重臂臂节2、臂节3采用分节吊装，臂节4、臂节6及臂头采用整体拆除，最重起重臂重量为2.093t，50T</w:t>
      </w:r>
      <w:r>
        <w:rPr>
          <w:rFonts w:hint="eastAsia" w:ascii="Times New Roman" w:hAnsi="Times New Roman" w:eastAsia="宋体" w:cs="宋体"/>
          <w:caps w:val="0"/>
          <w:smallCaps w:val="0"/>
          <w:color w:val="auto"/>
          <w:sz w:val="24"/>
          <w:szCs w:val="24"/>
          <w:highlight w:val="none"/>
          <w:lang w:val="en-US" w:eastAsia="zh-CN"/>
        </w:rPr>
        <w:t>汽车吊主臂长</w:t>
      </w:r>
      <w:r>
        <w:rPr>
          <w:rFonts w:hint="eastAsia" w:ascii="Times New Roman" w:hAnsi="Times New Roman" w:cs="宋体"/>
          <w:caps w:val="0"/>
          <w:smallCaps w:val="0"/>
          <w:color w:val="auto"/>
          <w:sz w:val="24"/>
          <w:szCs w:val="24"/>
          <w:highlight w:val="none"/>
          <w:lang w:val="en-US" w:eastAsia="zh-CN"/>
        </w:rPr>
        <w:t>39.2m</w:t>
      </w:r>
      <w:r>
        <w:rPr>
          <w:rFonts w:hint="eastAsia" w:ascii="Times New Roman" w:hAnsi="Times New Roman" w:eastAsia="宋体" w:cs="宋体"/>
          <w:caps w:val="0"/>
          <w:smallCaps w:val="0"/>
          <w:color w:val="auto"/>
          <w:sz w:val="24"/>
          <w:szCs w:val="24"/>
          <w:highlight w:val="none"/>
          <w:lang w:val="en-US" w:eastAsia="zh-CN"/>
        </w:rPr>
        <w:t>，吊装作业半径14m，额定起重量为9.3</w:t>
      </w:r>
      <w:r>
        <w:rPr>
          <w:rFonts w:hint="eastAsia" w:ascii="Times New Roman" w:hAnsi="Times New Roman"/>
          <w:caps w:val="0"/>
          <w:smallCaps w:val="0"/>
          <w:highlight w:val="none"/>
          <w:lang w:val="en-US" w:eastAsia="zh-CN"/>
        </w:rPr>
        <w:t>t&gt;2.093t</w:t>
      </w:r>
      <w:r>
        <w:rPr>
          <w:rFonts w:hint="eastAsia" w:ascii="Times New Roman" w:hAnsi="Times New Roman" w:eastAsia="宋体" w:cs="宋体"/>
          <w:caps w:val="0"/>
          <w:smallCaps w:val="0"/>
          <w:color w:val="auto"/>
          <w:sz w:val="24"/>
          <w:szCs w:val="24"/>
          <w:highlight w:val="none"/>
          <w:lang w:val="en-US" w:eastAsia="zh-CN"/>
        </w:rPr>
        <w:t>，满足拆除吊装要求。</w:t>
      </w:r>
    </w:p>
    <w:p w14:paraId="2D46F031">
      <w:pPr>
        <w:numPr>
          <w:ilvl w:val="0"/>
          <w:numId w:val="7"/>
        </w:numPr>
        <w:ind w:firstLineChars="0"/>
        <w:rPr>
          <w:rFonts w:hint="eastAsia" w:ascii="Times New Roman" w:hAnsi="Times New Roman" w:eastAsia="宋体" w:cs="宋体"/>
          <w:caps w:val="0"/>
          <w:smallCaps w:val="0"/>
          <w:color w:val="auto"/>
          <w:sz w:val="24"/>
          <w:szCs w:val="24"/>
          <w:highlight w:val="none"/>
          <w:lang w:val="en-US" w:eastAsia="zh-CN"/>
        </w:rPr>
      </w:pPr>
      <w:r>
        <w:rPr>
          <w:rFonts w:hint="eastAsia" w:ascii="Times New Roman" w:hAnsi="Times New Roman" w:cs="宋体"/>
          <w:caps w:val="0"/>
          <w:smallCaps w:val="0"/>
          <w:color w:val="auto"/>
          <w:sz w:val="24"/>
          <w:szCs w:val="24"/>
          <w:highlight w:val="none"/>
          <w:lang w:val="en-US" w:eastAsia="zh-CN"/>
        </w:rPr>
        <w:t>起重臂</w:t>
      </w:r>
      <w:r>
        <w:rPr>
          <w:rFonts w:hint="eastAsia" w:ascii="Times New Roman" w:hAnsi="Times New Roman" w:eastAsia="宋体" w:cs="宋体"/>
          <w:caps w:val="0"/>
          <w:smallCaps w:val="0"/>
          <w:color w:val="auto"/>
          <w:sz w:val="24"/>
          <w:szCs w:val="24"/>
          <w:highlight w:val="none"/>
          <w:lang w:val="en-US" w:eastAsia="zh-CN"/>
        </w:rPr>
        <w:t>吊装采用两点吊，以起重臂腹杆节点作为吊装孔，采用2根16</w:t>
      </w:r>
      <w:r>
        <w:rPr>
          <w:rFonts w:hint="eastAsia" w:ascii="Times New Roman" w:hAnsi="Times New Roman" w:cs="宋体"/>
          <w:caps w:val="0"/>
          <w:smallCaps w:val="0"/>
          <w:color w:val="auto"/>
          <w:sz w:val="24"/>
          <w:szCs w:val="24"/>
          <w:highlight w:val="none"/>
          <w:lang w:val="en-US" w:eastAsia="zh-CN"/>
        </w:rPr>
        <w:t>mm6×19W+IWR1870Mpa</w:t>
      </w:r>
      <w:r>
        <w:rPr>
          <w:rFonts w:hint="eastAsia" w:ascii="Times New Roman" w:hAnsi="Times New Roman" w:eastAsia="宋体" w:cs="宋体"/>
          <w:caps w:val="0"/>
          <w:smallCaps w:val="0"/>
          <w:color w:val="auto"/>
          <w:sz w:val="24"/>
          <w:szCs w:val="24"/>
          <w:highlight w:val="none"/>
          <w:lang w:val="en-US" w:eastAsia="zh-CN"/>
        </w:rPr>
        <w:t>的钢丝绳配套</w:t>
      </w:r>
      <w:r>
        <w:rPr>
          <w:rFonts w:hint="eastAsia" w:ascii="Times New Roman" w:hAnsi="Times New Roman" w:cs="宋体"/>
          <w:caps w:val="0"/>
          <w:smallCaps w:val="0"/>
          <w:color w:val="auto"/>
          <w:sz w:val="24"/>
          <w:szCs w:val="24"/>
          <w:highlight w:val="none"/>
          <w:lang w:val="en-US" w:eastAsia="zh-CN"/>
        </w:rPr>
        <w:t>GB/T 25854-6-DW5</w:t>
      </w:r>
      <w:r>
        <w:rPr>
          <w:rFonts w:hint="eastAsia" w:ascii="Times New Roman" w:hAnsi="Times New Roman" w:eastAsia="宋体" w:cs="宋体"/>
          <w:caps w:val="0"/>
          <w:smallCaps w:val="0"/>
          <w:color w:val="auto"/>
          <w:sz w:val="24"/>
          <w:szCs w:val="24"/>
          <w:highlight w:val="none"/>
          <w:lang w:val="en-US" w:eastAsia="zh-CN"/>
        </w:rPr>
        <w:t>卸扣进行起吊，</w:t>
      </w:r>
      <w:r>
        <w:rPr>
          <w:rFonts w:hint="eastAsia" w:ascii="Times New Roman" w:hAnsi="Times New Roman" w:cs="宋体"/>
          <w:caps w:val="0"/>
          <w:smallCaps w:val="0"/>
          <w:color w:val="auto"/>
          <w:sz w:val="24"/>
          <w:szCs w:val="24"/>
          <w:highlight w:val="none"/>
          <w:lang w:val="en-US" w:eastAsia="zh-CN"/>
        </w:rPr>
        <w:t>50T</w:t>
      </w:r>
      <w:r>
        <w:rPr>
          <w:rFonts w:hint="eastAsia" w:ascii="Times New Roman" w:hAnsi="Times New Roman" w:eastAsia="宋体" w:cs="宋体"/>
          <w:caps w:val="0"/>
          <w:smallCaps w:val="0"/>
          <w:color w:val="auto"/>
          <w:sz w:val="24"/>
          <w:szCs w:val="24"/>
          <w:highlight w:val="none"/>
          <w:lang w:val="en-US" w:eastAsia="zh-CN"/>
        </w:rPr>
        <w:t>汽车吊站位图如下</w:t>
      </w:r>
      <w:r>
        <w:rPr>
          <w:rFonts w:hint="eastAsia" w:ascii="Times New Roman" w:hAnsi="Times New Roman" w:cs="宋体"/>
          <w:caps w:val="0"/>
          <w:smallCaps w:val="0"/>
          <w:color w:val="auto"/>
          <w:sz w:val="24"/>
          <w:szCs w:val="24"/>
          <w:highlight w:val="none"/>
          <w:lang w:val="en-US" w:eastAsia="zh-CN"/>
        </w:rPr>
        <w:t>：</w:t>
      </w:r>
    </w:p>
    <w:p w14:paraId="3145133C">
      <w:pPr>
        <w:jc w:val="center"/>
        <w:rPr>
          <w:rFonts w:ascii="Times New Roman" w:hAnsi="Times New Roman"/>
          <w:caps w:val="0"/>
          <w:smallCaps w:val="0"/>
        </w:rPr>
      </w:pPr>
      <w:r>
        <w:drawing>
          <wp:inline distT="0" distB="0" distL="114300" distR="114300">
            <wp:extent cx="2549525" cy="2473960"/>
            <wp:effectExtent l="0" t="0" r="3175" b="2540"/>
            <wp:docPr id="9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0"/>
                    <pic:cNvPicPr>
                      <a:picLocks noChangeAspect="1"/>
                    </pic:cNvPicPr>
                  </pic:nvPicPr>
                  <pic:blipFill>
                    <a:blip r:embed="rId34"/>
                    <a:stretch>
                      <a:fillRect/>
                    </a:stretch>
                  </pic:blipFill>
                  <pic:spPr>
                    <a:xfrm>
                      <a:off x="0" y="0"/>
                      <a:ext cx="2549525" cy="2473960"/>
                    </a:xfrm>
                    <a:prstGeom prst="rect">
                      <a:avLst/>
                    </a:prstGeom>
                    <a:noFill/>
                    <a:ln>
                      <a:noFill/>
                    </a:ln>
                  </pic:spPr>
                </pic:pic>
              </a:graphicData>
            </a:graphic>
          </wp:inline>
        </w:drawing>
      </w:r>
      <w:r>
        <w:drawing>
          <wp:inline distT="0" distB="0" distL="114300" distR="114300">
            <wp:extent cx="2504440" cy="2402205"/>
            <wp:effectExtent l="0" t="0" r="10160" b="17145"/>
            <wp:docPr id="9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7"/>
                    <pic:cNvPicPr>
                      <a:picLocks noChangeAspect="1"/>
                    </pic:cNvPicPr>
                  </pic:nvPicPr>
                  <pic:blipFill>
                    <a:blip r:embed="rId35"/>
                    <a:stretch>
                      <a:fillRect/>
                    </a:stretch>
                  </pic:blipFill>
                  <pic:spPr>
                    <a:xfrm>
                      <a:off x="0" y="0"/>
                      <a:ext cx="2504440" cy="2402205"/>
                    </a:xfrm>
                    <a:prstGeom prst="rect">
                      <a:avLst/>
                    </a:prstGeom>
                    <a:noFill/>
                    <a:ln>
                      <a:noFill/>
                    </a:ln>
                  </pic:spPr>
                </pic:pic>
              </a:graphicData>
            </a:graphic>
          </wp:inline>
        </w:drawing>
      </w:r>
      <w:r>
        <w:drawing>
          <wp:inline distT="0" distB="0" distL="114300" distR="114300">
            <wp:extent cx="2433320" cy="2093595"/>
            <wp:effectExtent l="0" t="0" r="5080" b="1905"/>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36"/>
                    <a:stretch>
                      <a:fillRect/>
                    </a:stretch>
                  </pic:blipFill>
                  <pic:spPr>
                    <a:xfrm>
                      <a:off x="0" y="0"/>
                      <a:ext cx="2433320" cy="2093595"/>
                    </a:xfrm>
                    <a:prstGeom prst="rect">
                      <a:avLst/>
                    </a:prstGeom>
                    <a:noFill/>
                    <a:ln>
                      <a:noFill/>
                    </a:ln>
                  </pic:spPr>
                </pic:pic>
              </a:graphicData>
            </a:graphic>
          </wp:inline>
        </w:drawing>
      </w:r>
    </w:p>
    <w:p w14:paraId="55A1ED6B">
      <w:pPr>
        <w:pStyle w:val="14"/>
        <w:bidi w:val="0"/>
        <w:rPr>
          <w:rFonts w:hint="eastAsia" w:ascii="Times New Roman" w:hAnsi="Times New Roman"/>
          <w:caps w:val="0"/>
          <w:smallCaps w:val="0"/>
          <w:highlight w:val="none"/>
          <w:lang w:val="en-US" w:eastAsia="zh-CN"/>
        </w:rPr>
      </w:pPr>
      <w:r>
        <w:rPr>
          <w:rFonts w:hint="eastAsia" w:ascii="Times New Roman" w:hAnsi="Times New Roman" w:eastAsia="宋体" w:cs="宋体"/>
          <w:caps w:val="0"/>
          <w:smallCaps w:val="0"/>
          <w:sz w:val="24"/>
          <w:szCs w:val="24"/>
        </w:rPr>
        <w:t>图</w:t>
      </w:r>
      <w:r>
        <w:rPr>
          <w:rFonts w:hint="eastAsia" w:ascii="Times New Roman" w:hAnsi="Times New Roman" w:eastAsia="宋体" w:cs="宋体"/>
          <w:caps w:val="0"/>
          <w:smallCaps w:val="0"/>
          <w:sz w:val="24"/>
          <w:szCs w:val="24"/>
        </w:rPr>
        <w:fldChar w:fldCharType="begin"/>
      </w:r>
      <w:r>
        <w:rPr>
          <w:rFonts w:hint="eastAsia" w:ascii="Times New Roman" w:hAnsi="Times New Roman" w:eastAsia="宋体" w:cs="宋体"/>
          <w:caps w:val="0"/>
          <w:smallCaps w:val="0"/>
          <w:sz w:val="24"/>
          <w:szCs w:val="24"/>
        </w:rPr>
        <w:instrText xml:space="preserve">STYLEREF 3\s</w:instrText>
      </w:r>
      <w:r>
        <w:rPr>
          <w:rFonts w:hint="eastAsia" w:ascii="Times New Roman" w:hAnsi="Times New Roman" w:eastAsia="宋体" w:cs="宋体"/>
          <w:caps w:val="0"/>
          <w:smallCaps w:val="0"/>
          <w:sz w:val="24"/>
          <w:szCs w:val="24"/>
        </w:rPr>
        <w:fldChar w:fldCharType="separate"/>
      </w:r>
      <w:r>
        <w:rPr>
          <w:rFonts w:hint="eastAsia" w:ascii="Times New Roman" w:hAnsi="Times New Roman" w:eastAsia="宋体" w:cs="宋体"/>
          <w:caps w:val="0"/>
          <w:smallCaps w:val="0"/>
          <w:sz w:val="24"/>
          <w:szCs w:val="24"/>
        </w:rPr>
        <w:t>4.4.3</w:t>
      </w:r>
      <w:r>
        <w:rPr>
          <w:rFonts w:hint="eastAsia" w:ascii="Times New Roman" w:hAnsi="Times New Roman" w:eastAsia="宋体" w:cs="宋体"/>
          <w:caps w:val="0"/>
          <w:smallCaps w:val="0"/>
          <w:sz w:val="24"/>
          <w:szCs w:val="24"/>
        </w:rPr>
        <w:fldChar w:fldCharType="end"/>
      </w:r>
      <w:r>
        <w:rPr>
          <w:rFonts w:hint="eastAsia" w:ascii="Times New Roman" w:hAnsi="Times New Roman" w:cs="宋体"/>
          <w:caps w:val="0"/>
          <w:smallCaps w:val="0"/>
          <w:sz w:val="24"/>
          <w:szCs w:val="24"/>
          <w:lang w:val="en-US" w:eastAsia="zh-CN"/>
        </w:rPr>
        <w:t xml:space="preserve">-1   </w:t>
      </w:r>
      <w:r>
        <w:rPr>
          <w:rFonts w:hint="eastAsia"/>
          <w:caps w:val="0"/>
          <w:smallCaps w:val="0"/>
          <w:lang w:val="en-US" w:eastAsia="zh-CN"/>
        </w:rPr>
        <w:t>XGT7020-10S1</w:t>
      </w:r>
      <w:r>
        <w:rPr>
          <w:rFonts w:hint="eastAsia" w:ascii="Times New Roman" w:hAnsi="Times New Roman"/>
          <w:caps w:val="0"/>
          <w:smallCaps w:val="0"/>
          <w:highlight w:val="none"/>
          <w:lang w:val="en-US" w:eastAsia="zh-CN"/>
        </w:rPr>
        <w:t>起重臂总成拆除平面图</w:t>
      </w:r>
    </w:p>
    <w:p w14:paraId="1799C1FA">
      <w:pPr>
        <w:pStyle w:val="14"/>
        <w:bidi w:val="0"/>
        <w:rPr>
          <w:rFonts w:ascii="Times New Roman" w:hAnsi="Times New Roman"/>
          <w:caps w:val="0"/>
          <w:smallCaps w:val="0"/>
        </w:rPr>
      </w:pPr>
      <w:r>
        <w:drawing>
          <wp:inline distT="0" distB="0" distL="114300" distR="114300">
            <wp:extent cx="2435860" cy="1739265"/>
            <wp:effectExtent l="0" t="0" r="2540" b="13335"/>
            <wp:docPr id="9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9"/>
                    <pic:cNvPicPr>
                      <a:picLocks noChangeAspect="1"/>
                    </pic:cNvPicPr>
                  </pic:nvPicPr>
                  <pic:blipFill>
                    <a:blip r:embed="rId37"/>
                    <a:stretch>
                      <a:fillRect/>
                    </a:stretch>
                  </pic:blipFill>
                  <pic:spPr>
                    <a:xfrm>
                      <a:off x="0" y="0"/>
                      <a:ext cx="2435860" cy="1739265"/>
                    </a:xfrm>
                    <a:prstGeom prst="rect">
                      <a:avLst/>
                    </a:prstGeom>
                    <a:noFill/>
                    <a:ln>
                      <a:noFill/>
                    </a:ln>
                  </pic:spPr>
                </pic:pic>
              </a:graphicData>
            </a:graphic>
          </wp:inline>
        </w:drawing>
      </w:r>
      <w:r>
        <w:drawing>
          <wp:inline distT="0" distB="0" distL="114300" distR="114300">
            <wp:extent cx="2393315" cy="1779270"/>
            <wp:effectExtent l="0" t="0" r="6985" b="11430"/>
            <wp:docPr id="9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8"/>
                    <pic:cNvPicPr>
                      <a:picLocks noChangeAspect="1"/>
                    </pic:cNvPicPr>
                  </pic:nvPicPr>
                  <pic:blipFill>
                    <a:blip r:embed="rId38"/>
                    <a:stretch>
                      <a:fillRect/>
                    </a:stretch>
                  </pic:blipFill>
                  <pic:spPr>
                    <a:xfrm>
                      <a:off x="0" y="0"/>
                      <a:ext cx="2393315" cy="1779270"/>
                    </a:xfrm>
                    <a:prstGeom prst="rect">
                      <a:avLst/>
                    </a:prstGeom>
                    <a:noFill/>
                    <a:ln>
                      <a:noFill/>
                    </a:ln>
                  </pic:spPr>
                </pic:pic>
              </a:graphicData>
            </a:graphic>
          </wp:inline>
        </w:drawing>
      </w:r>
      <w:r>
        <w:drawing>
          <wp:inline distT="0" distB="0" distL="114300" distR="114300">
            <wp:extent cx="2480310" cy="2195830"/>
            <wp:effectExtent l="0" t="0" r="15240" b="13970"/>
            <wp:docPr id="9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5"/>
                    <pic:cNvPicPr>
                      <a:picLocks noChangeAspect="1"/>
                    </pic:cNvPicPr>
                  </pic:nvPicPr>
                  <pic:blipFill>
                    <a:blip r:embed="rId39"/>
                    <a:stretch>
                      <a:fillRect/>
                    </a:stretch>
                  </pic:blipFill>
                  <pic:spPr>
                    <a:xfrm>
                      <a:off x="0" y="0"/>
                      <a:ext cx="2480310" cy="2195830"/>
                    </a:xfrm>
                    <a:prstGeom prst="rect">
                      <a:avLst/>
                    </a:prstGeom>
                    <a:noFill/>
                    <a:ln>
                      <a:noFill/>
                    </a:ln>
                  </pic:spPr>
                </pic:pic>
              </a:graphicData>
            </a:graphic>
          </wp:inline>
        </w:drawing>
      </w:r>
    </w:p>
    <w:p w14:paraId="753E5611">
      <w:pPr>
        <w:pStyle w:val="14"/>
        <w:bidi w:val="0"/>
        <w:rPr>
          <w:rFonts w:hint="eastAsia" w:ascii="Times New Roman" w:hAnsi="Times New Roman"/>
          <w:caps w:val="0"/>
          <w:smallCaps w:val="0"/>
          <w:highlight w:val="none"/>
          <w:lang w:val="en-US" w:eastAsia="zh-CN"/>
        </w:rPr>
      </w:pPr>
      <w:r>
        <w:rPr>
          <w:rFonts w:hint="eastAsia" w:ascii="Times New Roman" w:hAnsi="Times New Roman" w:eastAsia="宋体" w:cs="宋体"/>
          <w:caps w:val="0"/>
          <w:smallCaps w:val="0"/>
          <w:sz w:val="24"/>
          <w:szCs w:val="24"/>
        </w:rPr>
        <w:t>图</w:t>
      </w:r>
      <w:r>
        <w:rPr>
          <w:rFonts w:hint="eastAsia" w:ascii="Times New Roman" w:hAnsi="Times New Roman" w:eastAsia="宋体" w:cs="宋体"/>
          <w:caps w:val="0"/>
          <w:smallCaps w:val="0"/>
          <w:sz w:val="24"/>
          <w:szCs w:val="24"/>
        </w:rPr>
        <w:fldChar w:fldCharType="begin"/>
      </w:r>
      <w:r>
        <w:rPr>
          <w:rFonts w:hint="eastAsia" w:ascii="Times New Roman" w:hAnsi="Times New Roman" w:eastAsia="宋体" w:cs="宋体"/>
          <w:caps w:val="0"/>
          <w:smallCaps w:val="0"/>
          <w:sz w:val="24"/>
          <w:szCs w:val="24"/>
        </w:rPr>
        <w:instrText xml:space="preserve">STYLEREF 3\s</w:instrText>
      </w:r>
      <w:r>
        <w:rPr>
          <w:rFonts w:hint="eastAsia" w:ascii="Times New Roman" w:hAnsi="Times New Roman" w:eastAsia="宋体" w:cs="宋体"/>
          <w:caps w:val="0"/>
          <w:smallCaps w:val="0"/>
          <w:sz w:val="24"/>
          <w:szCs w:val="24"/>
        </w:rPr>
        <w:fldChar w:fldCharType="separate"/>
      </w:r>
      <w:r>
        <w:rPr>
          <w:rFonts w:hint="eastAsia" w:ascii="Times New Roman" w:hAnsi="Times New Roman" w:eastAsia="宋体" w:cs="宋体"/>
          <w:caps w:val="0"/>
          <w:smallCaps w:val="0"/>
          <w:sz w:val="24"/>
          <w:szCs w:val="24"/>
        </w:rPr>
        <w:t>4.4.3</w:t>
      </w:r>
      <w:r>
        <w:rPr>
          <w:rFonts w:hint="eastAsia" w:ascii="Times New Roman" w:hAnsi="Times New Roman" w:eastAsia="宋体" w:cs="宋体"/>
          <w:caps w:val="0"/>
          <w:smallCaps w:val="0"/>
          <w:sz w:val="24"/>
          <w:szCs w:val="24"/>
        </w:rPr>
        <w:fldChar w:fldCharType="end"/>
      </w:r>
      <w:r>
        <w:rPr>
          <w:rFonts w:hint="eastAsia" w:ascii="Times New Roman" w:hAnsi="Times New Roman" w:cs="宋体"/>
          <w:caps w:val="0"/>
          <w:smallCaps w:val="0"/>
          <w:sz w:val="24"/>
          <w:szCs w:val="24"/>
          <w:lang w:val="en-US" w:eastAsia="zh-CN"/>
        </w:rPr>
        <w:t xml:space="preserve">-2   </w:t>
      </w:r>
      <w:r>
        <w:rPr>
          <w:rFonts w:hint="eastAsia"/>
          <w:caps w:val="0"/>
          <w:smallCaps w:val="0"/>
          <w:lang w:val="en-US" w:eastAsia="zh-CN"/>
        </w:rPr>
        <w:t>XGT7020-10S1</w:t>
      </w:r>
      <w:r>
        <w:rPr>
          <w:rFonts w:hint="eastAsia" w:ascii="Times New Roman" w:hAnsi="Times New Roman"/>
          <w:caps w:val="0"/>
          <w:smallCaps w:val="0"/>
          <w:highlight w:val="none"/>
          <w:lang w:val="en-US" w:eastAsia="zh-CN"/>
        </w:rPr>
        <w:t>起重臂总成拆除平面图</w:t>
      </w:r>
    </w:p>
    <w:p w14:paraId="2698070F">
      <w:pPr>
        <w:numPr>
          <w:ilvl w:val="0"/>
          <w:numId w:val="7"/>
        </w:numPr>
        <w:ind w:firstLineChars="0"/>
        <w:rPr>
          <w:rFonts w:hint="eastAsia" w:ascii="Times New Roman" w:hAnsi="Times New Roman" w:eastAsia="宋体" w:cs="宋体"/>
          <w:caps w:val="0"/>
          <w:smallCaps w:val="0"/>
          <w:color w:val="auto"/>
          <w:sz w:val="24"/>
          <w:szCs w:val="24"/>
          <w:lang w:val="en-US" w:eastAsia="zh-CN"/>
        </w:rPr>
      </w:pPr>
      <w:r>
        <w:rPr>
          <w:rFonts w:hint="eastAsia" w:ascii="Times New Roman" w:hAnsi="Times New Roman"/>
          <w:caps w:val="0"/>
          <w:smallCaps w:val="0"/>
          <w:highlight w:val="none"/>
        </w:rPr>
        <w:t>作业人员在地面上先将钢丝绳一端挂在</w:t>
      </w:r>
      <w:r>
        <w:rPr>
          <w:rFonts w:hint="eastAsia" w:ascii="Times New Roman" w:hAnsi="Times New Roman"/>
          <w:caps w:val="0"/>
          <w:smallCaps w:val="0"/>
          <w:highlight w:val="none"/>
          <w:lang w:eastAsia="zh-CN"/>
        </w:rPr>
        <w:t>汽车吊</w:t>
      </w:r>
      <w:r>
        <w:rPr>
          <w:rFonts w:hint="eastAsia" w:ascii="Times New Roman" w:hAnsi="Times New Roman"/>
          <w:caps w:val="0"/>
          <w:smallCaps w:val="0"/>
          <w:highlight w:val="none"/>
        </w:rPr>
        <w:t>吊钩上，启动</w:t>
      </w:r>
      <w:r>
        <w:rPr>
          <w:rFonts w:hint="eastAsia" w:ascii="Times New Roman" w:hAnsi="Times New Roman"/>
          <w:caps w:val="0"/>
          <w:smallCaps w:val="0"/>
          <w:highlight w:val="none"/>
          <w:lang w:eastAsia="zh-CN"/>
        </w:rPr>
        <w:t>汽车吊</w:t>
      </w:r>
      <w:r>
        <w:rPr>
          <w:rFonts w:hint="eastAsia" w:ascii="Times New Roman" w:hAnsi="Times New Roman"/>
          <w:caps w:val="0"/>
          <w:smallCaps w:val="0"/>
          <w:highlight w:val="none"/>
        </w:rPr>
        <w:t>，将钢丝绳缓慢提升至起重臂上方时，作业人员通过爬梯爬至</w:t>
      </w:r>
      <w:r>
        <w:rPr>
          <w:rFonts w:hint="eastAsia"/>
          <w:caps w:val="0"/>
          <w:smallCaps w:val="0"/>
          <w:highlight w:val="none"/>
          <w:lang w:val="en-US" w:eastAsia="zh-CN"/>
        </w:rPr>
        <w:t>回转总成</w:t>
      </w:r>
      <w:r>
        <w:rPr>
          <w:rFonts w:hint="eastAsia" w:ascii="Times New Roman" w:hAnsi="Times New Roman"/>
          <w:caps w:val="0"/>
          <w:smallCaps w:val="0"/>
          <w:highlight w:val="none"/>
        </w:rPr>
        <w:t>上，将安全带交替系挂在起重臂安全绳上，沿下弦杆走行至起重臂吊点位置处。</w:t>
      </w:r>
      <w:r>
        <w:rPr>
          <w:rFonts w:hint="eastAsia" w:ascii="Times New Roman" w:hAnsi="Times New Roman"/>
          <w:caps w:val="0"/>
          <w:smallCaps w:val="0"/>
          <w:highlight w:val="none"/>
          <w:lang w:eastAsia="zh-CN"/>
        </w:rPr>
        <w:t>汽车吊</w:t>
      </w:r>
      <w:r>
        <w:rPr>
          <w:rFonts w:hint="eastAsia" w:ascii="Times New Roman" w:hAnsi="Times New Roman"/>
          <w:caps w:val="0"/>
          <w:smallCaps w:val="0"/>
          <w:highlight w:val="none"/>
        </w:rPr>
        <w:t>放松吊钩，将另一端钢丝绳与起重臂腹杆节点捆绑连接，采用卸扣固定，同时在起重臂腹杆上栓好2根溜绳。作业人员沿下弦杆走行至起重臂</w:t>
      </w:r>
      <w:r>
        <w:rPr>
          <w:rFonts w:hint="eastAsia" w:ascii="Times New Roman" w:hAnsi="Times New Roman"/>
          <w:caps w:val="0"/>
          <w:smallCaps w:val="0"/>
          <w:highlight w:val="none"/>
          <w:lang w:val="en-US" w:eastAsia="zh-CN"/>
        </w:rPr>
        <w:t>臂根节</w:t>
      </w:r>
      <w:r>
        <w:rPr>
          <w:rFonts w:hint="eastAsia" w:ascii="Times New Roman" w:hAnsi="Times New Roman"/>
          <w:caps w:val="0"/>
          <w:smallCaps w:val="0"/>
          <w:highlight w:val="none"/>
        </w:rPr>
        <w:t>处，</w:t>
      </w:r>
      <w:r>
        <w:rPr>
          <w:rFonts w:hint="eastAsia" w:ascii="Times New Roman" w:hAnsi="Times New Roman"/>
          <w:caps w:val="0"/>
          <w:smallCaps w:val="0"/>
          <w:highlight w:val="none"/>
          <w:lang w:eastAsia="zh-CN"/>
        </w:rPr>
        <w:t>汽车吊</w:t>
      </w:r>
      <w:r>
        <w:rPr>
          <w:rFonts w:hint="eastAsia" w:ascii="Times New Roman" w:hAnsi="Times New Roman"/>
          <w:caps w:val="0"/>
          <w:smallCaps w:val="0"/>
          <w:highlight w:val="none"/>
        </w:rPr>
        <w:t>轻轻将起重臂往上抬，拆除起重臂和</w:t>
      </w:r>
      <w:r>
        <w:rPr>
          <w:rFonts w:hint="eastAsia" w:ascii="Times New Roman" w:hAnsi="Times New Roman"/>
          <w:caps w:val="0"/>
          <w:smallCaps w:val="0"/>
          <w:highlight w:val="none"/>
          <w:lang w:val="en-US" w:eastAsia="zh-CN"/>
        </w:rPr>
        <w:t>臂根节之间</w:t>
      </w:r>
      <w:r>
        <w:rPr>
          <w:rFonts w:hint="eastAsia" w:ascii="Times New Roman" w:hAnsi="Times New Roman"/>
          <w:caps w:val="0"/>
          <w:smallCaps w:val="0"/>
          <w:highlight w:val="none"/>
        </w:rPr>
        <w:t>的连接销轴，</w:t>
      </w:r>
      <w:r>
        <w:rPr>
          <w:rFonts w:hint="eastAsia" w:ascii="Times New Roman" w:hAnsi="Times New Roman"/>
          <w:caps w:val="0"/>
          <w:smallCaps w:val="0"/>
          <w:highlight w:val="none"/>
          <w:lang w:eastAsia="zh-CN"/>
        </w:rPr>
        <w:t>汽车吊</w:t>
      </w:r>
      <w:r>
        <w:rPr>
          <w:rFonts w:hint="eastAsia" w:ascii="Times New Roman" w:hAnsi="Times New Roman"/>
          <w:caps w:val="0"/>
          <w:smallCaps w:val="0"/>
          <w:highlight w:val="none"/>
        </w:rPr>
        <w:t>起升吊钩，将起重臂竖直起吊一定安全高度后，再将起重臂下放至地面，稳固后</w:t>
      </w:r>
      <w:r>
        <w:rPr>
          <w:rFonts w:hint="eastAsia" w:ascii="Times New Roman" w:hAnsi="Times New Roman"/>
          <w:caps w:val="0"/>
          <w:smallCaps w:val="0"/>
          <w:highlight w:val="none"/>
          <w:lang w:eastAsia="zh-CN"/>
        </w:rPr>
        <w:t>汽车吊</w:t>
      </w:r>
      <w:r>
        <w:rPr>
          <w:rFonts w:hint="eastAsia" w:ascii="Times New Roman" w:hAnsi="Times New Roman"/>
          <w:caps w:val="0"/>
          <w:smallCaps w:val="0"/>
          <w:highlight w:val="none"/>
        </w:rPr>
        <w:t>放松吊钩，作业人员在地面上解除钢丝绳与起重臂吊点的连接。</w:t>
      </w:r>
    </w:p>
    <w:p w14:paraId="5A86632A">
      <w:pPr>
        <w:numPr>
          <w:ilvl w:val="0"/>
          <w:numId w:val="7"/>
        </w:numPr>
        <w:ind w:firstLineChars="0"/>
        <w:rPr>
          <w:rFonts w:hint="eastAsia" w:ascii="Times New Roman" w:hAnsi="Times New Roman" w:eastAsia="宋体" w:cs="宋体"/>
          <w:caps w:val="0"/>
          <w:smallCaps w:val="0"/>
          <w:color w:val="auto"/>
          <w:sz w:val="24"/>
          <w:szCs w:val="24"/>
          <w:lang w:val="en-US" w:eastAsia="zh-CN"/>
        </w:rPr>
      </w:pPr>
      <w:r>
        <w:rPr>
          <w:rFonts w:hint="eastAsia" w:ascii="Times New Roman" w:hAnsi="Times New Roman" w:eastAsia="宋体" w:cs="Times New Roman"/>
          <w:caps w:val="0"/>
          <w:smallCaps w:val="0"/>
          <w:highlight w:val="none"/>
          <w:lang w:val="en-US" w:eastAsia="zh-CN"/>
        </w:rPr>
        <w:t>塔式起重机起重臂拆除时设置警戒区，起吊安排专人负责指挥，专人操作，严禁无关人员进入起重作业范围内。</w:t>
      </w:r>
    </w:p>
    <w:p w14:paraId="2CFCCF3C">
      <w:pPr>
        <w:pStyle w:val="4"/>
        <w:bidi w:val="0"/>
        <w:rPr>
          <w:rFonts w:hint="eastAsia" w:ascii="Times New Roman" w:hAnsi="Times New Roman"/>
          <w:b/>
          <w:bCs/>
          <w:caps w:val="0"/>
          <w:smallCaps w:val="0"/>
          <w:lang w:val="en-US" w:eastAsia="zh-CN"/>
        </w:rPr>
      </w:pPr>
      <w:bookmarkStart w:id="187" w:name="_Toc32064"/>
      <w:r>
        <w:rPr>
          <w:rFonts w:hint="eastAsia" w:ascii="Times New Roman" w:hAnsi="Times New Roman"/>
          <w:b/>
          <w:bCs/>
          <w:caps w:val="0"/>
          <w:smallCaps w:val="0"/>
          <w:lang w:val="en-US" w:eastAsia="zh-CN"/>
        </w:rPr>
        <w:t>拆除剩余配重</w:t>
      </w:r>
      <w:bookmarkEnd w:id="187"/>
    </w:p>
    <w:p w14:paraId="1398FAD1">
      <w:pPr>
        <w:numPr>
          <w:ilvl w:val="0"/>
          <w:numId w:val="8"/>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50T汽车吊主臂长39.2m，吊装作业半径14m，额定起重量为9.3t，满足拆除吊装要求。</w:t>
      </w:r>
    </w:p>
    <w:p w14:paraId="5668C5E4">
      <w:pPr>
        <w:numPr>
          <w:ilvl w:val="0"/>
          <w:numId w:val="8"/>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平衡重吊装采用两点吊，以平衡重顶部预埋的2个吊耳板作为吊装孔，采用2根16mm6×19W+IWR1870Mpa的钢丝绳配套GB/T 25854-6-DW5卸扣进行起吊。</w:t>
      </w:r>
    </w:p>
    <w:p w14:paraId="48E091CB">
      <w:pPr>
        <w:numPr>
          <w:ilvl w:val="0"/>
          <w:numId w:val="8"/>
        </w:numPr>
        <w:ind w:firstLineChars="0"/>
        <w:rPr>
          <w:rFonts w:hint="default"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作业人员在地面上先将钢丝绳一端挂在汽车吊吊钩上，另一端与卸扣连接，启动汽车吊，将卸扣缓慢提升至平衡重上方时，缓慢放松吊钩，作业人员通过平衡臂走道走行至平衡臂尾部，将安全带系挂在平衡臂横杆上，再将卸扣与平衡重吊耳通过销轴连接，打开平衡臂尾部的挡杆。汽车吊起升吊钩，将平衡重竖直起吊一定高度后，解除平衡重孔的销轴，汽车吊将平衡重沿平衡臂尾部槽口缓慢向外移出平衡臂，将平衡重下放至地面，作业人员在地面上解除卸扣与平衡重吊耳的连接。</w:t>
      </w:r>
    </w:p>
    <w:p w14:paraId="112273B8">
      <w:pPr>
        <w:keepNext w:val="0"/>
        <w:keepLines w:val="0"/>
        <w:pageBreakBefore w:val="0"/>
        <w:widowControl w:val="0"/>
        <w:shd w:val="clear"/>
        <w:kinsoku/>
        <w:wordWrap/>
        <w:overflowPunct/>
        <w:topLinePunct w:val="0"/>
        <w:autoSpaceDE/>
        <w:autoSpaceDN/>
        <w:bidi w:val="0"/>
        <w:adjustRightInd/>
        <w:snapToGrid/>
        <w:ind w:firstLine="0" w:firstLineChars="0"/>
        <w:jc w:val="center"/>
        <w:textAlignment w:val="auto"/>
        <w:rPr>
          <w:rFonts w:ascii="Times New Roman" w:hAnsi="Times New Roman"/>
          <w:caps w:val="0"/>
          <w:smallCaps w:val="0"/>
        </w:rPr>
      </w:pPr>
      <w:r>
        <w:drawing>
          <wp:inline distT="0" distB="0" distL="114300" distR="114300">
            <wp:extent cx="2595880" cy="2364105"/>
            <wp:effectExtent l="0" t="0" r="13970" b="17145"/>
            <wp:docPr id="9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1"/>
                    <pic:cNvPicPr>
                      <a:picLocks noChangeAspect="1"/>
                    </pic:cNvPicPr>
                  </pic:nvPicPr>
                  <pic:blipFill>
                    <a:blip r:embed="rId40"/>
                    <a:stretch>
                      <a:fillRect/>
                    </a:stretch>
                  </pic:blipFill>
                  <pic:spPr>
                    <a:xfrm>
                      <a:off x="0" y="0"/>
                      <a:ext cx="2595880" cy="2364105"/>
                    </a:xfrm>
                    <a:prstGeom prst="rect">
                      <a:avLst/>
                    </a:prstGeom>
                    <a:noFill/>
                    <a:ln>
                      <a:noFill/>
                    </a:ln>
                  </pic:spPr>
                </pic:pic>
              </a:graphicData>
            </a:graphic>
          </wp:inline>
        </w:drawing>
      </w:r>
      <w:r>
        <w:drawing>
          <wp:inline distT="0" distB="0" distL="114300" distR="114300">
            <wp:extent cx="2400935" cy="2506345"/>
            <wp:effectExtent l="0" t="0" r="18415" b="8255"/>
            <wp:docPr id="9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3"/>
                    <pic:cNvPicPr>
                      <a:picLocks noChangeAspect="1"/>
                    </pic:cNvPicPr>
                  </pic:nvPicPr>
                  <pic:blipFill>
                    <a:blip r:embed="rId41"/>
                    <a:stretch>
                      <a:fillRect/>
                    </a:stretch>
                  </pic:blipFill>
                  <pic:spPr>
                    <a:xfrm>
                      <a:off x="0" y="0"/>
                      <a:ext cx="2400935" cy="2506345"/>
                    </a:xfrm>
                    <a:prstGeom prst="rect">
                      <a:avLst/>
                    </a:prstGeom>
                    <a:noFill/>
                    <a:ln>
                      <a:noFill/>
                    </a:ln>
                  </pic:spPr>
                </pic:pic>
              </a:graphicData>
            </a:graphic>
          </wp:inline>
        </w:drawing>
      </w:r>
    </w:p>
    <w:p w14:paraId="6104BFF9">
      <w:pPr>
        <w:jc w:val="center"/>
        <w:rPr>
          <w:rFonts w:hint="eastAsia" w:ascii="Times New Roman" w:hAnsi="Times New Roman" w:eastAsia="宋体" w:cs="宋体"/>
          <w:b/>
          <w:caps w:val="0"/>
          <w:smallCaps w:val="0"/>
          <w:kern w:val="2"/>
          <w:sz w:val="24"/>
          <w:szCs w:val="24"/>
          <w:lang w:val="en-US" w:eastAsia="zh-CN" w:bidi="ar-SA"/>
        </w:rPr>
      </w:pPr>
      <w:r>
        <w:rPr>
          <w:rFonts w:hint="eastAsia" w:ascii="Times New Roman" w:hAnsi="Times New Roman" w:eastAsia="宋体" w:cs="宋体"/>
          <w:b/>
          <w:caps w:val="0"/>
          <w:smallCaps w:val="0"/>
          <w:kern w:val="2"/>
          <w:sz w:val="24"/>
          <w:szCs w:val="24"/>
          <w:lang w:val="en-US" w:eastAsia="zh-CN" w:bidi="ar-SA"/>
        </w:rPr>
        <w:t>图</w:t>
      </w:r>
      <w:r>
        <w:rPr>
          <w:rFonts w:hint="eastAsia" w:ascii="Times New Roman" w:hAnsi="Times New Roman" w:eastAsia="宋体" w:cs="宋体"/>
          <w:b/>
          <w:caps w:val="0"/>
          <w:smallCaps w:val="0"/>
          <w:kern w:val="2"/>
          <w:sz w:val="24"/>
          <w:szCs w:val="24"/>
          <w:lang w:val="en-US" w:eastAsia="zh-CN" w:bidi="ar-SA"/>
        </w:rPr>
        <w:fldChar w:fldCharType="begin"/>
      </w:r>
      <w:r>
        <w:rPr>
          <w:rFonts w:hint="eastAsia" w:ascii="Times New Roman" w:hAnsi="Times New Roman" w:eastAsia="宋体" w:cs="宋体"/>
          <w:b/>
          <w:caps w:val="0"/>
          <w:smallCaps w:val="0"/>
          <w:kern w:val="2"/>
          <w:sz w:val="24"/>
          <w:szCs w:val="24"/>
          <w:lang w:val="en-US" w:eastAsia="zh-CN" w:bidi="ar-SA"/>
        </w:rPr>
        <w:instrText xml:space="preserve">STYLEREF 3\s</w:instrText>
      </w:r>
      <w:r>
        <w:rPr>
          <w:rFonts w:hint="eastAsia" w:ascii="Times New Roman" w:hAnsi="Times New Roman" w:eastAsia="宋体" w:cs="宋体"/>
          <w:b/>
          <w:caps w:val="0"/>
          <w:smallCaps w:val="0"/>
          <w:kern w:val="2"/>
          <w:sz w:val="24"/>
          <w:szCs w:val="24"/>
          <w:lang w:val="en-US" w:eastAsia="zh-CN" w:bidi="ar-SA"/>
        </w:rPr>
        <w:fldChar w:fldCharType="separate"/>
      </w:r>
      <w:r>
        <w:rPr>
          <w:rFonts w:hint="eastAsia" w:ascii="Times New Roman" w:hAnsi="Times New Roman" w:eastAsia="宋体" w:cs="宋体"/>
          <w:b/>
          <w:caps w:val="0"/>
          <w:smallCaps w:val="0"/>
          <w:kern w:val="2"/>
          <w:sz w:val="24"/>
          <w:szCs w:val="24"/>
          <w:lang w:val="en-US" w:eastAsia="zh-CN" w:bidi="ar-SA"/>
        </w:rPr>
        <w:t>4.4.4</w:t>
      </w:r>
      <w:r>
        <w:rPr>
          <w:rFonts w:hint="eastAsia" w:ascii="Times New Roman" w:hAnsi="Times New Roman" w:eastAsia="宋体" w:cs="宋体"/>
          <w:b/>
          <w:caps w:val="0"/>
          <w:smallCaps w:val="0"/>
          <w:kern w:val="2"/>
          <w:sz w:val="24"/>
          <w:szCs w:val="24"/>
          <w:lang w:val="en-US" w:eastAsia="zh-CN" w:bidi="ar-SA"/>
        </w:rPr>
        <w:fldChar w:fldCharType="end"/>
      </w:r>
      <w:r>
        <w:rPr>
          <w:rFonts w:hint="eastAsia" w:ascii="Times New Roman" w:hAnsi="Times New Roman" w:cs="宋体"/>
          <w:b/>
          <w:caps w:val="0"/>
          <w:smallCaps w:val="0"/>
          <w:kern w:val="2"/>
          <w:sz w:val="24"/>
          <w:szCs w:val="24"/>
          <w:lang w:val="en-US" w:eastAsia="zh-CN" w:bidi="ar-SA"/>
        </w:rPr>
        <w:t>-1</w:t>
      </w:r>
      <w:r>
        <w:rPr>
          <w:rFonts w:hint="eastAsia" w:ascii="Times New Roman" w:hAnsi="Times New Roman" w:eastAsia="宋体" w:cs="宋体"/>
          <w:b/>
          <w:caps w:val="0"/>
          <w:smallCaps w:val="0"/>
          <w:kern w:val="2"/>
          <w:sz w:val="24"/>
          <w:szCs w:val="24"/>
          <w:lang w:val="en-US" w:eastAsia="zh-CN" w:bidi="ar-SA"/>
        </w:rPr>
        <w:t xml:space="preserve">   </w:t>
      </w:r>
      <w:r>
        <w:rPr>
          <w:rFonts w:hint="eastAsia" w:cs="宋体"/>
          <w:b/>
          <w:caps w:val="0"/>
          <w:smallCaps w:val="0"/>
          <w:kern w:val="2"/>
          <w:sz w:val="24"/>
          <w:szCs w:val="24"/>
          <w:lang w:val="en-US" w:eastAsia="zh-CN" w:bidi="ar-SA"/>
        </w:rPr>
        <w:t>XGT7020-10S1</w:t>
      </w:r>
      <w:r>
        <w:rPr>
          <w:rFonts w:hint="eastAsia" w:ascii="Times New Roman" w:hAnsi="Times New Roman" w:eastAsia="宋体" w:cs="宋体"/>
          <w:b/>
          <w:caps w:val="0"/>
          <w:smallCaps w:val="0"/>
          <w:kern w:val="2"/>
          <w:sz w:val="24"/>
          <w:szCs w:val="24"/>
          <w:lang w:val="en-US" w:eastAsia="zh-CN" w:bidi="ar-SA"/>
        </w:rPr>
        <w:t>最后一块配重拆除示意图</w:t>
      </w:r>
    </w:p>
    <w:p w14:paraId="4BE406D9">
      <w:pPr>
        <w:pStyle w:val="4"/>
        <w:tabs>
          <w:tab w:val="left" w:pos="630"/>
        </w:tabs>
        <w:bidi w:val="0"/>
        <w:rPr>
          <w:rFonts w:hint="eastAsia" w:ascii="Times New Roman" w:hAnsi="Times New Roman"/>
          <w:b/>
          <w:bCs/>
          <w:caps w:val="0"/>
          <w:smallCaps w:val="0"/>
          <w:lang w:val="en-US" w:eastAsia="zh-CN"/>
        </w:rPr>
      </w:pPr>
      <w:r>
        <w:rPr>
          <w:rFonts w:hint="eastAsia" w:ascii="Times New Roman" w:hAnsi="Times New Roman"/>
          <w:b/>
          <w:bCs/>
          <w:caps w:val="0"/>
          <w:smallCaps w:val="0"/>
          <w:lang w:val="en-US" w:eastAsia="zh-CN"/>
        </w:rPr>
        <w:t>拆除平衡臂</w:t>
      </w:r>
    </w:p>
    <w:p w14:paraId="3252CAA3">
      <w:pPr>
        <w:numPr>
          <w:ilvl w:val="0"/>
          <w:numId w:val="9"/>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50T汽车吊主臂长39.2m，吊装作业半径14m，额定起重量为9.3t，满足拆除吊装要求。</w:t>
      </w:r>
    </w:p>
    <w:p w14:paraId="308F945D">
      <w:pPr>
        <w:numPr>
          <w:ilvl w:val="0"/>
          <w:numId w:val="9"/>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平衡臂吊装采用四点吊，以平衡臂顶部4个吊耳板作为吊装孔，采用4根18mm6×19W+IWR1870Mpa的钢丝绳配套GB/T 25854-6-DW5卸扣进行起吊。</w:t>
      </w:r>
    </w:p>
    <w:p w14:paraId="41D11B70">
      <w:pPr>
        <w:numPr>
          <w:ilvl w:val="0"/>
          <w:numId w:val="9"/>
        </w:numPr>
        <w:ind w:firstLineChars="0"/>
        <w:rPr>
          <w:rFonts w:hint="default" w:ascii="Times New Roman" w:hAnsi="Times New Roman" w:eastAsia="宋体" w:cs="Times New Roman"/>
          <w:caps w:val="0"/>
          <w:smallCaps w:val="0"/>
          <w:highlight w:val="none"/>
          <w:lang w:val="en-US" w:eastAsia="zh-CN"/>
        </w:rPr>
      </w:pPr>
      <w:r>
        <w:rPr>
          <w:rFonts w:hint="default" w:ascii="Times New Roman" w:hAnsi="Times New Roman" w:eastAsia="宋体" w:cs="Times New Roman"/>
          <w:caps w:val="0"/>
          <w:smallCaps w:val="0"/>
          <w:highlight w:val="none"/>
          <w:lang w:val="en-US" w:eastAsia="zh-CN"/>
        </w:rPr>
        <w:t>作业人员在地面上先将钢丝绳一端挂在</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吊钩上，另一端与卸扣连接，启动</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，将卸扣缓慢提升至</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上方，作业人员将安全带系挂在平衡臂横杆上，通过平衡臂走道走行至</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吊耳位置，</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放松吊钩，作业人员将卸扣与</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吊耳通过销轴连接，同时在</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杆件上栓好2根溜绳。作业人员通过平衡臂走道走行至起重臂臂根节处，将安全带系挂在起重臂臂根节的横杆上，</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稍微提起</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，使吊装钢丝绳和</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处于紧绷状态，拆除拉杆和起重臂臂根节的连接销轴，采用</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提升</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，使</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与起重臂臂节</w:t>
      </w:r>
      <w:r>
        <w:rPr>
          <w:rFonts w:hint="eastAsia" w:ascii="Times New Roman" w:hAnsi="Times New Roman" w:eastAsia="宋体" w:cs="Times New Roman"/>
          <w:caps w:val="0"/>
          <w:smallCaps w:val="0"/>
          <w:highlight w:val="none"/>
          <w:lang w:val="en-US" w:eastAsia="zh-CN"/>
        </w:rPr>
        <w:t>一</w:t>
      </w:r>
      <w:r>
        <w:rPr>
          <w:rFonts w:hint="default" w:ascii="Times New Roman" w:hAnsi="Times New Roman" w:eastAsia="宋体" w:cs="Times New Roman"/>
          <w:caps w:val="0"/>
          <w:smallCaps w:val="0"/>
          <w:highlight w:val="none"/>
          <w:lang w:val="en-US" w:eastAsia="zh-CN"/>
        </w:rPr>
        <w:t>倾斜至一定角度，拆除</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和起重臂臂节</w:t>
      </w:r>
      <w:r>
        <w:rPr>
          <w:rFonts w:hint="eastAsia" w:ascii="Times New Roman" w:hAnsi="Times New Roman" w:eastAsia="宋体" w:cs="Times New Roman"/>
          <w:caps w:val="0"/>
          <w:smallCaps w:val="0"/>
          <w:highlight w:val="none"/>
          <w:lang w:val="en-US" w:eastAsia="zh-CN"/>
        </w:rPr>
        <w:t>一</w:t>
      </w:r>
      <w:r>
        <w:rPr>
          <w:rFonts w:hint="default" w:ascii="Times New Roman" w:hAnsi="Times New Roman" w:eastAsia="宋体" w:cs="Times New Roman"/>
          <w:caps w:val="0"/>
          <w:smallCaps w:val="0"/>
          <w:highlight w:val="none"/>
          <w:lang w:val="en-US" w:eastAsia="zh-CN"/>
        </w:rPr>
        <w:t>连接销轴。</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起升吊钩，将</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提升至一定安全高度后，再将</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下放至地面，作业人员在地面上解除卸扣与</w:t>
      </w:r>
      <w:r>
        <w:rPr>
          <w:rFonts w:hint="eastAsia" w:ascii="Times New Roman" w:hAnsi="Times New Roman" w:eastAsia="宋体" w:cs="Times New Roman"/>
          <w:caps w:val="0"/>
          <w:smallCaps w:val="0"/>
          <w:highlight w:val="none"/>
          <w:lang w:val="en-US" w:eastAsia="zh-CN"/>
        </w:rPr>
        <w:t>平衡臂</w:t>
      </w:r>
      <w:r>
        <w:rPr>
          <w:rFonts w:hint="default" w:ascii="Times New Roman" w:hAnsi="Times New Roman" w:eastAsia="宋体" w:cs="Times New Roman"/>
          <w:caps w:val="0"/>
          <w:smallCaps w:val="0"/>
          <w:highlight w:val="none"/>
          <w:lang w:val="en-US" w:eastAsia="zh-CN"/>
        </w:rPr>
        <w:t>吊耳的连接。</w:t>
      </w:r>
    </w:p>
    <w:p w14:paraId="66CA9BF6">
      <w:pPr>
        <w:numPr>
          <w:ilvl w:val="0"/>
          <w:numId w:val="9"/>
        </w:numPr>
        <w:ind w:firstLineChars="0"/>
        <w:rPr>
          <w:rFonts w:hint="default"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塔式起重机平衡臂拆除时设置警戒区，起吊安排专人负责指挥，专人操作，严禁无关人员进入起重作业范围内。</w:t>
      </w:r>
    </w:p>
    <w:p w14:paraId="18A2E7AA">
      <w:pPr>
        <w:keepNext w:val="0"/>
        <w:keepLines w:val="0"/>
        <w:pageBreakBefore w:val="0"/>
        <w:widowControl w:val="0"/>
        <w:numPr>
          <w:ilvl w:val="0"/>
          <w:numId w:val="0"/>
        </w:numPr>
        <w:kinsoku/>
        <w:wordWrap/>
        <w:overflowPunct/>
        <w:topLinePunct w:val="0"/>
        <w:autoSpaceDE/>
        <w:autoSpaceDN/>
        <w:bidi w:val="0"/>
        <w:adjustRightInd/>
        <w:snapToGrid/>
        <w:ind w:left="0" w:leftChars="0"/>
        <w:jc w:val="center"/>
        <w:textAlignment w:val="auto"/>
        <w:rPr>
          <w:rFonts w:ascii="Times New Roman" w:hAnsi="Times New Roman"/>
          <w:caps w:val="0"/>
          <w:smallCaps w:val="0"/>
        </w:rPr>
      </w:pPr>
      <w:r>
        <w:drawing>
          <wp:inline distT="0" distB="0" distL="114300" distR="114300">
            <wp:extent cx="2720975" cy="2477770"/>
            <wp:effectExtent l="0" t="0" r="3175" b="17780"/>
            <wp:docPr id="8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1"/>
                    <pic:cNvPicPr>
                      <a:picLocks noChangeAspect="1"/>
                    </pic:cNvPicPr>
                  </pic:nvPicPr>
                  <pic:blipFill>
                    <a:blip r:embed="rId40"/>
                    <a:stretch>
                      <a:fillRect/>
                    </a:stretch>
                  </pic:blipFill>
                  <pic:spPr>
                    <a:xfrm>
                      <a:off x="0" y="0"/>
                      <a:ext cx="2720975" cy="2477770"/>
                    </a:xfrm>
                    <a:prstGeom prst="rect">
                      <a:avLst/>
                    </a:prstGeom>
                    <a:noFill/>
                    <a:ln>
                      <a:noFill/>
                    </a:ln>
                  </pic:spPr>
                </pic:pic>
              </a:graphicData>
            </a:graphic>
          </wp:inline>
        </w:drawing>
      </w:r>
      <w:r>
        <w:drawing>
          <wp:inline distT="0" distB="0" distL="114300" distR="114300">
            <wp:extent cx="2223770" cy="2439035"/>
            <wp:effectExtent l="0" t="0" r="5080" b="18415"/>
            <wp:docPr id="8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2"/>
                    <pic:cNvPicPr>
                      <a:picLocks noChangeAspect="1"/>
                    </pic:cNvPicPr>
                  </pic:nvPicPr>
                  <pic:blipFill>
                    <a:blip r:embed="rId42"/>
                    <a:stretch>
                      <a:fillRect/>
                    </a:stretch>
                  </pic:blipFill>
                  <pic:spPr>
                    <a:xfrm>
                      <a:off x="0" y="0"/>
                      <a:ext cx="2223770" cy="2439035"/>
                    </a:xfrm>
                    <a:prstGeom prst="rect">
                      <a:avLst/>
                    </a:prstGeom>
                    <a:noFill/>
                    <a:ln>
                      <a:noFill/>
                    </a:ln>
                  </pic:spPr>
                </pic:pic>
              </a:graphicData>
            </a:graphic>
          </wp:inline>
        </w:drawing>
      </w:r>
    </w:p>
    <w:p w14:paraId="53734F1F">
      <w:pPr>
        <w:jc w:val="center"/>
        <w:rPr>
          <w:rFonts w:hint="eastAsia" w:ascii="Times New Roman" w:hAnsi="Times New Roman" w:eastAsia="宋体" w:cs="宋体"/>
          <w:b/>
          <w:caps w:val="0"/>
          <w:smallCaps w:val="0"/>
          <w:kern w:val="2"/>
          <w:sz w:val="24"/>
          <w:szCs w:val="24"/>
          <w:lang w:val="en-US" w:eastAsia="zh-CN" w:bidi="ar-SA"/>
        </w:rPr>
      </w:pPr>
      <w:r>
        <w:rPr>
          <w:rFonts w:hint="eastAsia" w:ascii="Times New Roman" w:hAnsi="Times New Roman" w:eastAsia="宋体" w:cs="宋体"/>
          <w:b/>
          <w:caps w:val="0"/>
          <w:smallCaps w:val="0"/>
          <w:kern w:val="2"/>
          <w:sz w:val="24"/>
          <w:szCs w:val="24"/>
          <w:lang w:val="en-US" w:eastAsia="zh-CN" w:bidi="ar-SA"/>
        </w:rPr>
        <w:t>图</w:t>
      </w:r>
      <w:r>
        <w:rPr>
          <w:rFonts w:hint="eastAsia" w:ascii="Times New Roman" w:hAnsi="Times New Roman" w:eastAsia="宋体" w:cs="宋体"/>
          <w:b/>
          <w:caps w:val="0"/>
          <w:smallCaps w:val="0"/>
          <w:kern w:val="2"/>
          <w:sz w:val="24"/>
          <w:szCs w:val="24"/>
          <w:lang w:val="en-US" w:eastAsia="zh-CN" w:bidi="ar-SA"/>
        </w:rPr>
        <w:fldChar w:fldCharType="begin"/>
      </w:r>
      <w:r>
        <w:rPr>
          <w:rFonts w:hint="eastAsia" w:ascii="Times New Roman" w:hAnsi="Times New Roman" w:eastAsia="宋体" w:cs="宋体"/>
          <w:b/>
          <w:caps w:val="0"/>
          <w:smallCaps w:val="0"/>
          <w:kern w:val="2"/>
          <w:sz w:val="24"/>
          <w:szCs w:val="24"/>
          <w:lang w:val="en-US" w:eastAsia="zh-CN" w:bidi="ar-SA"/>
        </w:rPr>
        <w:instrText xml:space="preserve">STYLEREF 3\s</w:instrText>
      </w:r>
      <w:r>
        <w:rPr>
          <w:rFonts w:hint="eastAsia" w:ascii="Times New Roman" w:hAnsi="Times New Roman" w:eastAsia="宋体" w:cs="宋体"/>
          <w:b/>
          <w:caps w:val="0"/>
          <w:smallCaps w:val="0"/>
          <w:kern w:val="2"/>
          <w:sz w:val="24"/>
          <w:szCs w:val="24"/>
          <w:lang w:val="en-US" w:eastAsia="zh-CN" w:bidi="ar-SA"/>
        </w:rPr>
        <w:fldChar w:fldCharType="separate"/>
      </w:r>
      <w:r>
        <w:rPr>
          <w:rFonts w:hint="eastAsia" w:ascii="Times New Roman" w:hAnsi="Times New Roman" w:eastAsia="宋体" w:cs="宋体"/>
          <w:b/>
          <w:caps w:val="0"/>
          <w:smallCaps w:val="0"/>
          <w:kern w:val="2"/>
          <w:sz w:val="24"/>
          <w:szCs w:val="24"/>
          <w:lang w:val="en-US" w:eastAsia="zh-CN" w:bidi="ar-SA"/>
        </w:rPr>
        <w:t>4.4.5</w:t>
      </w:r>
      <w:r>
        <w:rPr>
          <w:rFonts w:hint="eastAsia" w:ascii="Times New Roman" w:hAnsi="Times New Roman" w:eastAsia="宋体" w:cs="宋体"/>
          <w:b/>
          <w:caps w:val="0"/>
          <w:smallCaps w:val="0"/>
          <w:kern w:val="2"/>
          <w:sz w:val="24"/>
          <w:szCs w:val="24"/>
          <w:lang w:val="en-US" w:eastAsia="zh-CN" w:bidi="ar-SA"/>
        </w:rPr>
        <w:fldChar w:fldCharType="end"/>
      </w:r>
      <w:r>
        <w:rPr>
          <w:rFonts w:hint="eastAsia" w:ascii="Times New Roman" w:hAnsi="Times New Roman" w:eastAsia="宋体" w:cs="宋体"/>
          <w:b/>
          <w:caps w:val="0"/>
          <w:smallCaps w:val="0"/>
          <w:kern w:val="2"/>
          <w:sz w:val="24"/>
          <w:szCs w:val="24"/>
          <w:lang w:val="en-US" w:eastAsia="zh-CN" w:bidi="ar-SA"/>
        </w:rPr>
        <w:t>-</w:t>
      </w:r>
      <w:r>
        <w:rPr>
          <w:rFonts w:hint="eastAsia" w:ascii="Times New Roman" w:hAnsi="Times New Roman" w:cs="宋体"/>
          <w:b/>
          <w:caps w:val="0"/>
          <w:smallCaps w:val="0"/>
          <w:kern w:val="2"/>
          <w:sz w:val="24"/>
          <w:szCs w:val="24"/>
          <w:lang w:val="en-US" w:eastAsia="zh-CN" w:bidi="ar-SA"/>
        </w:rPr>
        <w:t>1</w:t>
      </w:r>
      <w:r>
        <w:rPr>
          <w:rFonts w:hint="eastAsia" w:ascii="Times New Roman" w:hAnsi="Times New Roman" w:eastAsia="宋体" w:cs="宋体"/>
          <w:b/>
          <w:caps w:val="0"/>
          <w:smallCaps w:val="0"/>
          <w:kern w:val="2"/>
          <w:sz w:val="24"/>
          <w:szCs w:val="24"/>
          <w:lang w:val="en-US" w:eastAsia="zh-CN" w:bidi="ar-SA"/>
        </w:rPr>
        <w:t xml:space="preserve">   </w:t>
      </w:r>
      <w:r>
        <w:rPr>
          <w:rFonts w:hint="eastAsia" w:cs="宋体"/>
          <w:b/>
          <w:caps w:val="0"/>
          <w:smallCaps w:val="0"/>
          <w:kern w:val="2"/>
          <w:sz w:val="24"/>
          <w:szCs w:val="24"/>
          <w:lang w:val="en-US" w:eastAsia="zh-CN" w:bidi="ar-SA"/>
        </w:rPr>
        <w:t>XGT7020-10S1</w:t>
      </w:r>
      <w:r>
        <w:rPr>
          <w:rFonts w:hint="eastAsia" w:ascii="Times New Roman" w:hAnsi="Times New Roman" w:eastAsia="宋体" w:cs="宋体"/>
          <w:b/>
          <w:caps w:val="0"/>
          <w:smallCaps w:val="0"/>
          <w:kern w:val="2"/>
          <w:sz w:val="24"/>
          <w:szCs w:val="24"/>
          <w:lang w:val="en-US" w:eastAsia="zh-CN" w:bidi="ar-SA"/>
        </w:rPr>
        <w:t>平衡臂拆除示意图</w:t>
      </w:r>
    </w:p>
    <w:p w14:paraId="778D9FBD">
      <w:pPr>
        <w:pStyle w:val="4"/>
        <w:bidi w:val="0"/>
        <w:rPr>
          <w:rFonts w:hint="eastAsia" w:ascii="Times New Roman" w:hAnsi="Times New Roman"/>
          <w:b/>
          <w:bCs/>
          <w:caps w:val="0"/>
          <w:smallCaps w:val="0"/>
          <w:lang w:val="en-US" w:eastAsia="zh-CN"/>
        </w:rPr>
      </w:pPr>
      <w:bookmarkStart w:id="188" w:name="_Toc2655"/>
      <w:r>
        <w:rPr>
          <w:rFonts w:hint="eastAsia" w:ascii="Times New Roman" w:hAnsi="Times New Roman"/>
          <w:b/>
          <w:bCs/>
          <w:caps w:val="0"/>
          <w:smallCaps w:val="0"/>
          <w:lang w:val="en-US" w:eastAsia="zh-CN"/>
        </w:rPr>
        <w:t>拆卸起重臂臂根节</w:t>
      </w:r>
      <w:bookmarkEnd w:id="188"/>
    </w:p>
    <w:p w14:paraId="704D74AF">
      <w:pPr>
        <w:numPr>
          <w:ilvl w:val="0"/>
          <w:numId w:val="10"/>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cs="Times New Roman"/>
          <w:caps w:val="0"/>
          <w:smallCaps w:val="0"/>
          <w:highlight w:val="none"/>
          <w:lang w:val="en-US" w:eastAsia="zh-CN"/>
        </w:rPr>
        <w:t>50T</w:t>
      </w:r>
      <w:r>
        <w:rPr>
          <w:rFonts w:hint="eastAsia" w:ascii="Times New Roman" w:hAnsi="Times New Roman" w:eastAsia="宋体" w:cs="Times New Roman"/>
          <w:caps w:val="0"/>
          <w:smallCaps w:val="0"/>
          <w:highlight w:val="none"/>
          <w:lang w:val="en-US" w:eastAsia="zh-CN"/>
        </w:rPr>
        <w:t>汽车吊主臂长39.2m，吊装作业半径14m，额定起重量为9.3t，满足拆除吊装要求。</w:t>
      </w:r>
    </w:p>
    <w:p w14:paraId="424A2EF5">
      <w:pPr>
        <w:numPr>
          <w:ilvl w:val="0"/>
          <w:numId w:val="10"/>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起重臂吊装采用四点吊，以起重臂顶部4个吊耳板作为吊装孔，采用4根</w:t>
      </w:r>
      <w:r>
        <w:rPr>
          <w:rFonts w:hint="eastAsia" w:ascii="Times New Roman" w:hAnsi="Times New Roman" w:cs="Times New Roman"/>
          <w:caps w:val="0"/>
          <w:smallCaps w:val="0"/>
          <w:highlight w:val="none"/>
          <w:lang w:val="en-US" w:eastAsia="zh-CN"/>
        </w:rPr>
        <w:t>18mm6×19W+IWR1870Mpa</w:t>
      </w:r>
      <w:r>
        <w:rPr>
          <w:rFonts w:hint="eastAsia" w:ascii="Times New Roman" w:hAnsi="Times New Roman" w:eastAsia="宋体" w:cs="Times New Roman"/>
          <w:caps w:val="0"/>
          <w:smallCaps w:val="0"/>
          <w:highlight w:val="none"/>
          <w:lang w:val="en-US" w:eastAsia="zh-CN"/>
        </w:rPr>
        <w:t>的钢丝绳配套</w:t>
      </w:r>
      <w:r>
        <w:rPr>
          <w:rFonts w:hint="eastAsia" w:ascii="Times New Roman" w:hAnsi="Times New Roman" w:cs="Times New Roman"/>
          <w:caps w:val="0"/>
          <w:smallCaps w:val="0"/>
          <w:highlight w:val="none"/>
          <w:lang w:val="en-US" w:eastAsia="zh-CN"/>
        </w:rPr>
        <w:t>GB/T 25854-6-DW5</w:t>
      </w:r>
      <w:r>
        <w:rPr>
          <w:rFonts w:hint="eastAsia" w:ascii="Times New Roman" w:hAnsi="Times New Roman" w:eastAsia="宋体" w:cs="Times New Roman"/>
          <w:caps w:val="0"/>
          <w:smallCaps w:val="0"/>
          <w:highlight w:val="none"/>
          <w:lang w:val="en-US" w:eastAsia="zh-CN"/>
        </w:rPr>
        <w:t>卸扣进行起吊。</w:t>
      </w:r>
    </w:p>
    <w:p w14:paraId="63A590C4">
      <w:pPr>
        <w:numPr>
          <w:ilvl w:val="0"/>
          <w:numId w:val="10"/>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作业人员在地面上先将钢丝绳一端挂在汽车吊吊钩上，启动汽车吊，将钢丝绳缓慢提升至起重臂上方时，作业人员通过爬梯爬至</w:t>
      </w:r>
      <w:r>
        <w:rPr>
          <w:rFonts w:hint="eastAsia" w:cs="Times New Roman"/>
          <w:caps w:val="0"/>
          <w:smallCaps w:val="0"/>
          <w:highlight w:val="none"/>
          <w:lang w:val="en-US" w:eastAsia="zh-CN"/>
        </w:rPr>
        <w:t>回转总成</w:t>
      </w:r>
      <w:r>
        <w:rPr>
          <w:rFonts w:hint="eastAsia" w:ascii="Times New Roman" w:hAnsi="Times New Roman" w:eastAsia="宋体" w:cs="Times New Roman"/>
          <w:caps w:val="0"/>
          <w:smallCaps w:val="0"/>
          <w:highlight w:val="none"/>
          <w:lang w:val="en-US" w:eastAsia="zh-CN"/>
        </w:rPr>
        <w:t>平台上，将安全带交替系挂在起重臂安全绳上，沿下弦杆走行至起重臂臂根节吊点位置处。汽车吊放松吊钩，将另一端钢丝绳与起重臂臂根节腹杆节点捆绑连接，采用卸扣固定，同时在起重臂臂根节腹杆上栓好2根溜绳。作业人员沿下弦杆走行至</w:t>
      </w:r>
      <w:r>
        <w:rPr>
          <w:rFonts w:hint="eastAsia" w:cs="Times New Roman"/>
          <w:caps w:val="0"/>
          <w:smallCaps w:val="0"/>
          <w:highlight w:val="none"/>
          <w:lang w:val="en-US" w:eastAsia="zh-CN"/>
        </w:rPr>
        <w:t>回转总成</w:t>
      </w:r>
      <w:r>
        <w:rPr>
          <w:rFonts w:hint="eastAsia" w:ascii="Times New Roman" w:hAnsi="Times New Roman" w:eastAsia="宋体" w:cs="Times New Roman"/>
          <w:caps w:val="0"/>
          <w:smallCaps w:val="0"/>
          <w:highlight w:val="none"/>
          <w:lang w:val="en-US" w:eastAsia="zh-CN"/>
        </w:rPr>
        <w:t>平台上，汽车吊轻轻将起重臂臂根节往上抬，拆除和</w:t>
      </w:r>
      <w:r>
        <w:rPr>
          <w:rFonts w:hint="eastAsia" w:cs="Times New Roman"/>
          <w:caps w:val="0"/>
          <w:smallCaps w:val="0"/>
          <w:highlight w:val="none"/>
          <w:lang w:val="en-US" w:eastAsia="zh-CN"/>
        </w:rPr>
        <w:t>回转总成</w:t>
      </w:r>
      <w:r>
        <w:rPr>
          <w:rFonts w:hint="eastAsia" w:ascii="Times New Roman" w:hAnsi="Times New Roman" w:eastAsia="宋体" w:cs="Times New Roman"/>
          <w:caps w:val="0"/>
          <w:smallCaps w:val="0"/>
          <w:highlight w:val="none"/>
          <w:lang w:val="en-US" w:eastAsia="zh-CN"/>
        </w:rPr>
        <w:t>的连接销轴，汽车吊起升吊钩，将起重臂臂根节竖直起吊一定安全高度后，再将起重臂臂根节下放至地面，稳固后汽车吊放松吊钩，作业人员在地面上解除钢丝绳与起重臂臂根节吊点的连接。</w:t>
      </w:r>
    </w:p>
    <w:p w14:paraId="3AFB215B">
      <w:pPr>
        <w:numPr>
          <w:ilvl w:val="0"/>
          <w:numId w:val="10"/>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塔式起重机起重臂根节拆除时设置警戒区，起吊安排专人负责指挥，专人操作，严禁无关人员进入起重作业范围内。</w:t>
      </w:r>
    </w:p>
    <w:p w14:paraId="74A4EA17">
      <w:pPr>
        <w:jc w:val="center"/>
        <w:rPr>
          <w:rFonts w:ascii="Times New Roman" w:hAnsi="Times New Roman"/>
          <w:caps w:val="0"/>
          <w:smallCaps w:val="0"/>
        </w:rPr>
      </w:pPr>
      <w:r>
        <w:drawing>
          <wp:inline distT="0" distB="0" distL="114300" distR="114300">
            <wp:extent cx="2881630" cy="2625090"/>
            <wp:effectExtent l="0" t="0" r="13970" b="3810"/>
            <wp:docPr id="8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0"/>
                    <pic:cNvPicPr>
                      <a:picLocks noChangeAspect="1"/>
                    </pic:cNvPicPr>
                  </pic:nvPicPr>
                  <pic:blipFill>
                    <a:blip r:embed="rId43"/>
                    <a:stretch>
                      <a:fillRect/>
                    </a:stretch>
                  </pic:blipFill>
                  <pic:spPr>
                    <a:xfrm>
                      <a:off x="0" y="0"/>
                      <a:ext cx="2881630" cy="2625090"/>
                    </a:xfrm>
                    <a:prstGeom prst="rect">
                      <a:avLst/>
                    </a:prstGeom>
                    <a:noFill/>
                    <a:ln>
                      <a:noFill/>
                    </a:ln>
                  </pic:spPr>
                </pic:pic>
              </a:graphicData>
            </a:graphic>
          </wp:inline>
        </w:drawing>
      </w:r>
      <w:r>
        <w:drawing>
          <wp:inline distT="0" distB="0" distL="114300" distR="114300">
            <wp:extent cx="1827530" cy="2681605"/>
            <wp:effectExtent l="0" t="0" r="1270" b="4445"/>
            <wp:docPr id="7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9"/>
                    <pic:cNvPicPr>
                      <a:picLocks noChangeAspect="1"/>
                    </pic:cNvPicPr>
                  </pic:nvPicPr>
                  <pic:blipFill>
                    <a:blip r:embed="rId44"/>
                    <a:stretch>
                      <a:fillRect/>
                    </a:stretch>
                  </pic:blipFill>
                  <pic:spPr>
                    <a:xfrm>
                      <a:off x="0" y="0"/>
                      <a:ext cx="1827530" cy="2681605"/>
                    </a:xfrm>
                    <a:prstGeom prst="rect">
                      <a:avLst/>
                    </a:prstGeom>
                    <a:noFill/>
                    <a:ln>
                      <a:noFill/>
                    </a:ln>
                  </pic:spPr>
                </pic:pic>
              </a:graphicData>
            </a:graphic>
          </wp:inline>
        </w:drawing>
      </w:r>
    </w:p>
    <w:p w14:paraId="20476DF8">
      <w:pPr>
        <w:bidi w:val="0"/>
        <w:jc w:val="center"/>
        <w:rPr>
          <w:rFonts w:hint="eastAsia" w:ascii="Times New Roman" w:hAnsi="Times New Roman" w:eastAsia="宋体" w:cs="宋体"/>
          <w:b/>
          <w:caps w:val="0"/>
          <w:smallCaps w:val="0"/>
          <w:kern w:val="2"/>
          <w:sz w:val="24"/>
          <w:szCs w:val="24"/>
          <w:lang w:val="en-US" w:eastAsia="zh-CN" w:bidi="ar-SA"/>
        </w:rPr>
      </w:pPr>
      <w:r>
        <w:rPr>
          <w:rFonts w:hint="eastAsia" w:ascii="Times New Roman" w:hAnsi="Times New Roman" w:eastAsia="宋体" w:cs="宋体"/>
          <w:b/>
          <w:caps w:val="0"/>
          <w:smallCaps w:val="0"/>
          <w:kern w:val="2"/>
          <w:sz w:val="24"/>
          <w:szCs w:val="24"/>
          <w:lang w:val="en-US" w:eastAsia="zh-CN" w:bidi="ar-SA"/>
        </w:rPr>
        <w:t>图</w:t>
      </w:r>
      <w:r>
        <w:rPr>
          <w:rFonts w:hint="eastAsia" w:ascii="Times New Roman" w:hAnsi="Times New Roman" w:eastAsia="宋体" w:cs="宋体"/>
          <w:b/>
          <w:caps w:val="0"/>
          <w:smallCaps w:val="0"/>
          <w:kern w:val="2"/>
          <w:sz w:val="24"/>
          <w:szCs w:val="24"/>
          <w:lang w:val="en-US" w:eastAsia="zh-CN" w:bidi="ar-SA"/>
        </w:rPr>
        <w:fldChar w:fldCharType="begin"/>
      </w:r>
      <w:r>
        <w:rPr>
          <w:rFonts w:hint="eastAsia" w:ascii="Times New Roman" w:hAnsi="Times New Roman" w:eastAsia="宋体" w:cs="宋体"/>
          <w:b/>
          <w:caps w:val="0"/>
          <w:smallCaps w:val="0"/>
          <w:kern w:val="2"/>
          <w:sz w:val="24"/>
          <w:szCs w:val="24"/>
          <w:lang w:val="en-US" w:eastAsia="zh-CN" w:bidi="ar-SA"/>
        </w:rPr>
        <w:instrText xml:space="preserve">STYLEREF 3\s</w:instrText>
      </w:r>
      <w:r>
        <w:rPr>
          <w:rFonts w:hint="eastAsia" w:ascii="Times New Roman" w:hAnsi="Times New Roman" w:eastAsia="宋体" w:cs="宋体"/>
          <w:b/>
          <w:caps w:val="0"/>
          <w:smallCaps w:val="0"/>
          <w:kern w:val="2"/>
          <w:sz w:val="24"/>
          <w:szCs w:val="24"/>
          <w:lang w:val="en-US" w:eastAsia="zh-CN" w:bidi="ar-SA"/>
        </w:rPr>
        <w:fldChar w:fldCharType="separate"/>
      </w:r>
      <w:r>
        <w:rPr>
          <w:rFonts w:hint="eastAsia" w:ascii="Times New Roman" w:hAnsi="Times New Roman" w:eastAsia="宋体" w:cs="宋体"/>
          <w:b/>
          <w:caps w:val="0"/>
          <w:smallCaps w:val="0"/>
          <w:kern w:val="2"/>
          <w:sz w:val="24"/>
          <w:szCs w:val="24"/>
          <w:lang w:val="en-US" w:eastAsia="zh-CN" w:bidi="ar-SA"/>
        </w:rPr>
        <w:t>4.4.6</w:t>
      </w:r>
      <w:r>
        <w:rPr>
          <w:rFonts w:hint="eastAsia" w:ascii="Times New Roman" w:hAnsi="Times New Roman" w:eastAsia="宋体" w:cs="宋体"/>
          <w:b/>
          <w:caps w:val="0"/>
          <w:smallCaps w:val="0"/>
          <w:kern w:val="2"/>
          <w:sz w:val="24"/>
          <w:szCs w:val="24"/>
          <w:lang w:val="en-US" w:eastAsia="zh-CN" w:bidi="ar-SA"/>
        </w:rPr>
        <w:fldChar w:fldCharType="end"/>
      </w:r>
      <w:r>
        <w:rPr>
          <w:rFonts w:hint="eastAsia" w:ascii="Times New Roman" w:hAnsi="Times New Roman" w:cs="宋体"/>
          <w:b/>
          <w:caps w:val="0"/>
          <w:smallCaps w:val="0"/>
          <w:kern w:val="2"/>
          <w:sz w:val="24"/>
          <w:szCs w:val="24"/>
          <w:lang w:val="en-US" w:eastAsia="zh-CN" w:bidi="ar-SA"/>
        </w:rPr>
        <w:t>-1</w:t>
      </w:r>
      <w:r>
        <w:rPr>
          <w:rFonts w:hint="eastAsia" w:ascii="Times New Roman" w:hAnsi="Times New Roman" w:eastAsia="宋体" w:cs="宋体"/>
          <w:b/>
          <w:caps w:val="0"/>
          <w:smallCaps w:val="0"/>
          <w:kern w:val="2"/>
          <w:sz w:val="24"/>
          <w:szCs w:val="24"/>
          <w:lang w:val="en-US" w:eastAsia="zh-CN" w:bidi="ar-SA"/>
        </w:rPr>
        <w:t xml:space="preserve">   </w:t>
      </w:r>
      <w:r>
        <w:rPr>
          <w:rFonts w:hint="eastAsia" w:cs="宋体"/>
          <w:b/>
          <w:caps w:val="0"/>
          <w:smallCaps w:val="0"/>
          <w:kern w:val="2"/>
          <w:sz w:val="24"/>
          <w:szCs w:val="24"/>
          <w:lang w:val="en-US" w:eastAsia="zh-CN" w:bidi="ar-SA"/>
        </w:rPr>
        <w:t>XGT7020-10S1</w:t>
      </w:r>
      <w:r>
        <w:rPr>
          <w:rFonts w:hint="eastAsia" w:ascii="Times New Roman" w:hAnsi="Times New Roman" w:eastAsia="宋体" w:cs="宋体"/>
          <w:b/>
          <w:caps w:val="0"/>
          <w:smallCaps w:val="0"/>
          <w:kern w:val="2"/>
          <w:sz w:val="24"/>
          <w:szCs w:val="24"/>
          <w:lang w:val="en-US" w:eastAsia="zh-CN" w:bidi="ar-SA"/>
        </w:rPr>
        <w:t>起重臂臂根节拆除示意图</w:t>
      </w:r>
    </w:p>
    <w:p w14:paraId="33C08AEE">
      <w:pPr>
        <w:pStyle w:val="4"/>
        <w:bidi w:val="0"/>
        <w:rPr>
          <w:rFonts w:hint="eastAsia" w:ascii="Times New Roman" w:hAnsi="Times New Roman"/>
          <w:b/>
          <w:bCs/>
          <w:caps w:val="0"/>
          <w:smallCaps w:val="0"/>
          <w:lang w:val="en-US" w:eastAsia="zh-CN"/>
        </w:rPr>
      </w:pPr>
      <w:bookmarkStart w:id="189" w:name="_Toc6240"/>
      <w:r>
        <w:rPr>
          <w:rFonts w:hint="eastAsia" w:ascii="Times New Roman" w:hAnsi="Times New Roman"/>
          <w:b/>
          <w:bCs/>
          <w:caps w:val="0"/>
          <w:smallCaps w:val="0"/>
          <w:lang w:val="en-US" w:eastAsia="zh-CN"/>
        </w:rPr>
        <w:t>拆除回转总成</w:t>
      </w:r>
      <w:bookmarkEnd w:id="189"/>
      <w:r>
        <w:rPr>
          <w:rFonts w:hint="eastAsia" w:ascii="Times New Roman" w:hAnsi="Times New Roman"/>
          <w:b/>
          <w:bCs/>
          <w:caps w:val="0"/>
          <w:smallCaps w:val="0"/>
          <w:lang w:val="en-US" w:eastAsia="zh-CN"/>
        </w:rPr>
        <w:t>、特殊节</w:t>
      </w:r>
    </w:p>
    <w:p w14:paraId="6F91F56B">
      <w:pPr>
        <w:numPr>
          <w:ilvl w:val="0"/>
          <w:numId w:val="11"/>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cs="Times New Roman"/>
          <w:caps w:val="0"/>
          <w:smallCaps w:val="0"/>
          <w:highlight w:val="none"/>
          <w:lang w:val="en-US" w:eastAsia="zh-CN"/>
        </w:rPr>
        <w:t>50T</w:t>
      </w:r>
      <w:r>
        <w:rPr>
          <w:rFonts w:hint="eastAsia" w:ascii="Times New Roman" w:hAnsi="Times New Roman" w:eastAsia="宋体" w:cs="Times New Roman"/>
          <w:caps w:val="0"/>
          <w:smallCaps w:val="0"/>
          <w:highlight w:val="none"/>
          <w:lang w:val="en-US" w:eastAsia="zh-CN"/>
        </w:rPr>
        <w:t>汽车吊位置不变，主臂长</w:t>
      </w:r>
      <w:r>
        <w:rPr>
          <w:rFonts w:hint="eastAsia" w:ascii="Times New Roman" w:hAnsi="Times New Roman" w:cs="Times New Roman"/>
          <w:caps w:val="0"/>
          <w:smallCaps w:val="0"/>
          <w:highlight w:val="none"/>
          <w:lang w:val="en-US" w:eastAsia="zh-CN"/>
        </w:rPr>
        <w:t>39.2m</w:t>
      </w:r>
      <w:r>
        <w:rPr>
          <w:rFonts w:hint="eastAsia" w:ascii="Times New Roman" w:hAnsi="Times New Roman" w:eastAsia="宋体" w:cs="Times New Roman"/>
          <w:caps w:val="0"/>
          <w:smallCaps w:val="0"/>
          <w:highlight w:val="none"/>
          <w:lang w:val="en-US" w:eastAsia="zh-CN"/>
        </w:rPr>
        <w:t>，吊装作业半径14m，额定起重量为9.3t，满足拆除吊装要求。</w:t>
      </w:r>
    </w:p>
    <w:p w14:paraId="245A3EF2">
      <w:pPr>
        <w:numPr>
          <w:ilvl w:val="0"/>
          <w:numId w:val="11"/>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回转总成</w:t>
      </w:r>
      <w:r>
        <w:rPr>
          <w:rFonts w:hint="eastAsia" w:ascii="Times New Roman" w:hAnsi="Times New Roman" w:cs="Times New Roman"/>
          <w:caps w:val="0"/>
          <w:smallCaps w:val="0"/>
          <w:highlight w:val="none"/>
          <w:lang w:val="en-US" w:eastAsia="zh-CN"/>
        </w:rPr>
        <w:t>、特殊节</w:t>
      </w:r>
      <w:r>
        <w:rPr>
          <w:rFonts w:hint="eastAsia" w:ascii="Times New Roman" w:hAnsi="Times New Roman" w:eastAsia="宋体" w:cs="Times New Roman"/>
          <w:caps w:val="0"/>
          <w:smallCaps w:val="0"/>
          <w:highlight w:val="none"/>
          <w:lang w:val="en-US" w:eastAsia="zh-CN"/>
        </w:rPr>
        <w:t>吊装采用四点吊，以回转总成</w:t>
      </w:r>
      <w:r>
        <w:rPr>
          <w:rFonts w:hint="eastAsia" w:ascii="Times New Roman" w:hAnsi="Times New Roman" w:cs="Times New Roman"/>
          <w:caps w:val="0"/>
          <w:smallCaps w:val="0"/>
          <w:highlight w:val="none"/>
          <w:lang w:val="en-US" w:eastAsia="zh-CN"/>
        </w:rPr>
        <w:t>、特殊节</w:t>
      </w:r>
      <w:r>
        <w:rPr>
          <w:rFonts w:hint="eastAsia" w:ascii="Times New Roman" w:hAnsi="Times New Roman" w:eastAsia="宋体" w:cs="Times New Roman"/>
          <w:caps w:val="0"/>
          <w:smallCaps w:val="0"/>
          <w:highlight w:val="none"/>
          <w:lang w:val="en-US" w:eastAsia="zh-CN"/>
        </w:rPr>
        <w:t>顶部4个吊耳板作为吊装孔，采用4根</w:t>
      </w:r>
      <w:r>
        <w:rPr>
          <w:rFonts w:hint="eastAsia" w:ascii="Times New Roman" w:hAnsi="Times New Roman" w:cs="Times New Roman"/>
          <w:caps w:val="0"/>
          <w:smallCaps w:val="0"/>
          <w:highlight w:val="none"/>
          <w:lang w:val="en-US" w:eastAsia="zh-CN"/>
        </w:rPr>
        <w:t>18mm6×19W+IWR1870Mpa</w:t>
      </w:r>
      <w:r>
        <w:rPr>
          <w:rFonts w:hint="eastAsia" w:ascii="Times New Roman" w:hAnsi="Times New Roman" w:eastAsia="宋体" w:cs="Times New Roman"/>
          <w:caps w:val="0"/>
          <w:smallCaps w:val="0"/>
          <w:highlight w:val="none"/>
          <w:lang w:val="en-US" w:eastAsia="zh-CN"/>
        </w:rPr>
        <w:t>的钢丝绳配套</w:t>
      </w:r>
      <w:r>
        <w:rPr>
          <w:rFonts w:hint="eastAsia" w:ascii="Times New Roman" w:hAnsi="Times New Roman" w:cs="Times New Roman"/>
          <w:caps w:val="0"/>
          <w:smallCaps w:val="0"/>
          <w:highlight w:val="none"/>
          <w:lang w:val="en-US" w:eastAsia="zh-CN"/>
        </w:rPr>
        <w:t>GB/T 25854-6-DW5</w:t>
      </w:r>
      <w:r>
        <w:rPr>
          <w:rFonts w:hint="eastAsia" w:ascii="Times New Roman" w:hAnsi="Times New Roman" w:eastAsia="宋体" w:cs="Times New Roman"/>
          <w:caps w:val="0"/>
          <w:smallCaps w:val="0"/>
          <w:highlight w:val="none"/>
          <w:lang w:val="en-US" w:eastAsia="zh-CN"/>
        </w:rPr>
        <w:t>卸扣进行起吊。</w:t>
      </w:r>
    </w:p>
    <w:p w14:paraId="558698AA">
      <w:pPr>
        <w:numPr>
          <w:ilvl w:val="0"/>
          <w:numId w:val="11"/>
        </w:numPr>
        <w:ind w:firstLineChars="0"/>
        <w:rPr>
          <w:rFonts w:hint="default" w:ascii="Times New Roman" w:hAnsi="Times New Roman" w:eastAsia="宋体" w:cs="Times New Roman"/>
          <w:caps w:val="0"/>
          <w:smallCaps w:val="0"/>
          <w:highlight w:val="none"/>
          <w:lang w:val="en-US" w:eastAsia="zh-CN"/>
        </w:rPr>
      </w:pPr>
      <w:r>
        <w:rPr>
          <w:rFonts w:hint="default" w:ascii="Times New Roman" w:hAnsi="Times New Roman" w:eastAsia="宋体" w:cs="Times New Roman"/>
          <w:caps w:val="0"/>
          <w:smallCaps w:val="0"/>
          <w:highlight w:val="none"/>
          <w:lang w:val="en-US" w:eastAsia="zh-CN"/>
        </w:rPr>
        <w:t>作业人员在地面上先将钢丝绳一端挂在</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吊钩上，另一端与卸扣连接，启动</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，将卸扣缓慢提升至回转总成上方，作业人员通过爬梯爬至回转总成顶部，将安全带系挂在回转总成平台的栏杆上，位于回转总成平台上。</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放松吊钩，作业人员将卸扣与回转总成顶部的4个销轴孔用销轴连接，同时在回转总成上栓好2根溜绳，作业人员解除安全带，通过爬梯爬至</w:t>
      </w:r>
      <w:r>
        <w:rPr>
          <w:rFonts w:hint="eastAsia" w:ascii="Times New Roman" w:hAnsi="Times New Roman" w:cs="Times New Roman"/>
          <w:caps w:val="0"/>
          <w:smallCaps w:val="0"/>
          <w:highlight w:val="none"/>
          <w:lang w:val="en-US" w:eastAsia="zh-CN"/>
        </w:rPr>
        <w:t>特殊节</w:t>
      </w:r>
      <w:r>
        <w:rPr>
          <w:rFonts w:hint="default" w:ascii="Times New Roman" w:hAnsi="Times New Roman" w:eastAsia="宋体" w:cs="Times New Roman"/>
          <w:caps w:val="0"/>
          <w:smallCaps w:val="0"/>
          <w:highlight w:val="none"/>
          <w:lang w:val="en-US" w:eastAsia="zh-CN"/>
        </w:rPr>
        <w:t>顶部，将安全带系挂在</w:t>
      </w:r>
      <w:r>
        <w:rPr>
          <w:rFonts w:hint="eastAsia" w:ascii="Times New Roman" w:hAnsi="Times New Roman" w:cs="Times New Roman"/>
          <w:caps w:val="0"/>
          <w:smallCaps w:val="0"/>
          <w:highlight w:val="none"/>
          <w:lang w:val="en-US" w:eastAsia="zh-CN"/>
        </w:rPr>
        <w:t>特殊节</w:t>
      </w:r>
      <w:r>
        <w:rPr>
          <w:rFonts w:hint="default" w:ascii="Times New Roman" w:hAnsi="Times New Roman" w:eastAsia="宋体" w:cs="Times New Roman"/>
          <w:caps w:val="0"/>
          <w:smallCaps w:val="0"/>
          <w:highlight w:val="none"/>
          <w:lang w:val="en-US" w:eastAsia="zh-CN"/>
        </w:rPr>
        <w:t>顶部横杆上，站立在</w:t>
      </w:r>
      <w:r>
        <w:rPr>
          <w:rFonts w:hint="eastAsia" w:ascii="Times New Roman" w:hAnsi="Times New Roman" w:cs="Times New Roman"/>
          <w:caps w:val="0"/>
          <w:smallCaps w:val="0"/>
          <w:highlight w:val="none"/>
          <w:lang w:val="en-US" w:eastAsia="zh-CN"/>
        </w:rPr>
        <w:t>特殊节</w:t>
      </w:r>
      <w:r>
        <w:rPr>
          <w:rFonts w:hint="default" w:ascii="Times New Roman" w:hAnsi="Times New Roman" w:eastAsia="宋体" w:cs="Times New Roman"/>
          <w:caps w:val="0"/>
          <w:smallCaps w:val="0"/>
          <w:highlight w:val="none"/>
          <w:lang w:val="en-US" w:eastAsia="zh-CN"/>
        </w:rPr>
        <w:t>顶部的平台上，解除回转总成底部下支座与</w:t>
      </w:r>
      <w:r>
        <w:rPr>
          <w:rFonts w:hint="eastAsia" w:ascii="Times New Roman" w:hAnsi="Times New Roman" w:cs="Times New Roman"/>
          <w:caps w:val="0"/>
          <w:smallCaps w:val="0"/>
          <w:highlight w:val="none"/>
          <w:lang w:val="en-US" w:eastAsia="zh-CN"/>
        </w:rPr>
        <w:t>特殊节</w:t>
      </w:r>
      <w:r>
        <w:rPr>
          <w:rFonts w:hint="default" w:ascii="Times New Roman" w:hAnsi="Times New Roman" w:eastAsia="宋体" w:cs="Times New Roman"/>
          <w:caps w:val="0"/>
          <w:smallCaps w:val="0"/>
          <w:highlight w:val="none"/>
          <w:lang w:val="en-US" w:eastAsia="zh-CN"/>
        </w:rPr>
        <w:t>之间的销轴连接，使回转总成与</w:t>
      </w:r>
      <w:r>
        <w:rPr>
          <w:rFonts w:hint="eastAsia" w:ascii="Times New Roman" w:hAnsi="Times New Roman" w:cs="Times New Roman"/>
          <w:caps w:val="0"/>
          <w:smallCaps w:val="0"/>
          <w:highlight w:val="none"/>
          <w:lang w:val="en-US" w:eastAsia="zh-CN"/>
        </w:rPr>
        <w:t>特殊节</w:t>
      </w:r>
      <w:r>
        <w:rPr>
          <w:rFonts w:hint="default" w:ascii="Times New Roman" w:hAnsi="Times New Roman" w:eastAsia="宋体" w:cs="Times New Roman"/>
          <w:caps w:val="0"/>
          <w:smallCaps w:val="0"/>
          <w:highlight w:val="none"/>
          <w:lang w:val="en-US" w:eastAsia="zh-CN"/>
        </w:rPr>
        <w:t>断开。</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起升吊钩，将回转总成提升一定安全高度后，再将回转总成下放至地面，作业人员在地面上解除卸扣与回转总成的连接。</w:t>
      </w:r>
      <w:r>
        <w:rPr>
          <w:rFonts w:hint="eastAsia" w:ascii="Times New Roman" w:hAnsi="Times New Roman" w:cs="Times New Roman"/>
          <w:caps w:val="0"/>
          <w:smallCaps w:val="0"/>
          <w:highlight w:val="none"/>
          <w:lang w:val="en-US" w:eastAsia="zh-CN"/>
        </w:rPr>
        <w:t>特殊节按相同步骤拆除。</w:t>
      </w:r>
    </w:p>
    <w:p w14:paraId="5910EA63">
      <w:pPr>
        <w:numPr>
          <w:ilvl w:val="0"/>
          <w:numId w:val="11"/>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塔式起重机回转总成</w:t>
      </w:r>
      <w:r>
        <w:rPr>
          <w:rFonts w:hint="eastAsia" w:ascii="Times New Roman" w:hAnsi="Times New Roman" w:cs="Times New Roman"/>
          <w:caps w:val="0"/>
          <w:smallCaps w:val="0"/>
          <w:highlight w:val="none"/>
          <w:lang w:val="en-US" w:eastAsia="zh-CN"/>
        </w:rPr>
        <w:t>、特殊节</w:t>
      </w:r>
      <w:r>
        <w:rPr>
          <w:rFonts w:hint="eastAsia" w:ascii="Times New Roman" w:hAnsi="Times New Roman" w:eastAsia="宋体" w:cs="Times New Roman"/>
          <w:caps w:val="0"/>
          <w:smallCaps w:val="0"/>
          <w:highlight w:val="none"/>
          <w:lang w:val="en-US" w:eastAsia="zh-CN"/>
        </w:rPr>
        <w:t>拆除时设置警戒区，起吊安排专人负责指挥，专人操作，严禁无关人员进入起重作业范围内。</w:t>
      </w:r>
    </w:p>
    <w:p w14:paraId="666D8661">
      <w:pPr>
        <w:keepNext w:val="0"/>
        <w:keepLines w:val="0"/>
        <w:pageBreakBefore w:val="0"/>
        <w:widowControl w:val="0"/>
        <w:shd w:val="clear"/>
        <w:kinsoku/>
        <w:wordWrap/>
        <w:overflowPunct/>
        <w:topLinePunct w:val="0"/>
        <w:autoSpaceDE/>
        <w:autoSpaceDN/>
        <w:bidi w:val="0"/>
        <w:adjustRightInd/>
        <w:snapToGrid/>
        <w:ind w:firstLine="0" w:firstLineChars="0"/>
        <w:jc w:val="center"/>
        <w:textAlignment w:val="auto"/>
        <w:rPr>
          <w:rFonts w:ascii="Times New Roman" w:hAnsi="Times New Roman"/>
          <w:caps w:val="0"/>
          <w:smallCaps w:val="0"/>
        </w:rPr>
      </w:pPr>
      <w:r>
        <w:drawing>
          <wp:inline distT="0" distB="0" distL="114300" distR="114300">
            <wp:extent cx="3071495" cy="2518410"/>
            <wp:effectExtent l="0" t="0" r="14605" b="15240"/>
            <wp:docPr id="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5"/>
                    <pic:cNvPicPr>
                      <a:picLocks noChangeAspect="1"/>
                    </pic:cNvPicPr>
                  </pic:nvPicPr>
                  <pic:blipFill>
                    <a:blip r:embed="rId45"/>
                    <a:stretch>
                      <a:fillRect/>
                    </a:stretch>
                  </pic:blipFill>
                  <pic:spPr>
                    <a:xfrm>
                      <a:off x="0" y="0"/>
                      <a:ext cx="3071495" cy="2518410"/>
                    </a:xfrm>
                    <a:prstGeom prst="rect">
                      <a:avLst/>
                    </a:prstGeom>
                    <a:noFill/>
                    <a:ln>
                      <a:noFill/>
                    </a:ln>
                  </pic:spPr>
                </pic:pic>
              </a:graphicData>
            </a:graphic>
          </wp:inline>
        </w:drawing>
      </w:r>
      <w:r>
        <w:drawing>
          <wp:inline distT="0" distB="0" distL="114300" distR="114300">
            <wp:extent cx="1508125" cy="2560320"/>
            <wp:effectExtent l="0" t="0" r="15875" b="11430"/>
            <wp:docPr id="7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8"/>
                    <pic:cNvPicPr>
                      <a:picLocks noChangeAspect="1"/>
                    </pic:cNvPicPr>
                  </pic:nvPicPr>
                  <pic:blipFill>
                    <a:blip r:embed="rId46"/>
                    <a:stretch>
                      <a:fillRect/>
                    </a:stretch>
                  </pic:blipFill>
                  <pic:spPr>
                    <a:xfrm>
                      <a:off x="0" y="0"/>
                      <a:ext cx="1508125" cy="2560320"/>
                    </a:xfrm>
                    <a:prstGeom prst="rect">
                      <a:avLst/>
                    </a:prstGeom>
                    <a:noFill/>
                    <a:ln>
                      <a:noFill/>
                    </a:ln>
                  </pic:spPr>
                </pic:pic>
              </a:graphicData>
            </a:graphic>
          </wp:inline>
        </w:drawing>
      </w:r>
    </w:p>
    <w:p w14:paraId="73F97A08">
      <w:pPr>
        <w:shd w:val="clear"/>
        <w:jc w:val="center"/>
        <w:rPr>
          <w:rFonts w:hint="eastAsia" w:ascii="Times New Roman" w:hAnsi="Times New Roman" w:eastAsia="宋体" w:cs="宋体"/>
          <w:b/>
          <w:caps w:val="0"/>
          <w:smallCaps w:val="0"/>
          <w:kern w:val="2"/>
          <w:sz w:val="24"/>
          <w:szCs w:val="24"/>
          <w:lang w:val="en-US" w:eastAsia="zh-CN" w:bidi="ar-SA"/>
        </w:rPr>
      </w:pPr>
      <w:r>
        <w:rPr>
          <w:rFonts w:hint="eastAsia" w:ascii="Times New Roman" w:hAnsi="Times New Roman" w:eastAsia="宋体" w:cs="宋体"/>
          <w:b/>
          <w:caps w:val="0"/>
          <w:smallCaps w:val="0"/>
          <w:kern w:val="2"/>
          <w:sz w:val="24"/>
          <w:szCs w:val="24"/>
          <w:lang w:val="en-US" w:eastAsia="zh-CN" w:bidi="ar-SA"/>
        </w:rPr>
        <w:t>图</w:t>
      </w:r>
      <w:r>
        <w:rPr>
          <w:rFonts w:hint="eastAsia" w:ascii="Times New Roman" w:hAnsi="Times New Roman" w:eastAsia="宋体" w:cs="宋体"/>
          <w:b/>
          <w:caps w:val="0"/>
          <w:smallCaps w:val="0"/>
          <w:kern w:val="2"/>
          <w:sz w:val="24"/>
          <w:szCs w:val="24"/>
          <w:lang w:val="en-US" w:eastAsia="zh-CN" w:bidi="ar-SA"/>
        </w:rPr>
        <w:fldChar w:fldCharType="begin"/>
      </w:r>
      <w:r>
        <w:rPr>
          <w:rFonts w:hint="eastAsia" w:ascii="Times New Roman" w:hAnsi="Times New Roman" w:eastAsia="宋体" w:cs="宋体"/>
          <w:b/>
          <w:caps w:val="0"/>
          <w:smallCaps w:val="0"/>
          <w:kern w:val="2"/>
          <w:sz w:val="24"/>
          <w:szCs w:val="24"/>
          <w:lang w:val="en-US" w:eastAsia="zh-CN" w:bidi="ar-SA"/>
        </w:rPr>
        <w:instrText xml:space="preserve">STYLEREF 3\s</w:instrText>
      </w:r>
      <w:r>
        <w:rPr>
          <w:rFonts w:hint="eastAsia" w:ascii="Times New Roman" w:hAnsi="Times New Roman" w:eastAsia="宋体" w:cs="宋体"/>
          <w:b/>
          <w:caps w:val="0"/>
          <w:smallCaps w:val="0"/>
          <w:kern w:val="2"/>
          <w:sz w:val="24"/>
          <w:szCs w:val="24"/>
          <w:lang w:val="en-US" w:eastAsia="zh-CN" w:bidi="ar-SA"/>
        </w:rPr>
        <w:fldChar w:fldCharType="separate"/>
      </w:r>
      <w:r>
        <w:rPr>
          <w:rFonts w:hint="eastAsia" w:ascii="Times New Roman" w:hAnsi="Times New Roman" w:eastAsia="宋体" w:cs="宋体"/>
          <w:b/>
          <w:caps w:val="0"/>
          <w:smallCaps w:val="0"/>
          <w:kern w:val="2"/>
          <w:sz w:val="24"/>
          <w:szCs w:val="24"/>
          <w:lang w:val="en-US" w:eastAsia="zh-CN" w:bidi="ar-SA"/>
        </w:rPr>
        <w:t>4.4.7</w:t>
      </w:r>
      <w:r>
        <w:rPr>
          <w:rFonts w:hint="eastAsia" w:ascii="Times New Roman" w:hAnsi="Times New Roman" w:eastAsia="宋体" w:cs="宋体"/>
          <w:b/>
          <w:caps w:val="0"/>
          <w:smallCaps w:val="0"/>
          <w:kern w:val="2"/>
          <w:sz w:val="24"/>
          <w:szCs w:val="24"/>
          <w:lang w:val="en-US" w:eastAsia="zh-CN" w:bidi="ar-SA"/>
        </w:rPr>
        <w:fldChar w:fldCharType="end"/>
      </w:r>
      <w:r>
        <w:rPr>
          <w:rFonts w:hint="eastAsia" w:ascii="Times New Roman" w:hAnsi="Times New Roman" w:eastAsia="宋体" w:cs="宋体"/>
          <w:b/>
          <w:caps w:val="0"/>
          <w:smallCaps w:val="0"/>
          <w:kern w:val="2"/>
          <w:sz w:val="24"/>
          <w:szCs w:val="24"/>
          <w:lang w:val="en-US" w:eastAsia="zh-CN" w:bidi="ar-SA"/>
        </w:rPr>
        <w:t xml:space="preserve">-1   </w:t>
      </w:r>
      <w:r>
        <w:rPr>
          <w:rFonts w:hint="eastAsia" w:cs="宋体"/>
          <w:b/>
          <w:caps w:val="0"/>
          <w:smallCaps w:val="0"/>
          <w:kern w:val="2"/>
          <w:sz w:val="24"/>
          <w:szCs w:val="24"/>
          <w:lang w:val="en-US" w:eastAsia="zh-CN" w:bidi="ar-SA"/>
        </w:rPr>
        <w:t>XGT7020-10S1</w:t>
      </w:r>
      <w:r>
        <w:rPr>
          <w:rFonts w:hint="eastAsia" w:ascii="Times New Roman" w:hAnsi="Times New Roman" w:eastAsia="宋体" w:cs="宋体"/>
          <w:b/>
          <w:caps w:val="0"/>
          <w:smallCaps w:val="0"/>
          <w:kern w:val="2"/>
          <w:sz w:val="24"/>
          <w:szCs w:val="24"/>
          <w:lang w:val="en-US" w:eastAsia="zh-CN" w:bidi="ar-SA"/>
        </w:rPr>
        <w:t>回转总成拆除示意面图</w:t>
      </w:r>
    </w:p>
    <w:p w14:paraId="1C2A8DA2">
      <w:pPr>
        <w:pStyle w:val="18"/>
        <w:rPr>
          <w:rFonts w:hint="eastAsia"/>
          <w:lang w:val="en-US" w:eastAsia="zh-CN"/>
        </w:rPr>
      </w:pPr>
      <w:r>
        <w:drawing>
          <wp:inline distT="0" distB="0" distL="114300" distR="114300">
            <wp:extent cx="3045460" cy="2497455"/>
            <wp:effectExtent l="0" t="0" r="2540" b="17145"/>
            <wp:docPr id="7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
                    <pic:cNvPicPr>
                      <a:picLocks noChangeAspect="1"/>
                    </pic:cNvPicPr>
                  </pic:nvPicPr>
                  <pic:blipFill>
                    <a:blip r:embed="rId45"/>
                    <a:stretch>
                      <a:fillRect/>
                    </a:stretch>
                  </pic:blipFill>
                  <pic:spPr>
                    <a:xfrm>
                      <a:off x="0" y="0"/>
                      <a:ext cx="3045460" cy="2497455"/>
                    </a:xfrm>
                    <a:prstGeom prst="rect">
                      <a:avLst/>
                    </a:prstGeom>
                    <a:noFill/>
                    <a:ln>
                      <a:noFill/>
                    </a:ln>
                  </pic:spPr>
                </pic:pic>
              </a:graphicData>
            </a:graphic>
          </wp:inline>
        </w:drawing>
      </w:r>
      <w:r>
        <w:drawing>
          <wp:inline distT="0" distB="0" distL="114300" distR="114300">
            <wp:extent cx="1649730" cy="2721610"/>
            <wp:effectExtent l="0" t="0" r="7620" b="2540"/>
            <wp:docPr id="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
                    <pic:cNvPicPr>
                      <a:picLocks noChangeAspect="1"/>
                    </pic:cNvPicPr>
                  </pic:nvPicPr>
                  <pic:blipFill>
                    <a:blip r:embed="rId47"/>
                    <a:stretch>
                      <a:fillRect/>
                    </a:stretch>
                  </pic:blipFill>
                  <pic:spPr>
                    <a:xfrm>
                      <a:off x="0" y="0"/>
                      <a:ext cx="1649730" cy="2721610"/>
                    </a:xfrm>
                    <a:prstGeom prst="rect">
                      <a:avLst/>
                    </a:prstGeom>
                    <a:noFill/>
                    <a:ln>
                      <a:noFill/>
                    </a:ln>
                  </pic:spPr>
                </pic:pic>
              </a:graphicData>
            </a:graphic>
          </wp:inline>
        </w:drawing>
      </w:r>
    </w:p>
    <w:p w14:paraId="73CE8D58">
      <w:pPr>
        <w:shd w:val="clear"/>
        <w:jc w:val="center"/>
        <w:rPr>
          <w:rFonts w:hint="eastAsia"/>
          <w:lang w:val="en-US" w:eastAsia="zh-CN"/>
        </w:rPr>
      </w:pPr>
      <w:r>
        <w:rPr>
          <w:rFonts w:hint="eastAsia" w:ascii="Times New Roman" w:hAnsi="Times New Roman" w:eastAsia="宋体" w:cs="宋体"/>
          <w:b/>
          <w:caps w:val="0"/>
          <w:smallCaps w:val="0"/>
          <w:kern w:val="2"/>
          <w:sz w:val="24"/>
          <w:szCs w:val="24"/>
          <w:lang w:val="en-US" w:eastAsia="zh-CN" w:bidi="ar-SA"/>
        </w:rPr>
        <w:t>图</w:t>
      </w:r>
      <w:r>
        <w:rPr>
          <w:rFonts w:hint="eastAsia" w:ascii="Times New Roman" w:hAnsi="Times New Roman" w:eastAsia="宋体" w:cs="宋体"/>
          <w:b/>
          <w:caps w:val="0"/>
          <w:smallCaps w:val="0"/>
          <w:kern w:val="2"/>
          <w:sz w:val="24"/>
          <w:szCs w:val="24"/>
          <w:lang w:val="en-US" w:eastAsia="zh-CN" w:bidi="ar-SA"/>
        </w:rPr>
        <w:fldChar w:fldCharType="begin"/>
      </w:r>
      <w:r>
        <w:rPr>
          <w:rFonts w:hint="eastAsia" w:ascii="Times New Roman" w:hAnsi="Times New Roman" w:eastAsia="宋体" w:cs="宋体"/>
          <w:b/>
          <w:caps w:val="0"/>
          <w:smallCaps w:val="0"/>
          <w:kern w:val="2"/>
          <w:sz w:val="24"/>
          <w:szCs w:val="24"/>
          <w:lang w:val="en-US" w:eastAsia="zh-CN" w:bidi="ar-SA"/>
        </w:rPr>
        <w:instrText xml:space="preserve">STYLEREF 3\s</w:instrText>
      </w:r>
      <w:r>
        <w:rPr>
          <w:rFonts w:hint="eastAsia" w:ascii="Times New Roman" w:hAnsi="Times New Roman" w:eastAsia="宋体" w:cs="宋体"/>
          <w:b/>
          <w:caps w:val="0"/>
          <w:smallCaps w:val="0"/>
          <w:kern w:val="2"/>
          <w:sz w:val="24"/>
          <w:szCs w:val="24"/>
          <w:lang w:val="en-US" w:eastAsia="zh-CN" w:bidi="ar-SA"/>
        </w:rPr>
        <w:fldChar w:fldCharType="separate"/>
      </w:r>
      <w:r>
        <w:rPr>
          <w:rFonts w:hint="eastAsia" w:ascii="Times New Roman" w:hAnsi="Times New Roman" w:eastAsia="宋体" w:cs="宋体"/>
          <w:b/>
          <w:caps w:val="0"/>
          <w:smallCaps w:val="0"/>
          <w:kern w:val="2"/>
          <w:sz w:val="24"/>
          <w:szCs w:val="24"/>
          <w:lang w:val="en-US" w:eastAsia="zh-CN" w:bidi="ar-SA"/>
        </w:rPr>
        <w:t>4.4.7</w:t>
      </w:r>
      <w:r>
        <w:rPr>
          <w:rFonts w:hint="eastAsia" w:ascii="Times New Roman" w:hAnsi="Times New Roman" w:eastAsia="宋体" w:cs="宋体"/>
          <w:b/>
          <w:caps w:val="0"/>
          <w:smallCaps w:val="0"/>
          <w:kern w:val="2"/>
          <w:sz w:val="24"/>
          <w:szCs w:val="24"/>
          <w:lang w:val="en-US" w:eastAsia="zh-CN" w:bidi="ar-SA"/>
        </w:rPr>
        <w:fldChar w:fldCharType="end"/>
      </w:r>
      <w:r>
        <w:rPr>
          <w:rFonts w:hint="eastAsia" w:ascii="Times New Roman" w:hAnsi="Times New Roman" w:eastAsia="宋体" w:cs="宋体"/>
          <w:b/>
          <w:caps w:val="0"/>
          <w:smallCaps w:val="0"/>
          <w:kern w:val="2"/>
          <w:sz w:val="24"/>
          <w:szCs w:val="24"/>
          <w:lang w:val="en-US" w:eastAsia="zh-CN" w:bidi="ar-SA"/>
        </w:rPr>
        <w:t xml:space="preserve">-2   </w:t>
      </w:r>
      <w:r>
        <w:rPr>
          <w:rFonts w:hint="eastAsia" w:cs="宋体"/>
          <w:b/>
          <w:caps w:val="0"/>
          <w:smallCaps w:val="0"/>
          <w:kern w:val="2"/>
          <w:sz w:val="24"/>
          <w:szCs w:val="24"/>
          <w:lang w:val="en-US" w:eastAsia="zh-CN" w:bidi="ar-SA"/>
        </w:rPr>
        <w:t>XGT7020-10S1</w:t>
      </w:r>
      <w:r>
        <w:rPr>
          <w:rFonts w:hint="eastAsia" w:ascii="Times New Roman" w:hAnsi="Times New Roman" w:eastAsia="宋体" w:cs="宋体"/>
          <w:b/>
          <w:caps w:val="0"/>
          <w:smallCaps w:val="0"/>
          <w:kern w:val="2"/>
          <w:sz w:val="24"/>
          <w:szCs w:val="24"/>
          <w:lang w:val="en-US" w:eastAsia="zh-CN" w:bidi="ar-SA"/>
        </w:rPr>
        <w:t>回转总成拆除示意面图</w:t>
      </w:r>
    </w:p>
    <w:p w14:paraId="40BC8BA7">
      <w:pPr>
        <w:pStyle w:val="4"/>
        <w:bidi w:val="0"/>
        <w:rPr>
          <w:rFonts w:hint="eastAsia" w:ascii="Times New Roman" w:hAnsi="Times New Roman"/>
          <w:b/>
          <w:bCs/>
          <w:caps w:val="0"/>
          <w:smallCaps w:val="0"/>
          <w:highlight w:val="none"/>
          <w:lang w:val="en-US" w:eastAsia="zh-CN"/>
        </w:rPr>
      </w:pPr>
      <w:bookmarkStart w:id="190" w:name="_Toc21876"/>
      <w:r>
        <w:rPr>
          <w:rFonts w:hint="eastAsia" w:ascii="Times New Roman" w:hAnsi="Times New Roman"/>
          <w:b/>
          <w:bCs/>
          <w:caps w:val="0"/>
          <w:smallCaps w:val="0"/>
          <w:highlight w:val="none"/>
          <w:lang w:val="en-US" w:eastAsia="zh-CN"/>
        </w:rPr>
        <w:t>拆除爬升架与剩余塔身</w:t>
      </w:r>
      <w:bookmarkEnd w:id="190"/>
    </w:p>
    <w:p w14:paraId="539CEA65">
      <w:pPr>
        <w:numPr>
          <w:ilvl w:val="0"/>
          <w:numId w:val="12"/>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cs="Times New Roman"/>
          <w:caps w:val="0"/>
          <w:smallCaps w:val="0"/>
          <w:highlight w:val="none"/>
          <w:lang w:val="en-US" w:eastAsia="zh-CN"/>
        </w:rPr>
        <w:t>50T</w:t>
      </w:r>
      <w:r>
        <w:rPr>
          <w:rFonts w:hint="eastAsia" w:ascii="Times New Roman" w:hAnsi="Times New Roman" w:eastAsia="宋体" w:cs="Times New Roman"/>
          <w:caps w:val="0"/>
          <w:smallCaps w:val="0"/>
          <w:highlight w:val="none"/>
          <w:lang w:val="en-US" w:eastAsia="zh-CN"/>
        </w:rPr>
        <w:t>汽车吊位置不变，主臂长39.2m，吊装作业半径14m，额定起重量为9.3t，满足拆除吊装要求。</w:t>
      </w:r>
    </w:p>
    <w:p w14:paraId="665F3265">
      <w:pPr>
        <w:numPr>
          <w:ilvl w:val="0"/>
          <w:numId w:val="12"/>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套架吊装采用四点吊，以套架顶部4个吊耳板作为吊装孔，采用4根</w:t>
      </w:r>
      <w:r>
        <w:rPr>
          <w:rFonts w:hint="eastAsia" w:ascii="Times New Roman" w:hAnsi="Times New Roman" w:cs="Times New Roman"/>
          <w:caps w:val="0"/>
          <w:smallCaps w:val="0"/>
          <w:highlight w:val="none"/>
          <w:lang w:val="en-US" w:eastAsia="zh-CN"/>
        </w:rPr>
        <w:t>18mm6×19W+IWR1870Mpa</w:t>
      </w:r>
      <w:r>
        <w:rPr>
          <w:rFonts w:hint="eastAsia" w:ascii="Times New Roman" w:hAnsi="Times New Roman" w:eastAsia="宋体" w:cs="Times New Roman"/>
          <w:caps w:val="0"/>
          <w:smallCaps w:val="0"/>
          <w:highlight w:val="none"/>
          <w:lang w:val="en-US" w:eastAsia="zh-CN"/>
        </w:rPr>
        <w:t>的钢丝绳配套</w:t>
      </w:r>
      <w:r>
        <w:rPr>
          <w:rFonts w:hint="eastAsia" w:ascii="Times New Roman" w:hAnsi="Times New Roman" w:cs="Times New Roman"/>
          <w:caps w:val="0"/>
          <w:smallCaps w:val="0"/>
          <w:highlight w:val="none"/>
          <w:lang w:val="en-US" w:eastAsia="zh-CN"/>
        </w:rPr>
        <w:t>GB/T 25854-6-DW5</w:t>
      </w:r>
      <w:r>
        <w:rPr>
          <w:rFonts w:hint="eastAsia" w:ascii="Times New Roman" w:hAnsi="Times New Roman" w:eastAsia="宋体" w:cs="Times New Roman"/>
          <w:caps w:val="0"/>
          <w:smallCaps w:val="0"/>
          <w:highlight w:val="none"/>
          <w:lang w:val="en-US" w:eastAsia="zh-CN"/>
        </w:rPr>
        <w:t>卸扣进行起吊。</w:t>
      </w:r>
    </w:p>
    <w:p w14:paraId="17D10970">
      <w:pPr>
        <w:numPr>
          <w:ilvl w:val="0"/>
          <w:numId w:val="12"/>
        </w:numPr>
        <w:ind w:firstLineChars="0"/>
        <w:rPr>
          <w:rFonts w:hint="default" w:ascii="Times New Roman" w:hAnsi="Times New Roman" w:eastAsia="宋体" w:cs="Times New Roman"/>
          <w:caps w:val="0"/>
          <w:smallCaps w:val="0"/>
          <w:highlight w:val="none"/>
          <w:lang w:val="en-US" w:eastAsia="zh-CN"/>
        </w:rPr>
      </w:pPr>
      <w:r>
        <w:rPr>
          <w:rFonts w:hint="default" w:ascii="Times New Roman" w:hAnsi="Times New Roman" w:eastAsia="宋体" w:cs="Times New Roman"/>
          <w:caps w:val="0"/>
          <w:smallCaps w:val="0"/>
          <w:highlight w:val="none"/>
          <w:lang w:val="en-US" w:eastAsia="zh-CN"/>
        </w:rPr>
        <w:t>作业人员在地面上先将钢丝绳一端挂在</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吊钩上，另一端与卸扣连接，启动</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，将卸扣缓慢提升至</w:t>
      </w:r>
      <w:r>
        <w:rPr>
          <w:rFonts w:hint="eastAsia" w:ascii="Times New Roman" w:hAnsi="Times New Roman" w:eastAsia="宋体" w:cs="Times New Roman"/>
          <w:caps w:val="0"/>
          <w:smallCaps w:val="0"/>
          <w:highlight w:val="none"/>
          <w:lang w:val="en-US" w:eastAsia="zh-CN"/>
        </w:rPr>
        <w:t>套架</w:t>
      </w:r>
      <w:r>
        <w:rPr>
          <w:rFonts w:hint="default" w:ascii="Times New Roman" w:hAnsi="Times New Roman" w:eastAsia="宋体" w:cs="Times New Roman"/>
          <w:caps w:val="0"/>
          <w:smallCaps w:val="0"/>
          <w:highlight w:val="none"/>
          <w:lang w:val="en-US" w:eastAsia="zh-CN"/>
        </w:rPr>
        <w:t>上方，作业人员通过爬梯爬至</w:t>
      </w:r>
      <w:r>
        <w:rPr>
          <w:rFonts w:hint="eastAsia" w:ascii="Times New Roman" w:hAnsi="Times New Roman" w:eastAsia="宋体" w:cs="Times New Roman"/>
          <w:caps w:val="0"/>
          <w:smallCaps w:val="0"/>
          <w:highlight w:val="none"/>
          <w:lang w:val="en-US" w:eastAsia="zh-CN"/>
        </w:rPr>
        <w:t>套架</w:t>
      </w:r>
      <w:r>
        <w:rPr>
          <w:rFonts w:hint="default" w:ascii="Times New Roman" w:hAnsi="Times New Roman" w:eastAsia="宋体" w:cs="Times New Roman"/>
          <w:caps w:val="0"/>
          <w:smallCaps w:val="0"/>
          <w:highlight w:val="none"/>
          <w:lang w:val="en-US" w:eastAsia="zh-CN"/>
        </w:rPr>
        <w:t>顶部，将安全带系挂在</w:t>
      </w:r>
      <w:r>
        <w:rPr>
          <w:rFonts w:hint="eastAsia" w:ascii="Times New Roman" w:hAnsi="Times New Roman" w:eastAsia="宋体" w:cs="Times New Roman"/>
          <w:caps w:val="0"/>
          <w:smallCaps w:val="0"/>
          <w:highlight w:val="none"/>
          <w:lang w:val="en-US" w:eastAsia="zh-CN"/>
        </w:rPr>
        <w:t>套架</w:t>
      </w:r>
      <w:r>
        <w:rPr>
          <w:rFonts w:hint="default" w:ascii="Times New Roman" w:hAnsi="Times New Roman" w:eastAsia="宋体" w:cs="Times New Roman"/>
          <w:caps w:val="0"/>
          <w:smallCaps w:val="0"/>
          <w:highlight w:val="none"/>
          <w:lang w:val="en-US" w:eastAsia="zh-CN"/>
        </w:rPr>
        <w:t>顶部平台的栏杆上，位于</w:t>
      </w:r>
      <w:r>
        <w:rPr>
          <w:rFonts w:hint="eastAsia" w:ascii="Times New Roman" w:hAnsi="Times New Roman" w:eastAsia="宋体" w:cs="Times New Roman"/>
          <w:caps w:val="0"/>
          <w:smallCaps w:val="0"/>
          <w:highlight w:val="none"/>
          <w:lang w:val="en-US" w:eastAsia="zh-CN"/>
        </w:rPr>
        <w:t>套架</w:t>
      </w:r>
      <w:r>
        <w:rPr>
          <w:rFonts w:hint="default" w:ascii="Times New Roman" w:hAnsi="Times New Roman" w:eastAsia="宋体" w:cs="Times New Roman"/>
          <w:caps w:val="0"/>
          <w:smallCaps w:val="0"/>
          <w:highlight w:val="none"/>
          <w:lang w:val="en-US" w:eastAsia="zh-CN"/>
        </w:rPr>
        <w:t>顶部的平台上。</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放松吊钩，作业人员将卸扣与</w:t>
      </w:r>
      <w:r>
        <w:rPr>
          <w:rFonts w:hint="eastAsia" w:ascii="Times New Roman" w:hAnsi="Times New Roman" w:eastAsia="宋体" w:cs="Times New Roman"/>
          <w:caps w:val="0"/>
          <w:smallCaps w:val="0"/>
          <w:highlight w:val="none"/>
          <w:lang w:val="en-US" w:eastAsia="zh-CN"/>
        </w:rPr>
        <w:t>套架</w:t>
      </w:r>
      <w:r>
        <w:rPr>
          <w:rFonts w:hint="default" w:ascii="Times New Roman" w:hAnsi="Times New Roman" w:eastAsia="宋体" w:cs="Times New Roman"/>
          <w:caps w:val="0"/>
          <w:smallCaps w:val="0"/>
          <w:highlight w:val="none"/>
          <w:lang w:val="en-US" w:eastAsia="zh-CN"/>
        </w:rPr>
        <w:t>连接，同时在</w:t>
      </w:r>
      <w:r>
        <w:rPr>
          <w:rFonts w:hint="eastAsia" w:ascii="Times New Roman" w:hAnsi="Times New Roman" w:eastAsia="宋体" w:cs="Times New Roman"/>
          <w:caps w:val="0"/>
          <w:smallCaps w:val="0"/>
          <w:highlight w:val="none"/>
          <w:lang w:val="en-US" w:eastAsia="zh-CN"/>
        </w:rPr>
        <w:t>套架</w:t>
      </w:r>
      <w:r>
        <w:rPr>
          <w:rFonts w:hint="default" w:ascii="Times New Roman" w:hAnsi="Times New Roman" w:eastAsia="宋体" w:cs="Times New Roman"/>
          <w:caps w:val="0"/>
          <w:smallCaps w:val="0"/>
          <w:highlight w:val="none"/>
          <w:lang w:val="en-US" w:eastAsia="zh-CN"/>
        </w:rPr>
        <w:t>杆件上栓好2根溜绳，作业人员解除安全带，作业人员通过爬梯爬至</w:t>
      </w:r>
      <w:r>
        <w:rPr>
          <w:rFonts w:hint="eastAsia" w:cs="Times New Roman"/>
          <w:caps w:val="0"/>
          <w:smallCaps w:val="0"/>
          <w:highlight w:val="none"/>
          <w:lang w:val="en-US" w:eastAsia="zh-CN"/>
        </w:rPr>
        <w:t>标准节</w:t>
      </w:r>
      <w:r>
        <w:rPr>
          <w:rFonts w:hint="default" w:ascii="Times New Roman" w:hAnsi="Times New Roman" w:eastAsia="宋体" w:cs="Times New Roman"/>
          <w:caps w:val="0"/>
          <w:smallCaps w:val="0"/>
          <w:highlight w:val="none"/>
          <w:lang w:val="en-US" w:eastAsia="zh-CN"/>
        </w:rPr>
        <w:t>对应的爬升架爬爪处，将安全带系挂在</w:t>
      </w:r>
      <w:r>
        <w:rPr>
          <w:rFonts w:hint="eastAsia" w:cs="Times New Roman"/>
          <w:caps w:val="0"/>
          <w:smallCaps w:val="0"/>
          <w:highlight w:val="none"/>
          <w:lang w:val="en-US" w:eastAsia="zh-CN"/>
        </w:rPr>
        <w:t>标准节</w:t>
      </w:r>
      <w:r>
        <w:rPr>
          <w:rFonts w:hint="default" w:ascii="Times New Roman" w:hAnsi="Times New Roman" w:eastAsia="宋体" w:cs="Times New Roman"/>
          <w:caps w:val="0"/>
          <w:smallCaps w:val="0"/>
          <w:highlight w:val="none"/>
          <w:lang w:val="en-US" w:eastAsia="zh-CN"/>
        </w:rPr>
        <w:t>横杆上，解除</w:t>
      </w:r>
      <w:r>
        <w:rPr>
          <w:rFonts w:hint="eastAsia" w:ascii="Times New Roman" w:hAnsi="Times New Roman" w:eastAsia="宋体" w:cs="Times New Roman"/>
          <w:caps w:val="0"/>
          <w:smallCaps w:val="0"/>
          <w:highlight w:val="none"/>
          <w:lang w:val="en-US" w:eastAsia="zh-CN"/>
        </w:rPr>
        <w:t>套架</w:t>
      </w:r>
      <w:r>
        <w:rPr>
          <w:rFonts w:hint="default" w:ascii="Times New Roman" w:hAnsi="Times New Roman" w:eastAsia="宋体" w:cs="Times New Roman"/>
          <w:caps w:val="0"/>
          <w:smallCaps w:val="0"/>
          <w:highlight w:val="none"/>
          <w:lang w:val="en-US" w:eastAsia="zh-CN"/>
        </w:rPr>
        <w:t>与</w:t>
      </w:r>
      <w:r>
        <w:rPr>
          <w:rFonts w:hint="eastAsia" w:cs="Times New Roman"/>
          <w:caps w:val="0"/>
          <w:smallCaps w:val="0"/>
          <w:highlight w:val="none"/>
          <w:lang w:val="en-US" w:eastAsia="zh-CN"/>
        </w:rPr>
        <w:t>标准节</w:t>
      </w:r>
      <w:r>
        <w:rPr>
          <w:rFonts w:hint="default" w:ascii="Times New Roman" w:hAnsi="Times New Roman" w:eastAsia="宋体" w:cs="Times New Roman"/>
          <w:caps w:val="0"/>
          <w:smallCaps w:val="0"/>
          <w:highlight w:val="none"/>
          <w:lang w:val="en-US" w:eastAsia="zh-CN"/>
        </w:rPr>
        <w:t>之间的约束。</w:t>
      </w:r>
      <w:r>
        <w:rPr>
          <w:rFonts w:hint="eastAsia" w:ascii="Times New Roman" w:hAnsi="Times New Roman" w:eastAsia="宋体" w:cs="Times New Roman"/>
          <w:caps w:val="0"/>
          <w:smallCaps w:val="0"/>
          <w:highlight w:val="none"/>
          <w:lang w:val="en-US" w:eastAsia="zh-CN"/>
        </w:rPr>
        <w:t>汽车吊</w:t>
      </w:r>
      <w:r>
        <w:rPr>
          <w:rFonts w:hint="default" w:ascii="Times New Roman" w:hAnsi="Times New Roman" w:eastAsia="宋体" w:cs="Times New Roman"/>
          <w:caps w:val="0"/>
          <w:smallCaps w:val="0"/>
          <w:highlight w:val="none"/>
          <w:lang w:val="en-US" w:eastAsia="zh-CN"/>
        </w:rPr>
        <w:t>起升吊钩，将</w:t>
      </w:r>
      <w:r>
        <w:rPr>
          <w:rFonts w:hint="eastAsia" w:ascii="Times New Roman" w:hAnsi="Times New Roman" w:eastAsia="宋体" w:cs="Times New Roman"/>
          <w:caps w:val="0"/>
          <w:smallCaps w:val="0"/>
          <w:highlight w:val="none"/>
          <w:lang w:val="en-US" w:eastAsia="zh-CN"/>
        </w:rPr>
        <w:t>套架</w:t>
      </w:r>
      <w:r>
        <w:rPr>
          <w:rFonts w:hint="default" w:ascii="Times New Roman" w:hAnsi="Times New Roman" w:eastAsia="宋体" w:cs="Times New Roman"/>
          <w:caps w:val="0"/>
          <w:smallCaps w:val="0"/>
          <w:highlight w:val="none"/>
          <w:lang w:val="en-US" w:eastAsia="zh-CN"/>
        </w:rPr>
        <w:t>提升一定安全高度后，再将</w:t>
      </w:r>
      <w:r>
        <w:rPr>
          <w:rFonts w:hint="eastAsia" w:ascii="Times New Roman" w:hAnsi="Times New Roman" w:eastAsia="宋体" w:cs="Times New Roman"/>
          <w:caps w:val="0"/>
          <w:smallCaps w:val="0"/>
          <w:highlight w:val="none"/>
          <w:lang w:val="en-US" w:eastAsia="zh-CN"/>
        </w:rPr>
        <w:t>套架</w:t>
      </w:r>
      <w:r>
        <w:rPr>
          <w:rFonts w:hint="default" w:ascii="Times New Roman" w:hAnsi="Times New Roman" w:eastAsia="宋体" w:cs="Times New Roman"/>
          <w:caps w:val="0"/>
          <w:smallCaps w:val="0"/>
          <w:highlight w:val="none"/>
          <w:lang w:val="en-US" w:eastAsia="zh-CN"/>
        </w:rPr>
        <w:t>下放至地面，作业人员在地面上解除卸扣与</w:t>
      </w:r>
      <w:r>
        <w:rPr>
          <w:rFonts w:hint="eastAsia" w:ascii="Times New Roman" w:hAnsi="Times New Roman" w:eastAsia="宋体" w:cs="Times New Roman"/>
          <w:caps w:val="0"/>
          <w:smallCaps w:val="0"/>
          <w:highlight w:val="none"/>
          <w:lang w:val="en-US" w:eastAsia="zh-CN"/>
        </w:rPr>
        <w:t>套架</w:t>
      </w:r>
      <w:r>
        <w:rPr>
          <w:rFonts w:hint="default" w:ascii="Times New Roman" w:hAnsi="Times New Roman" w:eastAsia="宋体" w:cs="Times New Roman"/>
          <w:caps w:val="0"/>
          <w:smallCaps w:val="0"/>
          <w:highlight w:val="none"/>
          <w:lang w:val="en-US" w:eastAsia="zh-CN"/>
        </w:rPr>
        <w:t>的连接。</w:t>
      </w:r>
      <w:r>
        <w:rPr>
          <w:rFonts w:hint="eastAsia" w:ascii="Times New Roman" w:hAnsi="Times New Roman" w:cs="Times New Roman"/>
          <w:caps w:val="0"/>
          <w:smallCaps w:val="0"/>
          <w:highlight w:val="none"/>
          <w:lang w:val="en-US" w:eastAsia="zh-CN"/>
        </w:rPr>
        <w:t>剩余塔身按相同步骤拆除。</w:t>
      </w:r>
    </w:p>
    <w:p w14:paraId="36F5DD1C">
      <w:pPr>
        <w:numPr>
          <w:ilvl w:val="0"/>
          <w:numId w:val="12"/>
        </w:numPr>
        <w:ind w:firstLineChars="0"/>
        <w:rPr>
          <w:rFonts w:hint="eastAsia" w:ascii="Times New Roman" w:hAnsi="Times New Roman" w:eastAsia="宋体" w:cs="Times New Roman"/>
          <w:caps w:val="0"/>
          <w:smallCaps w:val="0"/>
          <w:highlight w:val="none"/>
          <w:lang w:val="en-US" w:eastAsia="zh-CN"/>
        </w:rPr>
      </w:pPr>
      <w:r>
        <w:rPr>
          <w:rFonts w:hint="eastAsia" w:ascii="Times New Roman" w:hAnsi="Times New Roman" w:eastAsia="宋体" w:cs="Times New Roman"/>
          <w:caps w:val="0"/>
          <w:smallCaps w:val="0"/>
          <w:highlight w:val="none"/>
          <w:lang w:val="en-US" w:eastAsia="zh-CN"/>
        </w:rPr>
        <w:t>塔式起重机套架</w:t>
      </w:r>
      <w:r>
        <w:rPr>
          <w:rFonts w:hint="eastAsia" w:ascii="Times New Roman" w:hAnsi="Times New Roman" w:cs="Times New Roman"/>
          <w:caps w:val="0"/>
          <w:smallCaps w:val="0"/>
          <w:highlight w:val="none"/>
          <w:lang w:val="en-US" w:eastAsia="zh-CN"/>
        </w:rPr>
        <w:t>与剩余塔身</w:t>
      </w:r>
      <w:r>
        <w:rPr>
          <w:rFonts w:hint="eastAsia" w:ascii="Times New Roman" w:hAnsi="Times New Roman" w:eastAsia="宋体" w:cs="Times New Roman"/>
          <w:caps w:val="0"/>
          <w:smallCaps w:val="0"/>
          <w:highlight w:val="none"/>
          <w:lang w:val="en-US" w:eastAsia="zh-CN"/>
        </w:rPr>
        <w:t>拆除时设置警戒区，起吊安排专人负责指挥，专人操作，严禁无关人员进入起重作业范围内。</w:t>
      </w:r>
    </w:p>
    <w:p w14:paraId="02967D6A">
      <w:pPr>
        <w:jc w:val="center"/>
        <w:rPr>
          <w:rFonts w:ascii="Times New Roman" w:hAnsi="Times New Roman"/>
          <w:caps w:val="0"/>
          <w:smallCaps w:val="0"/>
        </w:rPr>
      </w:pPr>
      <w:r>
        <w:drawing>
          <wp:inline distT="0" distB="0" distL="114300" distR="114300">
            <wp:extent cx="3528060" cy="2891790"/>
            <wp:effectExtent l="0" t="0" r="15240" b="3810"/>
            <wp:docPr id="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
                    <pic:cNvPicPr>
                      <a:picLocks noChangeAspect="1"/>
                    </pic:cNvPicPr>
                  </pic:nvPicPr>
                  <pic:blipFill>
                    <a:blip r:embed="rId45"/>
                    <a:stretch>
                      <a:fillRect/>
                    </a:stretch>
                  </pic:blipFill>
                  <pic:spPr>
                    <a:xfrm>
                      <a:off x="0" y="0"/>
                      <a:ext cx="3528060" cy="2891790"/>
                    </a:xfrm>
                    <a:prstGeom prst="rect">
                      <a:avLst/>
                    </a:prstGeom>
                    <a:noFill/>
                    <a:ln>
                      <a:noFill/>
                    </a:ln>
                  </pic:spPr>
                </pic:pic>
              </a:graphicData>
            </a:graphic>
          </wp:inline>
        </w:drawing>
      </w:r>
    </w:p>
    <w:p w14:paraId="75359C73">
      <w:pPr>
        <w:bidi w:val="0"/>
        <w:ind w:left="0" w:leftChars="0" w:firstLine="0" w:firstLineChars="0"/>
        <w:jc w:val="center"/>
        <w:rPr>
          <w:rFonts w:hint="eastAsia" w:ascii="Times New Roman" w:hAnsi="Times New Roman" w:eastAsia="宋体" w:cs="宋体"/>
          <w:b/>
          <w:caps w:val="0"/>
          <w:smallCaps w:val="0"/>
          <w:kern w:val="2"/>
          <w:sz w:val="24"/>
          <w:szCs w:val="24"/>
          <w:lang w:val="en-US" w:eastAsia="zh-CN" w:bidi="ar-SA"/>
        </w:rPr>
      </w:pPr>
      <w:r>
        <w:rPr>
          <w:rFonts w:hint="eastAsia" w:ascii="Times New Roman" w:hAnsi="Times New Roman" w:eastAsia="宋体" w:cs="宋体"/>
          <w:b/>
          <w:caps w:val="0"/>
          <w:smallCaps w:val="0"/>
          <w:kern w:val="2"/>
          <w:sz w:val="24"/>
          <w:szCs w:val="24"/>
          <w:lang w:val="en-US" w:eastAsia="zh-CN" w:bidi="ar-SA"/>
        </w:rPr>
        <w:t>图</w:t>
      </w:r>
      <w:r>
        <w:rPr>
          <w:rFonts w:hint="eastAsia" w:ascii="Times New Roman" w:hAnsi="Times New Roman" w:eastAsia="宋体" w:cs="宋体"/>
          <w:b/>
          <w:caps w:val="0"/>
          <w:smallCaps w:val="0"/>
          <w:kern w:val="2"/>
          <w:sz w:val="24"/>
          <w:szCs w:val="24"/>
          <w:lang w:val="en-US" w:eastAsia="zh-CN" w:bidi="ar-SA"/>
        </w:rPr>
        <w:fldChar w:fldCharType="begin"/>
      </w:r>
      <w:r>
        <w:rPr>
          <w:rFonts w:hint="eastAsia" w:ascii="Times New Roman" w:hAnsi="Times New Roman" w:eastAsia="宋体" w:cs="宋体"/>
          <w:b/>
          <w:caps w:val="0"/>
          <w:smallCaps w:val="0"/>
          <w:kern w:val="2"/>
          <w:sz w:val="24"/>
          <w:szCs w:val="24"/>
          <w:lang w:val="en-US" w:eastAsia="zh-CN" w:bidi="ar-SA"/>
        </w:rPr>
        <w:instrText xml:space="preserve">STYLEREF 3\s</w:instrText>
      </w:r>
      <w:r>
        <w:rPr>
          <w:rFonts w:hint="eastAsia" w:ascii="Times New Roman" w:hAnsi="Times New Roman" w:eastAsia="宋体" w:cs="宋体"/>
          <w:b/>
          <w:caps w:val="0"/>
          <w:smallCaps w:val="0"/>
          <w:kern w:val="2"/>
          <w:sz w:val="24"/>
          <w:szCs w:val="24"/>
          <w:lang w:val="en-US" w:eastAsia="zh-CN" w:bidi="ar-SA"/>
        </w:rPr>
        <w:fldChar w:fldCharType="separate"/>
      </w:r>
      <w:r>
        <w:rPr>
          <w:rFonts w:hint="eastAsia" w:ascii="Times New Roman" w:hAnsi="Times New Roman" w:eastAsia="宋体" w:cs="宋体"/>
          <w:b/>
          <w:caps w:val="0"/>
          <w:smallCaps w:val="0"/>
          <w:kern w:val="2"/>
          <w:sz w:val="24"/>
          <w:szCs w:val="24"/>
          <w:lang w:val="en-US" w:eastAsia="zh-CN" w:bidi="ar-SA"/>
        </w:rPr>
        <w:t>4.4.8</w:t>
      </w:r>
      <w:r>
        <w:rPr>
          <w:rFonts w:hint="eastAsia" w:ascii="Times New Roman" w:hAnsi="Times New Roman" w:eastAsia="宋体" w:cs="宋体"/>
          <w:b/>
          <w:caps w:val="0"/>
          <w:smallCaps w:val="0"/>
          <w:kern w:val="2"/>
          <w:sz w:val="24"/>
          <w:szCs w:val="24"/>
          <w:lang w:val="en-US" w:eastAsia="zh-CN" w:bidi="ar-SA"/>
        </w:rPr>
        <w:fldChar w:fldCharType="end"/>
      </w:r>
      <w:r>
        <w:rPr>
          <w:rFonts w:hint="eastAsia" w:ascii="Times New Roman" w:hAnsi="Times New Roman" w:eastAsia="宋体" w:cs="宋体"/>
          <w:b/>
          <w:caps w:val="0"/>
          <w:smallCaps w:val="0"/>
          <w:kern w:val="2"/>
          <w:sz w:val="24"/>
          <w:szCs w:val="24"/>
          <w:lang w:val="en-US" w:eastAsia="zh-CN" w:bidi="ar-SA"/>
        </w:rPr>
        <w:t xml:space="preserve">-1   </w:t>
      </w:r>
      <w:r>
        <w:rPr>
          <w:rFonts w:hint="eastAsia" w:cs="宋体"/>
          <w:b/>
          <w:caps w:val="0"/>
          <w:smallCaps w:val="0"/>
          <w:kern w:val="2"/>
          <w:sz w:val="24"/>
          <w:szCs w:val="24"/>
          <w:lang w:val="en-US" w:eastAsia="zh-CN" w:bidi="ar-SA"/>
        </w:rPr>
        <w:t>XGT7020-10S1</w:t>
      </w:r>
      <w:r>
        <w:rPr>
          <w:rFonts w:hint="eastAsia" w:ascii="Times New Roman" w:hAnsi="Times New Roman" w:eastAsia="宋体" w:cs="宋体"/>
          <w:b/>
          <w:caps w:val="0"/>
          <w:smallCaps w:val="0"/>
          <w:kern w:val="2"/>
          <w:sz w:val="24"/>
          <w:szCs w:val="24"/>
          <w:lang w:val="en-US" w:eastAsia="zh-CN" w:bidi="ar-SA"/>
        </w:rPr>
        <w:t>剩余塔身拆除平面图</w:t>
      </w:r>
    </w:p>
    <w:p w14:paraId="10B21167">
      <w:pPr>
        <w:bidi w:val="0"/>
        <w:ind w:left="0" w:leftChars="0" w:firstLine="0" w:firstLineChars="0"/>
        <w:jc w:val="center"/>
      </w:pPr>
      <w:r>
        <w:drawing>
          <wp:inline distT="0" distB="0" distL="114300" distR="114300">
            <wp:extent cx="1553210" cy="2638425"/>
            <wp:effectExtent l="0" t="0" r="8890" b="9525"/>
            <wp:docPr id="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
                    <pic:cNvPicPr>
                      <a:picLocks noChangeAspect="1"/>
                    </pic:cNvPicPr>
                  </pic:nvPicPr>
                  <pic:blipFill>
                    <a:blip r:embed="rId48"/>
                    <a:stretch>
                      <a:fillRect/>
                    </a:stretch>
                  </pic:blipFill>
                  <pic:spPr>
                    <a:xfrm>
                      <a:off x="0" y="0"/>
                      <a:ext cx="1553210" cy="2638425"/>
                    </a:xfrm>
                    <a:prstGeom prst="rect">
                      <a:avLst/>
                    </a:prstGeom>
                    <a:noFill/>
                    <a:ln>
                      <a:noFill/>
                    </a:ln>
                  </pic:spPr>
                </pic:pic>
              </a:graphicData>
            </a:graphic>
          </wp:inline>
        </w:drawing>
      </w:r>
      <w:r>
        <w:drawing>
          <wp:inline distT="0" distB="0" distL="114300" distR="114300">
            <wp:extent cx="1652905" cy="2677160"/>
            <wp:effectExtent l="0" t="0" r="4445" b="8890"/>
            <wp:docPr id="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
                    <pic:cNvPicPr>
                      <a:picLocks noChangeAspect="1"/>
                    </pic:cNvPicPr>
                  </pic:nvPicPr>
                  <pic:blipFill>
                    <a:blip r:embed="rId49"/>
                    <a:stretch>
                      <a:fillRect/>
                    </a:stretch>
                  </pic:blipFill>
                  <pic:spPr>
                    <a:xfrm>
                      <a:off x="0" y="0"/>
                      <a:ext cx="1652905" cy="2677160"/>
                    </a:xfrm>
                    <a:prstGeom prst="rect">
                      <a:avLst/>
                    </a:prstGeom>
                    <a:noFill/>
                    <a:ln>
                      <a:noFill/>
                    </a:ln>
                  </pic:spPr>
                </pic:pic>
              </a:graphicData>
            </a:graphic>
          </wp:inline>
        </w:drawing>
      </w:r>
      <w:r>
        <w:drawing>
          <wp:inline distT="0" distB="0" distL="114300" distR="114300">
            <wp:extent cx="1884045" cy="2718435"/>
            <wp:effectExtent l="0" t="0" r="1905" b="5715"/>
            <wp:docPr id="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
                    <pic:cNvPicPr>
                      <a:picLocks noChangeAspect="1"/>
                    </pic:cNvPicPr>
                  </pic:nvPicPr>
                  <pic:blipFill>
                    <a:blip r:embed="rId50"/>
                    <a:stretch>
                      <a:fillRect/>
                    </a:stretch>
                  </pic:blipFill>
                  <pic:spPr>
                    <a:xfrm>
                      <a:off x="0" y="0"/>
                      <a:ext cx="1884045" cy="2718435"/>
                    </a:xfrm>
                    <a:prstGeom prst="rect">
                      <a:avLst/>
                    </a:prstGeom>
                    <a:noFill/>
                    <a:ln>
                      <a:noFill/>
                    </a:ln>
                  </pic:spPr>
                </pic:pic>
              </a:graphicData>
            </a:graphic>
          </wp:inline>
        </w:drawing>
      </w:r>
    </w:p>
    <w:p w14:paraId="41567239">
      <w:pPr>
        <w:bidi w:val="0"/>
        <w:ind w:left="0" w:leftChars="0" w:firstLine="0" w:firstLineChars="0"/>
        <w:jc w:val="center"/>
        <w:rPr>
          <w:rFonts w:hint="eastAsia" w:ascii="Times New Roman" w:hAnsi="Times New Roman" w:eastAsia="宋体" w:cs="宋体"/>
          <w:b/>
          <w:caps w:val="0"/>
          <w:smallCaps w:val="0"/>
          <w:kern w:val="2"/>
          <w:sz w:val="24"/>
          <w:szCs w:val="24"/>
          <w:lang w:val="en-US" w:eastAsia="zh-CN" w:bidi="ar-SA"/>
        </w:rPr>
      </w:pPr>
      <w:r>
        <w:rPr>
          <w:rFonts w:hint="eastAsia" w:ascii="Times New Roman" w:hAnsi="Times New Roman" w:eastAsia="宋体" w:cs="宋体"/>
          <w:b/>
          <w:caps w:val="0"/>
          <w:smallCaps w:val="0"/>
          <w:kern w:val="2"/>
          <w:sz w:val="24"/>
          <w:szCs w:val="24"/>
          <w:lang w:val="en-US" w:eastAsia="zh-CN" w:bidi="ar-SA"/>
        </w:rPr>
        <w:t>图</w:t>
      </w:r>
      <w:r>
        <w:rPr>
          <w:rFonts w:hint="eastAsia" w:ascii="Times New Roman" w:hAnsi="Times New Roman" w:eastAsia="宋体" w:cs="宋体"/>
          <w:b/>
          <w:caps w:val="0"/>
          <w:smallCaps w:val="0"/>
          <w:kern w:val="2"/>
          <w:sz w:val="24"/>
          <w:szCs w:val="24"/>
          <w:lang w:val="en-US" w:eastAsia="zh-CN" w:bidi="ar-SA"/>
        </w:rPr>
        <w:fldChar w:fldCharType="begin"/>
      </w:r>
      <w:r>
        <w:rPr>
          <w:rFonts w:hint="eastAsia" w:ascii="Times New Roman" w:hAnsi="Times New Roman" w:eastAsia="宋体" w:cs="宋体"/>
          <w:b/>
          <w:caps w:val="0"/>
          <w:smallCaps w:val="0"/>
          <w:kern w:val="2"/>
          <w:sz w:val="24"/>
          <w:szCs w:val="24"/>
          <w:lang w:val="en-US" w:eastAsia="zh-CN" w:bidi="ar-SA"/>
        </w:rPr>
        <w:instrText xml:space="preserve">STYLEREF 3\s</w:instrText>
      </w:r>
      <w:r>
        <w:rPr>
          <w:rFonts w:hint="eastAsia" w:ascii="Times New Roman" w:hAnsi="Times New Roman" w:eastAsia="宋体" w:cs="宋体"/>
          <w:b/>
          <w:caps w:val="0"/>
          <w:smallCaps w:val="0"/>
          <w:kern w:val="2"/>
          <w:sz w:val="24"/>
          <w:szCs w:val="24"/>
          <w:lang w:val="en-US" w:eastAsia="zh-CN" w:bidi="ar-SA"/>
        </w:rPr>
        <w:fldChar w:fldCharType="separate"/>
      </w:r>
      <w:r>
        <w:rPr>
          <w:rFonts w:hint="eastAsia" w:ascii="Times New Roman" w:hAnsi="Times New Roman" w:eastAsia="宋体" w:cs="宋体"/>
          <w:b/>
          <w:caps w:val="0"/>
          <w:smallCaps w:val="0"/>
          <w:kern w:val="2"/>
          <w:sz w:val="24"/>
          <w:szCs w:val="24"/>
          <w:lang w:val="en-US" w:eastAsia="zh-CN" w:bidi="ar-SA"/>
        </w:rPr>
        <w:t>4.4.8</w:t>
      </w:r>
      <w:r>
        <w:rPr>
          <w:rFonts w:hint="eastAsia" w:ascii="Times New Roman" w:hAnsi="Times New Roman" w:eastAsia="宋体" w:cs="宋体"/>
          <w:b/>
          <w:caps w:val="0"/>
          <w:smallCaps w:val="0"/>
          <w:kern w:val="2"/>
          <w:sz w:val="24"/>
          <w:szCs w:val="24"/>
          <w:lang w:val="en-US" w:eastAsia="zh-CN" w:bidi="ar-SA"/>
        </w:rPr>
        <w:fldChar w:fldCharType="end"/>
      </w:r>
      <w:r>
        <w:rPr>
          <w:rFonts w:hint="eastAsia" w:ascii="Times New Roman" w:hAnsi="Times New Roman" w:eastAsia="宋体" w:cs="宋体"/>
          <w:b/>
          <w:caps w:val="0"/>
          <w:smallCaps w:val="0"/>
          <w:kern w:val="2"/>
          <w:sz w:val="24"/>
          <w:szCs w:val="24"/>
          <w:lang w:val="en-US" w:eastAsia="zh-CN" w:bidi="ar-SA"/>
        </w:rPr>
        <w:t xml:space="preserve">-2   </w:t>
      </w:r>
      <w:r>
        <w:rPr>
          <w:rFonts w:hint="eastAsia" w:cs="宋体"/>
          <w:b/>
          <w:caps w:val="0"/>
          <w:smallCaps w:val="0"/>
          <w:kern w:val="2"/>
          <w:sz w:val="24"/>
          <w:szCs w:val="24"/>
          <w:lang w:val="en-US" w:eastAsia="zh-CN" w:bidi="ar-SA"/>
        </w:rPr>
        <w:t>XGT7020-10S1</w:t>
      </w:r>
      <w:r>
        <w:rPr>
          <w:rFonts w:hint="eastAsia" w:ascii="Times New Roman" w:hAnsi="Times New Roman" w:eastAsia="宋体" w:cs="宋体"/>
          <w:b/>
          <w:caps w:val="0"/>
          <w:smallCaps w:val="0"/>
          <w:kern w:val="2"/>
          <w:sz w:val="24"/>
          <w:szCs w:val="24"/>
          <w:lang w:val="en-US" w:eastAsia="zh-CN" w:bidi="ar-SA"/>
        </w:rPr>
        <w:t>剩余塔身拆除</w:t>
      </w:r>
      <w:r>
        <w:rPr>
          <w:rFonts w:hint="eastAsia" w:cs="宋体"/>
          <w:b/>
          <w:caps w:val="0"/>
          <w:smallCaps w:val="0"/>
          <w:kern w:val="2"/>
          <w:sz w:val="24"/>
          <w:szCs w:val="24"/>
          <w:lang w:val="en-US" w:eastAsia="zh-CN" w:bidi="ar-SA"/>
        </w:rPr>
        <w:t>立</w:t>
      </w:r>
      <w:r>
        <w:rPr>
          <w:rFonts w:hint="eastAsia" w:ascii="Times New Roman" w:hAnsi="Times New Roman" w:eastAsia="宋体" w:cs="宋体"/>
          <w:b/>
          <w:caps w:val="0"/>
          <w:smallCaps w:val="0"/>
          <w:kern w:val="2"/>
          <w:sz w:val="24"/>
          <w:szCs w:val="24"/>
          <w:lang w:val="en-US" w:eastAsia="zh-CN" w:bidi="ar-SA"/>
        </w:rPr>
        <w:t xml:space="preserve">面图 </w:t>
      </w:r>
    </w:p>
    <w:p w14:paraId="5D180F47">
      <w:pPr>
        <w:rPr>
          <w:rFonts w:hint="default" w:ascii="Times New Roman" w:hAnsi="Times New Roman" w:eastAsia="宋体" w:cs="宋体"/>
          <w:b/>
          <w:caps w:val="0"/>
          <w:smallCaps w:val="0"/>
          <w:kern w:val="2"/>
          <w:sz w:val="24"/>
          <w:szCs w:val="24"/>
          <w:lang w:val="en-US" w:eastAsia="zh-CN" w:bidi="ar-SA"/>
        </w:rPr>
      </w:pPr>
      <w:r>
        <w:rPr>
          <w:rFonts w:hint="default" w:ascii="Times New Roman" w:hAnsi="Times New Roman" w:eastAsia="宋体" w:cs="宋体"/>
          <w:b/>
          <w:caps w:val="0"/>
          <w:smallCaps w:val="0"/>
          <w:kern w:val="2"/>
          <w:sz w:val="24"/>
          <w:szCs w:val="24"/>
          <w:lang w:val="en-US" w:eastAsia="zh-CN" w:bidi="ar-SA"/>
        </w:rPr>
        <w:br w:type="page"/>
      </w:r>
    </w:p>
    <w:bookmarkEnd w:id="181"/>
    <w:bookmarkEnd w:id="182"/>
    <w:bookmarkEnd w:id="183"/>
    <w:bookmarkEnd w:id="184"/>
    <w:p w14:paraId="72328A8B">
      <w:pPr>
        <w:pStyle w:val="2"/>
        <w:bidi w:val="0"/>
        <w:ind w:left="432" w:leftChars="0" w:hanging="432" w:firstLineChars="0"/>
      </w:pPr>
      <w:bookmarkStart w:id="191" w:name="_Toc4487"/>
      <w:bookmarkStart w:id="192" w:name="_Toc32315"/>
      <w:bookmarkStart w:id="193" w:name="_Toc9894"/>
      <w:bookmarkStart w:id="194" w:name="_Toc21393"/>
      <w:bookmarkStart w:id="195" w:name="_Toc42642303"/>
      <w:r>
        <w:rPr>
          <w:rFonts w:hint="eastAsia"/>
          <w:lang w:val="en-US" w:eastAsia="zh-CN"/>
        </w:rPr>
        <w:t>施工安全保障措施</w:t>
      </w:r>
      <w:bookmarkEnd w:id="191"/>
      <w:bookmarkEnd w:id="192"/>
      <w:bookmarkEnd w:id="193"/>
      <w:bookmarkEnd w:id="194"/>
    </w:p>
    <w:p w14:paraId="5302901F">
      <w:pPr>
        <w:pStyle w:val="3"/>
        <w:bidi w:val="0"/>
        <w:ind w:left="575" w:leftChars="0" w:hanging="575" w:firstLineChars="0"/>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bookmarkStart w:id="196" w:name="_Toc27425"/>
      <w:bookmarkStart w:id="197" w:name="_Toc17036"/>
      <w:bookmarkStart w:id="198" w:name="_Toc20434"/>
      <w:bookmarkStart w:id="199" w:name="_Toc23061"/>
      <w:bookmarkStart w:id="200" w:name="_Toc10656"/>
      <w:bookmarkStart w:id="201" w:name="_Toc9957"/>
      <w:bookmarkStart w:id="202" w:name="_Toc533345491"/>
      <w:r>
        <w:rPr>
          <w:rFonts w:hint="eastAsia" w:cs="Times New Roman"/>
          <w:b/>
          <w:color w:val="000000" w:themeColor="text1"/>
          <w:kern w:val="2"/>
          <w:sz w:val="28"/>
          <w:szCs w:val="22"/>
          <w:lang w:val="en-US" w:eastAsia="zh-CN" w:bidi="ar-SA"/>
          <w14:textFill>
            <w14:solidFill>
              <w14:schemeClr w14:val="tx1"/>
            </w14:solidFill>
          </w14:textFill>
        </w:rPr>
        <w:t>组织保障措施</w:t>
      </w:r>
      <w:bookmarkEnd w:id="196"/>
    </w:p>
    <w:p w14:paraId="5A399534">
      <w:pPr>
        <w:pStyle w:val="4"/>
      </w:pPr>
      <w:r>
        <w:rPr>
          <w:rFonts w:hint="eastAsia"/>
          <w:lang w:val="en-US" w:eastAsia="zh-CN"/>
        </w:rPr>
        <w:t>安全管理组织机构</w:t>
      </w:r>
    </w:p>
    <w:p w14:paraId="4FEAF5CF">
      <w:pPr>
        <w:ind w:firstLine="480"/>
      </w:pPr>
      <w:r>
        <w:t>项目经理部成立以项目经理为组长，</w:t>
      </w:r>
      <w:r>
        <w:rPr>
          <w:rFonts w:hint="eastAsia"/>
        </w:rPr>
        <w:t>安全总监、</w:t>
      </w:r>
      <w:r>
        <w:t>项目副经理、项目总工程师为副组长、安全</w:t>
      </w:r>
      <w:r>
        <w:rPr>
          <w:rFonts w:hint="eastAsia"/>
        </w:rPr>
        <w:t>监督</w:t>
      </w:r>
      <w:r>
        <w:t>部及有关部门负责人组成的安全生产领导小组。安全生产领导小组对安全生产方面的重大问题和重点问题进行解决和处理。</w:t>
      </w:r>
    </w:p>
    <w:p w14:paraId="047F40F3">
      <w:pPr>
        <w:widowControl/>
        <w:ind w:firstLine="480" w:firstLineChars="200"/>
        <w:jc w:val="left"/>
      </w:pPr>
      <w:r>
        <w:rPr>
          <w:rFonts w:hint="eastAsia"/>
          <w:color w:val="000000"/>
          <w:kern w:val="0"/>
          <w:lang w:bidi="ar"/>
        </w:rPr>
        <w:t>实行安全生产三级管理，一级管理由项目经理负责，二级管理由专职安全员负责，三级管理由班组长负责。</w:t>
      </w:r>
    </w:p>
    <w:p w14:paraId="0FE4744B">
      <w:pPr>
        <w:pStyle w:val="12"/>
        <w:ind w:firstLine="0" w:firstLineChars="0"/>
        <w:jc w:val="center"/>
      </w:pPr>
      <w:r>
        <w:drawing>
          <wp:inline distT="0" distB="0" distL="114300" distR="114300">
            <wp:extent cx="4545330" cy="4340860"/>
            <wp:effectExtent l="0" t="0" r="0" b="2540"/>
            <wp:docPr id="92" name="图片 92" descr="人力资源部组织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人力资源部组织结构图"/>
                    <pic:cNvPicPr>
                      <a:picLocks noChangeAspect="1"/>
                    </pic:cNvPicPr>
                  </pic:nvPicPr>
                  <pic:blipFill>
                    <a:blip r:embed="rId51"/>
                    <a:srcRect t="3017" b="2844"/>
                    <a:stretch>
                      <a:fillRect/>
                    </a:stretch>
                  </pic:blipFill>
                  <pic:spPr>
                    <a:xfrm>
                      <a:off x="0" y="0"/>
                      <a:ext cx="4545330" cy="4340860"/>
                    </a:xfrm>
                    <a:prstGeom prst="rect">
                      <a:avLst/>
                    </a:prstGeom>
                  </pic:spPr>
                </pic:pic>
              </a:graphicData>
            </a:graphic>
          </wp:inline>
        </w:drawing>
      </w:r>
    </w:p>
    <w:p w14:paraId="51706C86">
      <w:pPr>
        <w:pStyle w:val="14"/>
        <w:bidi w:val="0"/>
        <w:rPr>
          <w:rFonts w:ascii="Times New Roman" w:hAnsi="Times New Roman" w:cs="Times New Roman"/>
        </w:rPr>
      </w:pPr>
      <w:r>
        <w:rPr>
          <w:rFonts w:hint="eastAsia" w:ascii="Times New Roman" w:hAnsi="Times New Roman" w:cs="Times New Roman"/>
        </w:rPr>
        <w:t>图</w:t>
      </w:r>
      <w:r>
        <w:rPr>
          <w:rFonts w:hint="eastAsia" w:ascii="Times New Roman" w:hAnsi="Times New Roman" w:cs="Times New Roman"/>
          <w:lang w:val="en-US" w:eastAsia="zh-CN"/>
        </w:rPr>
        <w:t>5</w:t>
      </w:r>
      <w:r>
        <w:rPr>
          <w:rFonts w:hint="eastAsia" w:ascii="Times New Roman" w:hAnsi="Times New Roman" w:cs="Times New Roman"/>
        </w:rPr>
        <w:t>.</w:t>
      </w:r>
      <w:r>
        <w:rPr>
          <w:rFonts w:hint="eastAsia" w:ascii="Times New Roman" w:hAnsi="Times New Roman" w:cs="Times New Roman"/>
          <w:lang w:val="en-US" w:eastAsia="zh-CN"/>
        </w:rPr>
        <w:t>1</w:t>
      </w:r>
      <w:r>
        <w:rPr>
          <w:rFonts w:hint="eastAsia" w:ascii="Times New Roman" w:hAnsi="Times New Roman" w:cs="Times New Roman"/>
        </w:rPr>
        <w:t>.1-1 安全管理组织机构图</w:t>
      </w:r>
    </w:p>
    <w:p w14:paraId="352EAD4D">
      <w:pPr>
        <w:pStyle w:val="4"/>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r>
        <w:rPr>
          <w:rFonts w:hint="eastAsia" w:cs="Times New Roman"/>
          <w:b/>
          <w:color w:val="000000" w:themeColor="text1"/>
          <w:kern w:val="2"/>
          <w:sz w:val="28"/>
          <w:szCs w:val="22"/>
          <w:lang w:val="en-US" w:eastAsia="zh-CN" w:bidi="ar-SA"/>
          <w14:textFill>
            <w14:solidFill>
              <w14:schemeClr w14:val="tx1"/>
            </w14:solidFill>
          </w14:textFill>
        </w:rPr>
        <w:t>安全管理职责</w:t>
      </w:r>
    </w:p>
    <w:p w14:paraId="5EBFB398">
      <w:pPr>
        <w:numPr>
          <w:ilvl w:val="0"/>
          <w:numId w:val="13"/>
        </w:numPr>
        <w:tabs>
          <w:tab w:val="left" w:pos="387"/>
        </w:tabs>
        <w:ind w:firstLine="480" w:firstLineChars="200"/>
      </w:pPr>
      <w:bookmarkStart w:id="203" w:name="_Toc22770"/>
      <w:r>
        <w:rPr>
          <w:rFonts w:hint="eastAsia"/>
        </w:rPr>
        <w:t>项目经理职责</w:t>
      </w:r>
    </w:p>
    <w:p w14:paraId="51FF4531">
      <w:pPr>
        <w:pStyle w:val="13"/>
        <w:ind w:firstLine="400" w:firstLineChars="200"/>
      </w:pPr>
      <w:r>
        <w:rPr>
          <w:rFonts w:hint="eastAsia"/>
        </w:rPr>
        <w:t>项目经理对项目</w:t>
      </w:r>
      <w:r>
        <w:rPr>
          <w:rFonts w:hint="eastAsia"/>
          <w:color w:val="000000"/>
          <w:kern w:val="0"/>
          <w:lang w:bidi="ar"/>
        </w:rPr>
        <w:t>全过程安全生产负全面领导管理责任。</w:t>
      </w:r>
    </w:p>
    <w:p w14:paraId="1CC99949">
      <w:pPr>
        <w:tabs>
          <w:tab w:val="left" w:pos="387"/>
        </w:tabs>
        <w:ind w:firstLine="480" w:firstLineChars="200"/>
      </w:pPr>
      <w:r>
        <w:rPr>
          <w:rFonts w:hint="eastAsia"/>
        </w:rPr>
        <w:t>2、分部负责人职责</w:t>
      </w:r>
      <w:bookmarkEnd w:id="203"/>
    </w:p>
    <w:p w14:paraId="5CBAC2E4">
      <w:pPr>
        <w:widowControl/>
        <w:ind w:firstLine="480" w:firstLineChars="200"/>
        <w:jc w:val="left"/>
        <w:rPr>
          <w:color w:val="000000"/>
          <w:kern w:val="0"/>
          <w:lang w:bidi="ar"/>
        </w:rPr>
      </w:pPr>
      <w:r>
        <w:rPr>
          <w:rFonts w:hint="eastAsia"/>
          <w:color w:val="000000"/>
          <w:kern w:val="0"/>
          <w:lang w:bidi="ar"/>
        </w:rPr>
        <w:t>分部负责人在项目经理部安全领导小组领导下对本工程的安全生产负全面领导管理责任；认真贯彻落实安全生产方针、政策、法规和各项规章制度，提出有针对性的安全管理要求，履行安全考核指标和安全生产奖惩办法；认真落实施工组织设计中安全技术管理的各项措施，严格执行安全技术审批制度、施工安全交底制度和设施、设备交接验收使用制度；领导组织安全生产检查，对存在问题落实解决；发生事故保护好现场，及时总结，接受教训。</w:t>
      </w:r>
    </w:p>
    <w:p w14:paraId="5FB6C2FB">
      <w:pPr>
        <w:ind w:firstLine="480" w:firstLineChars="200"/>
      </w:pPr>
      <w:bookmarkStart w:id="204" w:name="_Toc17604"/>
      <w:r>
        <w:rPr>
          <w:rFonts w:hint="eastAsia" w:ascii="Times New Roman" w:hAnsi="Times New Roman" w:cs="Times New Roman"/>
          <w:color w:val="000000"/>
          <w:kern w:val="0"/>
          <w:lang w:bidi="ar"/>
        </w:rPr>
        <w:t>3</w:t>
      </w:r>
      <w:r>
        <w:rPr>
          <w:rFonts w:hint="eastAsia"/>
          <w:color w:val="000000"/>
          <w:kern w:val="0"/>
          <w:lang w:bidi="ar"/>
        </w:rPr>
        <w:t>、安全工程师</w:t>
      </w:r>
      <w:bookmarkEnd w:id="204"/>
      <w:r>
        <w:rPr>
          <w:rFonts w:hint="eastAsia"/>
          <w:color w:val="000000"/>
          <w:kern w:val="0"/>
          <w:lang w:bidi="ar"/>
        </w:rPr>
        <w:t xml:space="preserve"> </w:t>
      </w:r>
    </w:p>
    <w:p w14:paraId="4E44575D">
      <w:pPr>
        <w:widowControl/>
        <w:ind w:firstLine="480" w:firstLineChars="200"/>
        <w:jc w:val="left"/>
      </w:pPr>
      <w:r>
        <w:rPr>
          <w:rFonts w:hint="eastAsia"/>
          <w:color w:val="000000"/>
          <w:kern w:val="0"/>
          <w:lang w:bidi="ar"/>
        </w:rPr>
        <w:t>认真学习并执行有关规章制度，制定项目和重点、专项工程的安全预防措施，负责对施工过程的安全工作进行检查监督，对职工进行安全教育培训考核，并有安全检查和教育的记录。编写安全事故救援预案，及时解决安全工作中存在的问题，及时提出防范措施。安全检查工程师必须持证上岗、选派有安全管理工作经验</w:t>
      </w:r>
      <w:r>
        <w:rPr>
          <w:rFonts w:ascii="Times New Roman" w:hAnsi="Times New Roman" w:cs="Times New Roman"/>
          <w:color w:val="000000"/>
          <w:kern w:val="0"/>
          <w:lang w:bidi="ar"/>
        </w:rPr>
        <w:t>5</w:t>
      </w:r>
      <w:r>
        <w:rPr>
          <w:rFonts w:hint="eastAsia"/>
          <w:color w:val="000000"/>
          <w:kern w:val="0"/>
          <w:lang w:bidi="ar"/>
        </w:rPr>
        <w:t xml:space="preserve">年以上的人员。 </w:t>
      </w:r>
    </w:p>
    <w:p w14:paraId="6A74147F">
      <w:pPr>
        <w:ind w:firstLine="480" w:firstLineChars="200"/>
      </w:pPr>
      <w:bookmarkStart w:id="205" w:name="_Toc20158"/>
      <w:r>
        <w:rPr>
          <w:rFonts w:hint="eastAsia" w:ascii="Times New Roman" w:hAnsi="Times New Roman" w:cs="Times New Roman"/>
          <w:color w:val="000000"/>
          <w:kern w:val="0"/>
          <w:lang w:bidi="ar"/>
        </w:rPr>
        <w:t>4</w:t>
      </w:r>
      <w:r>
        <w:rPr>
          <w:rFonts w:hint="eastAsia"/>
          <w:color w:val="000000"/>
          <w:kern w:val="0"/>
          <w:lang w:bidi="ar"/>
        </w:rPr>
        <w:t>、施工队专职安全员（现场工程师）</w:t>
      </w:r>
      <w:bookmarkEnd w:id="205"/>
      <w:r>
        <w:rPr>
          <w:rFonts w:hint="eastAsia"/>
          <w:color w:val="000000"/>
          <w:kern w:val="0"/>
          <w:lang w:bidi="ar"/>
        </w:rPr>
        <w:t xml:space="preserve"> </w:t>
      </w:r>
    </w:p>
    <w:p w14:paraId="1BDB1500">
      <w:pPr>
        <w:widowControl/>
        <w:ind w:firstLine="480" w:firstLineChars="200"/>
        <w:jc w:val="left"/>
      </w:pPr>
      <w:r>
        <w:rPr>
          <w:rFonts w:hint="eastAsia"/>
          <w:color w:val="000000"/>
          <w:kern w:val="0"/>
          <w:lang w:bidi="ar"/>
        </w:rPr>
        <w:t xml:space="preserve">对所管辖区段的施工安全负直接责任。对施工队职工进行安全教育，对辖区的施工队的施工安全进行检测并记录，对违反安全操作规定的行为进行制止，并 向安全管理工程师及经理部报告。参加编写安全事故救援预案、事故调查、抢险预案。及时提出安全工作中存在的问题，提出防范措施。负责对施工过程中的安全设施进行检查，对检查不合格的工序有权勒令停工，报告安全检查工程师并提出处理意见和整改措施。 </w:t>
      </w:r>
    </w:p>
    <w:p w14:paraId="3DEBFAB8">
      <w:pPr>
        <w:widowControl/>
        <w:ind w:firstLine="480" w:firstLineChars="200"/>
        <w:jc w:val="left"/>
      </w:pPr>
      <w:r>
        <w:rPr>
          <w:rFonts w:hint="eastAsia" w:ascii="Times New Roman" w:hAnsi="Times New Roman" w:cs="Times New Roman"/>
          <w:color w:val="000000"/>
          <w:kern w:val="0"/>
          <w:lang w:bidi="ar"/>
        </w:rPr>
        <w:t>5</w:t>
      </w:r>
      <w:r>
        <w:rPr>
          <w:rFonts w:hint="eastAsia"/>
          <w:color w:val="000000"/>
          <w:kern w:val="0"/>
          <w:lang w:bidi="ar"/>
        </w:rPr>
        <w:t>、兼职安全员职责（各施工队长兼任）</w:t>
      </w:r>
    </w:p>
    <w:p w14:paraId="292E2810">
      <w:pPr>
        <w:rPr>
          <w:rFonts w:hint="eastAsia"/>
          <w:lang w:val="en-US" w:eastAsia="zh-CN"/>
        </w:rPr>
      </w:pPr>
      <w:r>
        <w:rPr>
          <w:rFonts w:hint="eastAsia"/>
          <w:color w:val="000000"/>
          <w:kern w:val="0"/>
          <w:lang w:bidi="ar"/>
        </w:rPr>
        <w:t>对所在工班安全负责。具体落实各项安全措施，对施工人员进行安全教育，对施工的工序进行安全检查并有记录，及时报告专职安全员及工班长有关的施工安全隐患。对施工人员违反安全规定的进行制止并报告专职安全员，提出处罚意见。</w:t>
      </w:r>
    </w:p>
    <w:p w14:paraId="70328E06">
      <w:pPr>
        <w:pStyle w:val="4"/>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r>
        <w:rPr>
          <w:rFonts w:hint="eastAsia" w:cs="Times New Roman"/>
          <w:b/>
          <w:color w:val="000000" w:themeColor="text1"/>
          <w:kern w:val="2"/>
          <w:sz w:val="28"/>
          <w:szCs w:val="22"/>
          <w:lang w:val="en-US" w:eastAsia="zh-CN" w:bidi="ar-SA"/>
          <w14:textFill>
            <w14:solidFill>
              <w14:schemeClr w14:val="tx1"/>
            </w14:solidFill>
          </w14:textFill>
        </w:rPr>
        <w:t>安全保证体系图</w:t>
      </w:r>
    </w:p>
    <w:p w14:paraId="67FF9858">
      <w:pPr>
        <w:pStyle w:val="44"/>
      </w:pPr>
      <w:r>
        <mc:AlternateContent>
          <mc:Choice Requires="wpg">
            <w:drawing>
              <wp:inline distT="0" distB="0" distL="0" distR="0">
                <wp:extent cx="5570220" cy="4467225"/>
                <wp:effectExtent l="6350" t="6350" r="24130" b="22225"/>
                <wp:docPr id="15" name="Group 2569"/>
                <wp:cNvGraphicFramePr/>
                <a:graphic xmlns:a="http://schemas.openxmlformats.org/drawingml/2006/main">
                  <a:graphicData uri="http://schemas.microsoft.com/office/word/2010/wordprocessingGroup">
                    <wpg:wgp>
                      <wpg:cNvGrpSpPr/>
                      <wpg:grpSpPr>
                        <a:xfrm>
                          <a:off x="0" y="0"/>
                          <a:ext cx="5570220" cy="4467225"/>
                          <a:chOff x="0" y="0"/>
                          <a:chExt cx="8308" cy="6183"/>
                        </a:xfrm>
                      </wpg:grpSpPr>
                      <wps:wsp>
                        <wps:cNvPr id="369" name="Text Box 2570"/>
                        <wps:cNvSpPr txBox="1">
                          <a:spLocks noChangeArrowheads="1"/>
                        </wps:cNvSpPr>
                        <wps:spPr bwMode="auto">
                          <a:xfrm>
                            <a:off x="0" y="1393"/>
                            <a:ext cx="493" cy="2613"/>
                          </a:xfrm>
                          <a:prstGeom prst="rect">
                            <a:avLst/>
                          </a:prstGeom>
                          <a:solidFill>
                            <a:schemeClr val="accent6">
                              <a:lumMod val="40000"/>
                              <a:lumOff val="60000"/>
                            </a:schemeClr>
                          </a:solidFill>
                          <a:ln w="12700">
                            <a:solidFill>
                              <a:srgbClr val="0000C8"/>
                            </a:solidFill>
                            <a:miter lim="800000"/>
                          </a:ln>
                        </wps:spPr>
                        <wps:txbx>
                          <w:txbxContent>
                            <w:p w14:paraId="7DE75859">
                              <w:pPr>
                                <w:pStyle w:val="73"/>
                              </w:pPr>
                              <w:r>
                                <w:rPr>
                                  <w:rFonts w:hint="eastAsia"/>
                                </w:rPr>
                                <w:t>安全生产管理体系</w:t>
                              </w:r>
                            </w:p>
                          </w:txbxContent>
                        </wps:txbx>
                        <wps:bodyPr rot="0" vert="eaVert" wrap="square" lIns="0" tIns="0" rIns="0" bIns="0" anchor="ctr" anchorCtr="0" upright="1">
                          <a:noAutofit/>
                        </wps:bodyPr>
                      </wps:wsp>
                      <wps:wsp>
                        <wps:cNvPr id="370" name="Line 2571"/>
                        <wps:cNvCnPr>
                          <a:cxnSpLocks noChangeShapeType="1"/>
                        </wps:cNvCnPr>
                        <wps:spPr bwMode="auto">
                          <a:xfrm>
                            <a:off x="514" y="2524"/>
                            <a:ext cx="195" cy="0"/>
                          </a:xfrm>
                          <a:prstGeom prst="line">
                            <a:avLst/>
                          </a:prstGeom>
                          <a:noFill/>
                          <a:ln w="12700">
                            <a:solidFill>
                              <a:srgbClr val="0000C8"/>
                            </a:solidFill>
                            <a:round/>
                          </a:ln>
                        </wps:spPr>
                        <wps:bodyPr/>
                      </wps:wsp>
                      <wps:wsp>
                        <wps:cNvPr id="371" name="Line 2572"/>
                        <wps:cNvCnPr>
                          <a:cxnSpLocks noChangeShapeType="1"/>
                        </wps:cNvCnPr>
                        <wps:spPr bwMode="auto">
                          <a:xfrm>
                            <a:off x="690" y="174"/>
                            <a:ext cx="0" cy="5399"/>
                          </a:xfrm>
                          <a:prstGeom prst="line">
                            <a:avLst/>
                          </a:prstGeom>
                          <a:noFill/>
                          <a:ln w="12700">
                            <a:solidFill>
                              <a:srgbClr val="0000C8"/>
                            </a:solidFill>
                            <a:round/>
                          </a:ln>
                        </wps:spPr>
                        <wps:bodyPr/>
                      </wps:wsp>
                      <wps:wsp>
                        <wps:cNvPr id="372" name="Line 2573"/>
                        <wps:cNvCnPr>
                          <a:cxnSpLocks noChangeShapeType="1"/>
                        </wps:cNvCnPr>
                        <wps:spPr bwMode="auto">
                          <a:xfrm>
                            <a:off x="690" y="174"/>
                            <a:ext cx="214" cy="0"/>
                          </a:xfrm>
                          <a:prstGeom prst="line">
                            <a:avLst/>
                          </a:prstGeom>
                          <a:noFill/>
                          <a:ln w="12700">
                            <a:solidFill>
                              <a:srgbClr val="0000C8"/>
                            </a:solidFill>
                            <a:round/>
                          </a:ln>
                        </wps:spPr>
                        <wps:bodyPr/>
                      </wps:wsp>
                      <wps:wsp>
                        <wps:cNvPr id="373" name="Text Box 2574"/>
                        <wps:cNvSpPr txBox="1">
                          <a:spLocks noChangeArrowheads="1"/>
                        </wps:cNvSpPr>
                        <wps:spPr bwMode="auto">
                          <a:xfrm>
                            <a:off x="904" y="0"/>
                            <a:ext cx="1351" cy="348"/>
                          </a:xfrm>
                          <a:prstGeom prst="rect">
                            <a:avLst/>
                          </a:prstGeom>
                          <a:solidFill>
                            <a:schemeClr val="accent6">
                              <a:lumMod val="40000"/>
                              <a:lumOff val="60000"/>
                            </a:schemeClr>
                          </a:solidFill>
                          <a:ln w="12700">
                            <a:solidFill>
                              <a:srgbClr val="0000C8"/>
                            </a:solidFill>
                            <a:miter lim="800000"/>
                          </a:ln>
                        </wps:spPr>
                        <wps:txbx>
                          <w:txbxContent>
                            <w:p w14:paraId="009E6868">
                              <w:pPr>
                                <w:pStyle w:val="73"/>
                              </w:pPr>
                              <w:r>
                                <w:rPr>
                                  <w:rFonts w:hint="eastAsia"/>
                                </w:rPr>
                                <w:t>思想保证</w:t>
                              </w:r>
                            </w:p>
                          </w:txbxContent>
                        </wps:txbx>
                        <wps:bodyPr rot="0" vert="horz" wrap="square" lIns="0" tIns="0" rIns="0" bIns="0" anchor="ctr" anchorCtr="0" upright="1">
                          <a:noAutofit/>
                        </wps:bodyPr>
                      </wps:wsp>
                      <wps:wsp>
                        <wps:cNvPr id="387" name="Line 2575"/>
                        <wps:cNvCnPr>
                          <a:cxnSpLocks noChangeShapeType="1"/>
                        </wps:cNvCnPr>
                        <wps:spPr bwMode="auto">
                          <a:xfrm>
                            <a:off x="2255" y="174"/>
                            <a:ext cx="262" cy="0"/>
                          </a:xfrm>
                          <a:prstGeom prst="line">
                            <a:avLst/>
                          </a:prstGeom>
                          <a:noFill/>
                          <a:ln w="12700">
                            <a:solidFill>
                              <a:srgbClr val="0000C8"/>
                            </a:solidFill>
                            <a:round/>
                          </a:ln>
                        </wps:spPr>
                        <wps:bodyPr/>
                      </wps:wsp>
                      <wps:wsp>
                        <wps:cNvPr id="26" name="Text Box 2576"/>
                        <wps:cNvSpPr txBox="1">
                          <a:spLocks noChangeArrowheads="1"/>
                        </wps:cNvSpPr>
                        <wps:spPr bwMode="auto">
                          <a:xfrm>
                            <a:off x="2517" y="0"/>
                            <a:ext cx="2703" cy="348"/>
                          </a:xfrm>
                          <a:prstGeom prst="rect">
                            <a:avLst/>
                          </a:prstGeom>
                          <a:solidFill>
                            <a:schemeClr val="accent6">
                              <a:lumMod val="40000"/>
                              <a:lumOff val="60000"/>
                            </a:schemeClr>
                          </a:solidFill>
                          <a:ln w="12700">
                            <a:solidFill>
                              <a:srgbClr val="0000C8"/>
                            </a:solidFill>
                            <a:miter lim="800000"/>
                          </a:ln>
                        </wps:spPr>
                        <wps:txbx>
                          <w:txbxContent>
                            <w:p w14:paraId="2028E801">
                              <w:pPr>
                                <w:pStyle w:val="73"/>
                              </w:pPr>
                              <w:r>
                                <w:rPr>
                                  <w:rFonts w:hint="eastAsia"/>
                                </w:rPr>
                                <w:t>项目部季度安全教育</w:t>
                              </w:r>
                            </w:p>
                          </w:txbxContent>
                        </wps:txbx>
                        <wps:bodyPr rot="0" vert="horz" wrap="square" lIns="0" tIns="0" rIns="0" bIns="0" anchor="ctr" anchorCtr="0" upright="1">
                          <a:noAutofit/>
                        </wps:bodyPr>
                      </wps:wsp>
                      <wps:wsp>
                        <wps:cNvPr id="130" name="Line 2577"/>
                        <wps:cNvCnPr>
                          <a:cxnSpLocks noChangeShapeType="1"/>
                        </wps:cNvCnPr>
                        <wps:spPr bwMode="auto">
                          <a:xfrm>
                            <a:off x="5220" y="174"/>
                            <a:ext cx="506" cy="0"/>
                          </a:xfrm>
                          <a:prstGeom prst="line">
                            <a:avLst/>
                          </a:prstGeom>
                          <a:noFill/>
                          <a:ln w="12700">
                            <a:solidFill>
                              <a:srgbClr val="0000C8"/>
                            </a:solidFill>
                            <a:round/>
                          </a:ln>
                        </wps:spPr>
                        <wps:bodyPr/>
                      </wps:wsp>
                      <wps:wsp>
                        <wps:cNvPr id="27" name="Text Box 2578"/>
                        <wps:cNvSpPr txBox="1">
                          <a:spLocks noChangeArrowheads="1"/>
                        </wps:cNvSpPr>
                        <wps:spPr bwMode="auto">
                          <a:xfrm>
                            <a:off x="5726" y="0"/>
                            <a:ext cx="2458" cy="348"/>
                          </a:xfrm>
                          <a:prstGeom prst="rect">
                            <a:avLst/>
                          </a:prstGeom>
                          <a:solidFill>
                            <a:schemeClr val="accent6">
                              <a:lumMod val="40000"/>
                              <a:lumOff val="60000"/>
                            </a:schemeClr>
                          </a:solidFill>
                          <a:ln w="12700">
                            <a:solidFill>
                              <a:srgbClr val="0000C8"/>
                            </a:solidFill>
                            <a:miter lim="800000"/>
                          </a:ln>
                        </wps:spPr>
                        <wps:txbx>
                          <w:txbxContent>
                            <w:p w14:paraId="0A49779D">
                              <w:pPr>
                                <w:pStyle w:val="73"/>
                              </w:pPr>
                              <w:r>
                                <w:rPr>
                                  <w:rFonts w:hint="eastAsia"/>
                                </w:rPr>
                                <w:t>班组每周安全活动</w:t>
                              </w:r>
                            </w:p>
                          </w:txbxContent>
                        </wps:txbx>
                        <wps:bodyPr rot="0" vert="horz" wrap="square" lIns="0" tIns="0" rIns="0" bIns="0" anchor="ctr" anchorCtr="0" upright="1">
                          <a:noAutofit/>
                        </wps:bodyPr>
                      </wps:wsp>
                      <wps:wsp>
                        <wps:cNvPr id="28" name="Line 2579"/>
                        <wps:cNvCnPr>
                          <a:cxnSpLocks noChangeShapeType="1"/>
                        </wps:cNvCnPr>
                        <wps:spPr bwMode="auto">
                          <a:xfrm>
                            <a:off x="709" y="1219"/>
                            <a:ext cx="214" cy="0"/>
                          </a:xfrm>
                          <a:prstGeom prst="line">
                            <a:avLst/>
                          </a:prstGeom>
                          <a:noFill/>
                          <a:ln w="12700">
                            <a:solidFill>
                              <a:srgbClr val="0000C8"/>
                            </a:solidFill>
                            <a:round/>
                          </a:ln>
                        </wps:spPr>
                        <wps:bodyPr/>
                      </wps:wsp>
                      <wps:wsp>
                        <wps:cNvPr id="29" name="Text Box 2580"/>
                        <wps:cNvSpPr txBox="1">
                          <a:spLocks noChangeArrowheads="1"/>
                        </wps:cNvSpPr>
                        <wps:spPr bwMode="auto">
                          <a:xfrm>
                            <a:off x="904" y="1045"/>
                            <a:ext cx="1351" cy="348"/>
                          </a:xfrm>
                          <a:prstGeom prst="rect">
                            <a:avLst/>
                          </a:prstGeom>
                          <a:solidFill>
                            <a:schemeClr val="accent6">
                              <a:lumMod val="40000"/>
                              <a:lumOff val="60000"/>
                            </a:schemeClr>
                          </a:solidFill>
                          <a:ln w="12700">
                            <a:solidFill>
                              <a:srgbClr val="0000C8"/>
                            </a:solidFill>
                            <a:miter lim="800000"/>
                          </a:ln>
                        </wps:spPr>
                        <wps:txbx>
                          <w:txbxContent>
                            <w:p w14:paraId="31B7422B">
                              <w:pPr>
                                <w:pStyle w:val="73"/>
                              </w:pPr>
                              <w:r>
                                <w:rPr>
                                  <w:rFonts w:hint="eastAsia"/>
                                </w:rPr>
                                <w:t>组织保证</w:t>
                              </w:r>
                            </w:p>
                          </w:txbxContent>
                        </wps:txbx>
                        <wps:bodyPr rot="0" vert="horz" wrap="square" lIns="0" tIns="0" rIns="0" bIns="0" anchor="ctr" anchorCtr="0" upright="1">
                          <a:noAutofit/>
                        </wps:bodyPr>
                      </wps:wsp>
                      <wps:wsp>
                        <wps:cNvPr id="32" name="Line 2581"/>
                        <wps:cNvCnPr>
                          <a:cxnSpLocks noChangeShapeType="1"/>
                        </wps:cNvCnPr>
                        <wps:spPr bwMode="auto">
                          <a:xfrm>
                            <a:off x="2255" y="1219"/>
                            <a:ext cx="479" cy="0"/>
                          </a:xfrm>
                          <a:prstGeom prst="line">
                            <a:avLst/>
                          </a:prstGeom>
                          <a:noFill/>
                          <a:ln w="12700">
                            <a:solidFill>
                              <a:srgbClr val="0000C8"/>
                            </a:solidFill>
                            <a:round/>
                          </a:ln>
                        </wps:spPr>
                        <wps:bodyPr/>
                      </wps:wsp>
                      <wps:wsp>
                        <wps:cNvPr id="35" name="Text Box 2582"/>
                        <wps:cNvSpPr txBox="1">
                          <a:spLocks noChangeArrowheads="1"/>
                        </wps:cNvSpPr>
                        <wps:spPr bwMode="auto">
                          <a:xfrm>
                            <a:off x="2734" y="1045"/>
                            <a:ext cx="2533" cy="348"/>
                          </a:xfrm>
                          <a:prstGeom prst="rect">
                            <a:avLst/>
                          </a:prstGeom>
                          <a:solidFill>
                            <a:schemeClr val="accent6">
                              <a:lumMod val="40000"/>
                              <a:lumOff val="60000"/>
                            </a:schemeClr>
                          </a:solidFill>
                          <a:ln w="12700">
                            <a:solidFill>
                              <a:srgbClr val="0000C8"/>
                            </a:solidFill>
                            <a:miter lim="800000"/>
                          </a:ln>
                        </wps:spPr>
                        <wps:txbx>
                          <w:txbxContent>
                            <w:p w14:paraId="6810EED7">
                              <w:pPr>
                                <w:pStyle w:val="73"/>
                              </w:pPr>
                              <w:r>
                                <w:rPr>
                                  <w:rFonts w:hint="eastAsia"/>
                                </w:rPr>
                                <w:t>安监处</w:t>
                              </w:r>
                            </w:p>
                          </w:txbxContent>
                        </wps:txbx>
                        <wps:bodyPr rot="0" vert="horz" wrap="square" lIns="0" tIns="0" rIns="0" bIns="0" anchor="ctr" anchorCtr="0" upright="1">
                          <a:noAutofit/>
                        </wps:bodyPr>
                      </wps:wsp>
                      <wps:wsp>
                        <wps:cNvPr id="36" name="Text Box 2583"/>
                        <wps:cNvSpPr txBox="1">
                          <a:spLocks noChangeArrowheads="1"/>
                        </wps:cNvSpPr>
                        <wps:spPr bwMode="auto">
                          <a:xfrm>
                            <a:off x="2734" y="612"/>
                            <a:ext cx="2533" cy="347"/>
                          </a:xfrm>
                          <a:prstGeom prst="rect">
                            <a:avLst/>
                          </a:prstGeom>
                          <a:solidFill>
                            <a:schemeClr val="accent6">
                              <a:lumMod val="40000"/>
                              <a:lumOff val="60000"/>
                            </a:schemeClr>
                          </a:solidFill>
                          <a:ln w="12700">
                            <a:solidFill>
                              <a:srgbClr val="0000C8"/>
                            </a:solidFill>
                            <a:miter lim="800000"/>
                          </a:ln>
                        </wps:spPr>
                        <wps:txbx>
                          <w:txbxContent>
                            <w:p w14:paraId="2B9B6106">
                              <w:pPr>
                                <w:pStyle w:val="73"/>
                              </w:pPr>
                              <w:r>
                                <w:rPr>
                                  <w:rFonts w:hint="eastAsia"/>
                                </w:rPr>
                                <w:t>安委会</w:t>
                              </w:r>
                            </w:p>
                          </w:txbxContent>
                        </wps:txbx>
                        <wps:bodyPr rot="0" vert="horz" wrap="square" lIns="0" tIns="0" rIns="0" bIns="0" anchor="ctr" anchorCtr="0" upright="1">
                          <a:noAutofit/>
                        </wps:bodyPr>
                      </wps:wsp>
                      <wps:wsp>
                        <wps:cNvPr id="37" name="Text Box 2584"/>
                        <wps:cNvSpPr txBox="1">
                          <a:spLocks noChangeArrowheads="1"/>
                        </wps:cNvSpPr>
                        <wps:spPr bwMode="auto">
                          <a:xfrm>
                            <a:off x="2734" y="1480"/>
                            <a:ext cx="2533" cy="349"/>
                          </a:xfrm>
                          <a:prstGeom prst="rect">
                            <a:avLst/>
                          </a:prstGeom>
                          <a:solidFill>
                            <a:schemeClr val="accent6">
                              <a:lumMod val="40000"/>
                              <a:lumOff val="60000"/>
                            </a:schemeClr>
                          </a:solidFill>
                          <a:ln w="12700">
                            <a:solidFill>
                              <a:srgbClr val="0000C8"/>
                            </a:solidFill>
                            <a:miter lim="800000"/>
                          </a:ln>
                        </wps:spPr>
                        <wps:txbx>
                          <w:txbxContent>
                            <w:p w14:paraId="3118B9AE">
                              <w:pPr>
                                <w:pStyle w:val="73"/>
                              </w:pPr>
                              <w:r>
                                <w:rPr>
                                  <w:rFonts w:hint="eastAsia"/>
                                </w:rPr>
                                <w:t>项目经理安全责任制</w:t>
                              </w:r>
                            </w:p>
                            <w:p w14:paraId="5AA7F843">
                              <w:pPr>
                                <w:pStyle w:val="73"/>
                              </w:pPr>
                            </w:p>
                          </w:txbxContent>
                        </wps:txbx>
                        <wps:bodyPr rot="0" vert="horz" wrap="square" lIns="0" tIns="0" rIns="0" bIns="0" anchor="ctr" anchorCtr="0" upright="1">
                          <a:noAutofit/>
                        </wps:bodyPr>
                      </wps:wsp>
                      <wps:wsp>
                        <wps:cNvPr id="48" name="Line 2585"/>
                        <wps:cNvCnPr>
                          <a:cxnSpLocks noChangeShapeType="1"/>
                        </wps:cNvCnPr>
                        <wps:spPr bwMode="auto">
                          <a:xfrm>
                            <a:off x="2396" y="784"/>
                            <a:ext cx="0" cy="870"/>
                          </a:xfrm>
                          <a:prstGeom prst="line">
                            <a:avLst/>
                          </a:prstGeom>
                          <a:noFill/>
                          <a:ln w="12700">
                            <a:solidFill>
                              <a:srgbClr val="0000C8"/>
                            </a:solidFill>
                            <a:round/>
                          </a:ln>
                        </wps:spPr>
                        <wps:bodyPr/>
                      </wps:wsp>
                      <wps:wsp>
                        <wps:cNvPr id="50" name="Line 2586"/>
                        <wps:cNvCnPr>
                          <a:cxnSpLocks noChangeShapeType="1"/>
                        </wps:cNvCnPr>
                        <wps:spPr bwMode="auto">
                          <a:xfrm>
                            <a:off x="2396" y="784"/>
                            <a:ext cx="338" cy="0"/>
                          </a:xfrm>
                          <a:prstGeom prst="line">
                            <a:avLst/>
                          </a:prstGeom>
                          <a:noFill/>
                          <a:ln w="12700">
                            <a:solidFill>
                              <a:srgbClr val="0000C8"/>
                            </a:solidFill>
                            <a:round/>
                          </a:ln>
                        </wps:spPr>
                        <wps:bodyPr/>
                      </wps:wsp>
                      <wps:wsp>
                        <wps:cNvPr id="52" name="Line 2587"/>
                        <wps:cNvCnPr>
                          <a:cxnSpLocks noChangeShapeType="1"/>
                        </wps:cNvCnPr>
                        <wps:spPr bwMode="auto">
                          <a:xfrm>
                            <a:off x="2396" y="1654"/>
                            <a:ext cx="338" cy="0"/>
                          </a:xfrm>
                          <a:prstGeom prst="line">
                            <a:avLst/>
                          </a:prstGeom>
                          <a:noFill/>
                          <a:ln w="12700">
                            <a:solidFill>
                              <a:srgbClr val="0000C8"/>
                            </a:solidFill>
                            <a:round/>
                          </a:ln>
                        </wps:spPr>
                        <wps:bodyPr/>
                      </wps:wsp>
                      <wps:wsp>
                        <wps:cNvPr id="53" name="Text Box 2588"/>
                        <wps:cNvSpPr txBox="1">
                          <a:spLocks noChangeArrowheads="1"/>
                        </wps:cNvSpPr>
                        <wps:spPr bwMode="auto">
                          <a:xfrm>
                            <a:off x="5605" y="1035"/>
                            <a:ext cx="2703" cy="348"/>
                          </a:xfrm>
                          <a:prstGeom prst="rect">
                            <a:avLst/>
                          </a:prstGeom>
                          <a:solidFill>
                            <a:schemeClr val="accent6">
                              <a:lumMod val="40000"/>
                              <a:lumOff val="60000"/>
                            </a:schemeClr>
                          </a:solidFill>
                          <a:ln w="12700">
                            <a:solidFill>
                              <a:srgbClr val="0000C8"/>
                            </a:solidFill>
                            <a:miter lim="800000"/>
                          </a:ln>
                        </wps:spPr>
                        <wps:txbx>
                          <w:txbxContent>
                            <w:p w14:paraId="2F5DEBFD">
                              <w:pPr>
                                <w:pStyle w:val="73"/>
                              </w:pPr>
                              <w:r>
                                <w:rPr>
                                  <w:rFonts w:hint="eastAsia"/>
                                </w:rPr>
                                <w:t>项目部安全监督部</w:t>
                              </w:r>
                            </w:p>
                          </w:txbxContent>
                        </wps:txbx>
                        <wps:bodyPr rot="0" vert="horz" wrap="square" lIns="0" tIns="0" rIns="0" bIns="0" anchor="ctr" anchorCtr="0" upright="1">
                          <a:noAutofit/>
                        </wps:bodyPr>
                      </wps:wsp>
                      <wps:wsp>
                        <wps:cNvPr id="468" name="Text Box 2589"/>
                        <wps:cNvSpPr txBox="1">
                          <a:spLocks noChangeArrowheads="1"/>
                        </wps:cNvSpPr>
                        <wps:spPr bwMode="auto">
                          <a:xfrm>
                            <a:off x="5605" y="602"/>
                            <a:ext cx="2703" cy="347"/>
                          </a:xfrm>
                          <a:prstGeom prst="rect">
                            <a:avLst/>
                          </a:prstGeom>
                          <a:solidFill>
                            <a:schemeClr val="accent6">
                              <a:lumMod val="40000"/>
                              <a:lumOff val="60000"/>
                            </a:schemeClr>
                          </a:solidFill>
                          <a:ln w="12700">
                            <a:solidFill>
                              <a:srgbClr val="0000C8"/>
                            </a:solidFill>
                            <a:miter lim="800000"/>
                          </a:ln>
                        </wps:spPr>
                        <wps:txbx>
                          <w:txbxContent>
                            <w:p w14:paraId="0D059AA0">
                              <w:pPr>
                                <w:pStyle w:val="73"/>
                              </w:pPr>
                              <w:r>
                                <w:rPr>
                                  <w:rFonts w:hint="eastAsia"/>
                                </w:rPr>
                                <w:t>项目部安全领导小组</w:t>
                              </w:r>
                            </w:p>
                          </w:txbxContent>
                        </wps:txbx>
                        <wps:bodyPr rot="0" vert="horz" wrap="square" lIns="0" tIns="0" rIns="0" bIns="0" anchor="ctr" anchorCtr="0" upright="1">
                          <a:noAutofit/>
                        </wps:bodyPr>
                      </wps:wsp>
                      <wps:wsp>
                        <wps:cNvPr id="469" name="Text Box 2590"/>
                        <wps:cNvSpPr txBox="1">
                          <a:spLocks noChangeArrowheads="1"/>
                        </wps:cNvSpPr>
                        <wps:spPr bwMode="auto">
                          <a:xfrm>
                            <a:off x="5605" y="1470"/>
                            <a:ext cx="2703" cy="349"/>
                          </a:xfrm>
                          <a:prstGeom prst="rect">
                            <a:avLst/>
                          </a:prstGeom>
                          <a:solidFill>
                            <a:schemeClr val="accent6">
                              <a:lumMod val="40000"/>
                              <a:lumOff val="60000"/>
                            </a:schemeClr>
                          </a:solidFill>
                          <a:ln w="12700">
                            <a:solidFill>
                              <a:srgbClr val="0000C8"/>
                            </a:solidFill>
                            <a:miter lim="800000"/>
                          </a:ln>
                        </wps:spPr>
                        <wps:txbx>
                          <w:txbxContent>
                            <w:p w14:paraId="78D25CB2">
                              <w:pPr>
                                <w:pStyle w:val="73"/>
                              </w:pPr>
                              <w:r>
                                <w:rPr>
                                  <w:rFonts w:hint="eastAsia"/>
                                </w:rPr>
                                <w:t>部门安全责任制</w:t>
                              </w:r>
                            </w:p>
                            <w:p w14:paraId="489A3FA1">
                              <w:pPr>
                                <w:pStyle w:val="73"/>
                              </w:pPr>
                            </w:p>
                          </w:txbxContent>
                        </wps:txbx>
                        <wps:bodyPr rot="0" vert="horz" wrap="square" lIns="0" tIns="0" rIns="0" bIns="0" anchor="ctr" anchorCtr="0" upright="1">
                          <a:noAutofit/>
                        </wps:bodyPr>
                      </wps:wsp>
                      <wps:wsp>
                        <wps:cNvPr id="470" name="Line 2591"/>
                        <wps:cNvCnPr>
                          <a:cxnSpLocks noChangeShapeType="1"/>
                        </wps:cNvCnPr>
                        <wps:spPr bwMode="auto">
                          <a:xfrm>
                            <a:off x="690" y="2524"/>
                            <a:ext cx="143" cy="0"/>
                          </a:xfrm>
                          <a:prstGeom prst="line">
                            <a:avLst/>
                          </a:prstGeom>
                          <a:noFill/>
                          <a:ln w="12700">
                            <a:solidFill>
                              <a:srgbClr val="0000C8"/>
                            </a:solidFill>
                            <a:round/>
                          </a:ln>
                        </wps:spPr>
                        <wps:bodyPr/>
                      </wps:wsp>
                      <wps:wsp>
                        <wps:cNvPr id="471" name="Text Box 2592"/>
                        <wps:cNvSpPr txBox="1">
                          <a:spLocks noChangeArrowheads="1"/>
                        </wps:cNvSpPr>
                        <wps:spPr bwMode="auto">
                          <a:xfrm>
                            <a:off x="833" y="2350"/>
                            <a:ext cx="1352" cy="348"/>
                          </a:xfrm>
                          <a:prstGeom prst="rect">
                            <a:avLst/>
                          </a:prstGeom>
                          <a:solidFill>
                            <a:schemeClr val="accent6">
                              <a:lumMod val="40000"/>
                              <a:lumOff val="60000"/>
                            </a:schemeClr>
                          </a:solidFill>
                          <a:ln w="12700">
                            <a:solidFill>
                              <a:srgbClr val="0000C8"/>
                            </a:solidFill>
                            <a:miter lim="800000"/>
                          </a:ln>
                        </wps:spPr>
                        <wps:txbx>
                          <w:txbxContent>
                            <w:p w14:paraId="57B67C72">
                              <w:pPr>
                                <w:pStyle w:val="73"/>
                              </w:pPr>
                              <w:r>
                                <w:rPr>
                                  <w:rFonts w:hint="eastAsia"/>
                                </w:rPr>
                                <w:t>制度保证</w:t>
                              </w:r>
                            </w:p>
                          </w:txbxContent>
                        </wps:txbx>
                        <wps:bodyPr rot="0" vert="horz" wrap="square" lIns="0" tIns="0" rIns="0" bIns="0" anchor="ctr" anchorCtr="0" upright="1">
                          <a:noAutofit/>
                        </wps:bodyPr>
                      </wps:wsp>
                      <wps:wsp>
                        <wps:cNvPr id="472" name="Line 2593"/>
                        <wps:cNvCnPr>
                          <a:cxnSpLocks noChangeShapeType="1"/>
                        </wps:cNvCnPr>
                        <wps:spPr bwMode="auto">
                          <a:xfrm>
                            <a:off x="2185" y="2524"/>
                            <a:ext cx="549" cy="0"/>
                          </a:xfrm>
                          <a:prstGeom prst="line">
                            <a:avLst/>
                          </a:prstGeom>
                          <a:noFill/>
                          <a:ln w="12700">
                            <a:solidFill>
                              <a:srgbClr val="0000C8"/>
                            </a:solidFill>
                            <a:round/>
                          </a:ln>
                        </wps:spPr>
                        <wps:bodyPr/>
                      </wps:wsp>
                      <wps:wsp>
                        <wps:cNvPr id="473" name="Text Box 2594"/>
                        <wps:cNvSpPr txBox="1">
                          <a:spLocks noChangeArrowheads="1"/>
                        </wps:cNvSpPr>
                        <wps:spPr bwMode="auto">
                          <a:xfrm>
                            <a:off x="2734" y="2350"/>
                            <a:ext cx="3209" cy="348"/>
                          </a:xfrm>
                          <a:prstGeom prst="rect">
                            <a:avLst/>
                          </a:prstGeom>
                          <a:solidFill>
                            <a:schemeClr val="accent6">
                              <a:lumMod val="40000"/>
                              <a:lumOff val="60000"/>
                            </a:schemeClr>
                          </a:solidFill>
                          <a:ln w="12700">
                            <a:solidFill>
                              <a:srgbClr val="0000C8"/>
                            </a:solidFill>
                            <a:miter lim="800000"/>
                          </a:ln>
                        </wps:spPr>
                        <wps:txbx>
                          <w:txbxContent>
                            <w:p w14:paraId="54EC4E02">
                              <w:pPr>
                                <w:pStyle w:val="73"/>
                              </w:pPr>
                              <w:r>
                                <w:rPr>
                                  <w:rFonts w:hint="eastAsia"/>
                                </w:rPr>
                                <w:t>公司安全生产规章制度</w:t>
                              </w:r>
                            </w:p>
                          </w:txbxContent>
                        </wps:txbx>
                        <wps:bodyPr rot="0" vert="horz" wrap="square" lIns="0" tIns="0" rIns="0" bIns="0" anchor="ctr" anchorCtr="0" upright="1">
                          <a:noAutofit/>
                        </wps:bodyPr>
                      </wps:wsp>
                      <wps:wsp>
                        <wps:cNvPr id="168" name="Text Box 2595"/>
                        <wps:cNvSpPr txBox="1">
                          <a:spLocks noChangeArrowheads="1"/>
                        </wps:cNvSpPr>
                        <wps:spPr bwMode="auto">
                          <a:xfrm>
                            <a:off x="2734" y="1916"/>
                            <a:ext cx="4392" cy="348"/>
                          </a:xfrm>
                          <a:prstGeom prst="rect">
                            <a:avLst/>
                          </a:prstGeom>
                          <a:solidFill>
                            <a:schemeClr val="accent6">
                              <a:lumMod val="40000"/>
                              <a:lumOff val="60000"/>
                            </a:schemeClr>
                          </a:solidFill>
                          <a:ln w="12700">
                            <a:solidFill>
                              <a:srgbClr val="0000C8"/>
                            </a:solidFill>
                            <a:miter lim="800000"/>
                          </a:ln>
                        </wps:spPr>
                        <wps:txbx>
                          <w:txbxContent>
                            <w:p w14:paraId="2A0C80B2">
                              <w:pPr>
                                <w:pStyle w:val="73"/>
                              </w:pPr>
                              <w:r>
                                <w:rPr>
                                  <w:rFonts w:hint="eastAsia"/>
                                </w:rPr>
                                <w:t>国家、省部、地方安全生产法律法规</w:t>
                              </w:r>
                            </w:p>
                          </w:txbxContent>
                        </wps:txbx>
                        <wps:bodyPr rot="0" vert="horz" wrap="square" lIns="0" tIns="0" rIns="0" bIns="0" anchor="ctr" anchorCtr="0" upright="1">
                          <a:noAutofit/>
                        </wps:bodyPr>
                      </wps:wsp>
                      <wps:wsp>
                        <wps:cNvPr id="54" name="Text Box 2596"/>
                        <wps:cNvSpPr txBox="1">
                          <a:spLocks noChangeArrowheads="1"/>
                        </wps:cNvSpPr>
                        <wps:spPr bwMode="auto">
                          <a:xfrm>
                            <a:off x="2734" y="2785"/>
                            <a:ext cx="2533" cy="349"/>
                          </a:xfrm>
                          <a:prstGeom prst="rect">
                            <a:avLst/>
                          </a:prstGeom>
                          <a:solidFill>
                            <a:schemeClr val="accent6">
                              <a:lumMod val="40000"/>
                              <a:lumOff val="60000"/>
                            </a:schemeClr>
                          </a:solidFill>
                          <a:ln w="12700">
                            <a:solidFill>
                              <a:srgbClr val="0000C8"/>
                            </a:solidFill>
                            <a:miter lim="800000"/>
                          </a:ln>
                        </wps:spPr>
                        <wps:txbx>
                          <w:txbxContent>
                            <w:p w14:paraId="1613B4DA">
                              <w:pPr>
                                <w:pStyle w:val="73"/>
                              </w:pPr>
                              <w:r>
                                <w:rPr>
                                  <w:rFonts w:hint="eastAsia"/>
                                </w:rPr>
                                <w:t>项目安全工作标准</w:t>
                              </w:r>
                            </w:p>
                          </w:txbxContent>
                        </wps:txbx>
                        <wps:bodyPr rot="0" vert="horz" wrap="square" lIns="0" tIns="0" rIns="0" bIns="0" anchor="ctr" anchorCtr="0" upright="1">
                          <a:noAutofit/>
                        </wps:bodyPr>
                      </wps:wsp>
                      <wps:wsp>
                        <wps:cNvPr id="55" name="Line 2597"/>
                        <wps:cNvCnPr>
                          <a:cxnSpLocks noChangeShapeType="1"/>
                        </wps:cNvCnPr>
                        <wps:spPr bwMode="auto">
                          <a:xfrm>
                            <a:off x="2396" y="2088"/>
                            <a:ext cx="0" cy="1308"/>
                          </a:xfrm>
                          <a:prstGeom prst="line">
                            <a:avLst/>
                          </a:prstGeom>
                          <a:noFill/>
                          <a:ln w="12700">
                            <a:solidFill>
                              <a:srgbClr val="0000C8"/>
                            </a:solidFill>
                            <a:round/>
                          </a:ln>
                        </wps:spPr>
                        <wps:bodyPr/>
                      </wps:wsp>
                      <wps:wsp>
                        <wps:cNvPr id="56" name="Line 2598"/>
                        <wps:cNvCnPr>
                          <a:cxnSpLocks noChangeShapeType="1"/>
                        </wps:cNvCnPr>
                        <wps:spPr bwMode="auto">
                          <a:xfrm>
                            <a:off x="2396" y="2088"/>
                            <a:ext cx="338" cy="0"/>
                          </a:xfrm>
                          <a:prstGeom prst="line">
                            <a:avLst/>
                          </a:prstGeom>
                          <a:noFill/>
                          <a:ln w="12700">
                            <a:solidFill>
                              <a:srgbClr val="0000C8"/>
                            </a:solidFill>
                            <a:round/>
                          </a:ln>
                        </wps:spPr>
                        <wps:bodyPr/>
                      </wps:wsp>
                      <wps:wsp>
                        <wps:cNvPr id="516" name="Line 2599"/>
                        <wps:cNvCnPr>
                          <a:cxnSpLocks noChangeShapeType="1"/>
                        </wps:cNvCnPr>
                        <wps:spPr bwMode="auto">
                          <a:xfrm>
                            <a:off x="2396" y="2959"/>
                            <a:ext cx="338" cy="0"/>
                          </a:xfrm>
                          <a:prstGeom prst="line">
                            <a:avLst/>
                          </a:prstGeom>
                          <a:noFill/>
                          <a:ln w="12700">
                            <a:solidFill>
                              <a:srgbClr val="0000C8"/>
                            </a:solidFill>
                            <a:round/>
                          </a:ln>
                        </wps:spPr>
                        <wps:bodyPr/>
                      </wps:wsp>
                      <wps:wsp>
                        <wps:cNvPr id="517" name="Line 2600"/>
                        <wps:cNvCnPr>
                          <a:cxnSpLocks noChangeShapeType="1"/>
                        </wps:cNvCnPr>
                        <wps:spPr bwMode="auto">
                          <a:xfrm>
                            <a:off x="5267" y="2961"/>
                            <a:ext cx="338" cy="0"/>
                          </a:xfrm>
                          <a:prstGeom prst="line">
                            <a:avLst/>
                          </a:prstGeom>
                          <a:noFill/>
                          <a:ln w="12700">
                            <a:solidFill>
                              <a:srgbClr val="0000C8"/>
                            </a:solidFill>
                            <a:round/>
                          </a:ln>
                        </wps:spPr>
                        <wps:bodyPr/>
                      </wps:wsp>
                      <wps:wsp>
                        <wps:cNvPr id="518" name="Text Box 2601"/>
                        <wps:cNvSpPr txBox="1">
                          <a:spLocks noChangeArrowheads="1"/>
                        </wps:cNvSpPr>
                        <wps:spPr bwMode="auto">
                          <a:xfrm>
                            <a:off x="5605" y="2787"/>
                            <a:ext cx="676" cy="348"/>
                          </a:xfrm>
                          <a:prstGeom prst="rect">
                            <a:avLst/>
                          </a:prstGeom>
                          <a:solidFill>
                            <a:schemeClr val="accent6">
                              <a:lumMod val="40000"/>
                              <a:lumOff val="60000"/>
                            </a:schemeClr>
                          </a:solidFill>
                          <a:ln w="12700">
                            <a:solidFill>
                              <a:srgbClr val="0000C8"/>
                            </a:solidFill>
                            <a:miter lim="800000"/>
                          </a:ln>
                        </wps:spPr>
                        <wps:txbx>
                          <w:txbxContent>
                            <w:p w14:paraId="0A06E454">
                              <w:pPr>
                                <w:pStyle w:val="73"/>
                              </w:pPr>
                              <w:r>
                                <w:rPr>
                                  <w:rFonts w:hint="eastAsia"/>
                                </w:rPr>
                                <w:t>计划</w:t>
                              </w:r>
                            </w:p>
                          </w:txbxContent>
                        </wps:txbx>
                        <wps:bodyPr rot="0" vert="horz" wrap="square" lIns="0" tIns="0" rIns="0" bIns="0" anchor="ctr" anchorCtr="0" upright="1">
                          <a:noAutofit/>
                        </wps:bodyPr>
                      </wps:wsp>
                      <wps:wsp>
                        <wps:cNvPr id="519" name="Text Box 2602"/>
                        <wps:cNvSpPr txBox="1">
                          <a:spLocks noChangeArrowheads="1"/>
                        </wps:cNvSpPr>
                        <wps:spPr bwMode="auto">
                          <a:xfrm>
                            <a:off x="6281" y="2787"/>
                            <a:ext cx="676" cy="348"/>
                          </a:xfrm>
                          <a:prstGeom prst="rect">
                            <a:avLst/>
                          </a:prstGeom>
                          <a:solidFill>
                            <a:schemeClr val="accent6">
                              <a:lumMod val="40000"/>
                              <a:lumOff val="60000"/>
                            </a:schemeClr>
                          </a:solidFill>
                          <a:ln w="12700">
                            <a:solidFill>
                              <a:srgbClr val="0000C8"/>
                            </a:solidFill>
                            <a:miter lim="800000"/>
                          </a:ln>
                        </wps:spPr>
                        <wps:txbx>
                          <w:txbxContent>
                            <w:p w14:paraId="6DFFB41D">
                              <w:pPr>
                                <w:pStyle w:val="73"/>
                              </w:pPr>
                              <w:r>
                                <w:rPr>
                                  <w:rFonts w:hint="eastAsia"/>
                                </w:rPr>
                                <w:t>教育</w:t>
                              </w:r>
                            </w:p>
                          </w:txbxContent>
                        </wps:txbx>
                        <wps:bodyPr rot="0" vert="horz" wrap="square" lIns="0" tIns="0" rIns="0" bIns="0" anchor="ctr" anchorCtr="0" upright="1">
                          <a:noAutofit/>
                        </wps:bodyPr>
                      </wps:wsp>
                      <wps:wsp>
                        <wps:cNvPr id="520" name="Text Box 2603"/>
                        <wps:cNvSpPr txBox="1">
                          <a:spLocks noChangeArrowheads="1"/>
                        </wps:cNvSpPr>
                        <wps:spPr bwMode="auto">
                          <a:xfrm>
                            <a:off x="6957" y="2787"/>
                            <a:ext cx="675" cy="348"/>
                          </a:xfrm>
                          <a:prstGeom prst="rect">
                            <a:avLst/>
                          </a:prstGeom>
                          <a:solidFill>
                            <a:schemeClr val="accent6">
                              <a:lumMod val="40000"/>
                              <a:lumOff val="60000"/>
                            </a:schemeClr>
                          </a:solidFill>
                          <a:ln w="12700">
                            <a:solidFill>
                              <a:srgbClr val="0000C8"/>
                            </a:solidFill>
                            <a:miter lim="800000"/>
                          </a:ln>
                        </wps:spPr>
                        <wps:txbx>
                          <w:txbxContent>
                            <w:p w14:paraId="2D3C76D8">
                              <w:pPr>
                                <w:pStyle w:val="73"/>
                              </w:pPr>
                              <w:r>
                                <w:rPr>
                                  <w:rFonts w:hint="eastAsia"/>
                                </w:rPr>
                                <w:t>检查</w:t>
                              </w:r>
                            </w:p>
                          </w:txbxContent>
                        </wps:txbx>
                        <wps:bodyPr rot="0" vert="horz" wrap="square" lIns="0" tIns="0" rIns="0" bIns="0" anchor="ctr" anchorCtr="0" upright="1">
                          <a:noAutofit/>
                        </wps:bodyPr>
                      </wps:wsp>
                      <wps:wsp>
                        <wps:cNvPr id="181" name="Text Box 2604"/>
                        <wps:cNvSpPr txBox="1">
                          <a:spLocks noChangeArrowheads="1"/>
                        </wps:cNvSpPr>
                        <wps:spPr bwMode="auto">
                          <a:xfrm>
                            <a:off x="7632" y="2787"/>
                            <a:ext cx="676" cy="348"/>
                          </a:xfrm>
                          <a:prstGeom prst="rect">
                            <a:avLst/>
                          </a:prstGeom>
                          <a:solidFill>
                            <a:schemeClr val="accent6">
                              <a:lumMod val="40000"/>
                              <a:lumOff val="60000"/>
                            </a:schemeClr>
                          </a:solidFill>
                          <a:ln w="12700">
                            <a:solidFill>
                              <a:srgbClr val="0000C8"/>
                            </a:solidFill>
                            <a:miter lim="800000"/>
                          </a:ln>
                        </wps:spPr>
                        <wps:txbx>
                          <w:txbxContent>
                            <w:p w14:paraId="530FF115">
                              <w:pPr>
                                <w:pStyle w:val="73"/>
                              </w:pPr>
                              <w:r>
                                <w:rPr>
                                  <w:rFonts w:hint="eastAsia"/>
                                </w:rPr>
                                <w:t>奖惩</w:t>
                              </w:r>
                            </w:p>
                          </w:txbxContent>
                        </wps:txbx>
                        <wps:bodyPr rot="0" vert="horz" wrap="square" lIns="0" tIns="0" rIns="0" bIns="0" anchor="ctr" anchorCtr="0" upright="1">
                          <a:noAutofit/>
                        </wps:bodyPr>
                      </wps:wsp>
                      <wps:wsp>
                        <wps:cNvPr id="193" name="Line 2605"/>
                        <wps:cNvCnPr>
                          <a:cxnSpLocks noChangeShapeType="1"/>
                        </wps:cNvCnPr>
                        <wps:spPr bwMode="auto">
                          <a:xfrm>
                            <a:off x="5267" y="784"/>
                            <a:ext cx="338" cy="0"/>
                          </a:xfrm>
                          <a:prstGeom prst="line">
                            <a:avLst/>
                          </a:prstGeom>
                          <a:noFill/>
                          <a:ln w="12700">
                            <a:solidFill>
                              <a:srgbClr val="0000C8"/>
                            </a:solidFill>
                            <a:round/>
                          </a:ln>
                        </wps:spPr>
                        <wps:bodyPr/>
                      </wps:wsp>
                      <wps:wsp>
                        <wps:cNvPr id="523" name="Line 2606"/>
                        <wps:cNvCnPr>
                          <a:cxnSpLocks noChangeShapeType="1"/>
                        </wps:cNvCnPr>
                        <wps:spPr bwMode="auto">
                          <a:xfrm>
                            <a:off x="5267" y="1219"/>
                            <a:ext cx="338" cy="0"/>
                          </a:xfrm>
                          <a:prstGeom prst="line">
                            <a:avLst/>
                          </a:prstGeom>
                          <a:noFill/>
                          <a:ln w="12700">
                            <a:solidFill>
                              <a:srgbClr val="0000C8"/>
                            </a:solidFill>
                            <a:round/>
                          </a:ln>
                        </wps:spPr>
                        <wps:bodyPr/>
                      </wps:wsp>
                      <wps:wsp>
                        <wps:cNvPr id="524" name="Line 2607"/>
                        <wps:cNvCnPr>
                          <a:cxnSpLocks noChangeShapeType="1"/>
                        </wps:cNvCnPr>
                        <wps:spPr bwMode="auto">
                          <a:xfrm>
                            <a:off x="5267" y="1654"/>
                            <a:ext cx="338" cy="0"/>
                          </a:xfrm>
                          <a:prstGeom prst="line">
                            <a:avLst/>
                          </a:prstGeom>
                          <a:noFill/>
                          <a:ln w="12700">
                            <a:solidFill>
                              <a:srgbClr val="0000C8"/>
                            </a:solidFill>
                            <a:round/>
                          </a:ln>
                        </wps:spPr>
                        <wps:bodyPr/>
                      </wps:wsp>
                      <wps:wsp>
                        <wps:cNvPr id="525" name="Text Box 2608"/>
                        <wps:cNvSpPr txBox="1">
                          <a:spLocks noChangeArrowheads="1"/>
                        </wps:cNvSpPr>
                        <wps:spPr bwMode="auto">
                          <a:xfrm>
                            <a:off x="2734" y="3222"/>
                            <a:ext cx="5574" cy="348"/>
                          </a:xfrm>
                          <a:prstGeom prst="rect">
                            <a:avLst/>
                          </a:prstGeom>
                          <a:solidFill>
                            <a:schemeClr val="accent6">
                              <a:lumMod val="40000"/>
                              <a:lumOff val="60000"/>
                            </a:schemeClr>
                          </a:solidFill>
                          <a:ln w="12700">
                            <a:solidFill>
                              <a:srgbClr val="0000C8"/>
                            </a:solidFill>
                            <a:miter lim="800000"/>
                          </a:ln>
                        </wps:spPr>
                        <wps:txbx>
                          <w:txbxContent>
                            <w:p w14:paraId="0247C841">
                              <w:pPr>
                                <w:pStyle w:val="73"/>
                              </w:pPr>
                              <w:r>
                                <w:rPr>
                                  <w:rFonts w:hint="eastAsia"/>
                                </w:rPr>
                                <w:t>特殊工种、特种设备、关键工序安全操作规程</w:t>
                              </w:r>
                            </w:p>
                          </w:txbxContent>
                        </wps:txbx>
                        <wps:bodyPr rot="0" vert="horz" wrap="square" lIns="0" tIns="0" rIns="0" bIns="0" anchor="ctr" anchorCtr="0" upright="1">
                          <a:noAutofit/>
                        </wps:bodyPr>
                      </wps:wsp>
                      <wps:wsp>
                        <wps:cNvPr id="526" name="Line 2609"/>
                        <wps:cNvCnPr>
                          <a:cxnSpLocks noChangeShapeType="1"/>
                        </wps:cNvCnPr>
                        <wps:spPr bwMode="auto">
                          <a:xfrm>
                            <a:off x="2396" y="3396"/>
                            <a:ext cx="338" cy="0"/>
                          </a:xfrm>
                          <a:prstGeom prst="line">
                            <a:avLst/>
                          </a:prstGeom>
                          <a:noFill/>
                          <a:ln w="12700">
                            <a:solidFill>
                              <a:srgbClr val="0000C8"/>
                            </a:solidFill>
                            <a:round/>
                          </a:ln>
                        </wps:spPr>
                        <wps:bodyPr/>
                      </wps:wsp>
                      <wps:wsp>
                        <wps:cNvPr id="527" name="Line 2610"/>
                        <wps:cNvCnPr>
                          <a:cxnSpLocks noChangeShapeType="1"/>
                        </wps:cNvCnPr>
                        <wps:spPr bwMode="auto">
                          <a:xfrm>
                            <a:off x="709" y="4265"/>
                            <a:ext cx="124" cy="0"/>
                          </a:xfrm>
                          <a:prstGeom prst="line">
                            <a:avLst/>
                          </a:prstGeom>
                          <a:noFill/>
                          <a:ln w="12700">
                            <a:solidFill>
                              <a:srgbClr val="0000C8"/>
                            </a:solidFill>
                            <a:round/>
                          </a:ln>
                        </wps:spPr>
                        <wps:bodyPr/>
                      </wps:wsp>
                      <wps:wsp>
                        <wps:cNvPr id="528" name="Text Box 2611"/>
                        <wps:cNvSpPr txBox="1">
                          <a:spLocks noChangeArrowheads="1"/>
                        </wps:cNvSpPr>
                        <wps:spPr bwMode="auto">
                          <a:xfrm>
                            <a:off x="833" y="4091"/>
                            <a:ext cx="1352" cy="349"/>
                          </a:xfrm>
                          <a:prstGeom prst="rect">
                            <a:avLst/>
                          </a:prstGeom>
                          <a:solidFill>
                            <a:schemeClr val="accent6">
                              <a:lumMod val="40000"/>
                              <a:lumOff val="60000"/>
                            </a:schemeClr>
                          </a:solidFill>
                          <a:ln w="12700">
                            <a:solidFill>
                              <a:srgbClr val="0000C8"/>
                            </a:solidFill>
                            <a:miter lim="800000"/>
                          </a:ln>
                        </wps:spPr>
                        <wps:txbx>
                          <w:txbxContent>
                            <w:p w14:paraId="05E7EC61">
                              <w:pPr>
                                <w:pStyle w:val="73"/>
                              </w:pPr>
                              <w:r>
                                <w:rPr>
                                  <w:rFonts w:hint="eastAsia"/>
                                </w:rPr>
                                <w:t>技术保证</w:t>
                              </w:r>
                            </w:p>
                          </w:txbxContent>
                        </wps:txbx>
                        <wps:bodyPr rot="0" vert="horz" wrap="square" lIns="0" tIns="0" rIns="0" bIns="0" anchor="ctr" anchorCtr="0" upright="1">
                          <a:noAutofit/>
                        </wps:bodyPr>
                      </wps:wsp>
                      <wps:wsp>
                        <wps:cNvPr id="529" name="Line 2612"/>
                        <wps:cNvCnPr>
                          <a:cxnSpLocks noChangeShapeType="1"/>
                        </wps:cNvCnPr>
                        <wps:spPr bwMode="auto">
                          <a:xfrm>
                            <a:off x="2185" y="4265"/>
                            <a:ext cx="549" cy="0"/>
                          </a:xfrm>
                          <a:prstGeom prst="line">
                            <a:avLst/>
                          </a:prstGeom>
                          <a:noFill/>
                          <a:ln w="12700">
                            <a:solidFill>
                              <a:srgbClr val="0000C8"/>
                            </a:solidFill>
                            <a:round/>
                          </a:ln>
                        </wps:spPr>
                        <wps:bodyPr/>
                      </wps:wsp>
                      <wps:wsp>
                        <wps:cNvPr id="530" name="Text Box 2613"/>
                        <wps:cNvSpPr txBox="1">
                          <a:spLocks noChangeArrowheads="1"/>
                        </wps:cNvSpPr>
                        <wps:spPr bwMode="auto">
                          <a:xfrm>
                            <a:off x="2734" y="4091"/>
                            <a:ext cx="3547" cy="349"/>
                          </a:xfrm>
                          <a:prstGeom prst="rect">
                            <a:avLst/>
                          </a:prstGeom>
                          <a:solidFill>
                            <a:schemeClr val="accent6">
                              <a:lumMod val="40000"/>
                              <a:lumOff val="60000"/>
                            </a:schemeClr>
                          </a:solidFill>
                          <a:ln w="12700">
                            <a:solidFill>
                              <a:srgbClr val="0000C8"/>
                            </a:solidFill>
                            <a:miter lim="800000"/>
                          </a:ln>
                        </wps:spPr>
                        <wps:txbx>
                          <w:txbxContent>
                            <w:p w14:paraId="14D4DF4F">
                              <w:pPr>
                                <w:pStyle w:val="73"/>
                              </w:pPr>
                              <w:r>
                                <w:rPr>
                                  <w:rFonts w:hint="eastAsia"/>
                                </w:rPr>
                                <w:t>分部、分项工程安全技术交底</w:t>
                              </w:r>
                            </w:p>
                          </w:txbxContent>
                        </wps:txbx>
                        <wps:bodyPr rot="0" vert="horz" wrap="square" lIns="0" tIns="0" rIns="0" bIns="0" anchor="ctr" anchorCtr="0" upright="1">
                          <a:noAutofit/>
                        </wps:bodyPr>
                      </wps:wsp>
                      <wps:wsp>
                        <wps:cNvPr id="531" name="Text Box 2614"/>
                        <wps:cNvSpPr txBox="1">
                          <a:spLocks noChangeArrowheads="1"/>
                        </wps:cNvSpPr>
                        <wps:spPr bwMode="auto">
                          <a:xfrm>
                            <a:off x="2734" y="3657"/>
                            <a:ext cx="3547" cy="349"/>
                          </a:xfrm>
                          <a:prstGeom prst="rect">
                            <a:avLst/>
                          </a:prstGeom>
                          <a:solidFill>
                            <a:schemeClr val="accent6">
                              <a:lumMod val="40000"/>
                              <a:lumOff val="60000"/>
                            </a:schemeClr>
                          </a:solidFill>
                          <a:ln w="12700">
                            <a:solidFill>
                              <a:srgbClr val="0000C8"/>
                            </a:solidFill>
                            <a:miter lim="800000"/>
                          </a:ln>
                        </wps:spPr>
                        <wps:txbx>
                          <w:txbxContent>
                            <w:p w14:paraId="7051AE2F">
                              <w:pPr>
                                <w:pStyle w:val="73"/>
                              </w:pPr>
                              <w:r>
                                <w:rPr>
                                  <w:rFonts w:hint="eastAsia"/>
                                </w:rPr>
                                <w:t>施工组织设计安全保证措施</w:t>
                              </w:r>
                            </w:p>
                          </w:txbxContent>
                        </wps:txbx>
                        <wps:bodyPr rot="0" vert="horz" wrap="square" lIns="0" tIns="0" rIns="0" bIns="0" anchor="ctr" anchorCtr="0" upright="1">
                          <a:noAutofit/>
                        </wps:bodyPr>
                      </wps:wsp>
                      <wps:wsp>
                        <wps:cNvPr id="532" name="Text Box 2615"/>
                        <wps:cNvSpPr txBox="1">
                          <a:spLocks noChangeArrowheads="1"/>
                        </wps:cNvSpPr>
                        <wps:spPr bwMode="auto">
                          <a:xfrm>
                            <a:off x="2734" y="4527"/>
                            <a:ext cx="2533" cy="348"/>
                          </a:xfrm>
                          <a:prstGeom prst="rect">
                            <a:avLst/>
                          </a:prstGeom>
                          <a:solidFill>
                            <a:schemeClr val="accent6">
                              <a:lumMod val="40000"/>
                              <a:lumOff val="60000"/>
                            </a:schemeClr>
                          </a:solidFill>
                          <a:ln w="12700">
                            <a:solidFill>
                              <a:srgbClr val="0000C8"/>
                            </a:solidFill>
                            <a:miter lim="800000"/>
                          </a:ln>
                        </wps:spPr>
                        <wps:txbx>
                          <w:txbxContent>
                            <w:p w14:paraId="71DC5781">
                              <w:pPr>
                                <w:pStyle w:val="73"/>
                              </w:pPr>
                              <w:r>
                                <w:rPr>
                                  <w:rFonts w:hint="eastAsia"/>
                                </w:rPr>
                                <w:t>安全QC小组</w:t>
                              </w:r>
                            </w:p>
                          </w:txbxContent>
                        </wps:txbx>
                        <wps:bodyPr rot="0" vert="horz" wrap="square" lIns="0" tIns="0" rIns="0" bIns="0" anchor="ctr" anchorCtr="0" upright="1">
                          <a:noAutofit/>
                        </wps:bodyPr>
                      </wps:wsp>
                      <wps:wsp>
                        <wps:cNvPr id="533" name="Line 2616"/>
                        <wps:cNvCnPr>
                          <a:cxnSpLocks noChangeShapeType="1"/>
                        </wps:cNvCnPr>
                        <wps:spPr bwMode="auto">
                          <a:xfrm>
                            <a:off x="2396" y="3830"/>
                            <a:ext cx="0" cy="873"/>
                          </a:xfrm>
                          <a:prstGeom prst="line">
                            <a:avLst/>
                          </a:prstGeom>
                          <a:noFill/>
                          <a:ln w="12700">
                            <a:solidFill>
                              <a:srgbClr val="0000C8"/>
                            </a:solidFill>
                            <a:round/>
                          </a:ln>
                        </wps:spPr>
                        <wps:bodyPr/>
                      </wps:wsp>
                      <wps:wsp>
                        <wps:cNvPr id="534" name="Line 2617"/>
                        <wps:cNvCnPr>
                          <a:cxnSpLocks noChangeShapeType="1"/>
                        </wps:cNvCnPr>
                        <wps:spPr bwMode="auto">
                          <a:xfrm>
                            <a:off x="2396" y="3830"/>
                            <a:ext cx="338" cy="0"/>
                          </a:xfrm>
                          <a:prstGeom prst="line">
                            <a:avLst/>
                          </a:prstGeom>
                          <a:noFill/>
                          <a:ln w="12700">
                            <a:solidFill>
                              <a:srgbClr val="0000C8"/>
                            </a:solidFill>
                            <a:round/>
                          </a:ln>
                        </wps:spPr>
                        <wps:bodyPr/>
                      </wps:wsp>
                      <wps:wsp>
                        <wps:cNvPr id="535" name="Line 2618"/>
                        <wps:cNvCnPr>
                          <a:cxnSpLocks noChangeShapeType="1"/>
                        </wps:cNvCnPr>
                        <wps:spPr bwMode="auto">
                          <a:xfrm>
                            <a:off x="2396" y="4701"/>
                            <a:ext cx="338" cy="0"/>
                          </a:xfrm>
                          <a:prstGeom prst="line">
                            <a:avLst/>
                          </a:prstGeom>
                          <a:noFill/>
                          <a:ln w="12700">
                            <a:solidFill>
                              <a:srgbClr val="0000C8"/>
                            </a:solidFill>
                            <a:round/>
                          </a:ln>
                        </wps:spPr>
                        <wps:bodyPr/>
                      </wps:wsp>
                      <wps:wsp>
                        <wps:cNvPr id="536" name="Line 2619"/>
                        <wps:cNvCnPr>
                          <a:cxnSpLocks noChangeShapeType="1"/>
                        </wps:cNvCnPr>
                        <wps:spPr bwMode="auto">
                          <a:xfrm>
                            <a:off x="5267" y="4703"/>
                            <a:ext cx="338" cy="0"/>
                          </a:xfrm>
                          <a:prstGeom prst="line">
                            <a:avLst/>
                          </a:prstGeom>
                          <a:noFill/>
                          <a:ln w="12700">
                            <a:solidFill>
                              <a:srgbClr val="0000C8"/>
                            </a:solidFill>
                            <a:round/>
                          </a:ln>
                        </wps:spPr>
                        <wps:bodyPr/>
                      </wps:wsp>
                      <wps:wsp>
                        <wps:cNvPr id="545" name="Text Box 2620"/>
                        <wps:cNvSpPr txBox="1">
                          <a:spLocks noChangeArrowheads="1"/>
                        </wps:cNvSpPr>
                        <wps:spPr bwMode="auto">
                          <a:xfrm>
                            <a:off x="5605" y="4529"/>
                            <a:ext cx="676" cy="348"/>
                          </a:xfrm>
                          <a:prstGeom prst="rect">
                            <a:avLst/>
                          </a:prstGeom>
                          <a:solidFill>
                            <a:schemeClr val="accent6">
                              <a:lumMod val="40000"/>
                              <a:lumOff val="60000"/>
                            </a:schemeClr>
                          </a:solidFill>
                          <a:ln w="12700">
                            <a:solidFill>
                              <a:srgbClr val="0000C8"/>
                            </a:solidFill>
                            <a:miter lim="800000"/>
                          </a:ln>
                        </wps:spPr>
                        <wps:txbx>
                          <w:txbxContent>
                            <w:p w14:paraId="74E2BDA5">
                              <w:pPr>
                                <w:pStyle w:val="73"/>
                              </w:pPr>
                              <w:r>
                                <w:rPr>
                                  <w:rFonts w:hint="eastAsia"/>
                                </w:rPr>
                                <w:t>P</w:t>
                              </w:r>
                            </w:p>
                          </w:txbxContent>
                        </wps:txbx>
                        <wps:bodyPr rot="0" vert="horz" wrap="square" lIns="0" tIns="0" rIns="0" bIns="0" anchor="ctr" anchorCtr="0" upright="1">
                          <a:noAutofit/>
                        </wps:bodyPr>
                      </wps:wsp>
                      <wps:wsp>
                        <wps:cNvPr id="547" name="Text Box 2621"/>
                        <wps:cNvSpPr txBox="1">
                          <a:spLocks noChangeArrowheads="1"/>
                        </wps:cNvSpPr>
                        <wps:spPr bwMode="auto">
                          <a:xfrm>
                            <a:off x="6281" y="4529"/>
                            <a:ext cx="676" cy="348"/>
                          </a:xfrm>
                          <a:prstGeom prst="rect">
                            <a:avLst/>
                          </a:prstGeom>
                          <a:solidFill>
                            <a:schemeClr val="accent6">
                              <a:lumMod val="40000"/>
                              <a:lumOff val="60000"/>
                            </a:schemeClr>
                          </a:solidFill>
                          <a:ln w="12700">
                            <a:solidFill>
                              <a:srgbClr val="0000C8"/>
                            </a:solidFill>
                            <a:miter lim="800000"/>
                          </a:ln>
                        </wps:spPr>
                        <wps:txbx>
                          <w:txbxContent>
                            <w:p w14:paraId="54104E22">
                              <w:pPr>
                                <w:pStyle w:val="73"/>
                              </w:pPr>
                              <w:r>
                                <w:rPr>
                                  <w:rFonts w:hint="eastAsia"/>
                                </w:rPr>
                                <w:t>D</w:t>
                              </w:r>
                            </w:p>
                          </w:txbxContent>
                        </wps:txbx>
                        <wps:bodyPr rot="0" vert="horz" wrap="square" lIns="0" tIns="0" rIns="0" bIns="0" anchor="ctr" anchorCtr="0" upright="1">
                          <a:noAutofit/>
                        </wps:bodyPr>
                      </wps:wsp>
                      <wps:wsp>
                        <wps:cNvPr id="556" name="Text Box 2622"/>
                        <wps:cNvSpPr txBox="1">
                          <a:spLocks noChangeArrowheads="1"/>
                        </wps:cNvSpPr>
                        <wps:spPr bwMode="auto">
                          <a:xfrm>
                            <a:off x="6957" y="4529"/>
                            <a:ext cx="675" cy="348"/>
                          </a:xfrm>
                          <a:prstGeom prst="rect">
                            <a:avLst/>
                          </a:prstGeom>
                          <a:solidFill>
                            <a:schemeClr val="accent6">
                              <a:lumMod val="40000"/>
                              <a:lumOff val="60000"/>
                            </a:schemeClr>
                          </a:solidFill>
                          <a:ln w="12700">
                            <a:solidFill>
                              <a:srgbClr val="0000C8"/>
                            </a:solidFill>
                            <a:miter lim="800000"/>
                          </a:ln>
                        </wps:spPr>
                        <wps:txbx>
                          <w:txbxContent>
                            <w:p w14:paraId="208CB1AD">
                              <w:pPr>
                                <w:pStyle w:val="73"/>
                              </w:pPr>
                              <w:r>
                                <w:rPr>
                                  <w:rFonts w:hint="eastAsia"/>
                                </w:rPr>
                                <w:t>C</w:t>
                              </w:r>
                            </w:p>
                          </w:txbxContent>
                        </wps:txbx>
                        <wps:bodyPr rot="0" vert="horz" wrap="square" lIns="0" tIns="0" rIns="0" bIns="0" anchor="ctr" anchorCtr="0" upright="1">
                          <a:noAutofit/>
                        </wps:bodyPr>
                      </wps:wsp>
                      <wps:wsp>
                        <wps:cNvPr id="579" name="Text Box 2623"/>
                        <wps:cNvSpPr txBox="1">
                          <a:spLocks noChangeArrowheads="1"/>
                        </wps:cNvSpPr>
                        <wps:spPr bwMode="auto">
                          <a:xfrm>
                            <a:off x="7632" y="4529"/>
                            <a:ext cx="676" cy="348"/>
                          </a:xfrm>
                          <a:prstGeom prst="rect">
                            <a:avLst/>
                          </a:prstGeom>
                          <a:solidFill>
                            <a:schemeClr val="accent6">
                              <a:lumMod val="40000"/>
                              <a:lumOff val="60000"/>
                            </a:schemeClr>
                          </a:solidFill>
                          <a:ln w="12700">
                            <a:solidFill>
                              <a:srgbClr val="0000C8"/>
                            </a:solidFill>
                            <a:miter lim="800000"/>
                          </a:ln>
                        </wps:spPr>
                        <wps:txbx>
                          <w:txbxContent>
                            <w:p w14:paraId="2996523C">
                              <w:pPr>
                                <w:pStyle w:val="73"/>
                              </w:pPr>
                              <w:r>
                                <w:rPr>
                                  <w:rFonts w:hint="eastAsia"/>
                                </w:rPr>
                                <w:t>A</w:t>
                              </w:r>
                            </w:p>
                          </w:txbxContent>
                        </wps:txbx>
                        <wps:bodyPr rot="0" vert="horz" wrap="square" lIns="0" tIns="0" rIns="0" bIns="0" anchor="ctr" anchorCtr="0" upright="1">
                          <a:noAutofit/>
                        </wps:bodyPr>
                      </wps:wsp>
                      <wps:wsp>
                        <wps:cNvPr id="580" name="Line 2624"/>
                        <wps:cNvCnPr>
                          <a:cxnSpLocks noChangeShapeType="1"/>
                        </wps:cNvCnPr>
                        <wps:spPr bwMode="auto">
                          <a:xfrm>
                            <a:off x="690" y="5573"/>
                            <a:ext cx="143" cy="0"/>
                          </a:xfrm>
                          <a:prstGeom prst="line">
                            <a:avLst/>
                          </a:prstGeom>
                          <a:noFill/>
                          <a:ln w="12700">
                            <a:solidFill>
                              <a:srgbClr val="0000C8"/>
                            </a:solidFill>
                            <a:round/>
                          </a:ln>
                        </wps:spPr>
                        <wps:bodyPr/>
                      </wps:wsp>
                      <wps:wsp>
                        <wps:cNvPr id="605" name="Text Box 2625"/>
                        <wps:cNvSpPr txBox="1">
                          <a:spLocks noChangeArrowheads="1"/>
                        </wps:cNvSpPr>
                        <wps:spPr bwMode="auto">
                          <a:xfrm>
                            <a:off x="833" y="5399"/>
                            <a:ext cx="1352" cy="348"/>
                          </a:xfrm>
                          <a:prstGeom prst="rect">
                            <a:avLst/>
                          </a:prstGeom>
                          <a:solidFill>
                            <a:schemeClr val="accent6">
                              <a:lumMod val="40000"/>
                              <a:lumOff val="60000"/>
                            </a:schemeClr>
                          </a:solidFill>
                          <a:ln w="12700">
                            <a:solidFill>
                              <a:srgbClr val="0000C8"/>
                            </a:solidFill>
                            <a:miter lim="800000"/>
                          </a:ln>
                        </wps:spPr>
                        <wps:txbx>
                          <w:txbxContent>
                            <w:p w14:paraId="50DF331A">
                              <w:pPr>
                                <w:pStyle w:val="73"/>
                              </w:pPr>
                              <w:r>
                                <w:rPr>
                                  <w:rFonts w:hint="eastAsia"/>
                                </w:rPr>
                                <w:t>资源保证</w:t>
                              </w:r>
                            </w:p>
                          </w:txbxContent>
                        </wps:txbx>
                        <wps:bodyPr rot="0" vert="horz" wrap="square" lIns="0" tIns="0" rIns="0" bIns="0" anchor="ctr" anchorCtr="0" upright="1">
                          <a:noAutofit/>
                        </wps:bodyPr>
                      </wps:wsp>
                      <wps:wsp>
                        <wps:cNvPr id="612" name="Line 2626"/>
                        <wps:cNvCnPr>
                          <a:cxnSpLocks noChangeShapeType="1"/>
                        </wps:cNvCnPr>
                        <wps:spPr bwMode="auto">
                          <a:xfrm>
                            <a:off x="2185" y="5573"/>
                            <a:ext cx="549" cy="0"/>
                          </a:xfrm>
                          <a:prstGeom prst="line">
                            <a:avLst/>
                          </a:prstGeom>
                          <a:noFill/>
                          <a:ln w="12700">
                            <a:solidFill>
                              <a:srgbClr val="0000C8"/>
                            </a:solidFill>
                            <a:round/>
                          </a:ln>
                        </wps:spPr>
                        <wps:bodyPr/>
                      </wps:wsp>
                      <wps:wsp>
                        <wps:cNvPr id="613" name="Text Box 2627"/>
                        <wps:cNvSpPr txBox="1">
                          <a:spLocks noChangeArrowheads="1"/>
                        </wps:cNvSpPr>
                        <wps:spPr bwMode="auto">
                          <a:xfrm>
                            <a:off x="2734" y="5399"/>
                            <a:ext cx="3040" cy="348"/>
                          </a:xfrm>
                          <a:prstGeom prst="rect">
                            <a:avLst/>
                          </a:prstGeom>
                          <a:solidFill>
                            <a:schemeClr val="accent6">
                              <a:lumMod val="40000"/>
                              <a:lumOff val="60000"/>
                            </a:schemeClr>
                          </a:solidFill>
                          <a:ln w="12700">
                            <a:solidFill>
                              <a:srgbClr val="0000C8"/>
                            </a:solidFill>
                            <a:miter lim="800000"/>
                          </a:ln>
                        </wps:spPr>
                        <wps:txbx>
                          <w:txbxContent>
                            <w:p w14:paraId="11CC7ED9">
                              <w:pPr>
                                <w:pStyle w:val="73"/>
                              </w:pPr>
                              <w:r>
                                <w:rPr>
                                  <w:rFonts w:hint="eastAsia"/>
                                </w:rPr>
                                <w:t>施工现场安全警示标志</w:t>
                              </w:r>
                            </w:p>
                            <w:p w14:paraId="6CD725B5">
                              <w:pPr>
                                <w:pStyle w:val="73"/>
                              </w:pPr>
                            </w:p>
                          </w:txbxContent>
                        </wps:txbx>
                        <wps:bodyPr rot="0" vert="horz" wrap="square" lIns="0" tIns="0" rIns="0" bIns="0" anchor="ctr" anchorCtr="0" upright="1">
                          <a:noAutofit/>
                        </wps:bodyPr>
                      </wps:wsp>
                      <wps:wsp>
                        <wps:cNvPr id="614" name="Text Box 2628"/>
                        <wps:cNvSpPr txBox="1">
                          <a:spLocks noChangeArrowheads="1"/>
                        </wps:cNvSpPr>
                        <wps:spPr bwMode="auto">
                          <a:xfrm>
                            <a:off x="2734" y="4965"/>
                            <a:ext cx="3040" cy="349"/>
                          </a:xfrm>
                          <a:prstGeom prst="rect">
                            <a:avLst/>
                          </a:prstGeom>
                          <a:solidFill>
                            <a:schemeClr val="accent6">
                              <a:lumMod val="40000"/>
                              <a:lumOff val="60000"/>
                            </a:schemeClr>
                          </a:solidFill>
                          <a:ln w="12700">
                            <a:solidFill>
                              <a:srgbClr val="0000C8"/>
                            </a:solidFill>
                            <a:miter lim="800000"/>
                          </a:ln>
                        </wps:spPr>
                        <wps:txbx>
                          <w:txbxContent>
                            <w:p w14:paraId="047C2CCF">
                              <w:pPr>
                                <w:pStyle w:val="73"/>
                              </w:pPr>
                              <w:r>
                                <w:rPr>
                                  <w:rFonts w:hint="eastAsia"/>
                                </w:rPr>
                                <w:t>施工现场安全防护措施</w:t>
                              </w:r>
                            </w:p>
                          </w:txbxContent>
                        </wps:txbx>
                        <wps:bodyPr rot="0" vert="horz" wrap="square" lIns="0" tIns="0" rIns="0" bIns="0" anchor="ctr" anchorCtr="0" upright="1">
                          <a:noAutofit/>
                        </wps:bodyPr>
                      </wps:wsp>
                      <wps:wsp>
                        <wps:cNvPr id="616" name="Text Box 2629"/>
                        <wps:cNvSpPr txBox="1">
                          <a:spLocks noChangeArrowheads="1"/>
                        </wps:cNvSpPr>
                        <wps:spPr bwMode="auto">
                          <a:xfrm>
                            <a:off x="2734" y="5835"/>
                            <a:ext cx="3040" cy="348"/>
                          </a:xfrm>
                          <a:prstGeom prst="rect">
                            <a:avLst/>
                          </a:prstGeom>
                          <a:solidFill>
                            <a:schemeClr val="accent6">
                              <a:lumMod val="40000"/>
                              <a:lumOff val="60000"/>
                            </a:schemeClr>
                          </a:solidFill>
                          <a:ln w="12700">
                            <a:solidFill>
                              <a:srgbClr val="0000C8"/>
                            </a:solidFill>
                            <a:miter lim="800000"/>
                          </a:ln>
                        </wps:spPr>
                        <wps:txbx>
                          <w:txbxContent>
                            <w:p w14:paraId="0FF2ADA9">
                              <w:pPr>
                                <w:pStyle w:val="73"/>
                              </w:pPr>
                              <w:r>
                                <w:rPr>
                                  <w:rFonts w:hint="eastAsia"/>
                                </w:rPr>
                                <w:t>作业人员劳动保护用品</w:t>
                              </w:r>
                            </w:p>
                          </w:txbxContent>
                        </wps:txbx>
                        <wps:bodyPr rot="0" vert="horz" wrap="square" lIns="0" tIns="0" rIns="0" bIns="0" anchor="ctr" anchorCtr="0" upright="1">
                          <a:noAutofit/>
                        </wps:bodyPr>
                      </wps:wsp>
                      <wps:wsp>
                        <wps:cNvPr id="617" name="Line 2630"/>
                        <wps:cNvCnPr>
                          <a:cxnSpLocks noChangeShapeType="1"/>
                        </wps:cNvCnPr>
                        <wps:spPr bwMode="auto">
                          <a:xfrm>
                            <a:off x="2396" y="5138"/>
                            <a:ext cx="0" cy="873"/>
                          </a:xfrm>
                          <a:prstGeom prst="line">
                            <a:avLst/>
                          </a:prstGeom>
                          <a:noFill/>
                          <a:ln w="12700">
                            <a:solidFill>
                              <a:srgbClr val="0000C8"/>
                            </a:solidFill>
                            <a:round/>
                          </a:ln>
                        </wps:spPr>
                        <wps:bodyPr/>
                      </wps:wsp>
                      <wps:wsp>
                        <wps:cNvPr id="618" name="Line 2631"/>
                        <wps:cNvCnPr>
                          <a:cxnSpLocks noChangeShapeType="1"/>
                        </wps:cNvCnPr>
                        <wps:spPr bwMode="auto">
                          <a:xfrm>
                            <a:off x="2396" y="5138"/>
                            <a:ext cx="338" cy="0"/>
                          </a:xfrm>
                          <a:prstGeom prst="line">
                            <a:avLst/>
                          </a:prstGeom>
                          <a:noFill/>
                          <a:ln w="12700">
                            <a:solidFill>
                              <a:srgbClr val="0000C8"/>
                            </a:solidFill>
                            <a:round/>
                          </a:ln>
                        </wps:spPr>
                        <wps:bodyPr/>
                      </wps:wsp>
                      <wps:wsp>
                        <wps:cNvPr id="619" name="Line 2632"/>
                        <wps:cNvCnPr>
                          <a:cxnSpLocks noChangeShapeType="1"/>
                        </wps:cNvCnPr>
                        <wps:spPr bwMode="auto">
                          <a:xfrm>
                            <a:off x="2396" y="6009"/>
                            <a:ext cx="338" cy="0"/>
                          </a:xfrm>
                          <a:prstGeom prst="line">
                            <a:avLst/>
                          </a:prstGeom>
                          <a:noFill/>
                          <a:ln w="12700">
                            <a:solidFill>
                              <a:srgbClr val="0000C8"/>
                            </a:solidFill>
                            <a:round/>
                          </a:ln>
                        </wps:spPr>
                        <wps:bodyPr/>
                      </wps:wsp>
                    </wpg:wgp>
                  </a:graphicData>
                </a:graphic>
              </wp:inline>
            </w:drawing>
          </mc:Choice>
          <mc:Fallback>
            <w:pict>
              <v:group id="Group 2569" o:spid="_x0000_s1026" o:spt="203" style="height:351.75pt;width:438.6pt;" coordsize="8308,6183" o:gfxdata="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">
                <o:lock v:ext="edit" aspectratio="f"/>
                <v:shape id="Text Box 2570" o:spid="_x0000_s1026" o:spt="202" type="#_x0000_t202" style="position:absolute;left:0;top:1393;height:2613;width:493;v-text-anchor:middle;" fillcolor="#C5E0B4 [1305]" filled="t" stroked="t" coordsize="21600,21600" o:gfxdata="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4z6u/&#10;AAAA3AAAAA8AAAAAAAAAAQAgAAAAIgAAAGRycy9kb3ducmV2LnhtbFBLAQIUABQAAAAIAIdO4kAz&#10;LwWeOwAAADkAAAAQAAAAAAAAAAEAIAAAAA4BAABkcnMvc2hhcGV4bWwueG1sUEsFBgAAAAAGAAYA&#10;WwEAALgDAAAAAA==&#10;">
                  <v:fill on="t" focussize="0,0"/>
                  <v:stroke weight="1pt" color="#0000C8" miterlimit="8" joinstyle="miter"/>
                  <v:imagedata o:title=""/>
                  <o:lock v:ext="edit" aspectratio="f"/>
                  <v:textbox inset="0mm,0mm,0mm,0mm" style="layout-flow:vertical-ideographic;">
                    <w:txbxContent>
                      <w:p w14:paraId="7DE75859">
                        <w:pPr>
                          <w:pStyle w:val="73"/>
                        </w:pPr>
                        <w:r>
                          <w:rPr>
                            <w:rFonts w:hint="eastAsia"/>
                          </w:rPr>
                          <w:t>安全生产管理体系</w:t>
                        </w:r>
                      </w:p>
                    </w:txbxContent>
                  </v:textbox>
                </v:shape>
                <v:line id="Line 2571" o:spid="_x0000_s1026" o:spt="20" style="position:absolute;left:514;top:2524;height:0;width:195;" filled="f" stroked="t" coordsize="21600,21600" o:gfxdata="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zA6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72" o:spid="_x0000_s1026" o:spt="20" style="position:absolute;left:690;top:174;height:5399;width:0;" filled="f" stroked="t" coordsize="21600,21600" o:gfxdata="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wGmV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73" o:spid="_x0000_s1026" o:spt="20" style="position:absolute;left:690;top:174;height:0;width:214;" filled="f" stroked="t" coordsize="21600,21600" o:gfxdata="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Evfi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574" o:spid="_x0000_s1026" o:spt="202" type="#_x0000_t202" style="position:absolute;left:904;top:0;height:348;width:1351;v-text-anchor:middle;" fillcolor="#C5E0B4 [1305]" filled="t" stroked="t" coordsize="21600,21600" o:gfxdata="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szx5b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009E6868">
                        <w:pPr>
                          <w:pStyle w:val="73"/>
                        </w:pPr>
                        <w:r>
                          <w:rPr>
                            <w:rFonts w:hint="eastAsia"/>
                          </w:rPr>
                          <w:t>思想保证</w:t>
                        </w:r>
                      </w:p>
                    </w:txbxContent>
                  </v:textbox>
                </v:shape>
                <v:line id="Line 2575" o:spid="_x0000_s1026" o:spt="20" style="position:absolute;left:2255;top:174;height:0;width:262;" filled="f" stroked="t" coordsize="21600,21600" o:gfxdata="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WwJF2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shape id="Text Box 2576" o:spid="_x0000_s1026" o:spt="202" type="#_x0000_t202" style="position:absolute;left:2517;top:0;height:348;width:2703;v-text-anchor:middle;" fillcolor="#C5E0B4 [1305]" filled="t" stroked="t" coordsize="21600,21600" o:gfxdata="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B6z8i8AAAA&#10;2wAAAA8AAAAAAAAAAQAgAAAAIgAAAGRycy9kb3ducmV2LnhtbFBLAQIUABQAAAAIAIdO4kAzLwWe&#10;OwAAADkAAAAQAAAAAAAAAAEAIAAAAAsBAABkcnMvc2hhcGV4bWwueG1sUEsFBgAAAAAGAAYAWwEA&#10;ALUDAAAAAA==&#10;">
                  <v:fill on="t" focussize="0,0"/>
                  <v:stroke weight="1pt" color="#0000C8" miterlimit="8" joinstyle="miter"/>
                  <v:imagedata o:title=""/>
                  <o:lock v:ext="edit" aspectratio="f"/>
                  <v:textbox inset="0mm,0mm,0mm,0mm">
                    <w:txbxContent>
                      <w:p w14:paraId="2028E801">
                        <w:pPr>
                          <w:pStyle w:val="73"/>
                        </w:pPr>
                        <w:r>
                          <w:rPr>
                            <w:rFonts w:hint="eastAsia"/>
                          </w:rPr>
                          <w:t>项目部季度安全教育</w:t>
                        </w:r>
                      </w:p>
                    </w:txbxContent>
                  </v:textbox>
                </v:shape>
                <v:line id="Line 2577" o:spid="_x0000_s1026" o:spt="20" style="position:absolute;left:5220;top:174;height:0;width:506;" filled="f" stroked="t" coordsize="21600,21600" o:gfxdata="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Ihsv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578" o:spid="_x0000_s1026" o:spt="202" type="#_x0000_t202" style="position:absolute;left:5726;top:0;height:348;width:2458;v-text-anchor:middle;" fillcolor="#C5E0B4 [1305]" filled="t" stroked="t" coordsize="21600,21600" o:gfxdata="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NmpTvQAA&#10;ANs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0A49779D">
                        <w:pPr>
                          <w:pStyle w:val="73"/>
                        </w:pPr>
                        <w:r>
                          <w:rPr>
                            <w:rFonts w:hint="eastAsia"/>
                          </w:rPr>
                          <w:t>班组每周安全活动</w:t>
                        </w:r>
                      </w:p>
                    </w:txbxContent>
                  </v:textbox>
                </v:shape>
                <v:line id="Line 2579" o:spid="_x0000_s1026" o:spt="20" style="position:absolute;left:709;top:1219;height:0;width:214;" filled="f" stroked="t" coordsize="21600,21600" o:gfxdata="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qWqLtwAAANsAAAAP&#10;AAAAAAAAAAEAIAAAACIAAABkcnMvZG93bnJldi54bWxQSwECFAAUAAAACACHTuJAMy8FnjsAAAA5&#10;AAAAEAAAAAAAAAABACAAAAAGAQAAZHJzL3NoYXBleG1sLnhtbFBLBQYAAAAABgAGAFsBAACwAwAA&#10;AAA=&#10;">
                  <v:fill on="f" focussize="0,0"/>
                  <v:stroke weight="1pt" color="#0000C8" joinstyle="round"/>
                  <v:imagedata o:title=""/>
                  <o:lock v:ext="edit" aspectratio="f"/>
                </v:line>
                <v:shape id="Text Box 2580" o:spid="_x0000_s1026" o:spt="202" type="#_x0000_t202" style="position:absolute;left:904;top:1045;height:348;width:1351;v-text-anchor:middle;" fillcolor="#C5E0B4 [1305]" filled="t" stroked="t" coordsize="21600,21600" o:gfxdata="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eVbursAAADb&#10;AAAADwAAAAAAAAABACAAAAAiAAAAZHJzL2Rvd25yZXYueG1sUEsBAhQAFAAAAAgAh07iQDMvBZ47&#10;AAAAOQAAABAAAAAAAAAAAQAgAAAACgEAAGRycy9zaGFwZXhtbC54bWxQSwUGAAAAAAYABgBbAQAA&#10;tAMAAAAA&#10;">
                  <v:fill on="t" focussize="0,0"/>
                  <v:stroke weight="1pt" color="#0000C8" miterlimit="8" joinstyle="miter"/>
                  <v:imagedata o:title=""/>
                  <o:lock v:ext="edit" aspectratio="f"/>
                  <v:textbox inset="0mm,0mm,0mm,0mm">
                    <w:txbxContent>
                      <w:p w14:paraId="31B7422B">
                        <w:pPr>
                          <w:pStyle w:val="73"/>
                        </w:pPr>
                        <w:r>
                          <w:rPr>
                            <w:rFonts w:hint="eastAsia"/>
                          </w:rPr>
                          <w:t>组织保证</w:t>
                        </w:r>
                      </w:p>
                    </w:txbxContent>
                  </v:textbox>
                </v:shape>
                <v:line id="Line 2581" o:spid="_x0000_s1026" o:spt="20" style="position:absolute;left:2255;top:1219;height:0;width:479;" filled="f" stroked="t" coordsize="21600,21600" o:gfxdata="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6Yy7y8AAAA&#10;2w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shape id="Text Box 2582" o:spid="_x0000_s1026" o:spt="202" type="#_x0000_t202" style="position:absolute;left:2734;top:1045;height:348;width:2533;v-text-anchor:middle;" fillcolor="#C5E0B4 [1305]" filled="t" stroked="t" coordsize="21600,21600" o:gfxdata="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ccdivQAA&#10;ANs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6810EED7">
                        <w:pPr>
                          <w:pStyle w:val="73"/>
                        </w:pPr>
                        <w:r>
                          <w:rPr>
                            <w:rFonts w:hint="eastAsia"/>
                          </w:rPr>
                          <w:t>安监处</w:t>
                        </w:r>
                      </w:p>
                    </w:txbxContent>
                  </v:textbox>
                </v:shape>
                <v:shape id="Text Box 2583" o:spid="_x0000_s1026" o:spt="202" type="#_x0000_t202" style="position:absolute;left:2734;top:612;height:347;width:2533;v-text-anchor:middle;" fillcolor="#C5E0B4 [1305]" filled="t" stroked="t" coordsize="21600,21600" o:gfxdata="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jWRW8AAAA&#10;2wAAAA8AAAAAAAAAAQAgAAAAIgAAAGRycy9kb3ducmV2LnhtbFBLAQIUABQAAAAIAIdO4kAzLwWe&#10;OwAAADkAAAAQAAAAAAAAAAEAIAAAAAsBAABkcnMvc2hhcGV4bWwueG1sUEsFBgAAAAAGAAYAWwEA&#10;ALUDAAAAAA==&#10;">
                  <v:fill on="t" focussize="0,0"/>
                  <v:stroke weight="1pt" color="#0000C8" miterlimit="8" joinstyle="miter"/>
                  <v:imagedata o:title=""/>
                  <o:lock v:ext="edit" aspectratio="f"/>
                  <v:textbox inset="0mm,0mm,0mm,0mm">
                    <w:txbxContent>
                      <w:p w14:paraId="2B9B6106">
                        <w:pPr>
                          <w:pStyle w:val="73"/>
                        </w:pPr>
                        <w:r>
                          <w:rPr>
                            <w:rFonts w:hint="eastAsia"/>
                          </w:rPr>
                          <w:t>安委会</w:t>
                        </w:r>
                      </w:p>
                    </w:txbxContent>
                  </v:textbox>
                </v:shape>
                <v:shape id="Text Box 2584" o:spid="_x0000_s1026" o:spt="202" type="#_x0000_t202" style="position:absolute;left:2734;top:1480;height:349;width:2533;v-text-anchor:middle;" fillcolor="#C5E0B4 [1305]" filled="t" stroked="t" coordsize="21600,21600" o:gfxdata="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7/yOvQAA&#10;ANs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3118B9AE">
                        <w:pPr>
                          <w:pStyle w:val="73"/>
                        </w:pPr>
                        <w:r>
                          <w:rPr>
                            <w:rFonts w:hint="eastAsia"/>
                          </w:rPr>
                          <w:t>项目经理安全责任制</w:t>
                        </w:r>
                      </w:p>
                      <w:p w14:paraId="5AA7F843">
                        <w:pPr>
                          <w:pStyle w:val="73"/>
                        </w:pPr>
                      </w:p>
                    </w:txbxContent>
                  </v:textbox>
                </v:shape>
                <v:line id="Line 2585" o:spid="_x0000_s1026" o:spt="20" style="position:absolute;left:2396;top:784;height:870;width:0;" filled="f" stroked="t" coordsize="21600,21600" o:gfxdata="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d2jyu5AAAA2w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86" o:spid="_x0000_s1026" o:spt="20" style="position:absolute;left:2396;top:784;height:0;width:338;" filled="f" stroked="t" coordsize="21600,21600" o:gfxdata="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zZFfC5AAAA2w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87" o:spid="_x0000_s1026" o:spt="20" style="position:absolute;left:2396;top:1654;height:0;width:338;" filled="f" stroked="t" coordsize="21600,21600" o:gfxdata="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HLhy8AAAA&#10;2w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shape id="Text Box 2588" o:spid="_x0000_s1026" o:spt="202" type="#_x0000_t202" style="position:absolute;left:5605;top:1035;height:348;width:2703;v-text-anchor:middle;" fillcolor="#C5E0B4 [1305]" filled="t" stroked="t" coordsize="21600,21600" o:gfxdata="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Cx8tvQAA&#10;ANs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2F5DEBFD">
                        <w:pPr>
                          <w:pStyle w:val="73"/>
                        </w:pPr>
                        <w:r>
                          <w:rPr>
                            <w:rFonts w:hint="eastAsia"/>
                          </w:rPr>
                          <w:t>项目部安全监督部</w:t>
                        </w:r>
                      </w:p>
                    </w:txbxContent>
                  </v:textbox>
                </v:shape>
                <v:shape id="Text Box 2589" o:spid="_x0000_s1026" o:spt="202" type="#_x0000_t202" style="position:absolute;left:5605;top:602;height:347;width:2703;v-text-anchor:middle;" fillcolor="#C5E0B4 [1305]" filled="t" stroked="t" coordsize="21600,21600" o:gfxdata="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9GzgsugAAANwA&#10;AAAPAAAAAAAAAAEAIAAAACIAAABkcnMvZG93bnJldi54bWxQSwECFAAUAAAACACHTuJAMy8FnjsA&#10;AAA5AAAAEAAAAAAAAAABACAAAAAJAQAAZHJzL3NoYXBleG1sLnhtbFBLBQYAAAAABgAGAFsBAACz&#10;AwAAAAA=&#10;">
                  <v:fill on="t" focussize="0,0"/>
                  <v:stroke weight="1pt" color="#0000C8" miterlimit="8" joinstyle="miter"/>
                  <v:imagedata o:title=""/>
                  <o:lock v:ext="edit" aspectratio="f"/>
                  <v:textbox inset="0mm,0mm,0mm,0mm">
                    <w:txbxContent>
                      <w:p w14:paraId="0D059AA0">
                        <w:pPr>
                          <w:pStyle w:val="73"/>
                        </w:pPr>
                        <w:r>
                          <w:rPr>
                            <w:rFonts w:hint="eastAsia"/>
                          </w:rPr>
                          <w:t>项目部安全领导小组</w:t>
                        </w:r>
                      </w:p>
                    </w:txbxContent>
                  </v:textbox>
                </v:shape>
                <v:shape id="Text Box 2590" o:spid="_x0000_s1026" o:spt="202" type="#_x0000_t202" style="position:absolute;left:5605;top:1470;height:349;width:2703;v-text-anchor:middle;" fillcolor="#C5E0B4 [1305]" filled="t" stroked="t" coordsize="21600,21600" o:gfxdata="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V523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78D25CB2">
                        <w:pPr>
                          <w:pStyle w:val="73"/>
                        </w:pPr>
                        <w:r>
                          <w:rPr>
                            <w:rFonts w:hint="eastAsia"/>
                          </w:rPr>
                          <w:t>部门安全责任制</w:t>
                        </w:r>
                      </w:p>
                      <w:p w14:paraId="489A3FA1">
                        <w:pPr>
                          <w:pStyle w:val="73"/>
                        </w:pPr>
                      </w:p>
                    </w:txbxContent>
                  </v:textbox>
                </v:shape>
                <v:line id="Line 2591" o:spid="_x0000_s1026" o:spt="20" style="position:absolute;left:690;top:2524;height:0;width:143;" filled="f" stroked="t" coordsize="21600,21600" o:gfxdata="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8mAWu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shape id="Text Box 2592" o:spid="_x0000_s1026" o:spt="202" type="#_x0000_t202" style="position:absolute;left:833;top:2350;height:348;width:1352;v-text-anchor:middle;" fillcolor="#C5E0B4 [1305]" filled="t" stroked="t" coordsize="21600,21600" o:gfxdata="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fgHbL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57B67C72">
                        <w:pPr>
                          <w:pStyle w:val="73"/>
                        </w:pPr>
                        <w:r>
                          <w:rPr>
                            <w:rFonts w:hint="eastAsia"/>
                          </w:rPr>
                          <w:t>制度保证</w:t>
                        </w:r>
                      </w:p>
                    </w:txbxContent>
                  </v:textbox>
                </v:shape>
                <v:line id="Line 2593" o:spid="_x0000_s1026" o:spt="20" style="position:absolute;left:2185;top:2524;height:0;width:549;" filled="f" stroked="t" coordsize="21600,21600" o:gfxdata="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uDqH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594" o:spid="_x0000_s1026" o:spt="202" type="#_x0000_t202" style="position:absolute;left:2734;top:2350;height:348;width:3209;v-text-anchor:middle;" fillcolor="#C5E0B4 [1305]" filled="t" stroked="t" coordsize="21600,21600" o:gfxdata="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mY8gL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54EC4E02">
                        <w:pPr>
                          <w:pStyle w:val="73"/>
                        </w:pPr>
                        <w:r>
                          <w:rPr>
                            <w:rFonts w:hint="eastAsia"/>
                          </w:rPr>
                          <w:t>公司安全生产规章制度</w:t>
                        </w:r>
                      </w:p>
                    </w:txbxContent>
                  </v:textbox>
                </v:shape>
                <v:shape id="Text Box 2595" o:spid="_x0000_s1026" o:spt="202" type="#_x0000_t202" style="position:absolute;left:2734;top:1916;height:348;width:4392;v-text-anchor:middle;" fillcolor="#C5E0B4 [1305]" filled="t" stroked="t" coordsize="21600,21600" o:gfxdata="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dZuo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2A0C80B2">
                        <w:pPr>
                          <w:pStyle w:val="73"/>
                        </w:pPr>
                        <w:r>
                          <w:rPr>
                            <w:rFonts w:hint="eastAsia"/>
                          </w:rPr>
                          <w:t>国家、省部、地方安全生产法律法规</w:t>
                        </w:r>
                      </w:p>
                    </w:txbxContent>
                  </v:textbox>
                </v:shape>
                <v:shape id="Text Box 2596" o:spid="_x0000_s1026" o:spt="202" type="#_x0000_t202" style="position:absolute;left:2734;top:2785;height:349;width:2533;v-text-anchor:middle;" fillcolor="#C5E0B4 [1305]" filled="t" stroked="t" coordsize="21600,21600" o:gfxdata="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4odZvQAA&#10;ANs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1613B4DA">
                        <w:pPr>
                          <w:pStyle w:val="73"/>
                        </w:pPr>
                        <w:r>
                          <w:rPr>
                            <w:rFonts w:hint="eastAsia"/>
                          </w:rPr>
                          <w:t>项目安全工作标准</w:t>
                        </w:r>
                      </w:p>
                    </w:txbxContent>
                  </v:textbox>
                </v:shape>
                <v:line id="Line 2597" o:spid="_x0000_s1026" o:spt="20" style="position:absolute;left:2396;top:2088;height:1308;width:0;" filled="f" stroked="t" coordsize="21600,21600" o:gfxdata="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K62aLsAAADb&#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98" o:spid="_x0000_s1026" o:spt="20" style="position:absolute;left:2396;top:2088;height:0;width:338;" filled="f" stroked="t" coordsize="21600,21600" o:gfxdata="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HwoH7sAAADb&#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99" o:spid="_x0000_s1026" o:spt="20" style="position:absolute;left:2396;top:2959;height:0;width:338;" filled="f" stroked="t" coordsize="21600,21600" o:gfxdata="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S91rm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600" o:spid="_x0000_s1026" o:spt="20" style="position:absolute;left:5267;top:2961;height:0;width:338;" filled="f" stroked="t" coordsize="21600,21600" o:gfxdata="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8XMi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601" o:spid="_x0000_s1026" o:spt="202" type="#_x0000_t202" style="position:absolute;left:5605;top:2787;height:348;width:676;v-text-anchor:middle;" fillcolor="#C5E0B4 [1305]" filled="t" stroked="t" coordsize="21600,21600" o:gfxdata="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ETMugAAANwA&#10;AAAPAAAAAAAAAAEAIAAAACIAAABkcnMvZG93bnJldi54bWxQSwECFAAUAAAACACHTuJAMy8FnjsA&#10;AAA5AAAAEAAAAAAAAAABACAAAAAJAQAAZHJzL3NoYXBleG1sLnhtbFBLBQYAAAAABgAGAFsBAACz&#10;AwAAAAA=&#10;">
                  <v:fill on="t" focussize="0,0"/>
                  <v:stroke weight="1pt" color="#0000C8" miterlimit="8" joinstyle="miter"/>
                  <v:imagedata o:title=""/>
                  <o:lock v:ext="edit" aspectratio="f"/>
                  <v:textbox inset="0mm,0mm,0mm,0mm">
                    <w:txbxContent>
                      <w:p w14:paraId="0A06E454">
                        <w:pPr>
                          <w:pStyle w:val="73"/>
                        </w:pPr>
                        <w:r>
                          <w:rPr>
                            <w:rFonts w:hint="eastAsia"/>
                          </w:rPr>
                          <w:t>计划</w:t>
                        </w:r>
                      </w:p>
                    </w:txbxContent>
                  </v:textbox>
                </v:shape>
                <v:shape id="Text Box 2602" o:spid="_x0000_s1026" o:spt="202" type="#_x0000_t202" style="position:absolute;left:6281;top:2787;height:348;width:676;v-text-anchor:middle;" fillcolor="#C5E0B4 [1305]" filled="t" stroked="t" coordsize="21600,21600" o:gfxdata="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sOFX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6DFFB41D">
                        <w:pPr>
                          <w:pStyle w:val="73"/>
                        </w:pPr>
                        <w:r>
                          <w:rPr>
                            <w:rFonts w:hint="eastAsia"/>
                          </w:rPr>
                          <w:t>教育</w:t>
                        </w:r>
                      </w:p>
                    </w:txbxContent>
                  </v:textbox>
                </v:shape>
                <v:shape id="Text Box 2603" o:spid="_x0000_s1026" o:spt="202" type="#_x0000_t202" style="position:absolute;left:6957;top:2787;height:348;width:675;v-text-anchor:middle;" fillcolor="#C5E0B4 [1305]" filled="t" stroked="t" coordsize="21600,21600" o:gfxdata="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aCd7sAAADc&#10;AAAADwAAAAAAAAABACAAAAAiAAAAZHJzL2Rvd25yZXYueG1sUEsBAhQAFAAAAAgAh07iQDMvBZ47&#10;AAAAOQAAABAAAAAAAAAAAQAgAAAACgEAAGRycy9zaGFwZXhtbC54bWxQSwUGAAAAAAYABgBbAQAA&#10;tAMAAAAA&#10;">
                  <v:fill on="t" focussize="0,0"/>
                  <v:stroke weight="1pt" color="#0000C8" miterlimit="8" joinstyle="miter"/>
                  <v:imagedata o:title=""/>
                  <o:lock v:ext="edit" aspectratio="f"/>
                  <v:textbox inset="0mm,0mm,0mm,0mm">
                    <w:txbxContent>
                      <w:p w14:paraId="2D3C76D8">
                        <w:pPr>
                          <w:pStyle w:val="73"/>
                        </w:pPr>
                        <w:r>
                          <w:rPr>
                            <w:rFonts w:hint="eastAsia"/>
                          </w:rPr>
                          <w:t>检查</w:t>
                        </w:r>
                      </w:p>
                    </w:txbxContent>
                  </v:textbox>
                </v:shape>
                <v:shape id="Text Box 2604" o:spid="_x0000_s1026" o:spt="202" type="#_x0000_t202" style="position:absolute;left:7632;top:2787;height:348;width:676;v-text-anchor:middle;" fillcolor="#C5E0B4 [1305]" filled="t" stroked="t" coordsize="21600,21600" o:gfxdata="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UPUz7sAAADc&#10;AAAADwAAAAAAAAABACAAAAAiAAAAZHJzL2Rvd25yZXYueG1sUEsBAhQAFAAAAAgAh07iQDMvBZ47&#10;AAAAOQAAABAAAAAAAAAAAQAgAAAACgEAAGRycy9zaGFwZXhtbC54bWxQSwUGAAAAAAYABgBbAQAA&#10;tAMAAAAA&#10;">
                  <v:fill on="t" focussize="0,0"/>
                  <v:stroke weight="1pt" color="#0000C8" miterlimit="8" joinstyle="miter"/>
                  <v:imagedata o:title=""/>
                  <o:lock v:ext="edit" aspectratio="f"/>
                  <v:textbox inset="0mm,0mm,0mm,0mm">
                    <w:txbxContent>
                      <w:p w14:paraId="530FF115">
                        <w:pPr>
                          <w:pStyle w:val="73"/>
                        </w:pPr>
                        <w:r>
                          <w:rPr>
                            <w:rFonts w:hint="eastAsia"/>
                          </w:rPr>
                          <w:t>奖惩</w:t>
                        </w:r>
                      </w:p>
                    </w:txbxContent>
                  </v:textbox>
                </v:shape>
                <v:line id="Line 2605" o:spid="_x0000_s1026" o:spt="20" style="position:absolute;left:5267;top:784;height:0;width:338;" filled="f" stroked="t" coordsize="21600,21600" o:gfxdata="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pbaYr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606" o:spid="_x0000_s1026" o:spt="20" style="position:absolute;left:5267;top:1219;height:0;width:338;" filled="f" stroked="t" coordsize="21600,21600" o:gfxdata="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pr+c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607" o:spid="_x0000_s1026" o:spt="20" style="position:absolute;left:5267;top:1654;height:0;width:338;" filled="f" stroked="t" coordsize="21600,21600" o:gfxdata="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Tyfo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608" o:spid="_x0000_s1026" o:spt="202" type="#_x0000_t202" style="position:absolute;left:2734;top:3222;height:348;width:5574;v-text-anchor:middle;" fillcolor="#C5E0B4 [1305]" filled="t" stroked="t" coordsize="21600,21600" o:gfxdata="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kSHv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0247C841">
                        <w:pPr>
                          <w:pStyle w:val="73"/>
                        </w:pPr>
                        <w:r>
                          <w:rPr>
                            <w:rFonts w:hint="eastAsia"/>
                          </w:rPr>
                          <w:t>特殊工种、特种设备、关键工序安全操作规程</w:t>
                        </w:r>
                      </w:p>
                    </w:txbxContent>
                  </v:textbox>
                </v:shape>
                <v:line id="Line 2609" o:spid="_x0000_s1026" o:spt="20" style="position:absolute;left:2396;top:3396;height:0;width:338;" filled="f" stroked="t" coordsize="21600,21600" o:gfxdata="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RHAS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610" o:spid="_x0000_s1026" o:spt="20" style="position:absolute;left:709;top:4265;height:0;width:124;" filled="f" stroked="t" coordsize="21600,21600" o:gfxdata="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nbmf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611" o:spid="_x0000_s1026" o:spt="202" type="#_x0000_t202" style="position:absolute;left:833;top:4091;height:349;width:1352;v-text-anchor:middle;" fillcolor="#C5E0B4 [1305]" filled="t" stroked="t" coordsize="21600,21600" o:gfxdata="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ZCOcbsAAADc&#10;AAAADwAAAAAAAAABACAAAAAiAAAAZHJzL2Rvd25yZXYueG1sUEsBAhQAFAAAAAgAh07iQDMvBZ47&#10;AAAAOQAAABAAAAAAAAAAAQAgAAAACgEAAGRycy9zaGFwZXhtbC54bWxQSwUGAAAAAAYABgBbAQAA&#10;tAMAAAAA&#10;">
                  <v:fill on="t" focussize="0,0"/>
                  <v:stroke weight="1pt" color="#0000C8" miterlimit="8" joinstyle="miter"/>
                  <v:imagedata o:title=""/>
                  <o:lock v:ext="edit" aspectratio="f"/>
                  <v:textbox inset="0mm,0mm,0mm,0mm">
                    <w:txbxContent>
                      <w:p w14:paraId="05E7EC61">
                        <w:pPr>
                          <w:pStyle w:val="73"/>
                        </w:pPr>
                        <w:r>
                          <w:rPr>
                            <w:rFonts w:hint="eastAsia"/>
                          </w:rPr>
                          <w:t>技术保证</w:t>
                        </w:r>
                      </w:p>
                    </w:txbxContent>
                  </v:textbox>
                </v:shape>
                <v:line id="Line 2612" o:spid="_x0000_s1026" o:spt="20" style="position:absolute;left:2185;top:4265;height:0;width:549;" filled="f" stroked="t" coordsize="21600,21600" o:gfxdata="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Toh2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613" o:spid="_x0000_s1026" o:spt="202" type="#_x0000_t202" style="position:absolute;left:2734;top:4091;height:349;width:3547;v-text-anchor:middle;" fillcolor="#C5E0B4 [1305]" filled="t" stroked="t" coordsize="21600,21600" o:gfxdata="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j8UqrsAAADc&#10;AAAADwAAAAAAAAABACAAAAAiAAAAZHJzL2Rvd25yZXYueG1sUEsBAhQAFAAAAAgAh07iQDMvBZ47&#10;AAAAOQAAABAAAAAAAAAAAQAgAAAACgEAAGRycy9zaGFwZXhtbC54bWxQSwUGAAAAAAYABgBbAQAA&#10;tAMAAAAA&#10;">
                  <v:fill on="t" focussize="0,0"/>
                  <v:stroke weight="1pt" color="#0000C8" miterlimit="8" joinstyle="miter"/>
                  <v:imagedata o:title=""/>
                  <o:lock v:ext="edit" aspectratio="f"/>
                  <v:textbox inset="0mm,0mm,0mm,0mm">
                    <w:txbxContent>
                      <w:p w14:paraId="14D4DF4F">
                        <w:pPr>
                          <w:pStyle w:val="73"/>
                        </w:pPr>
                        <w:r>
                          <w:rPr>
                            <w:rFonts w:hint="eastAsia"/>
                          </w:rPr>
                          <w:t>分部、分项工程安全技术交底</w:t>
                        </w:r>
                      </w:p>
                    </w:txbxContent>
                  </v:textbox>
                </v:shape>
                <v:shape id="Text Box 2614" o:spid="_x0000_s1026" o:spt="202" type="#_x0000_t202" style="position:absolute;left:2734;top:3657;height:349;width:3547;v-text-anchor:middle;" fillcolor="#C5E0B4 [1305]" filled="t" stroked="t" coordsize="21600,21600" o:gfxdata="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XOxMb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7051AE2F">
                        <w:pPr>
                          <w:pStyle w:val="73"/>
                        </w:pPr>
                        <w:r>
                          <w:rPr>
                            <w:rFonts w:hint="eastAsia"/>
                          </w:rPr>
                          <w:t>施工组织设计安全保证措施</w:t>
                        </w:r>
                      </w:p>
                    </w:txbxContent>
                  </v:textbox>
                </v:shape>
                <v:shape id="Text Box 2615" o:spid="_x0000_s1026" o:spt="202" type="#_x0000_t202" style="position:absolute;left:2734;top:4527;height:348;width:2533;v-text-anchor:middle;" fillcolor="#C5E0B4 [1305]" filled="t" stroked="t" coordsize="21600,21600" o:gfxdata="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aEvRr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71DC5781">
                        <w:pPr>
                          <w:pStyle w:val="73"/>
                        </w:pPr>
                        <w:r>
                          <w:rPr>
                            <w:rFonts w:hint="eastAsia"/>
                          </w:rPr>
                          <w:t>安全QC小组</w:t>
                        </w:r>
                      </w:p>
                    </w:txbxContent>
                  </v:textbox>
                </v:shape>
                <v:line id="Line 2616" o:spid="_x0000_s1026" o:spt="20" style="position:absolute;left:2396;top:3830;height:873;width:0;" filled="f" stroked="t" coordsize="21600,21600" o:gfxdata="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9/KUG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617" o:spid="_x0000_s1026" o:spt="20" style="position:absolute;left:2396;top:3830;height:0;width:338;" filled="f" stroked="t" coordsize="21600,21600" o:gfxdata="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lrE1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618" o:spid="_x0000_s1026" o:spt="20" style="position:absolute;left:2396;top:4701;height:0;width:338;" filled="f" stroked="t" coordsize="21600,21600" o:gfxdata="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FK6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619" o:spid="_x0000_s1026" o:spt="20" style="position:absolute;left:5267;top:4703;height:0;width:338;" filled="f" stroked="t" coordsize="21600,21600" o:gfxdata="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8Iitm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shape id="Text Box 2620" o:spid="_x0000_s1026" o:spt="202" type="#_x0000_t202" style="position:absolute;left:5605;top:4529;height:348;width:676;v-text-anchor:middle;" fillcolor="#C5E0B4 [1305]" filled="t" stroked="t" coordsize="21600,21600" o:gfxdata="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k7ET7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74E2BDA5">
                        <w:pPr>
                          <w:pStyle w:val="73"/>
                        </w:pPr>
                        <w:r>
                          <w:rPr>
                            <w:rFonts w:hint="eastAsia"/>
                          </w:rPr>
                          <w:t>P</w:t>
                        </w:r>
                      </w:p>
                    </w:txbxContent>
                  </v:textbox>
                </v:shape>
                <v:shape id="Text Box 2621" o:spid="_x0000_s1026" o:spt="202" type="#_x0000_t202" style="position:absolute;left:6281;top:4529;height:348;width:676;v-text-anchor:middle;" fillcolor="#C5E0B4 [1305]" filled="t" stroked="t" coordsize="21600,21600" o:gfxdata="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dD/o7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54104E22">
                        <w:pPr>
                          <w:pStyle w:val="73"/>
                        </w:pPr>
                        <w:r>
                          <w:rPr>
                            <w:rFonts w:hint="eastAsia"/>
                          </w:rPr>
                          <w:t>D</w:t>
                        </w:r>
                      </w:p>
                    </w:txbxContent>
                  </v:textbox>
                </v:shape>
                <v:shape id="Text Box 2622" o:spid="_x0000_s1026" o:spt="202" type="#_x0000_t202" style="position:absolute;left:6957;top:4529;height:348;width:675;v-text-anchor:middle;" fillcolor="#C5E0B4 [1305]" filled="t" stroked="t" coordsize="21600,21600" o:gfxdata="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Rczl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208CB1AD">
                        <w:pPr>
                          <w:pStyle w:val="73"/>
                        </w:pPr>
                        <w:r>
                          <w:rPr>
                            <w:rFonts w:hint="eastAsia"/>
                          </w:rPr>
                          <w:t>C</w:t>
                        </w:r>
                      </w:p>
                    </w:txbxContent>
                  </v:textbox>
                </v:shape>
                <v:shape id="Text Box 2623" o:spid="_x0000_s1026" o:spt="202" type="#_x0000_t202" style="position:absolute;left:7632;top:4529;height:348;width:676;v-text-anchor:middle;" fillcolor="#C5E0B4 [1305]" filled="t" stroked="t" coordsize="21600,21600" o:gfxdata="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W8E97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2996523C">
                        <w:pPr>
                          <w:pStyle w:val="73"/>
                        </w:pPr>
                        <w:r>
                          <w:rPr>
                            <w:rFonts w:hint="eastAsia"/>
                          </w:rPr>
                          <w:t>A</w:t>
                        </w:r>
                      </w:p>
                    </w:txbxContent>
                  </v:textbox>
                </v:shape>
                <v:line id="Line 2624" o:spid="_x0000_s1026" o:spt="20" style="position:absolute;left:690;top:5573;height:0;width:143;" filled="f" stroked="t" coordsize="21600,21600" o:gfxdata="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BJ+0bgAAADcAAAA&#10;DwAAAAAAAAABACAAAAAiAAAAZHJzL2Rvd25yZXYueG1sUEsBAhQAFAAAAAgAh07iQDMvBZ47AAAA&#10;OQAAABAAAAAAAAAAAQAgAAAABwEAAGRycy9zaGFwZXhtbC54bWxQSwUGAAAAAAYABgBbAQAAsQMA&#10;AAAA&#10;">
                  <v:fill on="f" focussize="0,0"/>
                  <v:stroke weight="1pt" color="#0000C8" joinstyle="round"/>
                  <v:imagedata o:title=""/>
                  <o:lock v:ext="edit" aspectratio="f"/>
                </v:line>
                <v:shape id="Text Box 2625" o:spid="_x0000_s1026" o:spt="202" type="#_x0000_t202" style="position:absolute;left:833;top:5399;height:348;width:1352;v-text-anchor:middle;" fillcolor="#C5E0B4 [1305]" filled="t" stroked="t" coordsize="21600,21600" o:gfxdata="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ARzz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50DF331A">
                        <w:pPr>
                          <w:pStyle w:val="73"/>
                        </w:pPr>
                        <w:r>
                          <w:rPr>
                            <w:rFonts w:hint="eastAsia"/>
                          </w:rPr>
                          <w:t>资源保证</w:t>
                        </w:r>
                      </w:p>
                    </w:txbxContent>
                  </v:textbox>
                </v:shape>
                <v:line id="Line 2626" o:spid="_x0000_s1026" o:spt="20" style="position:absolute;left:2185;top:5573;height:0;width:549;" filled="f" stroked="t" coordsize="21600,21600" o:gfxdata="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KOxxr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shape id="Text Box 2627" o:spid="_x0000_s1026" o:spt="202" type="#_x0000_t202" style="position:absolute;left:2734;top:5399;height:348;width:3040;v-text-anchor:middle;" fillcolor="#C5E0B4 [1305]" filled="t" stroked="t" coordsize="21600,21600" o:gfxdata="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n23wb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11CC7ED9">
                        <w:pPr>
                          <w:pStyle w:val="73"/>
                        </w:pPr>
                        <w:r>
                          <w:rPr>
                            <w:rFonts w:hint="eastAsia"/>
                          </w:rPr>
                          <w:t>施工现场安全警示标志</w:t>
                        </w:r>
                      </w:p>
                      <w:p w14:paraId="6CD725B5">
                        <w:pPr>
                          <w:pStyle w:val="73"/>
                        </w:pPr>
                      </w:p>
                    </w:txbxContent>
                  </v:textbox>
                </v:shape>
                <v:shape id="Text Box 2628" o:spid="_x0000_s1026" o:spt="202" type="#_x0000_t202" style="position:absolute;left:2734;top:4965;height:349;width:3040;v-text-anchor:middle;" fillcolor="#C5E0B4 [1305]" filled="t" stroked="t" coordsize="21600,21600" o:gfxdata="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lC+1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047C2CCF">
                        <w:pPr>
                          <w:pStyle w:val="73"/>
                        </w:pPr>
                        <w:r>
                          <w:rPr>
                            <w:rFonts w:hint="eastAsia"/>
                          </w:rPr>
                          <w:t>施工现场安全防护措施</w:t>
                        </w:r>
                      </w:p>
                    </w:txbxContent>
                  </v:textbox>
                </v:shape>
                <v:shape id="Text Box 2629" o:spid="_x0000_s1026" o:spt="202" type="#_x0000_t202" style="position:absolute;left:2734;top:5835;height:348;width:3040;v-text-anchor:middle;" fillcolor="#C5E0B4 [1305]" filled="t" stroked="t" coordsize="21600,21600" o:gfxdata="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ChRZ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0FF2ADA9">
                        <w:pPr>
                          <w:pStyle w:val="73"/>
                        </w:pPr>
                        <w:r>
                          <w:rPr>
                            <w:rFonts w:hint="eastAsia"/>
                          </w:rPr>
                          <w:t>作业人员劳动保护用品</w:t>
                        </w:r>
                      </w:p>
                    </w:txbxContent>
                  </v:textbox>
                </v:shape>
                <v:line id="Line 2630" o:spid="_x0000_s1026" o:spt="20" style="position:absolute;left:2396;top:5138;height:873;width:0;" filled="f" stroked="t" coordsize="21600,21600" o:gfxdata="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DUEl6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631" o:spid="_x0000_s1026" o:spt="20" style="position:absolute;left:2396;top:5138;height:0;width:338;" filled="f" stroked="t" coordsize="21600,21600" o:gfxdata="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S4YsugAAANwA&#10;AAAPAAAAAAAAAAEAIAAAACIAAABkcnMvZG93bnJldi54bWxQSwECFAAUAAAACACHTuJAMy8FnjsA&#10;AAA5AAAAEAAAAAAAAAABACAAAAAJAQAAZHJzL3NoYXBleG1sLnhtbFBLBQYAAAAABgAGAFsBAACz&#10;AwAAAAA=&#10;">
                  <v:fill on="f" focussize="0,0"/>
                  <v:stroke weight="1pt" color="#0000C8" joinstyle="round"/>
                  <v:imagedata o:title=""/>
                  <o:lock v:ext="edit" aspectratio="f"/>
                </v:line>
                <v:line id="Line 2632" o:spid="_x0000_s1026" o:spt="20" style="position:absolute;left:2396;top:6009;height:0;width:338;" filled="f" stroked="t" coordsize="21600,21600" o:gfxdata="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4HI7e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w10:wrap type="none"/>
                <w10:anchorlock/>
              </v:group>
            </w:pict>
          </mc:Fallback>
        </mc:AlternateContent>
      </w:r>
    </w:p>
    <w:p w14:paraId="3F94BAD5">
      <w:pPr>
        <w:pStyle w:val="42"/>
        <w:rPr>
          <w:rFonts w:hint="eastAsia"/>
          <w:lang w:val="en-US" w:eastAsia="zh-CN"/>
        </w:rPr>
      </w:pPr>
      <w:r>
        <w:rPr>
          <w:rFonts w:hint="eastAsia"/>
        </w:rPr>
        <w:t>图</w:t>
      </w:r>
      <w:r>
        <w:rPr>
          <w:rFonts w:hint="eastAsia"/>
          <w:lang w:val="en-US" w:eastAsia="zh-CN"/>
        </w:rPr>
        <w:t>5</w:t>
      </w:r>
      <w:r>
        <w:rPr>
          <w:rFonts w:hint="eastAsia"/>
        </w:rPr>
        <w:t>.</w:t>
      </w:r>
      <w:r>
        <w:rPr>
          <w:rFonts w:hint="eastAsia"/>
          <w:lang w:val="en-US" w:eastAsia="zh-CN"/>
        </w:rPr>
        <w:t>1</w:t>
      </w:r>
      <w:r>
        <w:rPr>
          <w:rFonts w:hint="eastAsia"/>
        </w:rPr>
        <w:t>.3-1安全生产管理体系</w:t>
      </w:r>
    </w:p>
    <w:p w14:paraId="08DE42D1">
      <w:pPr>
        <w:pStyle w:val="4"/>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r>
        <w:rPr>
          <w:rFonts w:hint="eastAsia" w:cs="Times New Roman"/>
          <w:b/>
          <w:color w:val="000000" w:themeColor="text1"/>
          <w:kern w:val="2"/>
          <w:sz w:val="28"/>
          <w:szCs w:val="22"/>
          <w:lang w:val="en-US" w:eastAsia="zh-CN" w:bidi="ar-SA"/>
          <w14:textFill>
            <w14:solidFill>
              <w14:schemeClr w14:val="tx1"/>
            </w14:solidFill>
          </w14:textFill>
        </w:rPr>
        <w:t>安全管理措施</w:t>
      </w:r>
    </w:p>
    <w:p w14:paraId="0A188E76">
      <w:pPr>
        <w:widowControl/>
        <w:ind w:firstLine="480" w:firstLineChars="200"/>
        <w:jc w:val="left"/>
      </w:pPr>
      <w:r>
        <w:rPr>
          <w:rFonts w:hint="eastAsia"/>
          <w:color w:val="000000"/>
          <w:kern w:val="0"/>
          <w:lang w:bidi="ar"/>
        </w:rPr>
        <w:t>（</w:t>
      </w:r>
      <w:r>
        <w:rPr>
          <w:rFonts w:ascii="Times New Roman" w:hAnsi="Times New Roman" w:cs="Times New Roman"/>
          <w:color w:val="000000"/>
          <w:kern w:val="0"/>
          <w:lang w:bidi="ar"/>
        </w:rPr>
        <w:t>1</w:t>
      </w:r>
      <w:r>
        <w:rPr>
          <w:rFonts w:hint="eastAsia"/>
          <w:color w:val="000000"/>
          <w:kern w:val="0"/>
          <w:lang w:bidi="ar"/>
        </w:rPr>
        <w:t xml:space="preserve">）按照颁布的《安全生产责任制》的要求，落实各级管理人员和操作人员的安全生产责任制，做到纵向到底，横向到边，各自作好本岗位的安全工作。 </w:t>
      </w:r>
    </w:p>
    <w:p w14:paraId="64B0FF93">
      <w:pPr>
        <w:widowControl/>
        <w:ind w:firstLine="480" w:firstLineChars="200"/>
        <w:jc w:val="left"/>
      </w:pPr>
      <w:r>
        <w:rPr>
          <w:rFonts w:hint="eastAsia"/>
          <w:color w:val="000000"/>
          <w:kern w:val="0"/>
          <w:lang w:bidi="ar"/>
        </w:rPr>
        <w:t>（</w:t>
      </w:r>
      <w:r>
        <w:rPr>
          <w:rFonts w:ascii="Times New Roman" w:hAnsi="Times New Roman" w:cs="Times New Roman"/>
          <w:color w:val="000000"/>
          <w:kern w:val="0"/>
          <w:lang w:bidi="ar"/>
        </w:rPr>
        <w:t>2</w:t>
      </w:r>
      <w:r>
        <w:rPr>
          <w:rFonts w:hint="eastAsia"/>
          <w:color w:val="000000"/>
          <w:kern w:val="0"/>
          <w:lang w:bidi="ar"/>
        </w:rPr>
        <w:t xml:space="preserve">）本项目在开工前，由项目经理部编制实施性安全技术组织措施，对编制和指导实施专项安全施工组织措施，确保施工安全。 </w:t>
      </w:r>
    </w:p>
    <w:p w14:paraId="1604742B">
      <w:pPr>
        <w:widowControl/>
        <w:ind w:firstLine="480" w:firstLineChars="200"/>
        <w:jc w:val="left"/>
      </w:pPr>
      <w:r>
        <w:rPr>
          <w:rFonts w:hint="eastAsia"/>
          <w:color w:val="000000"/>
          <w:kern w:val="0"/>
          <w:lang w:bidi="ar"/>
        </w:rPr>
        <w:t>（</w:t>
      </w:r>
      <w:r>
        <w:rPr>
          <w:rFonts w:ascii="Times New Roman" w:hAnsi="Times New Roman" w:cs="Times New Roman"/>
          <w:color w:val="000000"/>
          <w:kern w:val="0"/>
          <w:lang w:bidi="ar"/>
        </w:rPr>
        <w:t>3</w:t>
      </w:r>
      <w:r>
        <w:rPr>
          <w:rFonts w:hint="eastAsia"/>
          <w:color w:val="000000"/>
          <w:kern w:val="0"/>
          <w:lang w:bidi="ar"/>
        </w:rPr>
        <w:t>）实行逐级安全技术交底制，由经理部组织有关人员进行详细安全技术交底，凡参加安全技术交底的人员要履行签字手续，并保存资料。项目经理部专职监察工程师对安全技术措施的执行情况进行监督检查，并作好记录和反馈信息。</w:t>
      </w:r>
    </w:p>
    <w:p w14:paraId="624A7A5A">
      <w:pPr>
        <w:widowControl/>
        <w:ind w:firstLine="480" w:firstLineChars="200"/>
        <w:jc w:val="left"/>
      </w:pPr>
      <w:r>
        <w:rPr>
          <w:rFonts w:hint="eastAsia"/>
          <w:color w:val="000000"/>
          <w:kern w:val="0"/>
          <w:lang w:bidi="ar"/>
        </w:rPr>
        <w:t>（</w:t>
      </w:r>
      <w:r>
        <w:rPr>
          <w:rFonts w:ascii="Times New Roman" w:hAnsi="Times New Roman" w:cs="Times New Roman"/>
          <w:color w:val="000000"/>
          <w:kern w:val="0"/>
          <w:lang w:bidi="ar"/>
        </w:rPr>
        <w:t>4</w:t>
      </w:r>
      <w:r>
        <w:rPr>
          <w:rFonts w:hint="eastAsia"/>
          <w:color w:val="000000"/>
          <w:kern w:val="0"/>
          <w:lang w:bidi="ar"/>
        </w:rPr>
        <w:t xml:space="preserve">）加强施工现场安全教育 </w:t>
      </w:r>
    </w:p>
    <w:p w14:paraId="7862CEAE">
      <w:pPr>
        <w:widowControl/>
        <w:ind w:firstLine="480" w:firstLineChars="200"/>
        <w:jc w:val="left"/>
        <w:rPr>
          <w:color w:val="000000"/>
          <w:kern w:val="0"/>
          <w:lang w:bidi="ar"/>
        </w:rPr>
      </w:pPr>
      <w:r>
        <w:rPr>
          <w:rFonts w:hint="eastAsia"/>
          <w:color w:val="000000"/>
          <w:kern w:val="0"/>
          <w:lang w:bidi="ar"/>
        </w:rPr>
        <w:t>①针对工程特点，对所有从事管理和生产的人员进行全面的安全教育，重点对专职安全员、班组长、从事特种作业的架子工、起重工、电工、焊接工、机械工、爆破工、混凝土工、普工、机械操作手、机动车辆驾驶等进行培训教育。</w:t>
      </w:r>
    </w:p>
    <w:p w14:paraId="1598AA67">
      <w:pPr>
        <w:widowControl/>
        <w:ind w:firstLine="480" w:firstLineChars="200"/>
        <w:jc w:val="left"/>
      </w:pPr>
      <w:r>
        <w:rPr>
          <w:rFonts w:hint="eastAsia"/>
          <w:color w:val="000000"/>
          <w:kern w:val="0"/>
          <w:lang w:bidi="ar"/>
        </w:rPr>
        <w:t xml:space="preserve">②未经安全教育的施工管理人员和生产人员，不准上岗。未进行三级教育的新工人不准上岗。变换工种或采用新技术、新工艺、新设备、新材料而没有进行培训的人员不准上岗。 </w:t>
      </w:r>
    </w:p>
    <w:p w14:paraId="00715204">
      <w:pPr>
        <w:widowControl/>
        <w:ind w:firstLine="480" w:firstLineChars="200"/>
        <w:jc w:val="left"/>
      </w:pPr>
      <w:r>
        <w:rPr>
          <w:rFonts w:hint="eastAsia"/>
          <w:color w:val="000000"/>
          <w:kern w:val="0"/>
          <w:lang w:bidi="ar"/>
        </w:rPr>
        <w:t xml:space="preserve">③特种工种的操作人员的安全教育、考核、复验，严格按照《特种作业人员 安全技术考核管理规定》执行。经过培训考核合格，获取操作证方能持证上岗。 对已取得上岗证的特种作业人员，要进行登记存档，对上岗证要按期复审，并要 设专人管理。 </w:t>
      </w:r>
    </w:p>
    <w:p w14:paraId="1F0B9054">
      <w:pPr>
        <w:widowControl/>
        <w:ind w:firstLine="480" w:firstLineChars="200"/>
        <w:jc w:val="left"/>
      </w:pPr>
      <w:r>
        <w:rPr>
          <w:rFonts w:hint="eastAsia"/>
          <w:color w:val="000000"/>
          <w:kern w:val="0"/>
          <w:lang w:bidi="ar"/>
        </w:rPr>
        <w:t>④通过安全教育，增强职工安全意识，树立“安全第一、预防为主”的思想，并提高职工遵守施工安全纪律的自觉性，认真执行安全操作规程，做到</w:t>
      </w:r>
      <w:r>
        <w:rPr>
          <w:rFonts w:ascii="Times New Roman" w:hAnsi="Times New Roman" w:cs="Times New Roman"/>
          <w:color w:val="000000"/>
          <w:kern w:val="0"/>
          <w:lang w:bidi="ar"/>
        </w:rPr>
        <w:t>:</w:t>
      </w:r>
      <w:r>
        <w:rPr>
          <w:rFonts w:hint="eastAsia"/>
          <w:color w:val="000000"/>
          <w:kern w:val="0"/>
          <w:lang w:bidi="ar"/>
        </w:rPr>
        <w:t xml:space="preserve">不违章指挥、不违章操作、不伤害自己、不伤害他人、不被他人伤害，达到提高职工整体安全防护意识和自我防护能力。 </w:t>
      </w:r>
    </w:p>
    <w:p w14:paraId="133C86A6">
      <w:pPr>
        <w:widowControl/>
        <w:ind w:firstLine="480" w:firstLineChars="200"/>
        <w:jc w:val="left"/>
      </w:pPr>
      <w:r>
        <w:rPr>
          <w:rFonts w:hint="eastAsia"/>
          <w:color w:val="000000"/>
          <w:kern w:val="0"/>
          <w:lang w:bidi="ar"/>
        </w:rPr>
        <w:t>（</w:t>
      </w:r>
      <w:r>
        <w:rPr>
          <w:rFonts w:ascii="Times New Roman" w:hAnsi="Times New Roman" w:cs="Times New Roman"/>
          <w:color w:val="000000"/>
          <w:kern w:val="0"/>
          <w:lang w:bidi="ar"/>
        </w:rPr>
        <w:t>5</w:t>
      </w:r>
      <w:r>
        <w:rPr>
          <w:rFonts w:hint="eastAsia"/>
          <w:color w:val="000000"/>
          <w:kern w:val="0"/>
          <w:lang w:bidi="ar"/>
        </w:rPr>
        <w:t xml:space="preserve">）认真执行安全检查制度 </w:t>
      </w:r>
    </w:p>
    <w:p w14:paraId="5631EF67">
      <w:pPr>
        <w:widowControl/>
        <w:ind w:firstLine="480" w:firstLineChars="200"/>
        <w:jc w:val="left"/>
      </w:pPr>
      <w:r>
        <w:rPr>
          <w:rFonts w:hint="eastAsia"/>
          <w:color w:val="000000"/>
          <w:kern w:val="0"/>
          <w:lang w:bidi="ar"/>
        </w:rPr>
        <w:t xml:space="preserve">经理部要保证检查制度的落实，要规定定期检查日期、参加检查的人员。经 理部每月进行一次，劳务队伍每周进行一次，安全员、班组长每天巡检一次，非 定期检查应视工程情况，如：施工准备前、施工危险性大、采取新工艺、季节性 变化、节假日前后等要进行检查，并要有领导值班，对检查中发现的安全问题按 照“三不放过”的原则制定整改措施，查明事故原因，并定人限期进行整改，保 证“管生产必须管安全”的原则真正落实。 </w:t>
      </w:r>
    </w:p>
    <w:p w14:paraId="6E3C04AD">
      <w:pPr>
        <w:widowControl/>
        <w:ind w:firstLine="480" w:firstLineChars="200"/>
        <w:jc w:val="left"/>
        <w:rPr>
          <w:rFonts w:hint="eastAsia"/>
          <w:color w:val="000000"/>
          <w:kern w:val="0"/>
          <w:lang w:bidi="ar"/>
        </w:rPr>
      </w:pPr>
      <w:r>
        <w:rPr>
          <w:rFonts w:hint="eastAsia"/>
          <w:color w:val="000000"/>
          <w:kern w:val="0"/>
          <w:lang w:bidi="ar"/>
        </w:rPr>
        <w:t>（8）全面推行“136”安全管理模式</w:t>
      </w:r>
    </w:p>
    <w:p w14:paraId="6013B9DC">
      <w:pPr>
        <w:widowControl/>
        <w:ind w:firstLine="480" w:firstLineChars="200"/>
        <w:jc w:val="left"/>
        <w:rPr>
          <w:rFonts w:hint="eastAsia"/>
          <w:color w:val="000000"/>
          <w:kern w:val="0"/>
          <w:lang w:bidi="ar"/>
        </w:rPr>
      </w:pPr>
      <w:r>
        <w:rPr>
          <w:rFonts w:hint="eastAsia"/>
          <w:color w:val="000000"/>
          <w:kern w:val="0"/>
          <w:lang w:val="en-US" w:eastAsia="zh-CN" w:bidi="ar"/>
        </w:rPr>
        <w:t>为进一步强化施工安全管理，筑牢安全生产防线，实现安全管理从“被动应对”到“主动防控”的根本性转变，护航项目施工生产行稳致远，特在施工全过程全面推行“136”安全管理模式，具体措施如下：</w:t>
      </w:r>
    </w:p>
    <w:p w14:paraId="06337B72">
      <w:pPr>
        <w:widowControl/>
        <w:ind w:firstLine="480" w:firstLineChars="200"/>
        <w:jc w:val="left"/>
        <w:rPr>
          <w:rFonts w:hint="eastAsia"/>
          <w:color w:val="000000"/>
          <w:kern w:val="0"/>
          <w:lang w:bidi="ar"/>
        </w:rPr>
      </w:pPr>
      <w:r>
        <w:rPr>
          <w:rFonts w:hint="eastAsia"/>
          <w:color w:val="000000"/>
          <w:kern w:val="0"/>
          <w:lang w:val="en-US" w:eastAsia="zh-CN" w:bidi="ar"/>
        </w:rPr>
        <w:t>1、</w:t>
      </w:r>
      <w:r>
        <w:rPr>
          <w:rFonts w:hint="eastAsia"/>
          <w:color w:val="000000"/>
          <w:kern w:val="0"/>
          <w:lang w:bidi="ar"/>
        </w:rPr>
        <w:t>以安全文化为引领，筑牢思想根基</w:t>
      </w:r>
    </w:p>
    <w:p w14:paraId="16E5F3A5">
      <w:pPr>
        <w:widowControl/>
        <w:ind w:firstLine="480" w:firstLineChars="200"/>
        <w:jc w:val="left"/>
        <w:rPr>
          <w:rFonts w:hint="eastAsia"/>
          <w:color w:val="000000"/>
          <w:kern w:val="0"/>
          <w:lang w:bidi="ar"/>
        </w:rPr>
      </w:pPr>
      <w:r>
        <w:rPr>
          <w:rFonts w:hint="eastAsia"/>
          <w:color w:val="000000"/>
          <w:kern w:val="0"/>
          <w:lang w:val="en-US" w:eastAsia="zh-CN" w:bidi="ar"/>
        </w:rPr>
        <w:t>坚持以“敬畏生命”为核心文化理念，深度厚植“怕死”的安全文化内涵，始终秉持“以人为本、生命至上”的根本原则。各施工单位、各部门需将“安全第一、安全是基础、安全是前提”的理念贯穿施工策划、现场作业、验收交付等生产经营全过程。</w:t>
      </w:r>
    </w:p>
    <w:p w14:paraId="60A3B3B4">
      <w:pPr>
        <w:widowControl/>
        <w:ind w:firstLine="480" w:firstLineChars="200"/>
        <w:jc w:val="left"/>
        <w:rPr>
          <w:rFonts w:hint="eastAsia"/>
          <w:color w:val="000000"/>
          <w:kern w:val="0"/>
          <w:lang w:bidi="ar"/>
        </w:rPr>
      </w:pPr>
      <w:r>
        <w:rPr>
          <w:rFonts w:hint="eastAsia"/>
          <w:color w:val="000000"/>
          <w:kern w:val="0"/>
          <w:lang w:val="en-US" w:eastAsia="zh-CN" w:bidi="ar"/>
        </w:rPr>
        <w:t>重点推动“安全第一、预防为主”“不出事、干成事”“人人都是安全员”等核心安全理念转化为全员的思想自觉和行动自觉。通过常态化安全文化宣贯、案例警示教育、理念上墙入心等方式，破除“重进度、轻安全”的错误认知，引导全员从思想根源上重视安全，夯实安全管理的思想基础。</w:t>
      </w:r>
    </w:p>
    <w:p w14:paraId="4D3AA859">
      <w:pPr>
        <w:widowControl/>
        <w:ind w:firstLine="480" w:firstLineChars="200"/>
        <w:jc w:val="left"/>
        <w:rPr>
          <w:rFonts w:hint="eastAsia"/>
          <w:color w:val="000000"/>
          <w:kern w:val="0"/>
          <w:lang w:bidi="ar"/>
        </w:rPr>
      </w:pPr>
      <w:r>
        <w:rPr>
          <w:rFonts w:hint="eastAsia"/>
          <w:color w:val="000000"/>
          <w:kern w:val="0"/>
          <w:lang w:val="en-US" w:eastAsia="zh-CN" w:bidi="ar"/>
        </w:rPr>
        <w:t>2</w:t>
      </w:r>
      <w:r>
        <w:rPr>
          <w:rFonts w:hint="eastAsia"/>
          <w:color w:val="000000"/>
          <w:kern w:val="0"/>
          <w:lang w:bidi="ar"/>
        </w:rPr>
        <w:t>、以三大抓手为支撑，夯实基层根基</w:t>
      </w:r>
    </w:p>
    <w:p w14:paraId="1DF9435B">
      <w:pPr>
        <w:widowControl/>
        <w:ind w:firstLine="480" w:firstLineChars="200"/>
        <w:jc w:val="left"/>
        <w:rPr>
          <w:rFonts w:hint="eastAsia"/>
          <w:color w:val="000000"/>
          <w:kern w:val="0"/>
          <w:lang w:bidi="ar"/>
        </w:rPr>
      </w:pPr>
      <w:r>
        <w:rPr>
          <w:rFonts w:hint="eastAsia"/>
          <w:color w:val="000000"/>
          <w:kern w:val="0"/>
          <w:lang w:val="en-US" w:eastAsia="zh-CN" w:bidi="ar"/>
        </w:rPr>
        <w:t>①</w:t>
      </w:r>
      <w:r>
        <w:rPr>
          <w:rFonts w:hint="eastAsia"/>
          <w:color w:val="000000"/>
          <w:kern w:val="0"/>
          <w:lang w:bidi="ar"/>
        </w:rPr>
        <w:t>深化“班前5分钟”安全教育机制</w:t>
      </w:r>
    </w:p>
    <w:p w14:paraId="4D1F3FD3">
      <w:pPr>
        <w:widowControl/>
        <w:ind w:firstLine="480" w:firstLineChars="200"/>
        <w:jc w:val="left"/>
        <w:rPr>
          <w:rFonts w:hint="eastAsia"/>
          <w:color w:val="000000"/>
          <w:kern w:val="0"/>
          <w:lang w:bidi="ar"/>
        </w:rPr>
      </w:pPr>
      <w:r>
        <w:rPr>
          <w:rFonts w:hint="eastAsia"/>
          <w:color w:val="000000"/>
          <w:kern w:val="0"/>
          <w:lang w:val="en-US" w:eastAsia="zh-CN" w:bidi="ar"/>
        </w:rPr>
        <w:t>将“班前5分钟”安全教育作为一线作业安全管控的首要环节，以“四件套+事故案例+风险提示”为核心开展标准化教育培训。其中，“四件套”明确为安全规章制度摘要、岗位操作要点、当日作业风险点、应急处置小技巧。</w:t>
      </w:r>
    </w:p>
    <w:p w14:paraId="09F7B416">
      <w:pPr>
        <w:widowControl/>
        <w:ind w:firstLine="480" w:firstLineChars="200"/>
        <w:jc w:val="left"/>
        <w:rPr>
          <w:rFonts w:hint="eastAsia"/>
          <w:color w:val="000000"/>
          <w:kern w:val="0"/>
          <w:lang w:bidi="ar"/>
        </w:rPr>
      </w:pPr>
      <w:r>
        <w:rPr>
          <w:rFonts w:hint="eastAsia"/>
          <w:color w:val="000000"/>
          <w:kern w:val="0"/>
          <w:lang w:val="en-US" w:eastAsia="zh-CN" w:bidi="ar"/>
        </w:rPr>
        <w:t>结合钢筋加工、模板安装、混凝土浇筑、高空作业、临时用电等不同岗位特点，针对性设计教育培训内容，重点强化作业人员的安全意识、规范操作技能及事故防范能力。通过每日班前集中宣讲、提问互动、现场演示等形式，确保安全要求入脑入心，从源头减少违规操作、冒险作业等行为。</w:t>
      </w:r>
    </w:p>
    <w:p w14:paraId="6370B3E9">
      <w:pPr>
        <w:widowControl/>
        <w:ind w:firstLine="480" w:firstLineChars="200"/>
        <w:jc w:val="left"/>
        <w:rPr>
          <w:rFonts w:hint="eastAsia"/>
          <w:color w:val="000000"/>
          <w:kern w:val="0"/>
          <w:lang w:bidi="ar"/>
        </w:rPr>
      </w:pPr>
      <w:r>
        <w:rPr>
          <w:rFonts w:hint="eastAsia"/>
          <w:color w:val="000000"/>
          <w:kern w:val="0"/>
          <w:lang w:val="en-US" w:eastAsia="zh-CN" w:bidi="ar"/>
        </w:rPr>
        <w:t>②</w:t>
      </w:r>
      <w:r>
        <w:rPr>
          <w:rFonts w:hint="eastAsia"/>
          <w:color w:val="000000"/>
          <w:kern w:val="0"/>
          <w:lang w:bidi="ar"/>
        </w:rPr>
        <w:t>夯实“红袖章”三级责任管控体系</w:t>
      </w:r>
    </w:p>
    <w:p w14:paraId="47587C14">
      <w:pPr>
        <w:widowControl/>
        <w:ind w:firstLine="480" w:firstLineChars="200"/>
        <w:jc w:val="left"/>
        <w:rPr>
          <w:rFonts w:hint="eastAsia"/>
          <w:color w:val="000000"/>
          <w:kern w:val="0"/>
          <w:lang w:bidi="ar"/>
        </w:rPr>
      </w:pPr>
      <w:r>
        <w:rPr>
          <w:rFonts w:hint="eastAsia"/>
          <w:color w:val="000000"/>
          <w:kern w:val="0"/>
          <w:lang w:val="en-US" w:eastAsia="zh-CN" w:bidi="ar"/>
        </w:rPr>
        <w:t>建立“项目级-班组级-作业点级”三级“红袖章”安全员管控机制，层层传导安全压力，逐级压实安全责任。明确要求每个施工点、作业区必须配备1-2名专职或兼职安全员，佩戴统一“红袖章”标识在岗履职。</w:t>
      </w:r>
    </w:p>
    <w:p w14:paraId="101E0FCB">
      <w:pPr>
        <w:widowControl/>
        <w:ind w:firstLine="480" w:firstLineChars="200"/>
        <w:jc w:val="left"/>
        <w:rPr>
          <w:rFonts w:hint="eastAsia"/>
          <w:color w:val="000000"/>
          <w:kern w:val="0"/>
          <w:lang w:bidi="ar"/>
        </w:rPr>
      </w:pPr>
      <w:r>
        <w:rPr>
          <w:rFonts w:hint="eastAsia"/>
          <w:color w:val="000000"/>
          <w:kern w:val="0"/>
          <w:lang w:val="en-US" w:eastAsia="zh-CN" w:bidi="ar"/>
        </w:rPr>
        <w:t>安全员需聚焦现场作业关键环节、高风险工序开展实时盯防，重点排查违章操作、防护设施缺失、隐患未整改等问题，做到发现问题立即制止、当场整改，实现安全监管无死角、全覆盖，切实提升现场安全管理实效。</w:t>
      </w:r>
    </w:p>
    <w:p w14:paraId="48E46578">
      <w:pPr>
        <w:widowControl/>
        <w:ind w:firstLine="480" w:firstLineChars="200"/>
        <w:jc w:val="left"/>
        <w:rPr>
          <w:rFonts w:hint="eastAsia"/>
          <w:color w:val="000000"/>
          <w:kern w:val="0"/>
          <w:lang w:bidi="ar"/>
        </w:rPr>
      </w:pPr>
      <w:r>
        <w:rPr>
          <w:rFonts w:hint="eastAsia"/>
          <w:color w:val="000000"/>
          <w:kern w:val="0"/>
          <w:lang w:val="en-US" w:eastAsia="zh-CN" w:bidi="ar"/>
        </w:rPr>
        <w:t>③</w:t>
      </w:r>
      <w:r>
        <w:rPr>
          <w:rFonts w:hint="eastAsia"/>
          <w:color w:val="000000"/>
          <w:kern w:val="0"/>
          <w:lang w:bidi="ar"/>
        </w:rPr>
        <w:t>发挥“安全管理日志”驱动作用</w:t>
      </w:r>
    </w:p>
    <w:p w14:paraId="71EC9559">
      <w:pPr>
        <w:widowControl/>
        <w:ind w:firstLine="480" w:firstLineChars="200"/>
        <w:jc w:val="left"/>
        <w:rPr>
          <w:rFonts w:hint="eastAsia"/>
          <w:color w:val="000000"/>
          <w:kern w:val="0"/>
          <w:lang w:bidi="ar"/>
        </w:rPr>
      </w:pPr>
      <w:r>
        <w:rPr>
          <w:rFonts w:hint="eastAsia"/>
          <w:color w:val="000000"/>
          <w:kern w:val="0"/>
          <w:lang w:val="en-US" w:eastAsia="zh-CN" w:bidi="ar"/>
        </w:rPr>
        <w:t>将“安全管理日志”作为专职安全管理人员履职尽责的核心载体，明确日志记录需涵盖当日安全检查内容、隐患排查情况、整改指令下达、整改结果复核、风险动态变化等关键信息。</w:t>
      </w:r>
    </w:p>
    <w:p w14:paraId="5A5D4070">
      <w:pPr>
        <w:widowControl/>
        <w:ind w:firstLine="480" w:firstLineChars="200"/>
        <w:jc w:val="left"/>
        <w:rPr>
          <w:rFonts w:hint="eastAsia"/>
          <w:color w:val="000000"/>
          <w:kern w:val="0"/>
          <w:lang w:bidi="ar"/>
        </w:rPr>
      </w:pPr>
      <w:r>
        <w:rPr>
          <w:rFonts w:hint="eastAsia"/>
          <w:color w:val="000000"/>
          <w:kern w:val="0"/>
          <w:lang w:val="en-US" w:eastAsia="zh-CN" w:bidi="ar"/>
        </w:rPr>
        <w:t>通过日志常态化记录，倒逼专职安全员主动履职，同时以日志为纽带，撬动技术、施工、物资等相关部门协同发力，针对日志中反映的共性问题、重大隐患开展联合整治。严格落实“三管三必须”“谁主管、谁负责”工作原则和全员安全生产责任制，形成“人人有责、层层负责”的责任落实闭环。</w:t>
      </w:r>
    </w:p>
    <w:p w14:paraId="7C56DAA8">
      <w:pPr>
        <w:widowControl/>
        <w:ind w:firstLine="480" w:firstLineChars="200"/>
        <w:jc w:val="left"/>
        <w:rPr>
          <w:rFonts w:hint="eastAsia"/>
          <w:color w:val="000000"/>
          <w:kern w:val="0"/>
          <w:lang w:bidi="ar"/>
        </w:rPr>
      </w:pPr>
      <w:r>
        <w:rPr>
          <w:rFonts w:hint="eastAsia"/>
          <w:color w:val="000000"/>
          <w:kern w:val="0"/>
          <w:lang w:val="en-US" w:eastAsia="zh-CN" w:bidi="ar"/>
        </w:rPr>
        <w:t>3</w:t>
      </w:r>
      <w:r>
        <w:rPr>
          <w:rFonts w:hint="eastAsia"/>
          <w:color w:val="000000"/>
          <w:kern w:val="0"/>
          <w:lang w:bidi="ar"/>
        </w:rPr>
        <w:t>、以六大体系为保障，完善管理根基</w:t>
      </w:r>
    </w:p>
    <w:p w14:paraId="2AC2A931">
      <w:pPr>
        <w:widowControl/>
        <w:ind w:firstLine="480" w:firstLineChars="200"/>
        <w:jc w:val="left"/>
        <w:rPr>
          <w:rFonts w:hint="eastAsia"/>
          <w:color w:val="000000"/>
          <w:kern w:val="0"/>
          <w:lang w:bidi="ar"/>
        </w:rPr>
      </w:pPr>
      <w:r>
        <w:rPr>
          <w:rFonts w:hint="eastAsia"/>
          <w:color w:val="000000"/>
          <w:kern w:val="0"/>
          <w:lang w:val="en-US" w:eastAsia="zh-CN" w:bidi="ar"/>
        </w:rPr>
        <w:t>①</w:t>
      </w:r>
      <w:r>
        <w:rPr>
          <w:rFonts w:hint="eastAsia"/>
          <w:color w:val="000000"/>
          <w:kern w:val="0"/>
          <w:lang w:bidi="ar"/>
        </w:rPr>
        <w:t>构建闭环责任体系</w:t>
      </w:r>
    </w:p>
    <w:p w14:paraId="6D1DE0B4">
      <w:pPr>
        <w:widowControl/>
        <w:ind w:firstLine="480" w:firstLineChars="200"/>
        <w:jc w:val="left"/>
        <w:rPr>
          <w:rFonts w:hint="eastAsia"/>
          <w:color w:val="000000"/>
          <w:kern w:val="0"/>
          <w:lang w:bidi="ar"/>
        </w:rPr>
      </w:pPr>
      <w:r>
        <w:rPr>
          <w:rFonts w:hint="eastAsia"/>
          <w:color w:val="000000"/>
          <w:kern w:val="0"/>
          <w:lang w:val="en-US" w:eastAsia="zh-CN" w:bidi="ar"/>
        </w:rPr>
        <w:t>以责任落实为根本，主动认领法律法规规定及上级单位、集团要求的两个层面12项安全责任，严格执行“三管三必须”“谁主管、谁负责”工作原则。按照“一级管一级、一级抓一级、层层抓落实”的要求，明确项目负责人、技术负责人、施工员、安全员、作业班组长及一线作业人员的具体安全职责，形成“各负其责、各尽其职、上下联动、齐抓共管、闭环管理”的安全管理格局。</w:t>
      </w:r>
    </w:p>
    <w:p w14:paraId="4E96C9C8">
      <w:pPr>
        <w:widowControl/>
        <w:ind w:firstLine="480" w:firstLineChars="200"/>
        <w:jc w:val="left"/>
        <w:rPr>
          <w:rFonts w:hint="eastAsia"/>
          <w:color w:val="000000"/>
          <w:kern w:val="0"/>
          <w:lang w:bidi="ar"/>
        </w:rPr>
      </w:pPr>
      <w:r>
        <w:rPr>
          <w:rFonts w:hint="eastAsia"/>
          <w:color w:val="000000"/>
          <w:kern w:val="0"/>
          <w:lang w:val="en-US" w:eastAsia="zh-CN" w:bidi="ar"/>
        </w:rPr>
        <w:t>建立责任清单公示制度和责任追溯机制，确保各项安全责任落到具体岗位、具体人员。</w:t>
      </w:r>
    </w:p>
    <w:p w14:paraId="6B7AC95B">
      <w:pPr>
        <w:widowControl/>
        <w:ind w:firstLine="480" w:firstLineChars="200"/>
        <w:jc w:val="left"/>
        <w:rPr>
          <w:rFonts w:hint="eastAsia"/>
          <w:color w:val="000000"/>
          <w:kern w:val="0"/>
          <w:lang w:bidi="ar"/>
        </w:rPr>
      </w:pPr>
      <w:r>
        <w:rPr>
          <w:rFonts w:hint="eastAsia"/>
          <w:color w:val="000000"/>
          <w:kern w:val="0"/>
          <w:lang w:val="en-US" w:eastAsia="zh-CN" w:bidi="ar"/>
        </w:rPr>
        <w:t>②</w:t>
      </w:r>
      <w:r>
        <w:rPr>
          <w:rFonts w:hint="eastAsia"/>
          <w:color w:val="000000"/>
          <w:kern w:val="0"/>
          <w:lang w:bidi="ar"/>
        </w:rPr>
        <w:t>健全科学制度体系</w:t>
      </w:r>
    </w:p>
    <w:p w14:paraId="11BA5601">
      <w:pPr>
        <w:widowControl/>
        <w:ind w:firstLine="480" w:firstLineChars="200"/>
        <w:jc w:val="left"/>
        <w:rPr>
          <w:rFonts w:hint="eastAsia"/>
          <w:color w:val="000000"/>
          <w:kern w:val="0"/>
          <w:lang w:bidi="ar"/>
        </w:rPr>
      </w:pPr>
      <w:r>
        <w:rPr>
          <w:rFonts w:hint="eastAsia"/>
          <w:color w:val="000000"/>
          <w:kern w:val="0"/>
          <w:lang w:val="en-US" w:eastAsia="zh-CN" w:bidi="ar"/>
        </w:rPr>
        <w:t>以制度规范为前提，借鉴集团“1+2+6+9”制度体系框架，结合安全生产8项基本制度和企业18项安全生产主体责任要求，修订完善本项目安全生产管理制度。重点涵盖施工安全策划、风险分级管控、隐患排查治理、安全教育培训、现场作业管理、应急管理、设备安全管理、文明施工等关键领域，形成“覆盖全面、衔接顺畅、执行有力”的制度体系。</w:t>
      </w:r>
    </w:p>
    <w:p w14:paraId="6EC9D76F">
      <w:pPr>
        <w:widowControl/>
        <w:ind w:firstLine="480" w:firstLineChars="200"/>
        <w:jc w:val="left"/>
        <w:rPr>
          <w:rFonts w:hint="eastAsia"/>
          <w:color w:val="000000"/>
          <w:kern w:val="0"/>
          <w:lang w:bidi="ar"/>
        </w:rPr>
      </w:pPr>
      <w:r>
        <w:rPr>
          <w:rFonts w:hint="eastAsia"/>
          <w:color w:val="000000"/>
          <w:kern w:val="0"/>
          <w:lang w:val="en-US" w:eastAsia="zh-CN" w:bidi="ar"/>
        </w:rPr>
        <w:t>加强制度宣贯培训和执行监督，定期开展制度执行情况检查，确保制度刚性落地，为安全管理提供坚实制度保障。</w:t>
      </w:r>
    </w:p>
    <w:p w14:paraId="296474FD">
      <w:pPr>
        <w:widowControl/>
        <w:ind w:firstLine="480" w:firstLineChars="200"/>
        <w:jc w:val="left"/>
        <w:rPr>
          <w:rFonts w:hint="eastAsia"/>
          <w:color w:val="000000"/>
          <w:kern w:val="0"/>
          <w:lang w:bidi="ar"/>
        </w:rPr>
      </w:pPr>
      <w:r>
        <w:rPr>
          <w:rFonts w:hint="eastAsia"/>
          <w:color w:val="000000"/>
          <w:kern w:val="0"/>
          <w:lang w:val="en-US" w:eastAsia="zh-CN" w:bidi="ar"/>
        </w:rPr>
        <w:t>③</w:t>
      </w:r>
      <w:r>
        <w:rPr>
          <w:rFonts w:hint="eastAsia"/>
          <w:color w:val="000000"/>
          <w:kern w:val="0"/>
          <w:lang w:bidi="ar"/>
        </w:rPr>
        <w:t>培育特色文化体系</w:t>
      </w:r>
    </w:p>
    <w:p w14:paraId="56F3C5B4">
      <w:pPr>
        <w:widowControl/>
        <w:ind w:firstLine="480" w:firstLineChars="200"/>
        <w:jc w:val="left"/>
        <w:rPr>
          <w:rFonts w:hint="eastAsia"/>
          <w:color w:val="000000"/>
          <w:kern w:val="0"/>
          <w:lang w:bidi="ar"/>
        </w:rPr>
      </w:pPr>
      <w:r>
        <w:rPr>
          <w:rFonts w:hint="eastAsia"/>
          <w:color w:val="000000"/>
          <w:kern w:val="0"/>
          <w:lang w:val="en-US" w:eastAsia="zh-CN" w:bidi="ar"/>
        </w:rPr>
        <w:t>以文化引领为导向，厚植“一个文化、三个品牌、多元化载体”的安全文化底蕴，其中“一个文化”即“敬畏生命”核心安全文化，“三个品牌”即“班前5分钟”“红袖章守护”“安全日志溯源”三大管理品牌。结合安全“大讲堂”、“安全生产月”、“百日安全行动”等主题活动，通过安全知识竞赛、应急演练比武、事故案例警示教育展、安全先进评选等多元化形式，营造“人人讲安全、事事为安全、时时想安全、个个会应急”的浓厚安全氛围。</w:t>
      </w:r>
    </w:p>
    <w:p w14:paraId="157A446D">
      <w:pPr>
        <w:widowControl/>
        <w:ind w:firstLine="480" w:firstLineChars="200"/>
        <w:jc w:val="left"/>
        <w:rPr>
          <w:rFonts w:hint="eastAsia"/>
          <w:color w:val="000000"/>
          <w:kern w:val="0"/>
          <w:lang w:bidi="ar"/>
        </w:rPr>
      </w:pPr>
      <w:r>
        <w:rPr>
          <w:rFonts w:hint="eastAsia"/>
          <w:color w:val="000000"/>
          <w:kern w:val="0"/>
          <w:lang w:val="en-US" w:eastAsia="zh-CN" w:bidi="ar"/>
        </w:rPr>
        <w:t>鼓励各班组打造安全文化特色载体，如安全宣传栏、班组安全角、安全家书等，增强安全文化的感染力和渗透力。</w:t>
      </w:r>
    </w:p>
    <w:p w14:paraId="64A74E87">
      <w:pPr>
        <w:widowControl/>
        <w:ind w:firstLine="480" w:firstLineChars="200"/>
        <w:jc w:val="left"/>
        <w:rPr>
          <w:rFonts w:hint="eastAsia"/>
          <w:color w:val="000000"/>
          <w:kern w:val="0"/>
          <w:lang w:bidi="ar"/>
        </w:rPr>
      </w:pPr>
      <w:r>
        <w:rPr>
          <w:rFonts w:hint="eastAsia"/>
          <w:color w:val="000000"/>
          <w:kern w:val="0"/>
          <w:lang w:val="en-US" w:eastAsia="zh-CN" w:bidi="ar"/>
        </w:rPr>
        <w:t>④</w:t>
      </w:r>
      <w:r>
        <w:rPr>
          <w:rFonts w:hint="eastAsia"/>
          <w:color w:val="000000"/>
          <w:kern w:val="0"/>
          <w:lang w:bidi="ar"/>
        </w:rPr>
        <w:t>构建风险防控体系</w:t>
      </w:r>
    </w:p>
    <w:p w14:paraId="5858D90C">
      <w:pPr>
        <w:widowControl/>
        <w:ind w:firstLine="480" w:firstLineChars="200"/>
        <w:jc w:val="left"/>
        <w:rPr>
          <w:rFonts w:hint="eastAsia"/>
          <w:color w:val="000000"/>
          <w:kern w:val="0"/>
          <w:lang w:bidi="ar"/>
        </w:rPr>
      </w:pPr>
      <w:r>
        <w:rPr>
          <w:rFonts w:hint="eastAsia"/>
          <w:color w:val="000000"/>
          <w:kern w:val="0"/>
          <w:lang w:val="en-US" w:eastAsia="zh-CN" w:bidi="ar"/>
        </w:rPr>
        <w:t>以风险防控为核心，建立施工安全风险防控“一张图”，明确各施工阶段、各作业区域的重大风险源位置、风险等级、管控措施及责任人员。严格落实各类风险防控清单、动态责任管控图及汛期、雨季、高温等特殊时期“1+1+N”防控工作体系（即1名牵头负责人+1套专项方案+N项具体措施）。</w:t>
      </w:r>
    </w:p>
    <w:p w14:paraId="4F440DE2">
      <w:pPr>
        <w:widowControl/>
        <w:ind w:firstLine="480" w:firstLineChars="200"/>
        <w:jc w:val="left"/>
        <w:rPr>
          <w:rFonts w:hint="eastAsia"/>
          <w:color w:val="000000"/>
          <w:kern w:val="0"/>
          <w:lang w:bidi="ar"/>
        </w:rPr>
      </w:pPr>
      <w:r>
        <w:rPr>
          <w:rFonts w:hint="eastAsia"/>
          <w:color w:val="000000"/>
          <w:kern w:val="0"/>
          <w:lang w:val="en-US" w:eastAsia="zh-CN" w:bidi="ar"/>
        </w:rPr>
        <w:t>通过系统化部署风险辨识评估、标准化推进风险管控措施、清单化管理风险防控责任、现场实景远程管控风险动态等方式，实现风险“可知、可防、可控”，事件“早发现、早处置、早消除”，责任“可追溯、可倒查、可追究”。</w:t>
      </w:r>
    </w:p>
    <w:p w14:paraId="66BA075C">
      <w:pPr>
        <w:widowControl/>
        <w:ind w:firstLine="480" w:firstLineChars="200"/>
        <w:jc w:val="left"/>
        <w:rPr>
          <w:rFonts w:hint="eastAsia"/>
          <w:color w:val="000000"/>
          <w:kern w:val="0"/>
          <w:lang w:bidi="ar"/>
        </w:rPr>
      </w:pPr>
      <w:r>
        <w:rPr>
          <w:rFonts w:hint="eastAsia"/>
          <w:color w:val="000000"/>
          <w:kern w:val="0"/>
          <w:lang w:val="en-US" w:eastAsia="zh-CN" w:bidi="ar"/>
        </w:rPr>
        <w:t>⑤</w:t>
      </w:r>
      <w:r>
        <w:rPr>
          <w:rFonts w:hint="eastAsia"/>
          <w:color w:val="000000"/>
          <w:kern w:val="0"/>
          <w:lang w:bidi="ar"/>
        </w:rPr>
        <w:t>强化应急管理体系</w:t>
      </w:r>
    </w:p>
    <w:p w14:paraId="1F246BDF">
      <w:pPr>
        <w:widowControl/>
        <w:ind w:firstLine="480" w:firstLineChars="200"/>
        <w:jc w:val="left"/>
        <w:rPr>
          <w:rFonts w:hint="eastAsia"/>
          <w:color w:val="000000"/>
          <w:kern w:val="0"/>
          <w:lang w:bidi="ar"/>
        </w:rPr>
      </w:pPr>
      <w:r>
        <w:rPr>
          <w:rFonts w:hint="eastAsia"/>
          <w:color w:val="000000"/>
          <w:kern w:val="0"/>
          <w:lang w:val="en-US" w:eastAsia="zh-CN" w:bidi="ar"/>
        </w:rPr>
        <w:t>以应急保障为底线，坚持居安思危、预防为主的原则，全面强化应急管理体系建设。重点从四个方面发力：一是修订完善高处坠落、物体打击、坍塌、触电、火灾等常见事故及极端天气的应急预案，增强预案的针对性和可操作性；二是按照应急预案要求足额储备应急救援物资，定期开展物资检查、维护和更新，确保应急时拿得出、用得上；三是组建项目应急救援队伍，吸纳施工骨干、技术人员参与，定期开展应急演练，提升队伍实战能力；四是加强应急能力培训，提升全员应急处置意识和初发事故处置能力，优化应急救援流程，缩短突发事件响应时间，全面提升应急处置水平。</w:t>
      </w:r>
    </w:p>
    <w:p w14:paraId="1FA6BC7C">
      <w:pPr>
        <w:widowControl/>
        <w:ind w:firstLine="480" w:firstLineChars="200"/>
        <w:jc w:val="left"/>
        <w:rPr>
          <w:rFonts w:hint="eastAsia"/>
          <w:color w:val="000000"/>
          <w:kern w:val="0"/>
          <w:lang w:bidi="ar"/>
        </w:rPr>
      </w:pPr>
      <w:r>
        <w:rPr>
          <w:rFonts w:hint="eastAsia"/>
          <w:color w:val="000000"/>
          <w:kern w:val="0"/>
          <w:lang w:val="en-US" w:eastAsia="zh-CN" w:bidi="ar"/>
        </w:rPr>
        <w:t>⑥</w:t>
      </w:r>
      <w:r>
        <w:rPr>
          <w:rFonts w:hint="eastAsia"/>
          <w:color w:val="000000"/>
          <w:kern w:val="0"/>
          <w:lang w:bidi="ar"/>
        </w:rPr>
        <w:t>建立刚性考核体系</w:t>
      </w:r>
    </w:p>
    <w:p w14:paraId="500F27E9">
      <w:pPr>
        <w:widowControl/>
        <w:ind w:firstLine="480" w:firstLineChars="200"/>
        <w:jc w:val="left"/>
        <w:rPr>
          <w:rFonts w:hint="eastAsia"/>
          <w:color w:val="000000"/>
          <w:kern w:val="0"/>
          <w:lang w:bidi="ar"/>
        </w:rPr>
      </w:pPr>
      <w:r>
        <w:rPr>
          <w:rFonts w:hint="eastAsia"/>
          <w:color w:val="000000"/>
          <w:kern w:val="0"/>
          <w:lang w:val="en-US" w:eastAsia="zh-CN" w:bidi="ar"/>
        </w:rPr>
        <w:t>以考核激励为手段，紧扣集团年度安全管理重点任务及考核标准，结合项目施工实际制定科学细化的安全考核机制。考核内容涵盖责任落实、制度执行、隐患整改、教育培训、应急管理、安全绩效等关键指标，实行“日常检查+月度考核+年度考评”相结合的考核方式。</w:t>
      </w:r>
    </w:p>
    <w:p w14:paraId="2F126475">
      <w:pPr>
        <w:widowControl/>
        <w:ind w:firstLine="480" w:firstLineChars="200"/>
        <w:jc w:val="left"/>
        <w:rPr>
          <w:rFonts w:hint="default"/>
          <w:color w:val="000000"/>
          <w:kern w:val="0"/>
          <w:lang w:val="en-US" w:eastAsia="zh-CN" w:bidi="ar"/>
        </w:rPr>
      </w:pPr>
      <w:r>
        <w:rPr>
          <w:rFonts w:hint="eastAsia"/>
          <w:color w:val="000000"/>
          <w:kern w:val="0"/>
          <w:lang w:val="en-US" w:eastAsia="zh-CN" w:bidi="ar"/>
        </w:rPr>
        <w:t>建立鲜明的奖惩机制，对安全管理表现突出的单位、班组和个人予以通报表彰及物质奖励；对安全责任落实不力、隐患整改不及时、发生安全事故或违规行为的，严格按照考核办法追责问责，以刚性考核导向引领安全管理工作方向，激发全员安全管理积极性。</w:t>
      </w:r>
    </w:p>
    <w:p w14:paraId="199F07FC">
      <w:pPr>
        <w:widowControl/>
        <w:ind w:firstLine="480" w:firstLineChars="200"/>
        <w:jc w:val="left"/>
      </w:pPr>
      <w:r>
        <w:rPr>
          <w:rFonts w:hint="eastAsia"/>
          <w:color w:val="000000"/>
          <w:kern w:val="0"/>
          <w:lang w:bidi="ar"/>
        </w:rPr>
        <w:t>（</w:t>
      </w:r>
      <w:r>
        <w:rPr>
          <w:rFonts w:hint="eastAsia" w:ascii="Times New Roman" w:hAnsi="Times New Roman" w:cs="Times New Roman"/>
          <w:color w:val="000000"/>
          <w:kern w:val="0"/>
          <w:lang w:val="en-US" w:eastAsia="zh-CN" w:bidi="ar"/>
        </w:rPr>
        <w:t>9</w:t>
      </w:r>
      <w:r>
        <w:rPr>
          <w:rFonts w:hint="eastAsia"/>
          <w:color w:val="000000"/>
          <w:kern w:val="0"/>
          <w:lang w:bidi="ar"/>
        </w:rPr>
        <w:t xml:space="preserve">）确定安全管理目标和安全防范要点 </w:t>
      </w:r>
    </w:p>
    <w:p w14:paraId="760B322F">
      <w:pPr>
        <w:widowControl/>
        <w:ind w:firstLine="480" w:firstLineChars="200"/>
        <w:jc w:val="left"/>
        <w:rPr>
          <w:color w:val="000000"/>
          <w:kern w:val="0"/>
          <w:lang w:bidi="ar"/>
        </w:rPr>
      </w:pPr>
      <w:r>
        <w:rPr>
          <w:rFonts w:hint="eastAsia"/>
          <w:color w:val="000000"/>
          <w:kern w:val="0"/>
          <w:lang w:bidi="ar"/>
        </w:rPr>
        <w:t>①本项目安全目标确定为：</w:t>
      </w:r>
      <w:r>
        <w:rPr>
          <w:rFonts w:ascii="Times New Roman" w:hAnsi="Times New Roman" w:cs="Times New Roman"/>
          <w:color w:val="000000"/>
          <w:kern w:val="0"/>
          <w:lang w:bidi="ar"/>
        </w:rPr>
        <w:t>1</w:t>
      </w:r>
      <w:r>
        <w:rPr>
          <w:rFonts w:hint="eastAsia"/>
          <w:color w:val="000000"/>
          <w:kern w:val="0"/>
          <w:lang w:bidi="ar"/>
        </w:rPr>
        <w:t>）不发生重大工伤死亡事故，杜绝伤亡事故，减少一般事故，负伤率小于</w:t>
      </w:r>
      <w:r>
        <w:rPr>
          <w:rFonts w:ascii="Times New Roman" w:hAnsi="Times New Roman" w:cs="Times New Roman"/>
          <w:color w:val="000000"/>
          <w:kern w:val="0"/>
          <w:lang w:bidi="ar"/>
        </w:rPr>
        <w:t>0.3%</w:t>
      </w:r>
      <w:r>
        <w:rPr>
          <w:rFonts w:hint="eastAsia"/>
          <w:color w:val="000000"/>
          <w:kern w:val="0"/>
          <w:lang w:bidi="ar"/>
        </w:rPr>
        <w:t>。</w:t>
      </w:r>
      <w:r>
        <w:rPr>
          <w:rFonts w:ascii="Times New Roman" w:hAnsi="Times New Roman" w:cs="Times New Roman"/>
          <w:color w:val="000000"/>
          <w:kern w:val="0"/>
          <w:lang w:bidi="ar"/>
        </w:rPr>
        <w:t>2</w:t>
      </w:r>
      <w:r>
        <w:rPr>
          <w:rFonts w:hint="eastAsia"/>
          <w:color w:val="000000"/>
          <w:kern w:val="0"/>
          <w:lang w:bidi="ar"/>
        </w:rPr>
        <w:t>）不发生重大机损责任事故，减少和控制一般机损责任事故。</w:t>
      </w:r>
      <w:r>
        <w:rPr>
          <w:rFonts w:ascii="Times New Roman" w:hAnsi="Times New Roman" w:cs="Times New Roman"/>
          <w:color w:val="000000"/>
          <w:kern w:val="0"/>
          <w:lang w:bidi="ar"/>
        </w:rPr>
        <w:t>3</w:t>
      </w:r>
      <w:r>
        <w:rPr>
          <w:rFonts w:hint="eastAsia"/>
          <w:color w:val="000000"/>
          <w:kern w:val="0"/>
          <w:lang w:bidi="ar"/>
        </w:rPr>
        <w:t>）不发生重大火灾和爆炸事故。</w:t>
      </w:r>
      <w:r>
        <w:rPr>
          <w:rFonts w:ascii="Times New Roman" w:hAnsi="Times New Roman" w:cs="Times New Roman"/>
          <w:color w:val="000000"/>
          <w:kern w:val="0"/>
          <w:lang w:bidi="ar"/>
        </w:rPr>
        <w:t>4</w:t>
      </w:r>
      <w:r>
        <w:rPr>
          <w:rFonts w:hint="eastAsia"/>
          <w:color w:val="000000"/>
          <w:kern w:val="0"/>
          <w:lang w:bidi="ar"/>
        </w:rPr>
        <w:t>）不发生重大管线责任事故。</w:t>
      </w:r>
      <w:r>
        <w:rPr>
          <w:rFonts w:ascii="Times New Roman" w:hAnsi="Times New Roman" w:cs="Times New Roman"/>
          <w:color w:val="000000"/>
          <w:kern w:val="0"/>
          <w:lang w:bidi="ar"/>
        </w:rPr>
        <w:t>5</w:t>
      </w:r>
      <w:r>
        <w:rPr>
          <w:rFonts w:hint="eastAsia"/>
          <w:color w:val="000000"/>
          <w:kern w:val="0"/>
          <w:lang w:bidi="ar"/>
        </w:rPr>
        <w:t>）重大危险源得到控制和消除。重大事故隐患整改合格率</w:t>
      </w:r>
      <w:r>
        <w:rPr>
          <w:rFonts w:ascii="Times New Roman" w:hAnsi="Times New Roman" w:cs="Times New Roman"/>
          <w:color w:val="000000"/>
          <w:kern w:val="0"/>
          <w:lang w:bidi="ar"/>
        </w:rPr>
        <w:t>100%</w:t>
      </w:r>
      <w:r>
        <w:rPr>
          <w:rFonts w:hint="eastAsia"/>
          <w:color w:val="000000"/>
          <w:kern w:val="0"/>
          <w:lang w:bidi="ar"/>
        </w:rPr>
        <w:t>。</w:t>
      </w:r>
      <w:r>
        <w:rPr>
          <w:rFonts w:ascii="Times New Roman" w:hAnsi="Times New Roman" w:cs="Times New Roman"/>
          <w:color w:val="000000"/>
          <w:kern w:val="0"/>
          <w:lang w:bidi="ar"/>
        </w:rPr>
        <w:t>6</w:t>
      </w:r>
      <w:r>
        <w:rPr>
          <w:rFonts w:hint="eastAsia"/>
          <w:color w:val="000000"/>
          <w:kern w:val="0"/>
          <w:lang w:bidi="ar"/>
        </w:rPr>
        <w:t xml:space="preserve">）特种设备安全运行取证率为 </w:t>
      </w:r>
      <w:r>
        <w:rPr>
          <w:rFonts w:ascii="Times New Roman" w:hAnsi="Times New Roman" w:cs="Times New Roman"/>
          <w:color w:val="000000"/>
          <w:kern w:val="0"/>
          <w:lang w:bidi="ar"/>
        </w:rPr>
        <w:t>100%</w:t>
      </w:r>
      <w:r>
        <w:rPr>
          <w:rFonts w:hint="eastAsia"/>
          <w:color w:val="000000"/>
          <w:kern w:val="0"/>
          <w:lang w:bidi="ar"/>
        </w:rPr>
        <w:t>。</w:t>
      </w:r>
      <w:r>
        <w:rPr>
          <w:rFonts w:ascii="Times New Roman" w:hAnsi="Times New Roman" w:cs="Times New Roman"/>
          <w:color w:val="000000"/>
          <w:kern w:val="0"/>
          <w:lang w:bidi="ar"/>
        </w:rPr>
        <w:t>7</w:t>
      </w:r>
      <w:r>
        <w:rPr>
          <w:rFonts w:hint="eastAsia"/>
          <w:color w:val="000000"/>
          <w:kern w:val="0"/>
          <w:lang w:bidi="ar"/>
        </w:rPr>
        <w:t>）特种作业人员持证上岗有效率为</w:t>
      </w:r>
      <w:r>
        <w:rPr>
          <w:rFonts w:ascii="Times New Roman" w:hAnsi="Times New Roman" w:cs="Times New Roman"/>
          <w:color w:val="000000"/>
          <w:kern w:val="0"/>
          <w:lang w:bidi="ar"/>
        </w:rPr>
        <w:t>100%</w:t>
      </w:r>
      <w:r>
        <w:rPr>
          <w:rFonts w:hint="eastAsia"/>
          <w:color w:val="000000"/>
          <w:kern w:val="0"/>
          <w:lang w:bidi="ar"/>
        </w:rPr>
        <w:t>。</w:t>
      </w:r>
    </w:p>
    <w:p w14:paraId="25CBD17E">
      <w:pPr>
        <w:widowControl/>
        <w:ind w:firstLine="480" w:firstLineChars="200"/>
        <w:jc w:val="left"/>
      </w:pPr>
      <w:r>
        <w:rPr>
          <w:rFonts w:hint="eastAsia"/>
          <w:color w:val="000000"/>
          <w:kern w:val="0"/>
          <w:lang w:bidi="ar"/>
        </w:rPr>
        <w:t>②根据本区间工程特点，安全防范重点有以下几个方面</w:t>
      </w:r>
    </w:p>
    <w:p w14:paraId="4752FAF9">
      <w:pPr>
        <w:widowControl/>
        <w:ind w:firstLine="480" w:firstLineChars="200"/>
        <w:jc w:val="left"/>
      </w:pPr>
      <w:r>
        <w:rPr>
          <w:rFonts w:ascii="Times New Roman" w:hAnsi="Times New Roman" w:cs="Times New Roman"/>
          <w:color w:val="000000"/>
          <w:kern w:val="0"/>
          <w:lang w:bidi="ar"/>
        </w:rPr>
        <w:t xml:space="preserve">a </w:t>
      </w:r>
      <w:r>
        <w:rPr>
          <w:rFonts w:hint="eastAsia"/>
          <w:color w:val="000000"/>
          <w:kern w:val="0"/>
          <w:lang w:bidi="ar"/>
        </w:rPr>
        <w:t xml:space="preserve">防开挖坍塌事故； </w:t>
      </w:r>
    </w:p>
    <w:p w14:paraId="0400B32F">
      <w:pPr>
        <w:widowControl/>
        <w:ind w:firstLine="480" w:firstLineChars="200"/>
        <w:jc w:val="left"/>
      </w:pPr>
      <w:r>
        <w:rPr>
          <w:rFonts w:ascii="Times New Roman" w:hAnsi="Times New Roman" w:cs="Times New Roman"/>
          <w:color w:val="000000"/>
          <w:kern w:val="0"/>
          <w:lang w:bidi="ar"/>
        </w:rPr>
        <w:t xml:space="preserve">b </w:t>
      </w:r>
      <w:r>
        <w:rPr>
          <w:rFonts w:hint="eastAsia"/>
          <w:color w:val="000000"/>
          <w:kern w:val="0"/>
          <w:lang w:bidi="ar"/>
        </w:rPr>
        <w:t xml:space="preserve">防物体坠落倒塌伤人事故； </w:t>
      </w:r>
    </w:p>
    <w:p w14:paraId="55B28D51">
      <w:pPr>
        <w:widowControl/>
        <w:ind w:firstLine="480" w:firstLineChars="200"/>
        <w:jc w:val="left"/>
      </w:pPr>
      <w:r>
        <w:rPr>
          <w:rFonts w:ascii="Times New Roman" w:hAnsi="Times New Roman" w:cs="Times New Roman"/>
          <w:color w:val="000000"/>
          <w:kern w:val="0"/>
          <w:lang w:bidi="ar"/>
        </w:rPr>
        <w:t xml:space="preserve">c </w:t>
      </w:r>
      <w:r>
        <w:rPr>
          <w:rFonts w:hint="eastAsia"/>
          <w:color w:val="000000"/>
          <w:kern w:val="0"/>
          <w:lang w:bidi="ar"/>
        </w:rPr>
        <w:t xml:space="preserve">防起重及机械伤害事故； </w:t>
      </w:r>
    </w:p>
    <w:p w14:paraId="6080E2EF">
      <w:pPr>
        <w:widowControl/>
        <w:ind w:firstLine="480" w:firstLineChars="200"/>
        <w:jc w:val="left"/>
      </w:pPr>
      <w:r>
        <w:rPr>
          <w:rFonts w:ascii="Times New Roman" w:hAnsi="Times New Roman" w:cs="Times New Roman"/>
          <w:color w:val="000000"/>
          <w:kern w:val="0"/>
          <w:lang w:bidi="ar"/>
        </w:rPr>
        <w:t xml:space="preserve">d </w:t>
      </w:r>
      <w:r>
        <w:rPr>
          <w:rFonts w:hint="eastAsia"/>
          <w:color w:val="000000"/>
          <w:kern w:val="0"/>
          <w:lang w:bidi="ar"/>
        </w:rPr>
        <w:t xml:space="preserve">防触电电击事故； </w:t>
      </w:r>
    </w:p>
    <w:p w14:paraId="0E5B10D1">
      <w:pPr>
        <w:widowControl/>
        <w:ind w:firstLine="480" w:firstLineChars="200"/>
        <w:jc w:val="left"/>
      </w:pPr>
      <w:r>
        <w:rPr>
          <w:rFonts w:ascii="Times New Roman" w:hAnsi="Times New Roman" w:cs="Times New Roman"/>
          <w:color w:val="000000"/>
          <w:kern w:val="0"/>
          <w:lang w:bidi="ar"/>
        </w:rPr>
        <w:t xml:space="preserve">e </w:t>
      </w:r>
      <w:r>
        <w:rPr>
          <w:rFonts w:hint="eastAsia"/>
          <w:color w:val="000000"/>
          <w:kern w:val="0"/>
          <w:lang w:bidi="ar"/>
        </w:rPr>
        <w:t xml:space="preserve">防爆破伤人及破坏建（构）筑物事故； </w:t>
      </w:r>
    </w:p>
    <w:p w14:paraId="314080FA">
      <w:pPr>
        <w:widowControl/>
        <w:ind w:firstLine="480" w:firstLineChars="200"/>
        <w:jc w:val="left"/>
      </w:pPr>
      <w:r>
        <w:rPr>
          <w:rFonts w:ascii="Times New Roman" w:hAnsi="Times New Roman" w:cs="Times New Roman"/>
          <w:color w:val="000000"/>
          <w:kern w:val="0"/>
          <w:lang w:bidi="ar"/>
        </w:rPr>
        <w:t xml:space="preserve">f </w:t>
      </w:r>
      <w:r>
        <w:rPr>
          <w:rFonts w:hint="eastAsia"/>
          <w:color w:val="000000"/>
          <w:kern w:val="0"/>
          <w:lang w:bidi="ar"/>
        </w:rPr>
        <w:t xml:space="preserve">防高处坠落事故； </w:t>
      </w:r>
    </w:p>
    <w:p w14:paraId="301B64D8">
      <w:pPr>
        <w:widowControl/>
        <w:ind w:firstLine="480" w:firstLineChars="200"/>
        <w:jc w:val="left"/>
        <w:rPr>
          <w:rFonts w:hint="eastAsia" w:ascii="Times New Roman" w:hAnsi="Times New Roman" w:eastAsia="宋体" w:cs="Times New Roman"/>
          <w:color w:val="000000"/>
          <w:kern w:val="0"/>
          <w:lang w:val="en-US" w:eastAsia="zh-CN" w:bidi="ar"/>
        </w:rPr>
      </w:pPr>
      <w:r>
        <w:rPr>
          <w:rFonts w:ascii="Times New Roman" w:hAnsi="Times New Roman" w:eastAsia="宋体" w:cs="Times New Roman"/>
          <w:color w:val="000000"/>
          <w:kern w:val="0"/>
          <w:lang w:bidi="ar"/>
        </w:rPr>
        <w:t xml:space="preserve">g </w:t>
      </w:r>
      <w:r>
        <w:rPr>
          <w:rFonts w:hint="eastAsia" w:ascii="Times New Roman" w:hAnsi="Times New Roman" w:eastAsia="宋体" w:cs="Times New Roman"/>
          <w:color w:val="000000"/>
          <w:kern w:val="0"/>
          <w:lang w:bidi="ar"/>
        </w:rPr>
        <w:t>防行车交通事故；</w:t>
      </w:r>
    </w:p>
    <w:p w14:paraId="5882AF15">
      <w:pPr>
        <w:pStyle w:val="4"/>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r>
        <w:rPr>
          <w:rFonts w:hint="eastAsia" w:cs="Times New Roman"/>
          <w:b/>
          <w:color w:val="000000" w:themeColor="text1"/>
          <w:kern w:val="2"/>
          <w:sz w:val="28"/>
          <w:szCs w:val="22"/>
          <w:lang w:val="en-US" w:eastAsia="zh-CN" w:bidi="ar-SA"/>
          <w14:textFill>
            <w14:solidFill>
              <w14:schemeClr w14:val="tx1"/>
            </w14:solidFill>
          </w14:textFill>
        </w:rPr>
        <w:t>安全生产预案</w:t>
      </w:r>
    </w:p>
    <w:p w14:paraId="4BD34E0D">
      <w:pPr>
        <w:ind w:firstLine="480" w:firstLineChars="200"/>
      </w:pPr>
      <w:bookmarkStart w:id="206" w:name="_Toc16237"/>
      <w:r>
        <w:rPr>
          <w:rFonts w:hint="eastAsia"/>
        </w:rPr>
        <w:t>1、建立健全安全生产管理机构</w:t>
      </w:r>
      <w:bookmarkEnd w:id="206"/>
    </w:p>
    <w:p w14:paraId="3E943710">
      <w:pPr>
        <w:widowControl/>
        <w:ind w:firstLine="480" w:firstLineChars="200"/>
        <w:jc w:val="left"/>
      </w:pPr>
      <w:r>
        <w:rPr>
          <w:rFonts w:hint="eastAsia"/>
          <w:color w:val="000000"/>
          <w:kern w:val="0"/>
          <w:lang w:bidi="ar"/>
        </w:rPr>
        <w:t xml:space="preserve">建立健全安全生产管理机构，增强全员安全意识。成立以项目经理为组长的 </w:t>
      </w:r>
    </w:p>
    <w:p w14:paraId="04CDB504">
      <w:pPr>
        <w:widowControl/>
        <w:jc w:val="left"/>
      </w:pPr>
      <w:r>
        <w:rPr>
          <w:rFonts w:hint="eastAsia"/>
          <w:color w:val="000000"/>
          <w:kern w:val="0"/>
          <w:lang w:bidi="ar"/>
        </w:rPr>
        <w:t xml:space="preserve">安全生产领导小组，全面负责并领导本项目的安全生产工作。项目部设安监部， </w:t>
      </w:r>
    </w:p>
    <w:p w14:paraId="6E579D21">
      <w:pPr>
        <w:widowControl/>
        <w:jc w:val="left"/>
      </w:pPr>
      <w:r>
        <w:rPr>
          <w:rFonts w:hint="eastAsia"/>
          <w:color w:val="000000"/>
          <w:kern w:val="0"/>
          <w:lang w:bidi="ar"/>
        </w:rPr>
        <w:t>安监部配齐专职安全工程师。施工队配置专职安全员。</w:t>
      </w:r>
      <w:r>
        <w:rPr>
          <w:rFonts w:hint="eastAsia"/>
        </w:rPr>
        <w:t>见图6.2.1-1。</w:t>
      </w:r>
    </w:p>
    <w:p w14:paraId="571357F0">
      <w:pPr>
        <w:ind w:firstLine="480" w:firstLineChars="200"/>
      </w:pPr>
      <w:bookmarkStart w:id="207" w:name="_Toc7353"/>
      <w:r>
        <w:rPr>
          <w:rFonts w:hint="eastAsia"/>
        </w:rPr>
        <w:t>2、</w:t>
      </w:r>
      <w:r>
        <w:rPr>
          <w:rFonts w:hint="eastAsia"/>
          <w:color w:val="000000"/>
          <w:kern w:val="0"/>
          <w:lang w:bidi="ar"/>
        </w:rPr>
        <w:t>落实安全生产责任制</w:t>
      </w:r>
      <w:bookmarkEnd w:id="207"/>
      <w:r>
        <w:rPr>
          <w:rFonts w:hint="eastAsia"/>
          <w:color w:val="000000"/>
          <w:kern w:val="0"/>
          <w:lang w:bidi="ar"/>
        </w:rPr>
        <w:t xml:space="preserve"> </w:t>
      </w:r>
    </w:p>
    <w:p w14:paraId="0C99C4B7">
      <w:pPr>
        <w:widowControl/>
        <w:ind w:firstLine="480" w:firstLineChars="200"/>
        <w:jc w:val="left"/>
      </w:pPr>
      <w:r>
        <w:rPr>
          <w:rFonts w:hint="eastAsia"/>
          <w:color w:val="000000"/>
          <w:kern w:val="0"/>
          <w:lang w:bidi="ar"/>
        </w:rPr>
        <w:t xml:space="preserve">①本项目实行安全生产三级管理，即：一级管理由经理负责，二级管理由专职安全员负责，三级管理由班组长负责，各作业点设共青团安全监督岗。 </w:t>
      </w:r>
    </w:p>
    <w:p w14:paraId="414B00AE">
      <w:pPr>
        <w:widowControl/>
        <w:ind w:firstLine="480" w:firstLineChars="200"/>
        <w:jc w:val="left"/>
      </w:pPr>
      <w:r>
        <w:rPr>
          <w:rFonts w:hint="eastAsia"/>
          <w:color w:val="000000"/>
          <w:kern w:val="0"/>
          <w:lang w:bidi="ar"/>
        </w:rPr>
        <w:t xml:space="preserve">②完善各项安全生产管理制度，针对各工序及各工种的特点制定相应的安全管理制度，并由各级安全组织检查落实。 </w:t>
      </w:r>
    </w:p>
    <w:p w14:paraId="32435192">
      <w:pPr>
        <w:widowControl/>
        <w:ind w:firstLine="480" w:firstLineChars="200"/>
        <w:jc w:val="left"/>
      </w:pPr>
      <w:r>
        <w:rPr>
          <w:rFonts w:hint="eastAsia"/>
          <w:color w:val="000000"/>
          <w:kern w:val="0"/>
          <w:lang w:bidi="ar"/>
        </w:rPr>
        <w:t xml:space="preserve">③建立安全生产责任制，落实各级管理人员和操作人员的安全职责，做到纵向到底，横向到边，各自作好本岗位的安全工作。 </w:t>
      </w:r>
    </w:p>
    <w:p w14:paraId="4BE73EDA">
      <w:pPr>
        <w:widowControl/>
        <w:ind w:firstLine="480" w:firstLineChars="200"/>
        <w:jc w:val="left"/>
      </w:pPr>
      <w:r>
        <w:rPr>
          <w:rFonts w:hint="eastAsia"/>
          <w:color w:val="000000"/>
          <w:kern w:val="0"/>
          <w:lang w:bidi="ar"/>
        </w:rPr>
        <w:t xml:space="preserve">④项目开工前，由项目经理部编制实施性安全技术措施，对各分项工程要编制专项安全技术措施，领导小组同意后实施。 </w:t>
      </w:r>
    </w:p>
    <w:p w14:paraId="7967AD55">
      <w:pPr>
        <w:widowControl/>
        <w:ind w:firstLine="480" w:firstLineChars="200"/>
        <w:jc w:val="left"/>
      </w:pPr>
      <w:r>
        <w:rPr>
          <w:rFonts w:hint="eastAsia"/>
          <w:color w:val="000000"/>
          <w:kern w:val="0"/>
          <w:lang w:bidi="ar"/>
        </w:rPr>
        <w:t>⑤严格执行逐级安全技术交底制度，施工前由项目经理部组织有关人员进行详细的技术安全交底。项目施工队对施工班组及具体操作人员进行安全技术交底。</w:t>
      </w:r>
    </w:p>
    <w:p w14:paraId="561E48B7">
      <w:pPr>
        <w:widowControl/>
        <w:jc w:val="left"/>
        <w:rPr>
          <w:color w:val="000000"/>
          <w:kern w:val="0"/>
          <w:lang w:bidi="ar"/>
        </w:rPr>
      </w:pPr>
      <w:r>
        <w:rPr>
          <w:rFonts w:hint="eastAsia"/>
          <w:color w:val="000000"/>
          <w:kern w:val="0"/>
          <w:lang w:bidi="ar"/>
        </w:rPr>
        <w:t>⑥加强安全教育</w:t>
      </w:r>
    </w:p>
    <w:p w14:paraId="1843A547">
      <w:pPr>
        <w:ind w:firstLine="480" w:firstLineChars="200"/>
      </w:pPr>
      <w:r>
        <w:t>a</w:t>
      </w:r>
      <w:r>
        <w:rPr>
          <w:rFonts w:hint="eastAsia"/>
        </w:rPr>
        <w:t>针对工程特点，定期进行安全生产教育，重点对专职安全员、安全监督岗岗员、班组长及从事特种作业的起重工、爆破工、电工、焊接工、机动车辆驾驶员进行培训和考核，学习安全生产知识和技能，提高安全意识。</w:t>
      </w:r>
    </w:p>
    <w:p w14:paraId="1CD58A3A">
      <w:pPr>
        <w:widowControl/>
        <w:ind w:firstLine="480" w:firstLineChars="200"/>
        <w:jc w:val="left"/>
      </w:pPr>
      <w:r>
        <w:rPr>
          <w:rFonts w:ascii="Times New Roman" w:hAnsi="Times New Roman" w:cs="Times New Roman"/>
          <w:color w:val="000000"/>
          <w:kern w:val="0"/>
          <w:lang w:bidi="ar"/>
        </w:rPr>
        <w:t>b</w:t>
      </w:r>
      <w:r>
        <w:rPr>
          <w:rFonts w:hint="eastAsia"/>
          <w:color w:val="000000"/>
          <w:kern w:val="0"/>
          <w:lang w:bidi="ar"/>
        </w:rPr>
        <w:t xml:space="preserve">通过安全教育，增强职工安全意识，树立“安全第一，预防为主，综合治理”的思想，提高职工遵守施工安全纪律的自觉性，认真执行安全操作规程。 </w:t>
      </w:r>
    </w:p>
    <w:p w14:paraId="1F1D8130">
      <w:pPr>
        <w:widowControl/>
        <w:ind w:firstLine="480" w:firstLineChars="200"/>
        <w:jc w:val="left"/>
      </w:pPr>
      <w:r>
        <w:rPr>
          <w:rFonts w:hint="eastAsia"/>
          <w:color w:val="000000"/>
          <w:kern w:val="0"/>
          <w:lang w:bidi="ar"/>
        </w:rPr>
        <w:t xml:space="preserve">⑦认真执行安全检查制度 </w:t>
      </w:r>
    </w:p>
    <w:p w14:paraId="2B69A4F0">
      <w:pPr>
        <w:rPr>
          <w:rFonts w:hint="eastAsia"/>
          <w:lang w:val="en-US" w:eastAsia="zh-CN"/>
        </w:rPr>
      </w:pPr>
      <w:r>
        <w:rPr>
          <w:rFonts w:hint="eastAsia"/>
          <w:color w:val="000000"/>
          <w:kern w:val="0"/>
          <w:lang w:bidi="ar"/>
        </w:rPr>
        <w:t>经理部每月一检查，施工队伍每周一自检，作业班组实行每班班前、班中、班后三检制，不定期检查视工程进展情况而定。检查中发现的安全隐患，要制定整改措施。</w:t>
      </w:r>
    </w:p>
    <w:p w14:paraId="646E4266">
      <w:pPr>
        <w:pStyle w:val="3"/>
        <w:bidi w:val="0"/>
        <w:ind w:left="575" w:leftChars="0" w:hanging="575" w:firstLineChars="0"/>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bookmarkStart w:id="208" w:name="_Toc15628"/>
      <w:r>
        <w:rPr>
          <w:rFonts w:hint="eastAsia" w:cs="Times New Roman"/>
          <w:b/>
          <w:color w:val="000000" w:themeColor="text1"/>
          <w:kern w:val="2"/>
          <w:sz w:val="28"/>
          <w:szCs w:val="22"/>
          <w:lang w:val="en-US" w:eastAsia="zh-CN" w:bidi="ar-SA"/>
          <w14:textFill>
            <w14:solidFill>
              <w14:schemeClr w14:val="tx1"/>
            </w14:solidFill>
          </w14:textFill>
        </w:rPr>
        <w:t>制度保障措施</w:t>
      </w:r>
      <w:bookmarkEnd w:id="208"/>
    </w:p>
    <w:p w14:paraId="5599593D">
      <w:pPr>
        <w:bidi w:val="0"/>
        <w:ind w:firstLine="480" w:firstLineChars="20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建立完善的</w:t>
      </w:r>
      <w:r>
        <w:rPr>
          <w:rFonts w:hint="eastAsia" w:ascii="宋体" w:hAnsi="宋体" w:eastAsia="宋体" w:cs="宋体"/>
          <w:highlight w:val="none"/>
          <w:lang w:eastAsia="zh-CN"/>
        </w:rPr>
        <w:t>退场</w:t>
      </w:r>
      <w:r>
        <w:rPr>
          <w:rFonts w:hint="eastAsia" w:ascii="宋体" w:hAnsi="宋体" w:eastAsia="宋体" w:cs="宋体"/>
          <w:highlight w:val="none"/>
        </w:rPr>
        <w:t>验收及检查制度。对</w:t>
      </w:r>
      <w:r>
        <w:rPr>
          <w:rFonts w:hint="eastAsia" w:ascii="宋体" w:hAnsi="宋体" w:eastAsia="宋体" w:cs="宋体"/>
          <w:highlight w:val="none"/>
          <w:lang w:eastAsia="zh-CN"/>
        </w:rPr>
        <w:t>退场</w:t>
      </w:r>
      <w:r>
        <w:rPr>
          <w:rFonts w:hint="eastAsia" w:ascii="宋体" w:hAnsi="宋体" w:eastAsia="宋体" w:cs="宋体"/>
          <w:highlight w:val="none"/>
        </w:rPr>
        <w:t>设备严格执行</w:t>
      </w:r>
      <w:r>
        <w:rPr>
          <w:rFonts w:hint="eastAsia" w:ascii="宋体" w:hAnsi="宋体" w:eastAsia="宋体" w:cs="宋体"/>
          <w:highlight w:val="none"/>
          <w:lang w:eastAsia="zh-CN"/>
        </w:rPr>
        <w:t>退场</w:t>
      </w:r>
      <w:r>
        <w:rPr>
          <w:rFonts w:hint="eastAsia" w:ascii="宋体" w:hAnsi="宋体" w:eastAsia="宋体" w:cs="宋体"/>
          <w:highlight w:val="none"/>
        </w:rPr>
        <w:t>验收，不合格设备材料，不予</w:t>
      </w:r>
      <w:r>
        <w:rPr>
          <w:rFonts w:hint="eastAsia" w:ascii="宋体" w:hAnsi="宋体" w:eastAsia="宋体" w:cs="宋体"/>
          <w:highlight w:val="none"/>
          <w:lang w:eastAsia="zh-CN"/>
        </w:rPr>
        <w:t>退场</w:t>
      </w:r>
      <w:r>
        <w:rPr>
          <w:rFonts w:hint="eastAsia" w:ascii="宋体" w:hAnsi="宋体" w:eastAsia="宋体" w:cs="宋体"/>
          <w:highlight w:val="none"/>
        </w:rPr>
        <w:t>；实行作业前检查制度，对不合格材料、零部件不得使用并及时更换。</w:t>
      </w:r>
    </w:p>
    <w:p w14:paraId="3AFEF059">
      <w:pPr>
        <w:bidi w:val="0"/>
        <w:ind w:firstLine="480" w:firstLineChars="200"/>
        <w:rPr>
          <w:rFonts w:hint="eastAsia" w:ascii="宋体" w:hAnsi="宋体" w:eastAsia="宋体" w:cs="宋体"/>
          <w:highlight w:val="none"/>
        </w:rPr>
      </w:pPr>
      <w:r>
        <w:rPr>
          <w:rFonts w:hint="eastAsia" w:ascii="宋体" w:hAnsi="宋体" w:eastAsia="宋体" w:cs="宋体"/>
          <w:color w:val="000000"/>
          <w:kern w:val="0"/>
          <w:sz w:val="24"/>
          <w:szCs w:val="24"/>
          <w:highlight w:val="none"/>
          <w:lang w:val="en-US" w:eastAsia="zh-CN" w:bidi="ar"/>
        </w:rPr>
        <w:t>（2）实行逐级安全技术交底制，由经理部组织有关人员进行详细安全技术交底，凡参加安全技术交底的人员要履行签字手续，并保存资料。项目经理部专职监察工程师对安全技术措施的执行情况进行监督检查，并做好记录和反馈信息。</w:t>
      </w:r>
    </w:p>
    <w:p w14:paraId="55F659B4">
      <w:pPr>
        <w:bidi w:val="0"/>
        <w:ind w:firstLine="480" w:firstLineChars="200"/>
        <w:rPr>
          <w:rFonts w:hint="eastAsia" w:ascii="宋体" w:hAnsi="宋体" w:eastAsia="宋体" w:cs="宋体"/>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3</w:t>
      </w:r>
      <w:r>
        <w:rPr>
          <w:rFonts w:hint="eastAsia" w:ascii="宋体" w:hAnsi="宋体" w:eastAsia="宋体" w:cs="宋体"/>
          <w:highlight w:val="none"/>
          <w:lang w:eastAsia="zh-CN"/>
        </w:rPr>
        <w:t>）</w:t>
      </w:r>
      <w:r>
        <w:rPr>
          <w:rFonts w:hint="eastAsia" w:ascii="宋体" w:hAnsi="宋体" w:eastAsia="宋体" w:cs="宋体"/>
          <w:highlight w:val="none"/>
        </w:rPr>
        <w:t>建立和贯彻执行安全教育制度。对进场人员进行岗前教育和三级教育，使用</w:t>
      </w:r>
      <w:r>
        <w:rPr>
          <w:rFonts w:hint="eastAsia" w:ascii="宋体" w:hAnsi="宋体" w:eastAsia="宋体" w:cs="宋体"/>
          <w:highlight w:val="none"/>
          <w:lang w:eastAsia="zh-CN"/>
        </w:rPr>
        <w:t>拆除</w:t>
      </w:r>
      <w:r>
        <w:rPr>
          <w:rFonts w:hint="eastAsia" w:ascii="宋体" w:hAnsi="宋体" w:eastAsia="宋体" w:cs="宋体"/>
          <w:highlight w:val="none"/>
        </w:rPr>
        <w:t>作业安全教育，并做好记录存档</w:t>
      </w:r>
      <w:r>
        <w:rPr>
          <w:rFonts w:hint="eastAsia" w:ascii="宋体" w:hAnsi="宋体" w:eastAsia="宋体" w:cs="宋体"/>
          <w:highlight w:val="none"/>
          <w:lang w:eastAsia="zh-CN"/>
        </w:rPr>
        <w:t>。</w:t>
      </w:r>
    </w:p>
    <w:p w14:paraId="46FDBD58">
      <w:pPr>
        <w:bidi w:val="0"/>
        <w:ind w:firstLine="480" w:firstLineChars="20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w:t>
      </w:r>
      <w:r>
        <w:rPr>
          <w:rFonts w:hint="eastAsia" w:ascii="宋体" w:hAnsi="宋体" w:eastAsia="宋体" w:cs="宋体"/>
          <w:highlight w:val="none"/>
        </w:rPr>
        <w:t>危险性较大分部分项工程安全专项方案编制审批制度</w:t>
      </w:r>
      <w:r>
        <w:rPr>
          <w:rFonts w:hint="eastAsia" w:ascii="宋体" w:hAnsi="宋体" w:eastAsia="宋体" w:cs="宋体"/>
          <w:highlight w:val="none"/>
          <w:lang w:eastAsia="zh-CN"/>
        </w:rPr>
        <w:t>。</w:t>
      </w:r>
      <w:r>
        <w:rPr>
          <w:rFonts w:hint="eastAsia" w:ascii="宋体" w:hAnsi="宋体" w:eastAsia="宋体" w:cs="宋体"/>
          <w:highlight w:val="none"/>
        </w:rPr>
        <w:t>危险性较大的分部分项工程开工前，由项目总工程师组织工程、安</w:t>
      </w:r>
      <w:r>
        <w:rPr>
          <w:rFonts w:hint="eastAsia" w:ascii="宋体" w:hAnsi="宋体" w:eastAsia="宋体" w:cs="宋体"/>
          <w:highlight w:val="none"/>
          <w:lang w:val="en-US" w:eastAsia="zh-CN"/>
        </w:rPr>
        <w:t>监</w:t>
      </w:r>
      <w:r>
        <w:rPr>
          <w:rFonts w:hint="eastAsia" w:ascii="宋体" w:hAnsi="宋体" w:eastAsia="宋体" w:cs="宋体"/>
          <w:highlight w:val="none"/>
        </w:rPr>
        <w:t>及质检等部门的专业技术人员编制专项方案并按照归属关系及时将编制的专项方案报送公司或 分(子)公司总工办审核。超过一定规模的危险性较大分部分项工程安全专项方案编制后，项目部应组织有关专家对方案进行论证，并根据专家组提供的论证报告修改完善专项方案，并经目总监理工程师、建设单位项目负责人签字后，方可组织实施。</w:t>
      </w:r>
    </w:p>
    <w:p w14:paraId="16E2EA67">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（5）</w:t>
      </w:r>
      <w:r>
        <w:rPr>
          <w:rFonts w:hint="eastAsia" w:ascii="宋体" w:hAnsi="宋体" w:eastAsia="宋体" w:cs="宋体"/>
          <w:highlight w:val="none"/>
        </w:rPr>
        <w:t>危险作业</w:t>
      </w:r>
      <w:r>
        <w:rPr>
          <w:rFonts w:hint="eastAsia" w:ascii="宋体" w:hAnsi="宋体" w:eastAsia="宋体" w:cs="宋体"/>
          <w:highlight w:val="none"/>
          <w:lang w:val="en-US" w:eastAsia="zh-CN"/>
        </w:rPr>
        <w:t>许可</w:t>
      </w:r>
      <w:r>
        <w:rPr>
          <w:rFonts w:hint="eastAsia" w:ascii="宋体" w:hAnsi="宋体" w:eastAsia="宋体" w:cs="宋体"/>
          <w:highlight w:val="none"/>
        </w:rPr>
        <w:t>制度</w:t>
      </w:r>
      <w:r>
        <w:rPr>
          <w:rFonts w:hint="eastAsia" w:ascii="宋体" w:hAnsi="宋体" w:eastAsia="宋体" w:cs="宋体"/>
          <w:highlight w:val="none"/>
          <w:lang w:eastAsia="zh-CN"/>
        </w:rPr>
        <w:t>。</w:t>
      </w:r>
      <w:r>
        <w:rPr>
          <w:rFonts w:hint="eastAsia" w:ascii="宋体" w:hAnsi="宋体" w:eastAsia="宋体" w:cs="宋体"/>
          <w:highlight w:val="none"/>
        </w:rPr>
        <w:t>项目实施前，项目经理部生产管理部门应根据危险源辨识情况，确定项目中存在的危险作业,并作为现场安全管控重点，做好相关的安全技术措施准备工作。危险作业计划施工时，负责该施工作业的工长（项目现场总监）或工程管理人员应于施工前至少7日，向现场的生产副经理提出作业申请。接到危险作业施工申请后，生产副经理应会同技术负责人、分管设备副经理、安全总监组织班组长、生产、技术、质量、设备、安全等管理部门进行现场作业条件确认。项目技术负责人、生产副经理、分管设备副经理和安全总监应当根据检查结果对作业条件进行复核。技术负责人负责有关工程技术质量内容的检查复核，分管设备副经理负责设备的检查复核，生产副经理负责安全防护设施的检查复核，安全总监负责监督现场条件确认的落实情况。</w:t>
      </w:r>
    </w:p>
    <w:p w14:paraId="7D6D5406">
      <w:pPr>
        <w:keepNext w:val="0"/>
        <w:keepLines w:val="0"/>
        <w:widowControl/>
        <w:suppressLineNumbers w:val="0"/>
        <w:ind w:firstLine="480" w:firstLineChars="200"/>
        <w:jc w:val="left"/>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6</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安全风险分级管控制度。</w:t>
      </w:r>
      <w:r>
        <w:rPr>
          <w:rFonts w:hint="eastAsia" w:ascii="宋体" w:hAnsi="宋体" w:eastAsia="宋体" w:cs="宋体"/>
          <w:color w:val="000000"/>
          <w:kern w:val="0"/>
          <w:sz w:val="24"/>
          <w:szCs w:val="24"/>
          <w:highlight w:val="none"/>
          <w:lang w:val="en-US" w:eastAsia="zh-CN" w:bidi="ar"/>
        </w:rPr>
        <w:t xml:space="preserve">安全生产风险管控遵循风险级别越高管控层级越高的原则，并符合下列要求： </w:t>
      </w:r>
    </w:p>
    <w:p w14:paraId="7B9BF1E8">
      <w:pPr>
        <w:keepNext w:val="0"/>
        <w:keepLines w:val="0"/>
        <w:widowControl/>
        <w:suppressLineNumbers w:val="0"/>
        <w:ind w:firstLine="480" w:firstLineChars="200"/>
        <w:jc w:val="left"/>
        <w:rPr>
          <w:rFonts w:hint="eastAsia" w:ascii="宋体" w:hAnsi="宋体" w:eastAsia="宋体" w:cs="宋体"/>
          <w:highlight w:val="none"/>
        </w:rPr>
      </w:pPr>
      <w:r>
        <w:rPr>
          <w:rFonts w:hint="eastAsia" w:ascii="宋体" w:hAnsi="宋体" w:eastAsia="宋体" w:cs="宋体"/>
          <w:color w:val="000000"/>
          <w:kern w:val="0"/>
          <w:sz w:val="24"/>
          <w:szCs w:val="24"/>
          <w:highlight w:val="none"/>
          <w:lang w:val="en-US" w:eastAsia="zh-CN" w:bidi="ar"/>
        </w:rPr>
        <w:t xml:space="preserve">a、对于较大风险和重大风险应重点进行管控； </w:t>
      </w:r>
    </w:p>
    <w:p w14:paraId="4CF1E0C9">
      <w:pPr>
        <w:keepNext w:val="0"/>
        <w:keepLines w:val="0"/>
        <w:widowControl/>
        <w:suppressLineNumbers w:val="0"/>
        <w:ind w:firstLine="480" w:firstLineChars="200"/>
        <w:jc w:val="left"/>
        <w:rPr>
          <w:rFonts w:hint="eastAsia" w:ascii="宋体" w:hAnsi="宋体" w:eastAsia="宋体" w:cs="宋体"/>
          <w:highlight w:val="none"/>
        </w:rPr>
      </w:pPr>
      <w:r>
        <w:rPr>
          <w:rFonts w:hint="eastAsia" w:ascii="宋体" w:hAnsi="宋体" w:eastAsia="宋体" w:cs="宋体"/>
          <w:color w:val="000000"/>
          <w:kern w:val="0"/>
          <w:sz w:val="24"/>
          <w:szCs w:val="24"/>
          <w:highlight w:val="none"/>
          <w:lang w:val="en-US" w:eastAsia="zh-CN" w:bidi="ar"/>
        </w:rPr>
        <w:t xml:space="preserve">b、上一级负责管控的施工安全风险，下一级必须同时负责具体管控，并逐级落实具体措施； </w:t>
      </w:r>
    </w:p>
    <w:p w14:paraId="27338968">
      <w:pPr>
        <w:keepNext w:val="0"/>
        <w:keepLines w:val="0"/>
        <w:widowControl/>
        <w:suppressLineNumbers w:val="0"/>
        <w:ind w:firstLine="480" w:firstLineChars="200"/>
        <w:jc w:val="left"/>
        <w:rPr>
          <w:rFonts w:hint="eastAsia" w:ascii="宋体" w:hAnsi="宋体" w:eastAsia="宋体" w:cs="宋体"/>
          <w:highlight w:val="none"/>
        </w:rPr>
      </w:pPr>
      <w:r>
        <w:rPr>
          <w:rFonts w:hint="eastAsia" w:ascii="宋体" w:hAnsi="宋体" w:eastAsia="宋体" w:cs="宋体"/>
          <w:color w:val="000000"/>
          <w:kern w:val="0"/>
          <w:sz w:val="24"/>
          <w:szCs w:val="24"/>
          <w:highlight w:val="none"/>
          <w:lang w:val="en-US" w:eastAsia="zh-CN" w:bidi="ar"/>
        </w:rPr>
        <w:t xml:space="preserve">c、管控层级可进行增加或提级； </w:t>
      </w:r>
    </w:p>
    <w:p w14:paraId="2C795EA4">
      <w:pPr>
        <w:keepNext w:val="0"/>
        <w:keepLines w:val="0"/>
        <w:widowControl/>
        <w:suppressLineNumbers w:val="0"/>
        <w:ind w:firstLine="480" w:firstLineChars="200"/>
        <w:jc w:val="left"/>
        <w:rPr>
          <w:rFonts w:hint="eastAsia" w:ascii="宋体" w:hAnsi="宋体" w:eastAsia="宋体" w:cs="宋体"/>
          <w:highlight w:val="none"/>
        </w:rPr>
      </w:pPr>
      <w:r>
        <w:rPr>
          <w:rFonts w:hint="eastAsia" w:ascii="宋体" w:hAnsi="宋体" w:eastAsia="宋体" w:cs="宋体"/>
          <w:color w:val="000000"/>
          <w:kern w:val="0"/>
          <w:sz w:val="24"/>
          <w:szCs w:val="24"/>
          <w:highlight w:val="none"/>
          <w:lang w:val="en-US" w:eastAsia="zh-CN" w:bidi="ar"/>
        </w:rPr>
        <w:t>d、风险管控采取公示告知、组织编制并落实专项施工方案、带班跟班作业、上级监督检查等方式予以管控。</w:t>
      </w:r>
    </w:p>
    <w:p w14:paraId="7CDD4499">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项目部应加强安全生产风险的现场监控，明确分管领导、现场负责人，配齐生产、技术、安全、设备、班组长等相关人员，做好领导带班生产、管理人员跟班作业等，结合日常各项工作，实行网格化管理，实施监测预警，在相应方案中明确监控对象、监测指标及阈值、分级预警及处置流程等，按方案进行风险预警处置。较大风险（Ⅲ级）点、重大风险（IV级）点由生产管理部督促安装远程视频监控，分别接入分子公司、公司生产指挥中心。</w:t>
      </w:r>
    </w:p>
    <w:p w14:paraId="7B854C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（8）事故隐患排查治理制度</w:t>
      </w:r>
    </w:p>
    <w:p w14:paraId="7FDA027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一般事故隐患由项目部安全管理部门和检查部门督促责任工区、责任部门或者责任分包作业单位整改落实，并组织验收。</w:t>
      </w:r>
    </w:p>
    <w:p w14:paraId="53CE5F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重大事故隐患由项目主要负责人组织制定、实施事故隐患 治理方案，并组织验收；安全管理部门负责督促整改落实。重 大事故隐患治理方案应当包括以下内容：</w:t>
      </w:r>
    </w:p>
    <w:p w14:paraId="71C41332">
      <w:pPr>
        <w:bidi w:val="0"/>
        <w:ind w:firstLine="480" w:firstLineChars="200"/>
        <w:rPr>
          <w:rFonts w:hint="eastAsia" w:ascii="宋体" w:hAnsi="宋体" w:eastAsia="宋体" w:cs="宋体"/>
          <w:highlight w:val="none"/>
          <w:lang w:val="en-US" w:eastAsia="zh-CN"/>
        </w:rPr>
      </w:pPr>
      <w:bookmarkStart w:id="209" w:name="（一）治理的目标和任务；"/>
      <w:bookmarkEnd w:id="209"/>
      <w:r>
        <w:rPr>
          <w:rFonts w:hint="eastAsia" w:ascii="宋体" w:hAnsi="宋体" w:eastAsia="宋体" w:cs="宋体"/>
          <w:highlight w:val="none"/>
          <w:lang w:val="en-US" w:eastAsia="zh-CN"/>
        </w:rPr>
        <w:t>（一）治理的目标和任务；</w:t>
      </w:r>
    </w:p>
    <w:p w14:paraId="544E3A26">
      <w:pPr>
        <w:bidi w:val="0"/>
        <w:ind w:firstLine="480" w:firstLineChars="200"/>
        <w:rPr>
          <w:rFonts w:hint="eastAsia" w:ascii="宋体" w:hAnsi="宋体" w:eastAsia="宋体" w:cs="宋体"/>
          <w:highlight w:val="none"/>
          <w:lang w:val="en-US" w:eastAsia="zh-CN"/>
        </w:rPr>
      </w:pPr>
      <w:bookmarkStart w:id="210" w:name="（二）采取的方法和措施；"/>
      <w:bookmarkEnd w:id="210"/>
      <w:r>
        <w:rPr>
          <w:rFonts w:hint="eastAsia" w:ascii="宋体" w:hAnsi="宋体" w:eastAsia="宋体" w:cs="宋体"/>
          <w:highlight w:val="none"/>
          <w:lang w:val="en-US" w:eastAsia="zh-CN"/>
        </w:rPr>
        <w:t>（二）采取的方法和措施；</w:t>
      </w:r>
    </w:p>
    <w:p w14:paraId="3F84DE8C">
      <w:pPr>
        <w:bidi w:val="0"/>
        <w:ind w:firstLine="480" w:firstLineChars="200"/>
        <w:rPr>
          <w:rFonts w:hint="eastAsia" w:ascii="宋体" w:hAnsi="宋体" w:eastAsia="宋体" w:cs="宋体"/>
          <w:highlight w:val="none"/>
          <w:lang w:val="en-US" w:eastAsia="zh-CN"/>
        </w:rPr>
      </w:pPr>
      <w:bookmarkStart w:id="211" w:name="（三）经费和物资的落实；"/>
      <w:bookmarkEnd w:id="211"/>
      <w:r>
        <w:rPr>
          <w:rFonts w:hint="eastAsia" w:ascii="宋体" w:hAnsi="宋体" w:eastAsia="宋体" w:cs="宋体"/>
          <w:highlight w:val="none"/>
          <w:lang w:val="en-US" w:eastAsia="zh-CN"/>
        </w:rPr>
        <w:t>（三）经费和物资的落实；</w:t>
      </w:r>
    </w:p>
    <w:p w14:paraId="678ABD47">
      <w:pPr>
        <w:bidi w:val="0"/>
        <w:ind w:firstLine="480" w:firstLineChars="200"/>
        <w:rPr>
          <w:rFonts w:hint="eastAsia" w:ascii="宋体" w:hAnsi="宋体" w:eastAsia="宋体" w:cs="宋体"/>
          <w:highlight w:val="none"/>
          <w:lang w:val="en-US" w:eastAsia="zh-CN"/>
        </w:rPr>
      </w:pPr>
      <w:bookmarkStart w:id="212" w:name="（四）负责治理的机构和人员；"/>
      <w:bookmarkEnd w:id="212"/>
      <w:r>
        <w:rPr>
          <w:rFonts w:hint="eastAsia" w:ascii="宋体" w:hAnsi="宋体" w:eastAsia="宋体" w:cs="宋体"/>
          <w:highlight w:val="none"/>
          <w:lang w:val="en-US" w:eastAsia="zh-CN"/>
        </w:rPr>
        <w:t>（四）负责治理的机构和人员；</w:t>
      </w:r>
    </w:p>
    <w:p w14:paraId="1693D4AE">
      <w:pPr>
        <w:bidi w:val="0"/>
        <w:ind w:firstLine="480" w:firstLineChars="200"/>
        <w:rPr>
          <w:rFonts w:hint="eastAsia" w:ascii="宋体" w:hAnsi="宋体" w:eastAsia="宋体" w:cs="宋体"/>
          <w:highlight w:val="none"/>
          <w:lang w:val="en-US" w:eastAsia="zh-CN"/>
        </w:rPr>
      </w:pPr>
      <w:bookmarkStart w:id="213" w:name="（五）治理的时限和要求；"/>
      <w:bookmarkEnd w:id="213"/>
      <w:r>
        <w:rPr>
          <w:rFonts w:hint="eastAsia" w:ascii="宋体" w:hAnsi="宋体" w:eastAsia="宋体" w:cs="宋体"/>
          <w:highlight w:val="none"/>
          <w:lang w:val="en-US" w:eastAsia="zh-CN"/>
        </w:rPr>
        <w:t>（五）治理的时限和要求；</w:t>
      </w:r>
    </w:p>
    <w:p w14:paraId="2DF9302D">
      <w:pPr>
        <w:bidi w:val="0"/>
        <w:ind w:firstLine="480" w:firstLineChars="200"/>
        <w:rPr>
          <w:rFonts w:hint="eastAsia" w:ascii="宋体" w:hAnsi="宋体" w:eastAsia="宋体" w:cs="宋体"/>
          <w:highlight w:val="none"/>
          <w:lang w:val="en-US" w:eastAsia="zh-CN"/>
        </w:rPr>
      </w:pPr>
      <w:bookmarkStart w:id="214" w:name="（六）安全措施和应急预案。"/>
      <w:bookmarkEnd w:id="214"/>
      <w:r>
        <w:rPr>
          <w:rFonts w:hint="eastAsia" w:ascii="宋体" w:hAnsi="宋体" w:eastAsia="宋体" w:cs="宋体"/>
          <w:highlight w:val="none"/>
          <w:lang w:val="en-US" w:eastAsia="zh-CN"/>
        </w:rPr>
        <w:t>（六）安全措施和应急预案。</w:t>
      </w:r>
      <w:bookmarkStart w:id="215" w:name="第十三条【事故隐患治理防范】"/>
      <w:bookmarkEnd w:id="215"/>
      <w:r>
        <w:rPr>
          <w:rFonts w:hint="eastAsia" w:ascii="宋体" w:hAnsi="宋体" w:eastAsia="宋体" w:cs="宋体"/>
          <w:highlight w:val="none"/>
          <w:lang w:val="en-US" w:eastAsia="zh-CN"/>
        </w:rPr>
        <w:t xml:space="preserve"> </w:t>
      </w:r>
    </w:p>
    <w:p w14:paraId="561D06F1">
      <w:pPr>
        <w:bidi w:val="0"/>
        <w:ind w:left="480" w:leftChars="200" w:firstLine="0" w:firstLineChars="0"/>
        <w:rPr>
          <w:rFonts w:hint="eastAsia" w:ascii="宋体" w:hAnsi="宋体" w:eastAsia="宋体" w:cs="宋体"/>
          <w:highlight w:val="none"/>
        </w:rPr>
      </w:pPr>
      <w:r>
        <w:rPr>
          <w:rFonts w:hint="eastAsia" w:ascii="宋体" w:hAnsi="宋体" w:eastAsia="宋体" w:cs="宋体"/>
          <w:highlight w:val="none"/>
        </w:rPr>
        <w:t>建立和完善塔式起重机</w:t>
      </w:r>
      <w:r>
        <w:rPr>
          <w:rFonts w:hint="eastAsia" w:ascii="宋体" w:hAnsi="宋体" w:eastAsia="宋体" w:cs="宋体"/>
          <w:highlight w:val="none"/>
          <w:lang w:eastAsia="zh-CN"/>
        </w:rPr>
        <w:t>拆除</w:t>
      </w:r>
      <w:r>
        <w:rPr>
          <w:rFonts w:hint="eastAsia" w:ascii="宋体" w:hAnsi="宋体" w:eastAsia="宋体" w:cs="宋体"/>
          <w:highlight w:val="none"/>
        </w:rPr>
        <w:t>作业各岗位（领导、相关部门）安全生产职责。严格按照各岗位安全生产职责执行。</w:t>
      </w:r>
    </w:p>
    <w:p w14:paraId="1BD61A76">
      <w:pPr>
        <w:bidi w:val="0"/>
        <w:ind w:firstLine="480" w:firstLineChars="200"/>
        <w:rPr>
          <w:rFonts w:hint="eastAsia" w:ascii="宋体" w:hAnsi="宋体" w:eastAsia="宋体" w:cs="宋体"/>
          <w:highlight w:val="none"/>
        </w:rPr>
      </w:pPr>
      <w:r>
        <w:rPr>
          <w:rFonts w:hint="eastAsia" w:ascii="宋体" w:hAnsi="宋体" w:eastAsia="宋体" w:cs="宋体"/>
          <w:highlight w:val="none"/>
        </w:rPr>
        <w:t>项目部从项目经理至作业员应层层明确安全岗位职责，确保安全工作有章可循。各部门安全岗位职责分工参见表</w:t>
      </w:r>
      <w:r>
        <w:rPr>
          <w:rFonts w:hint="eastAsia" w:ascii="宋体" w:hAnsi="宋体" w:eastAsia="宋体" w:cs="宋体"/>
          <w:highlight w:val="none"/>
          <w:lang w:val="en-US" w:eastAsia="zh-CN"/>
        </w:rPr>
        <w:t>5</w:t>
      </w:r>
      <w:r>
        <w:rPr>
          <w:rFonts w:hint="eastAsia" w:ascii="宋体" w:hAnsi="宋体" w:eastAsia="宋体" w:cs="宋体"/>
          <w:highlight w:val="none"/>
        </w:rPr>
        <w:t>.2-1</w:t>
      </w:r>
    </w:p>
    <w:p w14:paraId="73762266">
      <w:pPr>
        <w:pStyle w:val="14"/>
        <w:bidi w:val="0"/>
        <w:rPr>
          <w:rFonts w:hint="eastAsia" w:ascii="宋体" w:hAnsi="宋体" w:eastAsia="宋体" w:cs="宋体"/>
          <w:b/>
          <w:bCs/>
          <w:color w:val="C00000"/>
          <w:kern w:val="2"/>
          <w:szCs w:val="24"/>
          <w:highlight w:val="none"/>
          <w:lang w:val="en-US" w:eastAsia="zh-CN" w:bidi="ar-SA"/>
        </w:rPr>
      </w:pPr>
      <w:r>
        <w:rPr>
          <w:rFonts w:hint="eastAsia" w:ascii="宋体" w:hAnsi="宋体" w:eastAsia="宋体" w:cs="宋体"/>
          <w:highlight w:val="none"/>
          <w:lang w:val="en-US" w:eastAsia="zh-CN"/>
        </w:rPr>
        <w:t>表5.2-1 安全生产岗位职责分工</w:t>
      </w:r>
    </w:p>
    <w:tbl>
      <w:tblPr>
        <w:tblStyle w:val="29"/>
        <w:tblW w:w="906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71"/>
        <w:gridCol w:w="5765"/>
      </w:tblGrid>
      <w:tr w14:paraId="0946B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92" w:type="dxa"/>
            <w:vAlign w:val="center"/>
          </w:tcPr>
          <w:p w14:paraId="5781EF2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安全生产</w:t>
            </w:r>
          </w:p>
          <w:p w14:paraId="1279BAE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领导小组</w:t>
            </w:r>
          </w:p>
        </w:tc>
        <w:tc>
          <w:tcPr>
            <w:tcW w:w="1035" w:type="dxa"/>
            <w:vAlign w:val="center"/>
          </w:tcPr>
          <w:p w14:paraId="08F995A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责任人</w:t>
            </w:r>
          </w:p>
        </w:tc>
        <w:tc>
          <w:tcPr>
            <w:tcW w:w="1171" w:type="dxa"/>
            <w:vAlign w:val="center"/>
          </w:tcPr>
          <w:p w14:paraId="4F5641B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职  务</w:t>
            </w:r>
          </w:p>
        </w:tc>
        <w:tc>
          <w:tcPr>
            <w:tcW w:w="5765" w:type="dxa"/>
            <w:vAlign w:val="center"/>
          </w:tcPr>
          <w:p w14:paraId="5DE0978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职责分工</w:t>
            </w:r>
          </w:p>
        </w:tc>
      </w:tr>
      <w:tr w14:paraId="6B7CAE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92" w:type="dxa"/>
            <w:vAlign w:val="center"/>
          </w:tcPr>
          <w:p w14:paraId="64C3508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组  长</w:t>
            </w:r>
          </w:p>
        </w:tc>
        <w:tc>
          <w:tcPr>
            <w:tcW w:w="1035" w:type="dxa"/>
            <w:vAlign w:val="center"/>
          </w:tcPr>
          <w:p w14:paraId="2D2ED6C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程金平</w:t>
            </w:r>
          </w:p>
        </w:tc>
        <w:tc>
          <w:tcPr>
            <w:tcW w:w="1171" w:type="dxa"/>
            <w:vAlign w:val="center"/>
          </w:tcPr>
          <w:p w14:paraId="188AC16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项目经理</w:t>
            </w:r>
          </w:p>
        </w:tc>
        <w:tc>
          <w:tcPr>
            <w:tcW w:w="5765" w:type="dxa"/>
            <w:vAlign w:val="center"/>
          </w:tcPr>
          <w:p w14:paraId="2C48640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安全第一责任人，主要负责进行定期或不定期安全大检查，及时解决安全隐患；组织项目部各部门进行全员安全教育，开展安全生产竞赛，发布安全生产奖惩办法与奖惩决定；主持处理安全事故，提出今后事故预防措施，并督促实施。</w:t>
            </w:r>
          </w:p>
        </w:tc>
      </w:tr>
      <w:tr w14:paraId="04C17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92" w:type="dxa"/>
            <w:vMerge w:val="restart"/>
            <w:vAlign w:val="center"/>
          </w:tcPr>
          <w:p w14:paraId="592385A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副组长</w:t>
            </w:r>
          </w:p>
        </w:tc>
        <w:tc>
          <w:tcPr>
            <w:tcW w:w="1035" w:type="dxa"/>
            <w:vAlign w:val="center"/>
          </w:tcPr>
          <w:p w14:paraId="2CDCAA1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赵凯</w:t>
            </w:r>
          </w:p>
        </w:tc>
        <w:tc>
          <w:tcPr>
            <w:tcW w:w="1171" w:type="dxa"/>
            <w:vAlign w:val="center"/>
          </w:tcPr>
          <w:p w14:paraId="3DD93FB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项目书记</w:t>
            </w:r>
          </w:p>
        </w:tc>
        <w:tc>
          <w:tcPr>
            <w:tcW w:w="5765" w:type="dxa"/>
            <w:vAlign w:val="center"/>
          </w:tcPr>
          <w:p w14:paraId="767CF32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安全生产直接责任人，主要负责制定各种安全生产岗位责任制，并检查、督促、执行落实；安排日常安全工作，定期召开安全例会，分析安全情况，找出存在的问题，采取措施，并组织实施；经常深入现场检查设备、工具、生产、安全设施等情况，及时消除隐患。</w:t>
            </w:r>
          </w:p>
        </w:tc>
      </w:tr>
      <w:tr w14:paraId="50E9CA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92" w:type="dxa"/>
            <w:vMerge w:val="continue"/>
            <w:vAlign w:val="center"/>
          </w:tcPr>
          <w:p w14:paraId="761F89B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1035" w:type="dxa"/>
            <w:vAlign w:val="center"/>
          </w:tcPr>
          <w:p w14:paraId="77F756A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刘海</w:t>
            </w:r>
          </w:p>
        </w:tc>
        <w:tc>
          <w:tcPr>
            <w:tcW w:w="1171" w:type="dxa"/>
            <w:vAlign w:val="center"/>
          </w:tcPr>
          <w:p w14:paraId="2F9600D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项目总工</w:t>
            </w:r>
          </w:p>
        </w:tc>
        <w:tc>
          <w:tcPr>
            <w:tcW w:w="5765" w:type="dxa"/>
            <w:vAlign w:val="center"/>
          </w:tcPr>
          <w:p w14:paraId="1A10AF8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组织编制、审定施工方案，审核技术文件和处理技术问题时，必须贯彻安全生产的原则；指导安全技术教育，组织安全专业技术培训；参加伤亡事故的调查处理，负责作出技术性结论。</w:t>
            </w:r>
          </w:p>
        </w:tc>
      </w:tr>
      <w:tr w14:paraId="1A861A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92" w:type="dxa"/>
            <w:vMerge w:val="continue"/>
            <w:vAlign w:val="center"/>
          </w:tcPr>
          <w:p w14:paraId="589A88E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1035" w:type="dxa"/>
            <w:vAlign w:val="center"/>
          </w:tcPr>
          <w:p w14:paraId="4EE389B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李野</w:t>
            </w:r>
          </w:p>
        </w:tc>
        <w:tc>
          <w:tcPr>
            <w:tcW w:w="1171" w:type="dxa"/>
            <w:vAlign w:val="center"/>
          </w:tcPr>
          <w:p w14:paraId="4231545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副经理</w:t>
            </w:r>
          </w:p>
        </w:tc>
        <w:tc>
          <w:tcPr>
            <w:tcW w:w="5765" w:type="dxa"/>
            <w:vAlign w:val="center"/>
          </w:tcPr>
          <w:p w14:paraId="22275A8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对项目安全生产承担直接责任、执行公司各项安全生产规定，贯彻项目部的安全管理制度；审查施工方案中提出的安全技术保证措施；提出安全生产奖惩意见；事故发生后，组织事故的调查、分析、处理和上报工作；参与事故的调查、处理和整改隐患。</w:t>
            </w:r>
          </w:p>
        </w:tc>
      </w:tr>
      <w:tr w14:paraId="6A7C55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92" w:type="dxa"/>
            <w:vMerge w:val="restart"/>
            <w:vAlign w:val="center"/>
          </w:tcPr>
          <w:p w14:paraId="3450C98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组  员</w:t>
            </w:r>
          </w:p>
        </w:tc>
        <w:tc>
          <w:tcPr>
            <w:tcW w:w="1035" w:type="dxa"/>
            <w:vAlign w:val="center"/>
          </w:tcPr>
          <w:p w14:paraId="6BDB42A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岳蛟</w:t>
            </w:r>
          </w:p>
        </w:tc>
        <w:tc>
          <w:tcPr>
            <w:tcW w:w="1171" w:type="dxa"/>
            <w:vAlign w:val="center"/>
          </w:tcPr>
          <w:p w14:paraId="638C763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质检部部长</w:t>
            </w:r>
          </w:p>
        </w:tc>
        <w:tc>
          <w:tcPr>
            <w:tcW w:w="5765" w:type="dxa"/>
            <w:vAlign w:val="center"/>
          </w:tcPr>
          <w:p w14:paraId="15CFD5D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经常深入现场，检查、掌握安全生产动态，提出整改意见，制止违章作业，对违反安全的操作，有权责令停工，并立即报告有关领导。参加领导组织的定期和不定期的安全检查，对查出的问题用安全通知书等形式上报下达，限期改进。</w:t>
            </w:r>
          </w:p>
        </w:tc>
      </w:tr>
      <w:tr w14:paraId="6E03A1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92" w:type="dxa"/>
            <w:vMerge w:val="continue"/>
            <w:vAlign w:val="center"/>
          </w:tcPr>
          <w:p w14:paraId="349E0A6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1035" w:type="dxa"/>
            <w:vAlign w:val="center"/>
          </w:tcPr>
          <w:p w14:paraId="2A21F3B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陈硕</w:t>
            </w:r>
          </w:p>
        </w:tc>
        <w:tc>
          <w:tcPr>
            <w:tcW w:w="1171" w:type="dxa"/>
            <w:vAlign w:val="center"/>
          </w:tcPr>
          <w:p w14:paraId="252DAD5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安</w:t>
            </w:r>
            <w:r>
              <w:rPr>
                <w:rFonts w:hint="eastAsia" w:ascii="宋体" w:hAnsi="宋体" w:eastAsia="宋体" w:cs="宋体"/>
                <w:highlight w:val="none"/>
                <w:lang w:val="en-US" w:eastAsia="zh-CN"/>
              </w:rPr>
              <w:t>监</w:t>
            </w:r>
            <w:r>
              <w:rPr>
                <w:rFonts w:hint="eastAsia" w:ascii="宋体" w:hAnsi="宋体" w:eastAsia="宋体" w:cs="宋体"/>
                <w:highlight w:val="none"/>
              </w:rPr>
              <w:t>部部长</w:t>
            </w:r>
          </w:p>
        </w:tc>
        <w:tc>
          <w:tcPr>
            <w:tcW w:w="5765" w:type="dxa"/>
            <w:vAlign w:val="center"/>
          </w:tcPr>
          <w:p w14:paraId="0F106E2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认真贯彻执行施工组织设计和技术交底中的安全措施；在施工现场随班盯岗，随时注意检查工人操作、工作环境、生产机具等安全情况和防护用品的正确使用情况；必须坚持特殊工种工人持证操作。</w:t>
            </w:r>
          </w:p>
        </w:tc>
      </w:tr>
      <w:tr w14:paraId="23DEEF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92" w:type="dxa"/>
            <w:vMerge w:val="continue"/>
            <w:vAlign w:val="center"/>
          </w:tcPr>
          <w:p w14:paraId="6085BCC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1035" w:type="dxa"/>
            <w:vAlign w:val="center"/>
          </w:tcPr>
          <w:p w14:paraId="76AF63B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丁阳</w:t>
            </w:r>
          </w:p>
        </w:tc>
        <w:tc>
          <w:tcPr>
            <w:tcW w:w="1171" w:type="dxa"/>
            <w:vAlign w:val="center"/>
          </w:tcPr>
          <w:p w14:paraId="364B961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设备部部长</w:t>
            </w:r>
          </w:p>
        </w:tc>
        <w:tc>
          <w:tcPr>
            <w:tcW w:w="5765" w:type="dxa"/>
            <w:vAlign w:val="center"/>
          </w:tcPr>
          <w:p w14:paraId="3CF326B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认真落实公司及项目部关于设备管理的规章制度。加强设备的科学管理，确保设备使用安全，对违反设备操作规程及时提出处理意见。</w:t>
            </w:r>
          </w:p>
          <w:p w14:paraId="0779544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负责对设备安全事故提出分析和处理意见。</w:t>
            </w:r>
          </w:p>
        </w:tc>
      </w:tr>
      <w:tr w14:paraId="06225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92" w:type="dxa"/>
            <w:vMerge w:val="continue"/>
            <w:vAlign w:val="center"/>
          </w:tcPr>
          <w:p w14:paraId="67DBA24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1035" w:type="dxa"/>
            <w:vAlign w:val="center"/>
          </w:tcPr>
          <w:p w14:paraId="289F6C0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eastAsia="zh-CN"/>
              </w:rPr>
            </w:pPr>
            <w:r>
              <w:rPr>
                <w:rFonts w:hint="eastAsia" w:ascii="宋体" w:hAnsi="宋体" w:eastAsia="宋体" w:cs="宋体"/>
                <w:highlight w:val="none"/>
                <w:lang w:val="en-US" w:eastAsia="zh-CN"/>
              </w:rPr>
              <w:t>桂海波</w:t>
            </w:r>
          </w:p>
        </w:tc>
        <w:tc>
          <w:tcPr>
            <w:tcW w:w="1171" w:type="dxa"/>
            <w:vAlign w:val="center"/>
          </w:tcPr>
          <w:p w14:paraId="6635E7A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工程部部长</w:t>
            </w:r>
          </w:p>
        </w:tc>
        <w:tc>
          <w:tcPr>
            <w:tcW w:w="5765" w:type="dxa"/>
            <w:vAlign w:val="center"/>
          </w:tcPr>
          <w:p w14:paraId="6E2257C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以身作则并教育职工严格遵守劳动纪律，严格执行安全技术操作规程；坚持工间检查制度和交接班制度；合理安排劳力，根据工人的身体、年龄、技术、熟练程度和其他特点分配工作，以防事故的发生；发生事故，要立即组织抢救和报告，并保护现场，参加事故调查分析</w:t>
            </w:r>
          </w:p>
        </w:tc>
      </w:tr>
    </w:tbl>
    <w:p w14:paraId="78680DAD">
      <w:pPr>
        <w:spacing w:line="240" w:lineRule="auto"/>
        <w:rPr>
          <w:rFonts w:hint="eastAsia"/>
          <w:lang w:val="en-US" w:eastAsia="zh-CN"/>
        </w:rPr>
      </w:pPr>
    </w:p>
    <w:p w14:paraId="76376D0B">
      <w:pPr>
        <w:pStyle w:val="3"/>
        <w:bidi w:val="0"/>
        <w:ind w:left="575" w:leftChars="0" w:hanging="575" w:firstLineChars="0"/>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bookmarkStart w:id="216" w:name="_Toc9261"/>
      <w:r>
        <w:rPr>
          <w:rFonts w:hint="eastAsia" w:cs="Times New Roman"/>
          <w:b/>
          <w:color w:val="000000" w:themeColor="text1"/>
          <w:kern w:val="2"/>
          <w:sz w:val="28"/>
          <w:szCs w:val="22"/>
          <w:lang w:val="en-US" w:eastAsia="zh-CN" w:bidi="ar-SA"/>
          <w14:textFill>
            <w14:solidFill>
              <w14:schemeClr w14:val="tx1"/>
            </w14:solidFill>
          </w14:textFill>
        </w:rPr>
        <w:t>监管措施</w:t>
      </w:r>
      <w:bookmarkEnd w:id="216"/>
    </w:p>
    <w:p w14:paraId="05A29CDA">
      <w:pPr>
        <w:bidi w:val="0"/>
        <w:ind w:firstLine="480" w:firstLineChars="200"/>
        <w:rPr>
          <w:rFonts w:hint="eastAsia" w:ascii="宋体" w:hAnsi="宋体" w:eastAsia="宋体" w:cs="宋体"/>
          <w:highlight w:val="none"/>
        </w:rPr>
      </w:pPr>
      <w:r>
        <w:rPr>
          <w:rFonts w:hint="eastAsia" w:ascii="宋体" w:hAnsi="宋体" w:eastAsia="宋体" w:cs="宋体"/>
          <w:highlight w:val="none"/>
        </w:rPr>
        <w:t>为落实塔式起重机</w:t>
      </w:r>
      <w:r>
        <w:rPr>
          <w:rFonts w:hint="eastAsia" w:ascii="宋体" w:hAnsi="宋体" w:eastAsia="宋体" w:cs="宋体"/>
          <w:highlight w:val="none"/>
          <w:lang w:eastAsia="zh-CN"/>
        </w:rPr>
        <w:t>拆除</w:t>
      </w:r>
      <w:r>
        <w:rPr>
          <w:rFonts w:hint="eastAsia" w:ascii="宋体" w:hAnsi="宋体" w:eastAsia="宋体" w:cs="宋体"/>
          <w:highlight w:val="none"/>
        </w:rPr>
        <w:t>安全管理工作，项目部采取以下监控措施：</w:t>
      </w:r>
    </w:p>
    <w:p w14:paraId="2A94EE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1）现场安全、技术管理人员必须参与作业施工方案的编制，熟悉方案。</w:t>
      </w:r>
    </w:p>
    <w:p w14:paraId="564F60A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2）</w:t>
      </w:r>
      <w:r>
        <w:rPr>
          <w:rFonts w:hint="eastAsia" w:ascii="宋体" w:hAnsi="宋体" w:eastAsia="宋体" w:cs="宋体"/>
          <w:highlight w:val="none"/>
          <w:lang w:eastAsia="zh-CN"/>
        </w:rPr>
        <w:t>拆除</w:t>
      </w:r>
      <w:r>
        <w:rPr>
          <w:rFonts w:hint="eastAsia" w:ascii="宋体" w:hAnsi="宋体" w:eastAsia="宋体" w:cs="宋体"/>
          <w:highlight w:val="none"/>
        </w:rPr>
        <w:t>作业时必须按施工组织设备要求配置相关人员。</w:t>
      </w:r>
    </w:p>
    <w:p w14:paraId="5196A7C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现场安全员监督操作人员是否按施工方案几安全操作规程进行操作，并督促操作人员按规定正确使用安全防护用品。</w:t>
      </w:r>
    </w:p>
    <w:p w14:paraId="10BC175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3）专职安全人员对操作人员的操作实施全程监控，发现不良行为及时制</w:t>
      </w:r>
    </w:p>
    <w:p w14:paraId="542ECC1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止纠正。</w:t>
      </w:r>
    </w:p>
    <w:p w14:paraId="01EE2E6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4）现场管理人员必须留存影像、图片、纸质资料并建立每日汇报机制。</w:t>
      </w:r>
    </w:p>
    <w:p w14:paraId="6AEB3A8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5）带班领导随机抽查现场落实情况。</w:t>
      </w:r>
    </w:p>
    <w:p w14:paraId="66B1166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rPr>
        <w:t>6）每项工作完成后必须进行验收后方可开展下道工序。</w:t>
      </w:r>
    </w:p>
    <w:p w14:paraId="127E6B4B">
      <w:pPr>
        <w:pStyle w:val="3"/>
        <w:bidi w:val="0"/>
        <w:ind w:left="575" w:leftChars="0" w:hanging="575" w:firstLineChars="0"/>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bookmarkStart w:id="217" w:name="_Toc9234"/>
      <w:r>
        <w:rPr>
          <w:rFonts w:hint="eastAsia" w:cs="Times New Roman"/>
          <w:b/>
          <w:color w:val="000000" w:themeColor="text1"/>
          <w:kern w:val="2"/>
          <w:sz w:val="28"/>
          <w:szCs w:val="22"/>
          <w:lang w:val="en-US" w:eastAsia="zh-CN" w:bidi="ar-SA"/>
          <w14:textFill>
            <w14:solidFill>
              <w14:schemeClr w14:val="tx1"/>
            </w14:solidFill>
          </w14:textFill>
        </w:rPr>
        <w:t>施工安全技术管控措施</w:t>
      </w:r>
      <w:bookmarkEnd w:id="217"/>
    </w:p>
    <w:p w14:paraId="7BA85A62">
      <w:pPr>
        <w:pStyle w:val="4"/>
      </w:pPr>
      <w:r>
        <w:rPr>
          <w:rFonts w:hint="eastAsia"/>
          <w:lang w:val="en-US" w:eastAsia="zh-CN"/>
        </w:rPr>
        <w:t>拆除安全技术管控措施</w:t>
      </w:r>
    </w:p>
    <w:p w14:paraId="10F0BC9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（1）必须佩戴安全帽，上高人员必须穿防滑鞋，危险部位作业必须系好安全带。</w:t>
      </w:r>
    </w:p>
    <w:p w14:paraId="41A6116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（2）作业吊车必须严格遵守安全操作规程。</w:t>
      </w:r>
    </w:p>
    <w:p w14:paraId="72AF54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（3）工作期间一律禁止饮酒。</w:t>
      </w:r>
    </w:p>
    <w:p w14:paraId="44BC8B7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（4）集中精力，不得随意开玩笑和打闹。</w:t>
      </w:r>
    </w:p>
    <w:p w14:paraId="2CFB3A1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（5）交叉作业时，要注意工具和零部件放置位置必须安全可靠，防止坠落伤人。</w:t>
      </w:r>
    </w:p>
    <w:p w14:paraId="014C83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（6）指挥人员应熟悉吊车起重性能、吊物的起重量以及构件拆除部位。</w:t>
      </w:r>
    </w:p>
    <w:p w14:paraId="6EB2A44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（7）规定品起重高度超过两米要系拖拉绳。</w:t>
      </w:r>
    </w:p>
    <w:p w14:paraId="294983A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（8）钢丝绳必须符合安全规定，所吊构件重心必须准确，符合说明书的要求。</w:t>
      </w:r>
    </w:p>
    <w:p w14:paraId="226259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（9）总成件及附属装置必须按规定上足所有的螺栓及销，确保使用的安全性。</w:t>
      </w:r>
    </w:p>
    <w:p w14:paraId="1228DD2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（10）有的裸体电线必须停电，专人守护。</w:t>
      </w:r>
    </w:p>
    <w:p w14:paraId="13E9D54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（11）雪、大雾、大风（风速达8.3m/s）等天气禁止拆除塔机。</w:t>
      </w:r>
    </w:p>
    <w:p w14:paraId="67B7533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（12）必须有足够的照明灯光。</w:t>
      </w:r>
    </w:p>
    <w:p w14:paraId="2C9C4FD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（13）应禁止闲杂人员的进出，临街作业时，要采取临时保护措施。</w:t>
      </w:r>
    </w:p>
    <w:p w14:paraId="79371EFD">
      <w:pPr>
        <w:keepNext w:val="0"/>
        <w:keepLines w:val="0"/>
        <w:pageBreakBefore w:val="0"/>
        <w:widowControl w:val="0"/>
        <w:kinsoku/>
        <w:wordWrap/>
        <w:overflowPunct/>
        <w:topLinePunct w:val="0"/>
        <w:autoSpaceDE/>
        <w:autoSpaceDN/>
        <w:bidi w:val="0"/>
        <w:adjustRightInd/>
        <w:snapToGrid/>
        <w:ind w:firstLine="480" w:firstLineChars="200"/>
        <w:textAlignment w:val="auto"/>
      </w:pPr>
      <w:r>
        <w:rPr>
          <w:rFonts w:hint="eastAsia" w:ascii="宋体" w:hAnsi="宋体" w:eastAsia="宋体" w:cs="宋体"/>
          <w:highlight w:val="none"/>
          <w:lang w:val="en-US" w:eastAsia="zh-CN"/>
        </w:rPr>
        <w:t>（14）拆除场地作业区(5-10)米范围外应设安全警戒线，项目派专人把守，非有关人员不得进入警戒线，专职安全员应随时检查各岗人员的安全情况，夜间作业，应有良好的照明。</w:t>
      </w:r>
    </w:p>
    <w:p w14:paraId="23A3A12B">
      <w:pPr>
        <w:pStyle w:val="4"/>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r>
        <w:rPr>
          <w:rFonts w:hint="eastAsia" w:cs="Times New Roman"/>
          <w:b/>
          <w:color w:val="000000" w:themeColor="text1"/>
          <w:kern w:val="2"/>
          <w:sz w:val="28"/>
          <w:szCs w:val="22"/>
          <w:lang w:val="en-US" w:eastAsia="zh-CN" w:bidi="ar-SA"/>
          <w14:textFill>
            <w14:solidFill>
              <w14:schemeClr w14:val="tx1"/>
            </w14:solidFill>
          </w14:textFill>
        </w:rPr>
        <w:t>降节过程安全技术管控措施</w:t>
      </w:r>
    </w:p>
    <w:p w14:paraId="26B11E2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（1）风力大于于四级禁止顶升。</w:t>
      </w:r>
    </w:p>
    <w:p w14:paraId="7F3971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（2）作业人员均要持有效证件上岗。</w:t>
      </w:r>
    </w:p>
    <w:p w14:paraId="798798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（3）遵守安全操作规程及说明书规定的工艺和技术交底进行。</w:t>
      </w:r>
    </w:p>
    <w:p w14:paraId="15D9D9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（4）作业人员必须戴安全帽，着防滑鞋，必要时系安全带。</w:t>
      </w:r>
    </w:p>
    <w:p w14:paraId="11112B6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（5）使用的工具及螺栓应放在安全可靠的位置，防止坠落伤人。</w:t>
      </w:r>
    </w:p>
    <w:p w14:paraId="2AD10C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（6）顶升作业过程中项目派专人把守，非有关人员不得进入警戒线，专职安全员应随时检查各岗人员的安全情况。</w:t>
      </w:r>
    </w:p>
    <w:p w14:paraId="202BE2BF">
      <w:pPr>
        <w:pStyle w:val="5"/>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降节过程中安全</w:t>
      </w:r>
      <w:r>
        <w:rPr>
          <w:rFonts w:hint="eastAsia" w:ascii="宋体" w:hAnsi="宋体" w:eastAsia="宋体" w:cs="宋体"/>
          <w:highlight w:val="none"/>
        </w:rPr>
        <w:t>技术</w:t>
      </w:r>
      <w:r>
        <w:rPr>
          <w:rFonts w:hint="eastAsia" w:ascii="宋体" w:hAnsi="宋体" w:eastAsia="宋体" w:cs="宋体"/>
          <w:highlight w:val="none"/>
          <w:lang w:val="en-US" w:eastAsia="zh-CN"/>
        </w:rPr>
        <w:t>管控措施</w:t>
      </w:r>
    </w:p>
    <w:p w14:paraId="6471D80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运动前，必须检查顶升横梁是否处在正确位置，顶升上部是否处于平衡位置，否则应加以调整，使塔身前后两边平衡。调整方法：调整小车的位置，使得塔机的上部重心落在顶升横梁的位置上，实际操作中，观察到爬升架上四角导向轮基本上与塔身标准节弦杆脱开时，即为理想位置）。</w:t>
      </w:r>
    </w:p>
    <w:p w14:paraId="7885426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（2）操作中，吊臂不能旋转，油缸始终处于规定压力。</w:t>
      </w:r>
    </w:p>
    <w:p w14:paraId="649B1EC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（3）允许单独动作，严禁爬升与其它动作同时进行。</w:t>
      </w:r>
    </w:p>
    <w:p w14:paraId="66CD2B4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（4）爬升架与塔身标准节脱离后，禁止起吊重物。</w:t>
      </w:r>
    </w:p>
    <w:p w14:paraId="08AA370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（5）过程中起重臂应保持在正前方位置（引进标准节方为前方）。</w:t>
      </w:r>
    </w:p>
    <w:p w14:paraId="519551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（6）过程中，回转机构必须处于有效的制动状态。</w:t>
      </w:r>
    </w:p>
    <w:p w14:paraId="4FC08B4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（7）连续降节，每降完一节后，用塔身自身放下一标准节前，塔身标准节和下支座之间的高强度螺栓要全部拧紧。</w:t>
      </w:r>
    </w:p>
    <w:p w14:paraId="1354FB56">
      <w:pPr>
        <w:pStyle w:val="4"/>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r>
        <w:rPr>
          <w:rFonts w:hint="eastAsia" w:cs="Times New Roman"/>
          <w:b/>
          <w:color w:val="000000" w:themeColor="text1"/>
          <w:kern w:val="2"/>
          <w:sz w:val="28"/>
          <w:szCs w:val="22"/>
          <w:lang w:val="en-US" w:eastAsia="zh-CN" w:bidi="ar-SA"/>
          <w14:textFill>
            <w14:solidFill>
              <w14:schemeClr w14:val="tx1"/>
            </w14:solidFill>
          </w14:textFill>
        </w:rPr>
        <w:t>吊装安全技术管控措施</w:t>
      </w:r>
    </w:p>
    <w:p w14:paraId="08F0FEA1">
      <w:pPr>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起重吊装前，必须对工作现场环境、经过路线、架空电线、建筑物以及构件重量和分布等情况进行全面了解，吊装操作规定如下：</w:t>
      </w:r>
    </w:p>
    <w:p w14:paraId="214363E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1、起重臂回转半径内无障碍物。</w:t>
      </w:r>
    </w:p>
    <w:p w14:paraId="374EDD9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2、操作前重点检查：</w:t>
      </w:r>
    </w:p>
    <w:p w14:paraId="42DFA86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（1）机械结构的外观情况，各传动机构应正常；</w:t>
      </w:r>
    </w:p>
    <w:p w14:paraId="0BD074A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（2）各齿轮箱、液压油箱的油位应符合标准；</w:t>
      </w:r>
    </w:p>
    <w:p w14:paraId="58224DD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（3）主要部位连接螺栓应无松动；</w:t>
      </w:r>
    </w:p>
    <w:p w14:paraId="1D2433B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（4）钢丝绳磨损情况及穿绕滑轮应符合规定；</w:t>
      </w:r>
    </w:p>
    <w:p w14:paraId="1D582A5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（5）供电电缆应无磨损；</w:t>
      </w:r>
    </w:p>
    <w:p w14:paraId="7CB514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（6）检查电源电压应达到380伏，其变动范围不得超过±20伏，送电前启动控制开关应在零位。接通电源，检查金属结构部分无漏电后方可上机操作；</w:t>
      </w:r>
    </w:p>
    <w:p w14:paraId="557DE64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（7）空载运转，检查回转、起重、变幅等各机构的制动器、安全限位、防护装置等确认正确后，方可作业。</w:t>
      </w:r>
    </w:p>
    <w:p w14:paraId="2910B3F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3、在作业时，操作人员在进行起重机回转、吊钩升降、变幅等动作前，应鸣声示意。</w:t>
      </w:r>
    </w:p>
    <w:p w14:paraId="6F5FFD4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4、地面指挥人员必须经过培训取得合格证后，方可担任指挥。作业时应与操作人员密切配合。操作人员应严格执行指挥人员的信号，如信号不清或错误，操作人员应拒绝执行。</w:t>
      </w:r>
    </w:p>
    <w:p w14:paraId="781476F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5、当操作室远离地面，正常指挥发生困难时，可设高空、地面两个指挥人员或采用对讲机进行指挥。</w:t>
      </w:r>
    </w:p>
    <w:p w14:paraId="509CAED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6、遇六级以上大风或大雨、大雪、大雾等恶劣天气时应停止起重机露天作业。</w:t>
      </w:r>
    </w:p>
    <w:p w14:paraId="2D6FC36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7、起重机的变幅指示器、力矩限制器以及起重机的各种行程限位开关等保护装置，必须完整齐全、灵敏可靠，不得随意调整和拆除。严禁用限位装置代替操作机构。</w:t>
      </w:r>
    </w:p>
    <w:p w14:paraId="2176A50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8、起重机作业时，重物下方不得有人停留或通过。严禁用塔机运载人员。</w:t>
      </w:r>
    </w:p>
    <w:p w14:paraId="60ECD6A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9、起重机机械必须按规定的起重性能作业，不得超荷载和吊不明重量的物件。特殊情况下需超荷载使用时，必须有保证安全的技术措施，经技术负责人批准，有专人在现场监护下，方可起吊。</w:t>
      </w:r>
    </w:p>
    <w:p w14:paraId="66BC2A9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10、严禁使用起重机进行斜拉、斜吊、和起吊地下埋设或凝结在地面上的重物。现场浇筑的砼构件或模板，必须全部松动后方可起吊。</w:t>
      </w:r>
    </w:p>
    <w:p w14:paraId="628C8FF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11、起吊重物时应绑扎平稳、牢固，不得在重物上堆放或悬挂零星物件。零星材料和物件，必须用吊笼或钢丝绳绑扎牢固后，方可起吊。标有绑扎位置的或记号的物件，应按标明位置绑扎。绑扎钢丝绳与物件的夹角不得小于30度   。</w:t>
      </w:r>
    </w:p>
    <w:p w14:paraId="7C5EA1E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12、起重机在雨雪天气作业时，应先经过试吊，确认制动器灵敏可靠后方可进行作业。</w:t>
      </w:r>
    </w:p>
    <w:p w14:paraId="06D88E2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13、起重机在吊装满荷载时或接近满荷载时，应先将重物吊离地面20-50cm停止提升检查:起重机的稳定性能、制动器的可靠性、重物的平衡性、绑扎的牢固性。确认无误后方可再行提升。对于有可能晃动的重物，必须栓拉绳。</w:t>
      </w:r>
    </w:p>
    <w:p w14:paraId="2964EE9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14、重物提升和降落速度要均匀。严禁突快突慢和突然制动。左右回转动作要平稳，当回转未停稳前不得作回转运动。</w:t>
      </w:r>
    </w:p>
    <w:p w14:paraId="5630364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15、起重机不得靠近架空输电线路作业，如限于现场条件，必须在线路旁作业时，应采取安全保护措施。起重机使用的钢丝绳，应有制造厂的技术证明文件作为依据。如无证件时应经过检测试验合格后方可使用。</w:t>
      </w:r>
    </w:p>
    <w:p w14:paraId="782E79D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16、起重机使用的钢丝绳，其结构型式、规格强度必须符合该型起重机的要求。钢丝绳固定牢固、排列整齐，放出钢丝绳时，卷筒上至少保留3圈以上。收放钢丝绳时应防止钢丝绳打环、扭结、弯折和乱绳。</w:t>
      </w:r>
    </w:p>
    <w:p w14:paraId="56047A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17、钢丝绳采用编结固接时，编结部分的长度不得小于钢丝绳直径的15倍，并不得少于300mm，其编结部分应绑扎细钢丝。采用绳卡固结时，数量不得少于3个。最后一个卡子距绳头的长度不小于140mm。绳卡夹板应在钢丝绳工作时受力的一侧，“U”形螺栓需在钢丝绳的尾端，不得正反交错。绳卡固定后，待钢丝绳受力后再度紧固，并应拧紧到使两绳直径高度压扁1/3左右。作业中必须经常检查紧固情况。</w:t>
      </w:r>
    </w:p>
    <w:p w14:paraId="271CC7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18、每班作业前，应对钢丝绳所有可见部分以及钢丝绳的连接部位进行检查。钢丝绳表面磨损或腐蚀使钢丝绳的名义直径减少7%时或在规定长度范围内断丝根数达到以下表规定时应予更换。</w:t>
      </w:r>
    </w:p>
    <w:p w14:paraId="572984A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19、起重机的吊钩和吊环严禁补焊，有下列情况之一的即应更换：</w:t>
      </w:r>
    </w:p>
    <w:p w14:paraId="4C4ED6C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（1）表面有裂纹。</w:t>
      </w:r>
    </w:p>
    <w:p w14:paraId="2ECDBC7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（2）危险断面及钩颈有永久变形。</w:t>
      </w:r>
    </w:p>
    <w:p w14:paraId="324C4C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（3）挂绳处断面磨损超过高度10％。</w:t>
      </w:r>
    </w:p>
    <w:p w14:paraId="18179B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（4）吊钩衬套磨损超过原厚度50％，心轴（销子）磨损超过其直径的百分之三。</w:t>
      </w:r>
    </w:p>
    <w:p w14:paraId="22AEC29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（5）起重机制动器的制动鼓面磨损达1.5—2.0mm时（大径取大值，小径取小值）或制动带磨损超过原厚度50％时均应更换。</w:t>
      </w:r>
    </w:p>
    <w:p w14:paraId="650DA76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20、吊装作业步骤</w:t>
      </w:r>
    </w:p>
    <w:p w14:paraId="6142F52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（1）作业前，应进行空载运转，试验各工作机构是否运转正常，有无噪音及异响，各机构的制动器及安全防护装置是否有效，确认正常后方可作业。</w:t>
      </w:r>
    </w:p>
    <w:p w14:paraId="34063D7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（2）由地面指挥告知塔机司机吊装内容，通知司索工就位，并将吊装路线及时告知地面工作人员做好避让工作。</w:t>
      </w:r>
    </w:p>
    <w:p w14:paraId="5C71251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（3）司索工绑扎吊物吊点。</w:t>
      </w:r>
    </w:p>
    <w:p w14:paraId="7894B77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（4）信号工通知塔机司机试吊。</w:t>
      </w:r>
    </w:p>
    <w:p w14:paraId="153FB9A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（5）信号工通知塔机司机正式起吊。</w:t>
      </w:r>
    </w:p>
    <w:p w14:paraId="51D59A0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（6）信号工通知塔机司机将起吊物平稳就位。</w:t>
      </w:r>
    </w:p>
    <w:p w14:paraId="6803AD94">
      <w:pPr>
        <w:pStyle w:val="4"/>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bookmarkStart w:id="218" w:name="_Toc9542"/>
      <w:bookmarkStart w:id="219" w:name="_Toc11245"/>
      <w:r>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t>塔机操作中安全注意事项</w:t>
      </w:r>
      <w:bookmarkEnd w:id="218"/>
      <w:bookmarkEnd w:id="219"/>
    </w:p>
    <w:p w14:paraId="095139F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（1）操作各控制器时应依次逐级操作，严禁越档操作。在变换运转方向时，应将控制器转到零位，待电动机停止转动后，在转向另一方向。操作时力求平稳。严禁急开急停。</w:t>
      </w:r>
    </w:p>
    <w:p w14:paraId="55B01C6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（2）吊钩提升接近臂杆顶部、小车行至端点时，应减速缓行至停止位置。吊钩距臂杆顶部不得小于一米。</w:t>
      </w:r>
    </w:p>
    <w:p w14:paraId="301762F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（3）每次变幅后应对变幅部位进行检查。允许带载变幅的在满荷载或接近满荷载时，不得变幅。</w:t>
      </w:r>
    </w:p>
    <w:p w14:paraId="596582D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（4）提升重物后严禁自由下落。重物就位时，可用微动机构或使用制动器使之缓慢下降。</w:t>
      </w:r>
    </w:p>
    <w:p w14:paraId="569C76C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（5）提升的重物平移时，应高出其跨越的障碍物0.5m以上。</w:t>
      </w:r>
    </w:p>
    <w:p w14:paraId="728C61F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（6）钢筋、型钢、管材等细长和多根物件必须捆扎牢靠，多点起吊。单头“千斤”或捆扎不牢靠不准吊。</w:t>
      </w:r>
    </w:p>
    <w:p w14:paraId="5EE892D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（7）多孔板、积灰斗、手推翻斗车不用四点吊或大模板外挂板不用卸甲不准吊。</w:t>
      </w:r>
    </w:p>
    <w:p w14:paraId="6A9B4F9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（8）吊砌块必须使用安全可靠的砌块夹具，吊砖必须使用砖笼，并堆放整齐。木砖、预埋件等零星物件要用盛器堆放稳妥，叠放不齐不准吊。</w:t>
      </w:r>
    </w:p>
    <w:p w14:paraId="63040859">
      <w:pPr>
        <w:pStyle w:val="4"/>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bookmarkStart w:id="220" w:name="_Toc538"/>
      <w:bookmarkStart w:id="221" w:name="_Toc1108"/>
      <w:r>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t>塔机作业后安全注意事项</w:t>
      </w:r>
      <w:bookmarkEnd w:id="220"/>
      <w:bookmarkEnd w:id="221"/>
    </w:p>
    <w:p w14:paraId="2BF4AB3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（1）作业后，臂杆应转到顺风方向，并放松回转制动器。小车及平衡重应移到非工作状态位置。吊钩提升到离臂杆顶端2—3m处。</w:t>
      </w:r>
    </w:p>
    <w:p w14:paraId="3F8DB6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（2）将每个控制开关拨至零位，依次断开各路开关，关闭操作室门窗，下机后关闭电源总开关。打开高空指示灯。</w:t>
      </w:r>
    </w:p>
    <w:p w14:paraId="7E8F234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（3）应用经纬仪经常检查塔身垂直度并及时调整。</w:t>
      </w:r>
    </w:p>
    <w:p w14:paraId="73973224">
      <w:pPr>
        <w:pStyle w:val="4"/>
        <w:tabs>
          <w:tab w:val="left" w:pos="0"/>
          <w:tab w:val="left" w:pos="630"/>
        </w:tabs>
        <w:bidi w:val="0"/>
        <w:rPr>
          <w:rFonts w:hint="eastAsia" w:ascii="宋体" w:hAnsi="宋体" w:eastAsia="宋体" w:cs="宋体"/>
        </w:rPr>
      </w:pPr>
      <w:bookmarkStart w:id="222" w:name="_Toc530055697"/>
      <w:bookmarkStart w:id="223" w:name="_Toc24745_WPSOffice_Level2"/>
      <w:r>
        <w:rPr>
          <w:rFonts w:hint="eastAsia" w:ascii="宋体" w:hAnsi="宋体" w:eastAsia="宋体" w:cs="宋体"/>
        </w:rPr>
        <w:t>电气设备</w:t>
      </w:r>
      <w:r>
        <w:rPr>
          <w:rFonts w:hint="eastAsia" w:ascii="宋体" w:hAnsi="宋体" w:eastAsia="宋体" w:cs="宋体"/>
          <w:lang w:val="en-US" w:eastAsia="zh-CN"/>
        </w:rPr>
        <w:t>技术管控措施</w:t>
      </w:r>
    </w:p>
    <w:bookmarkEnd w:id="222"/>
    <w:bookmarkEnd w:id="223"/>
    <w:p w14:paraId="212C7ECB">
      <w:pPr>
        <w:bidi w:val="0"/>
        <w:rPr>
          <w:rFonts w:hint="eastAsia" w:ascii="宋体" w:hAnsi="宋体" w:eastAsia="宋体" w:cs="宋体"/>
          <w:highlight w:val="none"/>
        </w:rPr>
      </w:pPr>
      <w:bookmarkStart w:id="224" w:name="_Toc530055698"/>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电气部分</w:t>
      </w:r>
      <w:bookmarkEnd w:id="224"/>
    </w:p>
    <w:p w14:paraId="74FC9021">
      <w:pPr>
        <w:bidi w:val="0"/>
        <w:ind w:firstLine="480" w:firstLineChars="200"/>
        <w:rPr>
          <w:rFonts w:hint="eastAsia" w:ascii="宋体" w:hAnsi="宋体" w:eastAsia="宋体" w:cs="宋体"/>
          <w:highlight w:val="none"/>
        </w:rPr>
      </w:pPr>
      <w:r>
        <w:rPr>
          <w:rFonts w:hint="eastAsia" w:ascii="宋体" w:hAnsi="宋体" w:eastAsia="宋体" w:cs="宋体"/>
          <w:highlight w:val="none"/>
        </w:rPr>
        <w:t>起重机电气系统的设计符合GB3811-2008《起重机设计规范》和GB6067-2010《起重机械安全规程》的各项规定。起重机的电气设备能够保证机械的传动性能、电气的监控及保护性能安全、准确和可靠。在起重机发生紧急情况下，操作人员能够在司机室切断电源,安全停车。</w:t>
      </w:r>
    </w:p>
    <w:p w14:paraId="4D4C9387">
      <w:pPr>
        <w:bidi w:val="0"/>
        <w:rPr>
          <w:rFonts w:hint="eastAsia" w:ascii="宋体" w:hAnsi="宋体" w:eastAsia="宋体" w:cs="宋体"/>
          <w:highlight w:val="none"/>
        </w:rPr>
      </w:pPr>
      <w:bookmarkStart w:id="225" w:name="_Toc530055699"/>
      <w:r>
        <w:rPr>
          <w:rFonts w:hint="eastAsia" w:ascii="宋体" w:hAnsi="宋体" w:eastAsia="宋体" w:cs="宋体"/>
          <w:highlight w:val="none"/>
          <w:lang w:eastAsia="zh-CN"/>
        </w:rPr>
        <w:t>（</w:t>
      </w: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供电</w:t>
      </w:r>
      <w:bookmarkEnd w:id="225"/>
    </w:p>
    <w:p w14:paraId="59BE2BC6">
      <w:pPr>
        <w:bidi w:val="0"/>
        <w:ind w:firstLine="480" w:firstLineChars="200"/>
        <w:rPr>
          <w:rFonts w:hint="eastAsia" w:ascii="宋体" w:hAnsi="宋体" w:eastAsia="宋体" w:cs="宋体"/>
          <w:highlight w:val="none"/>
        </w:rPr>
      </w:pPr>
      <w:r>
        <w:rPr>
          <w:rFonts w:hint="eastAsia" w:ascii="宋体" w:hAnsi="宋体" w:eastAsia="宋体" w:cs="宋体"/>
          <w:highlight w:val="none"/>
        </w:rPr>
        <w:t>起重机供电电源为三相交流电源,电压380V±10%,频率50HZ。</w:t>
      </w:r>
    </w:p>
    <w:p w14:paraId="27377D02">
      <w:pPr>
        <w:bidi w:val="0"/>
        <w:rPr>
          <w:rFonts w:hint="eastAsia" w:ascii="宋体" w:hAnsi="宋体" w:eastAsia="宋体" w:cs="宋体"/>
          <w:highlight w:val="none"/>
        </w:rPr>
      </w:pPr>
      <w:bookmarkStart w:id="226" w:name="_Toc530055700"/>
      <w:r>
        <w:rPr>
          <w:rFonts w:hint="eastAsia" w:ascii="宋体" w:hAnsi="宋体" w:eastAsia="宋体" w:cs="宋体"/>
          <w:highlight w:val="none"/>
          <w:lang w:eastAsia="zh-CN"/>
        </w:rPr>
        <w:t>（</w:t>
      </w:r>
      <w:r>
        <w:rPr>
          <w:rFonts w:hint="eastAsia" w:ascii="宋体" w:hAnsi="宋体" w:eastAsia="宋体" w:cs="宋体"/>
          <w:highlight w:val="none"/>
          <w:lang w:val="en-US" w:eastAsia="zh-CN"/>
        </w:rPr>
        <w:t>3</w:t>
      </w:r>
      <w:r>
        <w:rPr>
          <w:rFonts w:hint="eastAsia" w:ascii="宋体" w:hAnsi="宋体" w:eastAsia="宋体" w:cs="宋体"/>
          <w:highlight w:val="none"/>
          <w:lang w:eastAsia="zh-CN"/>
        </w:rPr>
        <w:t>）</w:t>
      </w:r>
      <w:r>
        <w:rPr>
          <w:rFonts w:hint="eastAsia" w:ascii="宋体" w:hAnsi="宋体" w:eastAsia="宋体" w:cs="宋体"/>
          <w:highlight w:val="none"/>
        </w:rPr>
        <w:t>电气保护</w:t>
      </w:r>
      <w:bookmarkEnd w:id="226"/>
    </w:p>
    <w:p w14:paraId="7A2867AA">
      <w:pPr>
        <w:bidi w:val="0"/>
        <w:rPr>
          <w:rFonts w:hint="eastAsia" w:ascii="宋体" w:hAnsi="宋体" w:eastAsia="宋体" w:cs="宋体"/>
          <w:highlight w:val="none"/>
        </w:rPr>
      </w:pPr>
      <w:r>
        <w:rPr>
          <w:rFonts w:hint="eastAsia" w:ascii="宋体" w:hAnsi="宋体" w:eastAsia="宋体" w:cs="宋体"/>
          <w:highlight w:val="none"/>
        </w:rPr>
        <w:t>1）短路及过载保护</w:t>
      </w:r>
    </w:p>
    <w:p w14:paraId="4BA21377">
      <w:pPr>
        <w:bidi w:val="0"/>
        <w:ind w:firstLine="480" w:firstLineChars="200"/>
        <w:rPr>
          <w:rFonts w:hint="eastAsia" w:ascii="宋体" w:hAnsi="宋体" w:eastAsia="宋体" w:cs="宋体"/>
          <w:highlight w:val="none"/>
        </w:rPr>
      </w:pPr>
      <w:r>
        <w:rPr>
          <w:rFonts w:hint="eastAsia" w:ascii="宋体" w:hAnsi="宋体" w:eastAsia="宋体" w:cs="宋体"/>
          <w:highlight w:val="none"/>
        </w:rPr>
        <w:t>起重机总受电屏、控制屏进出电源设置断路器、控制回路设置小容量断路器，使各机构在短路，过载等事故状态下，迅速与电源脱离,以达到保护设备及</w:t>
      </w:r>
      <w:bookmarkStart w:id="227" w:name="_Toc20258_WPSOffice_Level2"/>
      <w:r>
        <w:rPr>
          <w:rFonts w:hint="eastAsia" w:ascii="宋体" w:hAnsi="宋体" w:eastAsia="宋体" w:cs="宋体"/>
          <w:highlight w:val="none"/>
        </w:rPr>
        <w:t>人机安全的目的。</w:t>
      </w:r>
      <w:bookmarkEnd w:id="227"/>
    </w:p>
    <w:p w14:paraId="7FC3883D">
      <w:pPr>
        <w:bidi w:val="0"/>
        <w:rPr>
          <w:rFonts w:hint="eastAsia" w:ascii="宋体" w:hAnsi="宋体" w:eastAsia="宋体" w:cs="宋体"/>
          <w:highlight w:val="none"/>
        </w:rPr>
      </w:pPr>
      <w:r>
        <w:rPr>
          <w:rFonts w:hint="eastAsia" w:ascii="宋体" w:hAnsi="宋体" w:eastAsia="宋体" w:cs="宋体"/>
          <w:highlight w:val="none"/>
        </w:rPr>
        <w:t>2）失压保护</w:t>
      </w:r>
    </w:p>
    <w:p w14:paraId="2187EC71">
      <w:pPr>
        <w:bidi w:val="0"/>
        <w:ind w:firstLine="480" w:firstLineChars="200"/>
        <w:rPr>
          <w:rFonts w:hint="eastAsia" w:ascii="宋体" w:hAnsi="宋体" w:eastAsia="宋体" w:cs="宋体"/>
          <w:highlight w:val="none"/>
        </w:rPr>
      </w:pPr>
      <w:r>
        <w:rPr>
          <w:rFonts w:hint="eastAsia" w:ascii="宋体" w:hAnsi="宋体" w:eastAsia="宋体" w:cs="宋体"/>
          <w:highlight w:val="none"/>
        </w:rPr>
        <w:t>在总受电屏及机构控制屏中，用线路接触器</w:t>
      </w:r>
      <w:bookmarkStart w:id="228" w:name="_Toc12226_WPSOffice_Level2"/>
      <w:r>
        <w:rPr>
          <w:rFonts w:hint="eastAsia" w:ascii="宋体" w:hAnsi="宋体" w:eastAsia="宋体" w:cs="宋体"/>
          <w:highlight w:val="none"/>
        </w:rPr>
        <w:t>作为失压保护</w:t>
      </w:r>
      <w:bookmarkEnd w:id="228"/>
      <w:r>
        <w:rPr>
          <w:rFonts w:hint="eastAsia" w:ascii="宋体" w:hAnsi="宋体" w:eastAsia="宋体" w:cs="宋体"/>
          <w:highlight w:val="none"/>
        </w:rPr>
        <w:t>装置，当供电电源中断时,能够自动断开电源。</w:t>
      </w:r>
    </w:p>
    <w:p w14:paraId="58B2AC2D">
      <w:pPr>
        <w:bidi w:val="0"/>
        <w:rPr>
          <w:rFonts w:hint="eastAsia" w:ascii="宋体" w:hAnsi="宋体" w:eastAsia="宋体" w:cs="宋体"/>
          <w:highlight w:val="none"/>
        </w:rPr>
      </w:pPr>
      <w:r>
        <w:rPr>
          <w:rFonts w:hint="eastAsia" w:ascii="宋体" w:hAnsi="宋体" w:eastAsia="宋体" w:cs="宋体"/>
          <w:highlight w:val="none"/>
        </w:rPr>
        <w:t>3）零位保护</w:t>
      </w:r>
    </w:p>
    <w:p w14:paraId="1165CFCF">
      <w:pPr>
        <w:bidi w:val="0"/>
        <w:ind w:firstLine="480" w:firstLineChars="200"/>
        <w:rPr>
          <w:rFonts w:hint="eastAsia" w:ascii="宋体" w:hAnsi="宋体" w:eastAsia="宋体" w:cs="宋体"/>
          <w:highlight w:val="none"/>
        </w:rPr>
      </w:pPr>
      <w:r>
        <w:rPr>
          <w:rFonts w:hint="eastAsia" w:ascii="宋体" w:hAnsi="宋体" w:eastAsia="宋体" w:cs="宋体"/>
          <w:highlight w:val="none"/>
        </w:rPr>
        <w:t>司机室的联动台凸轮控制器手柄上设有零位连锁，达到零位的目的。即当起重机开始运转前和失压恢复供电时，必须将控制器的手柄置于零位，各机构</w:t>
      </w:r>
      <w:bookmarkStart w:id="229" w:name="_Toc29864_WPSOffice_Level1"/>
      <w:r>
        <w:rPr>
          <w:rFonts w:hint="eastAsia" w:ascii="宋体" w:hAnsi="宋体" w:eastAsia="宋体" w:cs="宋体"/>
          <w:highlight w:val="none"/>
        </w:rPr>
        <w:t>的电动机才能启动工作。</w:t>
      </w:r>
      <w:bookmarkEnd w:id="229"/>
    </w:p>
    <w:p w14:paraId="055EC179">
      <w:pPr>
        <w:bidi w:val="0"/>
        <w:rPr>
          <w:rFonts w:hint="eastAsia" w:ascii="宋体" w:hAnsi="宋体" w:eastAsia="宋体" w:cs="宋体"/>
          <w:highlight w:val="none"/>
        </w:rPr>
      </w:pPr>
      <w:r>
        <w:rPr>
          <w:rFonts w:hint="eastAsia" w:ascii="宋体" w:hAnsi="宋体" w:eastAsia="宋体" w:cs="宋体"/>
          <w:highlight w:val="none"/>
        </w:rPr>
        <w:t>4）紧急断电保护</w:t>
      </w:r>
    </w:p>
    <w:p w14:paraId="53110ECC">
      <w:pPr>
        <w:bidi w:val="0"/>
        <w:ind w:firstLine="480" w:firstLineChars="200"/>
        <w:rPr>
          <w:rFonts w:hint="eastAsia" w:ascii="宋体" w:hAnsi="宋体" w:eastAsia="宋体" w:cs="宋体"/>
          <w:highlight w:val="none"/>
        </w:rPr>
      </w:pPr>
      <w:r>
        <w:rPr>
          <w:rFonts w:hint="eastAsia" w:ascii="宋体" w:hAnsi="宋体" w:eastAsia="宋体" w:cs="宋体"/>
          <w:highlight w:val="none"/>
        </w:rPr>
        <w:t>司机室内设有紧急断电按钮，当起重机发生紧急情况时，随时方便地切断控制回路电源，从而使主回路断电，确保起重机的安全运行。</w:t>
      </w:r>
    </w:p>
    <w:p w14:paraId="1D66F3C3">
      <w:pPr>
        <w:bidi w:val="0"/>
        <w:rPr>
          <w:rFonts w:hint="eastAsia" w:ascii="宋体" w:hAnsi="宋体" w:eastAsia="宋体" w:cs="宋体"/>
          <w:highlight w:val="none"/>
        </w:rPr>
      </w:pPr>
      <w:r>
        <w:rPr>
          <w:rFonts w:hint="eastAsia" w:ascii="宋体" w:hAnsi="宋体" w:eastAsia="宋体" w:cs="宋体"/>
          <w:highlight w:val="none"/>
        </w:rPr>
        <w:t>5）起升,行程限位保护</w:t>
      </w:r>
    </w:p>
    <w:p w14:paraId="66A668B7">
      <w:pPr>
        <w:bidi w:val="0"/>
        <w:ind w:firstLine="480" w:firstLineChars="200"/>
        <w:rPr>
          <w:rFonts w:hint="eastAsia" w:ascii="宋体" w:hAnsi="宋体" w:eastAsia="宋体" w:cs="宋体"/>
          <w:highlight w:val="none"/>
        </w:rPr>
      </w:pPr>
      <w:r>
        <w:rPr>
          <w:rFonts w:hint="eastAsia" w:ascii="宋体" w:hAnsi="宋体" w:eastAsia="宋体" w:cs="宋体"/>
          <w:highlight w:val="none"/>
        </w:rPr>
        <w:t>起升采用变频控制，起升机构设有限位开关，可保证吊钩上升到极限位置时切断电源，变幅、回转运行到极限位置时切断控制回路电源，使主回路断电，从而达到减速和停</w:t>
      </w:r>
      <w:bookmarkStart w:id="230" w:name="_Toc27220_WPSOffice_Level2"/>
      <w:r>
        <w:rPr>
          <w:rFonts w:hint="eastAsia" w:ascii="宋体" w:hAnsi="宋体" w:eastAsia="宋体" w:cs="宋体"/>
          <w:highlight w:val="none"/>
        </w:rPr>
        <w:t>车的目的，确保起重机的</w:t>
      </w:r>
      <w:bookmarkEnd w:id="230"/>
      <w:r>
        <w:rPr>
          <w:rFonts w:hint="eastAsia" w:ascii="宋体" w:hAnsi="宋体" w:eastAsia="宋体" w:cs="宋体"/>
          <w:highlight w:val="none"/>
        </w:rPr>
        <w:t>安全运行。</w:t>
      </w:r>
    </w:p>
    <w:p w14:paraId="60BD1612">
      <w:pPr>
        <w:bidi w:val="0"/>
        <w:rPr>
          <w:rFonts w:hint="eastAsia" w:ascii="宋体" w:hAnsi="宋体" w:eastAsia="宋体" w:cs="宋体"/>
          <w:highlight w:val="none"/>
        </w:rPr>
      </w:pPr>
      <w:r>
        <w:rPr>
          <w:rFonts w:hint="eastAsia" w:ascii="宋体" w:hAnsi="宋体" w:eastAsia="宋体" w:cs="宋体"/>
          <w:highlight w:val="none"/>
          <w:lang w:val="en-US" w:eastAsia="zh-CN"/>
        </w:rPr>
        <w:t>6</w:t>
      </w:r>
      <w:r>
        <w:rPr>
          <w:rFonts w:hint="eastAsia" w:ascii="宋体" w:hAnsi="宋体" w:eastAsia="宋体" w:cs="宋体"/>
          <w:highlight w:val="none"/>
        </w:rPr>
        <w:t>）超载保护</w:t>
      </w:r>
    </w:p>
    <w:p w14:paraId="6F54A060">
      <w:pPr>
        <w:bidi w:val="0"/>
        <w:ind w:firstLine="480" w:firstLineChars="200"/>
        <w:rPr>
          <w:rFonts w:hint="eastAsia" w:ascii="宋体" w:hAnsi="宋体" w:eastAsia="宋体" w:cs="宋体"/>
          <w:highlight w:val="none"/>
        </w:rPr>
      </w:pPr>
      <w:r>
        <w:rPr>
          <w:rFonts w:hint="eastAsia" w:ascii="宋体" w:hAnsi="宋体" w:eastAsia="宋体" w:cs="宋体"/>
          <w:highlight w:val="none"/>
        </w:rPr>
        <w:t>起升机构配置超载限制器，具有报警功能，当载荷达到额定起重量的90％时，能发出提示性报警信号，当起重量超过额定起重量时，能自动切断起升动力源，并发出禁止性报警信号。</w:t>
      </w:r>
    </w:p>
    <w:p w14:paraId="297EB24B">
      <w:pPr>
        <w:bidi w:val="0"/>
        <w:rPr>
          <w:rFonts w:hint="eastAsia" w:ascii="宋体" w:hAnsi="宋体" w:eastAsia="宋体" w:cs="宋体"/>
          <w:highlight w:val="none"/>
        </w:rPr>
      </w:pPr>
      <w:r>
        <w:rPr>
          <w:rFonts w:hint="eastAsia" w:ascii="宋体" w:hAnsi="宋体" w:eastAsia="宋体" w:cs="宋体"/>
          <w:highlight w:val="none"/>
          <w:lang w:val="en-US" w:eastAsia="zh-CN"/>
        </w:rPr>
        <w:t>7</w:t>
      </w:r>
      <w:r>
        <w:rPr>
          <w:rFonts w:hint="eastAsia" w:ascii="宋体" w:hAnsi="宋体" w:eastAsia="宋体" w:cs="宋体"/>
          <w:highlight w:val="none"/>
        </w:rPr>
        <w:t>）控制柜,端子箱防护等级IP55，端子箱采用下部或侧部进线上部做防雨，槽盖加防脱落装置。</w:t>
      </w:r>
    </w:p>
    <w:p w14:paraId="1B212E70">
      <w:pPr>
        <w:bidi w:val="0"/>
        <w:rPr>
          <w:rFonts w:hint="eastAsia" w:ascii="宋体" w:hAnsi="宋体" w:eastAsia="宋体" w:cs="宋体"/>
          <w:highlight w:val="none"/>
        </w:rPr>
      </w:pPr>
      <w:bookmarkStart w:id="231" w:name="_Toc530055703"/>
      <w:bookmarkStart w:id="232" w:name="_Toc530055701"/>
      <w:r>
        <w:rPr>
          <w:rFonts w:hint="eastAsia" w:ascii="宋体" w:hAnsi="宋体" w:eastAsia="宋体" w:cs="宋体"/>
          <w:highlight w:val="none"/>
          <w:lang w:eastAsia="zh-CN"/>
        </w:rPr>
        <w:t>（</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w:t>
      </w:r>
      <w:r>
        <w:rPr>
          <w:rFonts w:hint="eastAsia" w:ascii="宋体" w:hAnsi="宋体" w:eastAsia="宋体" w:cs="宋体"/>
          <w:highlight w:val="none"/>
        </w:rPr>
        <w:t>起重机的接地</w:t>
      </w:r>
      <w:bookmarkEnd w:id="231"/>
    </w:p>
    <w:p w14:paraId="12F5321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1）起重机的金属结构及所有电气设备的金属外壳，电缆金属外皮和变压器的低压侧均有可靠的接地。</w:t>
      </w:r>
    </w:p>
    <w:p w14:paraId="3AF6199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）起重机上任何一点的接地电阻均不大于4Ω。</w:t>
      </w:r>
    </w:p>
    <w:p w14:paraId="596E8B17">
      <w:pPr>
        <w:bidi w:val="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5</w:t>
      </w:r>
      <w:r>
        <w:rPr>
          <w:rFonts w:hint="eastAsia" w:ascii="宋体" w:hAnsi="宋体" w:eastAsia="宋体" w:cs="宋体"/>
          <w:highlight w:val="none"/>
          <w:lang w:eastAsia="zh-CN"/>
        </w:rPr>
        <w:t>）</w:t>
      </w:r>
      <w:r>
        <w:rPr>
          <w:rFonts w:hint="eastAsia" w:ascii="宋体" w:hAnsi="宋体" w:eastAsia="宋体" w:cs="宋体"/>
          <w:highlight w:val="none"/>
        </w:rPr>
        <w:t>操纵方式</w:t>
      </w:r>
      <w:bookmarkEnd w:id="232"/>
    </w:p>
    <w:p w14:paraId="1900238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1）司机室设有总电源和控制电源开关状态信号指示灯。</w:t>
      </w:r>
    </w:p>
    <w:p w14:paraId="075EC4E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2）司机室设置交流220V电源插座及三相380V电源，备接其它电气设备。</w:t>
      </w:r>
    </w:p>
    <w:p w14:paraId="5F936AA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3）司机室设有36V插座，以便于检修作业。</w:t>
      </w:r>
    </w:p>
    <w:p w14:paraId="0D12F8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4）司机室用交流220V/40W荧光灯具照明，以满足照度不低于200LX的要求。</w:t>
      </w:r>
    </w:p>
    <w:p w14:paraId="4D44D57A">
      <w:pPr>
        <w:bidi w:val="0"/>
        <w:rPr>
          <w:rFonts w:hint="eastAsia" w:ascii="宋体" w:hAnsi="宋体" w:eastAsia="宋体" w:cs="宋体"/>
          <w:highlight w:val="none"/>
        </w:rPr>
      </w:pPr>
      <w:bookmarkStart w:id="233" w:name="_Toc530055702"/>
      <w:r>
        <w:rPr>
          <w:rFonts w:hint="eastAsia" w:ascii="宋体" w:hAnsi="宋体" w:eastAsia="宋体" w:cs="宋体"/>
          <w:highlight w:val="none"/>
          <w:lang w:eastAsia="zh-CN"/>
        </w:rPr>
        <w:t>（</w:t>
      </w:r>
      <w:r>
        <w:rPr>
          <w:rFonts w:hint="eastAsia" w:ascii="宋体" w:hAnsi="宋体" w:eastAsia="宋体" w:cs="宋体"/>
          <w:highlight w:val="none"/>
          <w:lang w:val="en-US" w:eastAsia="zh-CN"/>
        </w:rPr>
        <w:t>6</w:t>
      </w:r>
      <w:r>
        <w:rPr>
          <w:rFonts w:hint="eastAsia" w:ascii="宋体" w:hAnsi="宋体" w:eastAsia="宋体" w:cs="宋体"/>
          <w:highlight w:val="none"/>
          <w:lang w:eastAsia="zh-CN"/>
        </w:rPr>
        <w:t>）</w:t>
      </w:r>
      <w:r>
        <w:rPr>
          <w:rFonts w:hint="eastAsia" w:ascii="宋体" w:hAnsi="宋体" w:eastAsia="宋体" w:cs="宋体"/>
          <w:highlight w:val="none"/>
        </w:rPr>
        <w:t>照明信号</w:t>
      </w:r>
      <w:bookmarkEnd w:id="233"/>
    </w:p>
    <w:p w14:paraId="34D866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1）照明及信号部分设有专用的隔离变压器。原边进线电压为交流380V，副边出线电压为交流220V，交流36V。交流220V为起重机照明电源；交流36V为起重机安全信号和检修电源。照明变压器从主接触器上端引线，以保证主接触器断电时，照明回路不断电。</w:t>
      </w:r>
    </w:p>
    <w:p w14:paraId="4B7FFE4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2）设有报警装置,操作时起提示作用，在司机室通过按钮开关控制。</w:t>
      </w:r>
    </w:p>
    <w:p w14:paraId="6B581DC7">
      <w:pPr>
        <w:bidi w:val="0"/>
        <w:rPr>
          <w:rFonts w:hint="eastAsia" w:ascii="宋体" w:hAnsi="宋体" w:eastAsia="宋体" w:cs="宋体"/>
          <w:highlight w:val="none"/>
        </w:rPr>
      </w:pPr>
      <w:bookmarkStart w:id="234" w:name="_Toc530055704"/>
      <w:r>
        <w:rPr>
          <w:rFonts w:hint="eastAsia" w:ascii="宋体" w:hAnsi="宋体" w:eastAsia="宋体" w:cs="宋体"/>
          <w:highlight w:val="none"/>
          <w:lang w:eastAsia="zh-CN"/>
        </w:rPr>
        <w:t>（</w:t>
      </w:r>
      <w:r>
        <w:rPr>
          <w:rFonts w:hint="eastAsia" w:ascii="宋体" w:hAnsi="宋体" w:eastAsia="宋体" w:cs="宋体"/>
          <w:highlight w:val="none"/>
          <w:lang w:val="en-US" w:eastAsia="zh-CN"/>
        </w:rPr>
        <w:t>7</w:t>
      </w:r>
      <w:r>
        <w:rPr>
          <w:rFonts w:hint="eastAsia" w:ascii="宋体" w:hAnsi="宋体" w:eastAsia="宋体" w:cs="宋体"/>
          <w:highlight w:val="none"/>
          <w:lang w:eastAsia="zh-CN"/>
        </w:rPr>
        <w:t>）</w:t>
      </w:r>
      <w:r>
        <w:rPr>
          <w:rFonts w:hint="eastAsia" w:ascii="宋体" w:hAnsi="宋体" w:eastAsia="宋体" w:cs="宋体"/>
          <w:highlight w:val="none"/>
        </w:rPr>
        <w:t>其它</w:t>
      </w:r>
      <w:bookmarkEnd w:id="234"/>
    </w:p>
    <w:p w14:paraId="51BC3D4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1）起重机上布线采用截面积不小于2.5mm²的铜导线。</w:t>
      </w:r>
    </w:p>
    <w:p w14:paraId="3825E0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808080" w:themeColor="background1" w:themeShade="80"/>
          <w:highlight w:val="none"/>
        </w:rPr>
      </w:pPr>
      <w:r>
        <w:rPr>
          <w:rFonts w:hint="eastAsia" w:ascii="宋体" w:hAnsi="宋体" w:eastAsia="宋体" w:cs="宋体"/>
          <w:highlight w:val="none"/>
        </w:rPr>
        <w:t>2）总受电屏和各机构控制屏中的布线采用铜导线和铜排。</w:t>
      </w:r>
    </w:p>
    <w:p w14:paraId="45A6AF37">
      <w:pPr>
        <w:pStyle w:val="4"/>
        <w:tabs>
          <w:tab w:val="left" w:pos="0"/>
          <w:tab w:val="left" w:pos="630"/>
        </w:tabs>
        <w:bidi w:val="0"/>
        <w:rPr>
          <w:rFonts w:hint="eastAsia" w:ascii="宋体" w:hAnsi="宋体" w:eastAsia="宋体" w:cs="宋体"/>
        </w:rPr>
      </w:pPr>
      <w:r>
        <w:rPr>
          <w:rFonts w:hint="eastAsia" w:ascii="宋体" w:hAnsi="宋体" w:eastAsia="宋体" w:cs="宋体"/>
        </w:rPr>
        <w:t>强制性条文和具体措施</w:t>
      </w:r>
    </w:p>
    <w:p w14:paraId="12E7A684">
      <w:pPr>
        <w:bidi w:val="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应执行的强制性条文</w:t>
      </w:r>
    </w:p>
    <w:p w14:paraId="7E06D737">
      <w:pPr>
        <w:bidi w:val="0"/>
        <w:ind w:firstLine="480" w:firstLineChars="200"/>
        <w:rPr>
          <w:rFonts w:hint="eastAsia" w:ascii="宋体" w:hAnsi="宋体" w:eastAsia="宋体" w:cs="宋体"/>
          <w:highlight w:val="none"/>
        </w:rPr>
      </w:pPr>
      <w:r>
        <w:rPr>
          <w:rFonts w:hint="eastAsia" w:ascii="宋体" w:hAnsi="宋体" w:eastAsia="宋体" w:cs="宋体"/>
          <w:highlight w:val="none"/>
        </w:rPr>
        <w:t>起重机行程限位开关动作后，应能自动切断相关电源。起重量限制器的调试，应符合下列要求：起重限制器综合误差，不应大于5%；当载荷达到额定起重量的95%时，应能发出提示性报警信号；当载荷达到额定起重量的110%时，应能自动切断起升机构电动机的电源，并应发出禁止性报警信号。</w:t>
      </w:r>
    </w:p>
    <w:p w14:paraId="3644ED83">
      <w:pPr>
        <w:bidi w:val="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具体措施</w:t>
      </w:r>
    </w:p>
    <w:p w14:paraId="02258950">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rPr>
        <w:t>电气系统的验收作为整机验收的一部分，调试不合格不得投入使用。</w:t>
      </w:r>
    </w:p>
    <w:p w14:paraId="6D19B8A6">
      <w:pPr>
        <w:pStyle w:val="3"/>
        <w:bidi w:val="0"/>
        <w:ind w:left="575" w:leftChars="0" w:hanging="575" w:firstLineChars="0"/>
        <w:rPr>
          <w:rFonts w:hint="eastAsia" w:ascii="宋体" w:hAnsi="宋体" w:eastAsia="宋体" w:cs="Times New Roman"/>
          <w:b/>
          <w:color w:val="000000" w:themeColor="text1"/>
          <w:kern w:val="2"/>
          <w:sz w:val="28"/>
          <w:szCs w:val="22"/>
          <w:lang w:val="en-US" w:eastAsia="zh-CN" w:bidi="ar-SA"/>
          <w14:textFill>
            <w14:solidFill>
              <w14:schemeClr w14:val="tx1"/>
            </w14:solidFill>
          </w14:textFill>
        </w:rPr>
      </w:pPr>
      <w:bookmarkStart w:id="235" w:name="_Toc24758"/>
      <w:r>
        <w:rPr>
          <w:rFonts w:hint="eastAsia" w:cs="Times New Roman"/>
          <w:b/>
          <w:color w:val="000000" w:themeColor="text1"/>
          <w:kern w:val="2"/>
          <w:sz w:val="28"/>
          <w:szCs w:val="22"/>
          <w:lang w:val="en-US" w:eastAsia="zh-CN" w:bidi="ar-SA"/>
          <w14:textFill>
            <w14:solidFill>
              <w14:schemeClr w14:val="tx1"/>
            </w14:solidFill>
          </w14:textFill>
        </w:rPr>
        <w:t>应急处置措施</w:t>
      </w:r>
      <w:bookmarkEnd w:id="235"/>
    </w:p>
    <w:p w14:paraId="1CED3B8F">
      <w:pPr>
        <w:pStyle w:val="4"/>
        <w:tabs>
          <w:tab w:val="left" w:pos="0"/>
          <w:tab w:val="left" w:pos="630"/>
        </w:tabs>
        <w:bidi w:val="0"/>
        <w:rPr>
          <w:rFonts w:hint="eastAsia" w:ascii="宋体" w:hAnsi="宋体" w:eastAsia="宋体" w:cs="宋体"/>
          <w:lang w:val="en-US" w:eastAsia="zh-CN"/>
        </w:rPr>
      </w:pPr>
      <w:bookmarkStart w:id="236" w:name="_Toc4766"/>
      <w:bookmarkStart w:id="237" w:name="_Toc9886"/>
      <w:bookmarkStart w:id="238" w:name="_Toc32162"/>
      <w:bookmarkStart w:id="239" w:name="_Toc10409838"/>
      <w:r>
        <w:rPr>
          <w:rFonts w:hint="eastAsia" w:ascii="宋体" w:hAnsi="宋体" w:eastAsia="宋体" w:cs="宋体"/>
          <w:lang w:val="en-US" w:eastAsia="zh-CN"/>
        </w:rPr>
        <w:t>职责</w:t>
      </w:r>
    </w:p>
    <w:p w14:paraId="2833E4D2">
      <w:pPr>
        <w:ind w:firstLine="480"/>
        <w:rPr>
          <w:rFonts w:hint="eastAsia" w:ascii="宋体" w:hAnsi="宋体" w:eastAsia="宋体" w:cs="宋体"/>
          <w:highlight w:val="none"/>
          <w:lang w:val="en-US" w:eastAsia="zh-CN"/>
        </w:rPr>
      </w:pPr>
      <w:r>
        <w:rPr>
          <w:rFonts w:hint="eastAsia" w:ascii="宋体" w:hAnsi="宋体" w:eastAsia="宋体" w:cs="宋体"/>
          <w:highlight w:val="none"/>
          <w:lang w:val="en-US" w:eastAsia="zh-CN"/>
        </w:rPr>
        <w:t>1.领导小组职责</w:t>
      </w:r>
    </w:p>
    <w:p w14:paraId="74311DED">
      <w:pPr>
        <w:ind w:firstLine="480"/>
        <w:rPr>
          <w:rFonts w:hint="eastAsia" w:ascii="宋体" w:hAnsi="宋体" w:eastAsia="宋体" w:cs="宋体"/>
          <w:highlight w:val="none"/>
        </w:rPr>
      </w:pPr>
      <w:r>
        <w:rPr>
          <w:rFonts w:hint="eastAsia" w:ascii="宋体" w:hAnsi="宋体" w:eastAsia="宋体" w:cs="宋体"/>
          <w:highlight w:val="none"/>
        </w:rPr>
        <w:t>（1）负责组织和制定应急处置措施；</w:t>
      </w:r>
    </w:p>
    <w:p w14:paraId="41FC8099">
      <w:pPr>
        <w:ind w:firstLine="480"/>
        <w:rPr>
          <w:rFonts w:hint="eastAsia" w:ascii="宋体" w:hAnsi="宋体" w:eastAsia="宋体" w:cs="宋体"/>
          <w:highlight w:val="none"/>
        </w:rPr>
      </w:pPr>
      <w:r>
        <w:rPr>
          <w:rFonts w:hint="eastAsia" w:ascii="宋体" w:hAnsi="宋体" w:eastAsia="宋体" w:cs="宋体"/>
          <w:highlight w:val="none"/>
        </w:rPr>
        <w:t>（2）按规定的报告程序和时限，逐级上报事故；</w:t>
      </w:r>
    </w:p>
    <w:p w14:paraId="51DAC34F">
      <w:pPr>
        <w:ind w:firstLine="480"/>
        <w:rPr>
          <w:rFonts w:hint="eastAsia" w:ascii="宋体" w:hAnsi="宋体" w:eastAsia="宋体" w:cs="宋体"/>
          <w:highlight w:val="none"/>
        </w:rPr>
      </w:pPr>
      <w:r>
        <w:rPr>
          <w:rFonts w:hint="eastAsia" w:ascii="宋体" w:hAnsi="宋体" w:eastAsia="宋体" w:cs="宋体"/>
          <w:highlight w:val="none"/>
        </w:rPr>
        <w:t>（3）检查督促做好各项预防措施及应急资源的落实情况；</w:t>
      </w:r>
    </w:p>
    <w:p w14:paraId="13E096A2">
      <w:pPr>
        <w:ind w:firstLine="480"/>
        <w:rPr>
          <w:rFonts w:hint="eastAsia" w:ascii="宋体" w:hAnsi="宋体" w:eastAsia="宋体" w:cs="宋体"/>
          <w:highlight w:val="none"/>
        </w:rPr>
      </w:pPr>
      <w:r>
        <w:rPr>
          <w:rFonts w:hint="eastAsia" w:ascii="宋体" w:hAnsi="宋体" w:eastAsia="宋体" w:cs="宋体"/>
          <w:highlight w:val="none"/>
        </w:rPr>
        <w:t>（4）应急处置措施的组织与实施；</w:t>
      </w:r>
    </w:p>
    <w:p w14:paraId="25486317">
      <w:pPr>
        <w:ind w:firstLine="480"/>
        <w:rPr>
          <w:rFonts w:hint="eastAsia" w:ascii="宋体" w:hAnsi="宋体" w:eastAsia="宋体" w:cs="宋体"/>
          <w:highlight w:val="none"/>
        </w:rPr>
      </w:pPr>
      <w:r>
        <w:rPr>
          <w:rFonts w:hint="eastAsia" w:ascii="宋体" w:hAnsi="宋体" w:eastAsia="宋体" w:cs="宋体"/>
          <w:highlight w:val="none"/>
        </w:rPr>
        <w:t>（5）当施工现场发生紧急情况时，发布和解除应急救援命令；</w:t>
      </w:r>
    </w:p>
    <w:p w14:paraId="3DC59AFE">
      <w:pPr>
        <w:ind w:firstLine="480"/>
        <w:rPr>
          <w:rFonts w:hint="eastAsia" w:ascii="宋体" w:hAnsi="宋体" w:eastAsia="宋体" w:cs="宋体"/>
          <w:highlight w:val="none"/>
        </w:rPr>
      </w:pPr>
      <w:r>
        <w:rPr>
          <w:rFonts w:hint="eastAsia" w:ascii="宋体" w:hAnsi="宋体" w:eastAsia="宋体" w:cs="宋体"/>
          <w:highlight w:val="none"/>
        </w:rPr>
        <w:t>（6）随时了解和掌握处理事故的实际情况，根据情况作出应急对策；</w:t>
      </w:r>
    </w:p>
    <w:p w14:paraId="2000B0FA">
      <w:pPr>
        <w:ind w:firstLine="480"/>
        <w:rPr>
          <w:rFonts w:hint="eastAsia" w:ascii="宋体" w:hAnsi="宋体" w:eastAsia="宋体" w:cs="宋体"/>
          <w:highlight w:val="none"/>
        </w:rPr>
      </w:pPr>
      <w:r>
        <w:rPr>
          <w:rFonts w:hint="eastAsia" w:ascii="宋体" w:hAnsi="宋体" w:eastAsia="宋体" w:cs="宋体"/>
          <w:highlight w:val="none"/>
        </w:rPr>
        <w:t>（7）保护好事故现场，确保内外通讯畅通。</w:t>
      </w:r>
    </w:p>
    <w:p w14:paraId="056F4726">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r>
        <w:rPr>
          <w:rFonts w:hint="eastAsia" w:ascii="宋体" w:hAnsi="宋体" w:eastAsia="宋体" w:cs="宋体"/>
          <w:color w:val="000000"/>
          <w:kern w:val="0"/>
          <w:highlight w:val="none"/>
          <w:lang w:bidi="ar"/>
        </w:rPr>
        <w:t>应急救援领导小组办公室</w:t>
      </w:r>
      <w:r>
        <w:rPr>
          <w:rFonts w:hint="eastAsia" w:ascii="宋体" w:hAnsi="宋体" w:eastAsia="宋体" w:cs="宋体"/>
          <w:highlight w:val="none"/>
          <w:lang w:val="en-US" w:eastAsia="zh-CN"/>
        </w:rPr>
        <w:t>职责</w:t>
      </w:r>
    </w:p>
    <w:p w14:paraId="1F5319BA">
      <w:pPr>
        <w:widowControl/>
        <w:ind w:firstLine="480" w:firstLineChars="200"/>
        <w:jc w:val="left"/>
        <w:rPr>
          <w:rFonts w:hint="eastAsia" w:ascii="宋体" w:hAnsi="宋体" w:eastAsia="宋体" w:cs="宋体"/>
          <w:highlight w:val="none"/>
        </w:rPr>
      </w:pPr>
      <w:r>
        <w:rPr>
          <w:rFonts w:hint="eastAsia" w:ascii="宋体" w:hAnsi="宋体" w:eastAsia="宋体" w:cs="宋体"/>
          <w:color w:val="000000"/>
          <w:kern w:val="0"/>
          <w:highlight w:val="none"/>
          <w:lang w:bidi="ar"/>
        </w:rPr>
        <w:t xml:space="preserve">（1）服从项目部应急救援领导小组的指挥，实施救援响应； </w:t>
      </w:r>
    </w:p>
    <w:p w14:paraId="649DBE2C">
      <w:pPr>
        <w:widowControl/>
        <w:ind w:firstLine="480" w:firstLineChars="200"/>
        <w:jc w:val="left"/>
        <w:rPr>
          <w:rFonts w:hint="eastAsia" w:ascii="宋体" w:hAnsi="宋体" w:eastAsia="宋体" w:cs="宋体"/>
          <w:highlight w:val="none"/>
        </w:rPr>
      </w:pPr>
      <w:r>
        <w:rPr>
          <w:rFonts w:hint="eastAsia" w:ascii="宋体" w:hAnsi="宋体" w:eastAsia="宋体" w:cs="宋体"/>
          <w:color w:val="000000"/>
          <w:kern w:val="0"/>
          <w:highlight w:val="none"/>
          <w:lang w:bidi="ar"/>
        </w:rPr>
        <w:t xml:space="preserve">（2）根据组长指示，发布和解除突发事件应急救援命令； </w:t>
      </w:r>
    </w:p>
    <w:p w14:paraId="31A20CA5">
      <w:pPr>
        <w:widowControl/>
        <w:ind w:firstLine="480" w:firstLineChars="200"/>
        <w:jc w:val="left"/>
        <w:rPr>
          <w:rFonts w:hint="eastAsia" w:ascii="宋体" w:hAnsi="宋体" w:eastAsia="宋体" w:cs="宋体"/>
          <w:highlight w:val="none"/>
        </w:rPr>
      </w:pPr>
      <w:r>
        <w:rPr>
          <w:rFonts w:hint="eastAsia" w:ascii="宋体" w:hAnsi="宋体" w:eastAsia="宋体" w:cs="宋体"/>
          <w:color w:val="000000"/>
          <w:kern w:val="0"/>
          <w:highlight w:val="none"/>
          <w:lang w:bidi="ar"/>
        </w:rPr>
        <w:t>（3）织指挥救援队伍实施救援行动；</w:t>
      </w:r>
    </w:p>
    <w:p w14:paraId="433DA9DA">
      <w:pPr>
        <w:widowControl/>
        <w:ind w:firstLine="480" w:firstLineChars="200"/>
        <w:jc w:val="left"/>
        <w:rPr>
          <w:rFonts w:hint="eastAsia" w:ascii="宋体" w:hAnsi="宋体" w:eastAsia="宋体" w:cs="宋体"/>
          <w:highlight w:val="none"/>
        </w:rPr>
      </w:pPr>
      <w:r>
        <w:rPr>
          <w:rFonts w:hint="eastAsia" w:ascii="宋体" w:hAnsi="宋体" w:eastAsia="宋体" w:cs="宋体"/>
          <w:color w:val="000000"/>
          <w:kern w:val="0"/>
          <w:highlight w:val="none"/>
          <w:lang w:bidi="ar"/>
        </w:rPr>
        <w:t xml:space="preserve">（4）向上级报告事故和事故救援情况，适时发布事故救援报告； </w:t>
      </w:r>
    </w:p>
    <w:p w14:paraId="3D013CF0">
      <w:pPr>
        <w:widowControl/>
        <w:ind w:firstLine="480" w:firstLineChars="200"/>
        <w:jc w:val="left"/>
        <w:rPr>
          <w:rFonts w:hint="eastAsia" w:ascii="宋体" w:hAnsi="宋体" w:eastAsia="宋体" w:cs="宋体"/>
          <w:highlight w:val="none"/>
        </w:rPr>
      </w:pPr>
      <w:r>
        <w:rPr>
          <w:rFonts w:hint="eastAsia" w:ascii="宋体" w:hAnsi="宋体" w:eastAsia="宋体" w:cs="宋体"/>
          <w:color w:val="000000"/>
          <w:kern w:val="0"/>
          <w:highlight w:val="none"/>
          <w:lang w:bidi="ar"/>
        </w:rPr>
        <w:t xml:space="preserve">（5）指令有关部门配合上级部门进行事故调查处理； </w:t>
      </w:r>
    </w:p>
    <w:p w14:paraId="383EB2FA">
      <w:pPr>
        <w:widowControl/>
        <w:ind w:firstLine="480" w:firstLineChars="200"/>
        <w:jc w:val="left"/>
        <w:rPr>
          <w:rFonts w:hint="eastAsia" w:ascii="宋体" w:hAnsi="宋体" w:eastAsia="宋体" w:cs="宋体"/>
          <w:highlight w:val="none"/>
        </w:rPr>
      </w:pPr>
      <w:r>
        <w:rPr>
          <w:rFonts w:hint="eastAsia" w:ascii="宋体" w:hAnsi="宋体" w:eastAsia="宋体" w:cs="宋体"/>
          <w:color w:val="000000"/>
          <w:kern w:val="0"/>
          <w:highlight w:val="none"/>
          <w:lang w:bidi="ar"/>
        </w:rPr>
        <w:t xml:space="preserve">（6）必要时向有关部门发出救援请求； </w:t>
      </w:r>
    </w:p>
    <w:p w14:paraId="1AD4C911">
      <w:pPr>
        <w:widowControl/>
        <w:ind w:firstLine="480" w:firstLineChars="200"/>
        <w:jc w:val="left"/>
        <w:rPr>
          <w:rFonts w:hint="eastAsia" w:ascii="宋体" w:hAnsi="宋体" w:eastAsia="宋体" w:cs="宋体"/>
          <w:highlight w:val="none"/>
        </w:rPr>
      </w:pPr>
      <w:r>
        <w:rPr>
          <w:rFonts w:hint="eastAsia" w:ascii="宋体" w:hAnsi="宋体" w:eastAsia="宋体" w:cs="宋体"/>
          <w:color w:val="000000"/>
          <w:kern w:val="0"/>
          <w:highlight w:val="none"/>
          <w:lang w:bidi="ar"/>
        </w:rPr>
        <w:t xml:space="preserve">（7）完成领导小组交办的其他事项。 </w:t>
      </w:r>
    </w:p>
    <w:p w14:paraId="4A617625">
      <w:pPr>
        <w:pStyle w:val="4"/>
        <w:tabs>
          <w:tab w:val="left" w:pos="0"/>
          <w:tab w:val="left" w:pos="630"/>
        </w:tabs>
        <w:bidi w:val="0"/>
        <w:rPr>
          <w:rFonts w:hint="eastAsia" w:ascii="宋体" w:hAnsi="宋体" w:eastAsia="宋体" w:cs="宋体"/>
        </w:rPr>
      </w:pPr>
      <w:r>
        <w:rPr>
          <w:rFonts w:hint="eastAsia" w:ascii="宋体" w:hAnsi="宋体" w:eastAsia="宋体" w:cs="宋体"/>
        </w:rPr>
        <w:t>应急处置领导小组</w:t>
      </w:r>
    </w:p>
    <w:p w14:paraId="6CEACC6D">
      <w:pPr>
        <w:ind w:firstLine="643"/>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项目部成立以项目经理、项目书记为组长，总工程师、副经理、安全总监等其他副职领导为副组长，各职能部门负责人及各协作队伍负责人为组员的安全应急领导小组。</w:t>
      </w:r>
    </w:p>
    <w:p w14:paraId="670F5E7B">
      <w:pPr>
        <w:ind w:firstLine="480"/>
        <w:rPr>
          <w:rFonts w:hint="eastAsia" w:ascii="宋体" w:hAnsi="宋体" w:eastAsia="宋体" w:cs="宋体"/>
          <w:color w:val="auto"/>
          <w:szCs w:val="22"/>
          <w:highlight w:val="none"/>
        </w:rPr>
      </w:pPr>
      <w:r>
        <w:rPr>
          <w:rFonts w:hint="eastAsia" w:ascii="宋体" w:hAnsi="宋体" w:eastAsia="宋体" w:cs="宋体"/>
          <w:color w:val="auto"/>
          <w:szCs w:val="22"/>
          <w:highlight w:val="none"/>
        </w:rPr>
        <w:t>组  长：</w:t>
      </w:r>
      <w:r>
        <w:rPr>
          <w:rFonts w:hint="eastAsia" w:ascii="宋体" w:hAnsi="宋体" w:eastAsia="宋体" w:cs="宋体"/>
          <w:color w:val="auto"/>
          <w:highlight w:val="none"/>
        </w:rPr>
        <w:t>程金平</w:t>
      </w:r>
    </w:p>
    <w:p w14:paraId="0DB9C94A">
      <w:pPr>
        <w:ind w:firstLine="480"/>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rPr>
        <w:t>副组长：</w:t>
      </w:r>
      <w:r>
        <w:rPr>
          <w:rFonts w:hint="eastAsia" w:ascii="宋体" w:hAnsi="宋体" w:eastAsia="宋体" w:cs="宋体"/>
          <w:color w:val="auto"/>
          <w:szCs w:val="22"/>
          <w:highlight w:val="none"/>
          <w:lang w:val="en-US" w:eastAsia="zh-CN"/>
        </w:rPr>
        <w:t>赵凯、刘海、余淼、李野</w:t>
      </w:r>
    </w:p>
    <w:p w14:paraId="0441FDF3">
      <w:pPr>
        <w:ind w:firstLine="480"/>
        <w:rPr>
          <w:rFonts w:hint="eastAsia" w:ascii="宋体" w:hAnsi="宋体" w:eastAsia="宋体" w:cs="宋体"/>
          <w:color w:val="auto"/>
          <w:highlight w:val="none"/>
          <w:lang w:val="en-US" w:eastAsia="zh-CN"/>
        </w:rPr>
      </w:pPr>
      <w:r>
        <w:rPr>
          <w:rFonts w:hint="eastAsia" w:ascii="宋体" w:hAnsi="宋体" w:eastAsia="宋体" w:cs="宋体"/>
          <w:color w:val="auto"/>
          <w:szCs w:val="22"/>
          <w:highlight w:val="none"/>
        </w:rPr>
        <w:t>组  员：</w:t>
      </w:r>
      <w:r>
        <w:rPr>
          <w:rFonts w:hint="eastAsia" w:ascii="宋体" w:hAnsi="宋体" w:eastAsia="宋体" w:cs="宋体"/>
          <w:color w:val="auto"/>
          <w:highlight w:val="none"/>
        </w:rPr>
        <w:t>岳蛟、李萌萌、刘嘉伟、黄硕、魏小雨、丁阳、陈硕、</w:t>
      </w:r>
      <w:r>
        <w:rPr>
          <w:rFonts w:hint="eastAsia" w:ascii="宋体" w:hAnsi="宋体" w:eastAsia="宋体" w:cs="宋体"/>
          <w:color w:val="auto"/>
          <w:highlight w:val="none"/>
          <w:lang w:val="en-US" w:eastAsia="zh-CN"/>
        </w:rPr>
        <w:t>刘慈龙</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桂海波</w:t>
      </w:r>
    </w:p>
    <w:p w14:paraId="36CCCF6B">
      <w:pPr>
        <w:ind w:firstLine="480" w:firstLineChars="200"/>
        <w:rPr>
          <w:rFonts w:hint="eastAsia" w:ascii="宋体" w:hAnsi="宋体" w:eastAsia="宋体" w:cs="宋体"/>
          <w:color w:val="auto"/>
          <w:highlight w:val="none"/>
        </w:rPr>
      </w:pPr>
      <w:r>
        <w:rPr>
          <w:rFonts w:hint="eastAsia" w:ascii="宋体" w:hAnsi="宋体" w:eastAsia="宋体" w:cs="宋体"/>
          <w:color w:val="auto"/>
          <w:kern w:val="0"/>
          <w:highlight w:val="none"/>
          <w:lang w:bidi="ar"/>
        </w:rPr>
        <w:t xml:space="preserve">应急救援领导小组办公室 </w:t>
      </w:r>
    </w:p>
    <w:p w14:paraId="32C5393F">
      <w:pPr>
        <w:widowControl/>
        <w:ind w:firstLine="480" w:firstLineChars="200"/>
        <w:jc w:val="left"/>
        <w:rPr>
          <w:rFonts w:hint="eastAsia" w:ascii="宋体" w:hAnsi="宋体" w:eastAsia="宋体" w:cs="宋体"/>
          <w:color w:val="auto"/>
          <w:highlight w:val="none"/>
          <w:lang w:eastAsia="zh-CN"/>
        </w:rPr>
      </w:pPr>
      <w:r>
        <w:rPr>
          <w:rFonts w:hint="eastAsia" w:ascii="宋体" w:hAnsi="宋体" w:eastAsia="宋体" w:cs="宋体"/>
          <w:color w:val="auto"/>
          <w:kern w:val="0"/>
          <w:highlight w:val="none"/>
          <w:lang w:bidi="ar"/>
        </w:rPr>
        <w:t>主  任：</w:t>
      </w:r>
      <w:r>
        <w:rPr>
          <w:rFonts w:hint="eastAsia" w:ascii="宋体" w:hAnsi="宋体" w:eastAsia="宋体" w:cs="宋体"/>
          <w:color w:val="auto"/>
          <w:kern w:val="0"/>
          <w:highlight w:val="none"/>
          <w:lang w:val="en-US" w:eastAsia="zh-CN" w:bidi="ar"/>
        </w:rPr>
        <w:t>余淼</w:t>
      </w:r>
    </w:p>
    <w:p w14:paraId="26113A02">
      <w:pPr>
        <w:widowControl/>
        <w:ind w:firstLine="480" w:firstLineChars="200"/>
        <w:jc w:val="left"/>
        <w:rPr>
          <w:rFonts w:hint="eastAsia" w:ascii="宋体" w:hAnsi="宋体" w:eastAsia="宋体" w:cs="宋体"/>
          <w:highlight w:val="none"/>
          <w:lang w:val="en-US" w:eastAsia="zh-CN"/>
        </w:rPr>
      </w:pPr>
      <w:r>
        <w:rPr>
          <w:rFonts w:hint="eastAsia" w:ascii="宋体" w:hAnsi="宋体" w:eastAsia="宋体" w:cs="宋体"/>
          <w:color w:val="auto"/>
          <w:kern w:val="0"/>
          <w:highlight w:val="none"/>
          <w:lang w:bidi="ar"/>
        </w:rPr>
        <w:t>成  员：陈硕、</w:t>
      </w:r>
      <w:r>
        <w:rPr>
          <w:rFonts w:hint="eastAsia" w:ascii="宋体" w:hAnsi="宋体" w:eastAsia="宋体" w:cs="宋体"/>
          <w:color w:val="auto"/>
          <w:kern w:val="0"/>
          <w:highlight w:val="none"/>
          <w:lang w:val="en-US" w:eastAsia="zh-CN" w:bidi="ar"/>
        </w:rPr>
        <w:t>王雪丰</w:t>
      </w:r>
      <w:r>
        <w:rPr>
          <w:rFonts w:hint="eastAsia" w:ascii="宋体" w:hAnsi="宋体" w:eastAsia="宋体" w:cs="宋体"/>
          <w:color w:val="auto"/>
          <w:kern w:val="0"/>
          <w:highlight w:val="none"/>
          <w:lang w:bidi="ar"/>
        </w:rPr>
        <w:t>、</w:t>
      </w:r>
      <w:r>
        <w:rPr>
          <w:rFonts w:hint="eastAsia" w:ascii="宋体" w:hAnsi="宋体" w:eastAsia="宋体" w:cs="宋体"/>
          <w:color w:val="auto"/>
          <w:kern w:val="0"/>
          <w:highlight w:val="none"/>
          <w:lang w:val="en-US" w:eastAsia="zh-CN" w:bidi="ar"/>
        </w:rPr>
        <w:t>叶雪兰</w:t>
      </w:r>
    </w:p>
    <w:p w14:paraId="1E97D8CC">
      <w:pPr>
        <w:pStyle w:val="4"/>
        <w:tabs>
          <w:tab w:val="left" w:pos="0"/>
          <w:tab w:val="left" w:pos="630"/>
        </w:tabs>
        <w:bidi w:val="0"/>
        <w:rPr>
          <w:rFonts w:hint="eastAsia" w:ascii="宋体" w:hAnsi="宋体" w:eastAsia="宋体" w:cs="宋体"/>
        </w:rPr>
      </w:pPr>
      <w:r>
        <w:rPr>
          <w:rFonts w:hint="eastAsia" w:ascii="宋体" w:hAnsi="宋体" w:eastAsia="宋体" w:cs="宋体"/>
        </w:rPr>
        <w:t>领导小组人员分工</w:t>
      </w:r>
    </w:p>
    <w:p w14:paraId="56640CA4">
      <w:pPr>
        <w:ind w:firstLine="480"/>
        <w:rPr>
          <w:rFonts w:hint="eastAsia" w:ascii="宋体" w:hAnsi="宋体" w:eastAsia="宋体" w:cs="宋体"/>
          <w:highlight w:val="none"/>
        </w:rPr>
      </w:pPr>
      <w:r>
        <w:rPr>
          <w:rFonts w:hint="eastAsia" w:ascii="宋体" w:hAnsi="宋体" w:eastAsia="宋体" w:cs="宋体"/>
          <w:highlight w:val="none"/>
        </w:rPr>
        <w:t>组长</w:t>
      </w:r>
      <w:r>
        <w:rPr>
          <w:rFonts w:hint="eastAsia" w:ascii="宋体" w:hAnsi="宋体" w:eastAsia="宋体" w:cs="宋体"/>
          <w:highlight w:val="none"/>
          <w:lang w:eastAsia="zh-CN"/>
        </w:rPr>
        <w:t>（</w:t>
      </w:r>
      <w:r>
        <w:rPr>
          <w:rFonts w:hint="eastAsia" w:ascii="宋体" w:hAnsi="宋体" w:eastAsia="宋体" w:cs="宋体"/>
          <w:highlight w:val="none"/>
          <w:lang w:val="en-US" w:eastAsia="zh-CN"/>
        </w:rPr>
        <w:t>总指挥</w:t>
      </w:r>
      <w:r>
        <w:rPr>
          <w:rFonts w:hint="eastAsia" w:ascii="宋体" w:hAnsi="宋体" w:eastAsia="宋体" w:cs="宋体"/>
          <w:highlight w:val="none"/>
          <w:lang w:eastAsia="zh-CN"/>
        </w:rPr>
        <w:t>）</w:t>
      </w:r>
      <w:r>
        <w:rPr>
          <w:rFonts w:hint="eastAsia" w:ascii="宋体" w:hAnsi="宋体" w:eastAsia="宋体" w:cs="宋体"/>
          <w:highlight w:val="none"/>
        </w:rPr>
        <w:t>：发生吊装安全事故时，发布和解除应急救援指令；组织指挥应急队伍实施救援行动；向上级汇报和公司通报事故情况，必要时向有关单位发出救援要求；组织事故调查，总结应急救援经验教育等。</w:t>
      </w:r>
    </w:p>
    <w:p w14:paraId="444705CF">
      <w:pPr>
        <w:ind w:firstLine="480"/>
        <w:rPr>
          <w:rFonts w:hint="eastAsia" w:ascii="宋体" w:hAnsi="宋体" w:eastAsia="宋体" w:cs="宋体"/>
          <w:highlight w:val="none"/>
        </w:rPr>
      </w:pPr>
      <w:r>
        <w:rPr>
          <w:rFonts w:hint="eastAsia" w:ascii="宋体" w:hAnsi="宋体" w:eastAsia="宋体" w:cs="宋体"/>
          <w:highlight w:val="none"/>
        </w:rPr>
        <w:t>副组长</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副总指挥</w:t>
      </w:r>
      <w:r>
        <w:rPr>
          <w:rFonts w:hint="eastAsia" w:ascii="宋体" w:hAnsi="宋体" w:eastAsia="宋体" w:cs="宋体"/>
          <w:highlight w:val="none"/>
          <w:lang w:eastAsia="zh-CN"/>
        </w:rPr>
        <w:t>）</w:t>
      </w:r>
      <w:r>
        <w:rPr>
          <w:rFonts w:hint="eastAsia" w:ascii="宋体" w:hAnsi="宋体" w:eastAsia="宋体" w:cs="宋体"/>
          <w:highlight w:val="none"/>
        </w:rPr>
        <w:t>：协助组长工作，负责指挥应急处置工作的具体实施。</w:t>
      </w:r>
    </w:p>
    <w:p w14:paraId="15E53EA7">
      <w:pPr>
        <w:ind w:firstLine="480"/>
        <w:rPr>
          <w:rFonts w:hint="eastAsia" w:ascii="宋体" w:hAnsi="宋体" w:eastAsia="宋体" w:cs="宋体"/>
          <w:highlight w:val="none"/>
        </w:rPr>
      </w:pPr>
      <w:r>
        <w:rPr>
          <w:rFonts w:hint="eastAsia" w:ascii="宋体" w:hAnsi="宋体" w:eastAsia="宋体" w:cs="宋体"/>
          <w:highlight w:val="none"/>
        </w:rPr>
        <w:t>小组成员：</w:t>
      </w:r>
    </w:p>
    <w:p w14:paraId="0914593D">
      <w:pPr>
        <w:ind w:firstLine="480"/>
        <w:rPr>
          <w:rFonts w:hint="eastAsia" w:ascii="宋体" w:hAnsi="宋体" w:eastAsia="宋体" w:cs="宋体"/>
          <w:highlight w:val="none"/>
        </w:rPr>
      </w:pPr>
      <w:r>
        <w:rPr>
          <w:rFonts w:hint="eastAsia" w:ascii="宋体" w:hAnsi="宋体" w:eastAsia="宋体" w:cs="宋体"/>
          <w:highlight w:val="none"/>
        </w:rPr>
        <w:t>（1）负责警戒、治安保卫、人员疏散，道路交通管制工作。</w:t>
      </w:r>
    </w:p>
    <w:p w14:paraId="4E07D01B">
      <w:pPr>
        <w:ind w:firstLine="480"/>
        <w:rPr>
          <w:rFonts w:hint="eastAsia" w:ascii="宋体" w:hAnsi="宋体" w:eastAsia="宋体" w:cs="宋体"/>
          <w:highlight w:val="none"/>
        </w:rPr>
      </w:pPr>
      <w:r>
        <w:rPr>
          <w:rFonts w:hint="eastAsia" w:ascii="宋体" w:hAnsi="宋体" w:eastAsia="宋体" w:cs="宋体"/>
          <w:highlight w:val="none"/>
        </w:rPr>
        <w:t>（2）协助副组长工作，做好事故报警，情况通报及事故处置工作，负责事故现场的通讯联络、对外联络及事故现场的监测工作。</w:t>
      </w:r>
    </w:p>
    <w:p w14:paraId="35DF4B62">
      <w:pPr>
        <w:ind w:firstLine="480"/>
        <w:rPr>
          <w:rFonts w:hint="eastAsia" w:ascii="宋体" w:hAnsi="宋体" w:eastAsia="宋体" w:cs="宋体"/>
          <w:highlight w:val="none"/>
        </w:rPr>
      </w:pPr>
      <w:r>
        <w:rPr>
          <w:rFonts w:hint="eastAsia" w:ascii="宋体" w:hAnsi="宋体" w:eastAsia="宋体" w:cs="宋体"/>
          <w:highlight w:val="none"/>
        </w:rPr>
        <w:t>（3）负责协助抢险机械设备的调转；负责抢险救援物质的供应和运输工作。</w:t>
      </w:r>
    </w:p>
    <w:p w14:paraId="752A4A1C">
      <w:pPr>
        <w:ind w:firstLine="480"/>
        <w:rPr>
          <w:rFonts w:hint="eastAsia" w:ascii="宋体" w:hAnsi="宋体" w:eastAsia="宋体" w:cs="宋体"/>
          <w:highlight w:val="none"/>
        </w:rPr>
      </w:pPr>
      <w:r>
        <w:rPr>
          <w:rFonts w:hint="eastAsia" w:ascii="宋体" w:hAnsi="宋体" w:eastAsia="宋体" w:cs="宋体"/>
          <w:highlight w:val="none"/>
        </w:rPr>
        <w:t>（4）负责抢险车辆调度和现场医疗救护指挥及受伤人员分类抢救和护送医院，受伤人员的生活必需品、抢险救援物资供应，资金保证。</w:t>
      </w:r>
    </w:p>
    <w:p w14:paraId="4132C331">
      <w:pPr>
        <w:ind w:firstLine="480"/>
        <w:rPr>
          <w:rFonts w:hint="eastAsia" w:ascii="宋体" w:hAnsi="宋体" w:eastAsia="宋体" w:cs="宋体"/>
          <w:highlight w:val="none"/>
          <w:lang w:val="en-US"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5</w:t>
      </w:r>
      <w:r>
        <w:rPr>
          <w:rFonts w:hint="eastAsia" w:ascii="宋体" w:hAnsi="宋体" w:eastAsia="宋体" w:cs="宋体"/>
          <w:highlight w:val="none"/>
          <w:lang w:eastAsia="zh-CN"/>
        </w:rPr>
        <w:t>）</w:t>
      </w:r>
      <w:r>
        <w:rPr>
          <w:rFonts w:hint="eastAsia" w:ascii="宋体" w:hAnsi="宋体" w:eastAsia="宋体" w:cs="宋体"/>
          <w:color w:val="000000"/>
          <w:kern w:val="0"/>
          <w:highlight w:val="none"/>
          <w:lang w:val="en-US" w:eastAsia="zh-CN" w:bidi="ar"/>
        </w:rPr>
        <w:t>应急联络方式：手机号码（24小时）19142751617</w:t>
      </w:r>
    </w:p>
    <w:bookmarkEnd w:id="236"/>
    <w:bookmarkEnd w:id="237"/>
    <w:bookmarkEnd w:id="238"/>
    <w:bookmarkEnd w:id="239"/>
    <w:p w14:paraId="2FFF92F6">
      <w:pPr>
        <w:pStyle w:val="4"/>
        <w:tabs>
          <w:tab w:val="left" w:pos="0"/>
          <w:tab w:val="left" w:pos="630"/>
        </w:tabs>
        <w:bidi w:val="0"/>
        <w:rPr>
          <w:rFonts w:hint="eastAsia" w:ascii="宋体" w:hAnsi="宋体" w:eastAsia="宋体" w:cs="宋体"/>
        </w:rPr>
      </w:pPr>
      <w:r>
        <w:rPr>
          <w:rFonts w:hint="eastAsia" w:ascii="宋体" w:hAnsi="宋体" w:eastAsia="宋体" w:cs="宋体"/>
        </w:rPr>
        <w:t>预防与预警</w:t>
      </w:r>
    </w:p>
    <w:p w14:paraId="2095847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（1）施工现场设安全领导小组，负责吊装过程中可能造成的人员 伤亡事故的控制。</w:t>
      </w:r>
    </w:p>
    <w:p w14:paraId="024D4F3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（2）发生事故时，安全领导小组要立即救人。救人时先排除危险，防止抢救时事故的再发生。</w:t>
      </w:r>
    </w:p>
    <w:p w14:paraId="5957733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 xml:space="preserve">（3）遇到安全事故较大或人员受伤时，现场人员在组织自救的同时，应及时拨打急救中心电话“120”或公安及生产中心电话“110”求的外部支援；支援时必须讲明地点、基本情况、联系电话等详细情况，并派人到路上接警。  </w:t>
      </w:r>
    </w:p>
    <w:p w14:paraId="7361DA6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（4）将受伤人员及时转送医院进行紧急救护。</w:t>
      </w:r>
    </w:p>
    <w:p w14:paraId="178F58B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 xml:space="preserve">（5）将信息迅速传递给项目部；传递内容包括发生的时间、地点、部位、简要经过、伤人数和已采取的应急措施等。  </w:t>
      </w:r>
    </w:p>
    <w:p w14:paraId="2B43A6A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（6）项目部接到应急信息后应立即核实现场的处置情况，组织有关人员或应急队伍赶赴现场。</w:t>
      </w:r>
    </w:p>
    <w:p w14:paraId="4005A6E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7）应急队伍到达现场后，应服从现场指挥人员统指挥，按分工要求进行疏散人员，抢救物质，尽可能减少生命财产损失，防止事故蔓延；可能对区域内外人群安全构成威胁时，必须对与事故应急救援无关的人员进行紧急疏散。</w:t>
      </w:r>
    </w:p>
    <w:p w14:paraId="6DFD4C5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（8）事故处理完毕后，施工现场应保护好现场，接受事故调查并如实提供事故的情况。</w:t>
      </w:r>
    </w:p>
    <w:p w14:paraId="6A16BDB6">
      <w:pPr>
        <w:pStyle w:val="4"/>
        <w:tabs>
          <w:tab w:val="left" w:pos="0"/>
          <w:tab w:val="left" w:pos="630"/>
        </w:tabs>
        <w:bidi w:val="0"/>
        <w:rPr>
          <w:rFonts w:hint="eastAsia" w:ascii="宋体" w:hAnsi="宋体" w:eastAsia="宋体" w:cs="宋体"/>
        </w:rPr>
      </w:pPr>
      <w:r>
        <w:rPr>
          <w:rFonts w:hint="eastAsia" w:ascii="宋体" w:hAnsi="宋体" w:eastAsia="宋体" w:cs="宋体"/>
        </w:rPr>
        <w:t>处置流程</w:t>
      </w:r>
    </w:p>
    <w:p w14:paraId="3F663C11">
      <w:pPr>
        <w:tabs>
          <w:tab w:val="left" w:pos="240"/>
        </w:tabs>
        <w:bidi w:val="0"/>
        <w:outlineLvl w:val="9"/>
        <w:rPr>
          <w:rFonts w:hint="eastAsia" w:ascii="宋体" w:hAnsi="宋体" w:eastAsia="宋体" w:cs="宋体"/>
          <w:highlight w:val="none"/>
        </w:rPr>
      </w:pPr>
      <w:r>
        <w:rPr>
          <w:rFonts w:hint="eastAsia" w:ascii="宋体" w:hAnsi="宋体" w:eastAsia="宋体" w:cs="宋体"/>
          <w:highlight w:val="none"/>
          <w:lang w:val="en-US" w:eastAsia="zh-CN"/>
        </w:rPr>
        <w:t xml:space="preserve">1、信息报告与公开 </w:t>
      </w:r>
    </w:p>
    <w:p w14:paraId="4B00BCF6">
      <w:pPr>
        <w:bidi w:val="0"/>
        <w:jc w:val="center"/>
        <w:outlineLvl w:val="9"/>
        <w:rPr>
          <w:rFonts w:hint="eastAsia" w:ascii="宋体" w:hAnsi="宋体" w:eastAsia="宋体" w:cs="宋体"/>
          <w:highlight w:val="none"/>
        </w:rPr>
      </w:pPr>
      <w:r>
        <w:rPr>
          <w:rFonts w:hint="eastAsia" w:ascii="宋体" w:hAnsi="宋体" w:eastAsia="宋体" w:cs="宋体"/>
          <w:highlight w:val="none"/>
        </w:rPr>
        <w:drawing>
          <wp:inline distT="0" distB="0" distL="114300" distR="114300">
            <wp:extent cx="3588385" cy="3706495"/>
            <wp:effectExtent l="0" t="0" r="0" b="8255"/>
            <wp:docPr id="5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2"/>
                    <pic:cNvPicPr>
                      <a:picLocks noChangeAspect="1"/>
                    </pic:cNvPicPr>
                  </pic:nvPicPr>
                  <pic:blipFill>
                    <a:blip r:embed="rId52"/>
                    <a:srcRect t="5778" b="4461"/>
                    <a:stretch>
                      <a:fillRect/>
                    </a:stretch>
                  </pic:blipFill>
                  <pic:spPr>
                    <a:xfrm>
                      <a:off x="0" y="0"/>
                      <a:ext cx="3588385" cy="3706495"/>
                    </a:xfrm>
                    <a:prstGeom prst="rect">
                      <a:avLst/>
                    </a:prstGeom>
                    <a:noFill/>
                    <a:ln>
                      <a:noFill/>
                    </a:ln>
                  </pic:spPr>
                </pic:pic>
              </a:graphicData>
            </a:graphic>
          </wp:inline>
        </w:drawing>
      </w:r>
    </w:p>
    <w:p w14:paraId="66003050">
      <w:pPr>
        <w:pStyle w:val="42"/>
        <w:bidi w:val="0"/>
        <w:outlineLvl w:val="9"/>
        <w:rPr>
          <w:rFonts w:hint="eastAsia" w:ascii="宋体" w:hAnsi="宋体" w:eastAsia="宋体" w:cs="宋体"/>
          <w:highlight w:val="none"/>
        </w:rPr>
      </w:pPr>
      <w:r>
        <w:rPr>
          <w:rFonts w:hint="eastAsia" w:ascii="宋体" w:hAnsi="宋体" w:eastAsia="宋体" w:cs="宋体"/>
          <w:highlight w:val="none"/>
          <w:lang w:val="en-US" w:eastAsia="zh-CN"/>
        </w:rPr>
        <w:t>图5.5.5-1 信息发布流程图</w:t>
      </w:r>
    </w:p>
    <w:p w14:paraId="2A23FDFA">
      <w:pPr>
        <w:bidi w:val="0"/>
        <w:outlineLvl w:val="9"/>
        <w:rPr>
          <w:rFonts w:hint="eastAsia" w:ascii="宋体" w:hAnsi="宋体" w:eastAsia="宋体" w:cs="宋体"/>
          <w:highlight w:val="none"/>
        </w:rPr>
      </w:pPr>
      <w:r>
        <w:rPr>
          <w:rFonts w:hint="eastAsia" w:ascii="宋体" w:hAnsi="宋体" w:eastAsia="宋体" w:cs="宋体"/>
          <w:highlight w:val="none"/>
          <w:lang w:val="en-US" w:eastAsia="zh-CN"/>
        </w:rPr>
        <w:t>2、响应分级</w:t>
      </w:r>
    </w:p>
    <w:p w14:paraId="6FC1CF19">
      <w:pPr>
        <w:bidi w:val="0"/>
        <w:ind w:firstLine="480" w:firstLineChars="200"/>
        <w:outlineLvl w:val="9"/>
        <w:rPr>
          <w:rFonts w:hint="eastAsia" w:ascii="宋体" w:hAnsi="宋体" w:eastAsia="宋体" w:cs="宋体"/>
          <w:highlight w:val="none"/>
        </w:rPr>
      </w:pPr>
      <w:r>
        <w:rPr>
          <w:rFonts w:hint="eastAsia" w:ascii="宋体" w:hAnsi="宋体" w:eastAsia="宋体" w:cs="宋体"/>
          <w:highlight w:val="none"/>
          <w:lang w:val="en-US" w:eastAsia="zh-CN"/>
        </w:rPr>
        <w:t xml:space="preserve">按照事故性质、潜在危险性、严重程度、发展趋势、影响范围及应急处置能力等因素，结合国家及广西桂贺高速公路有限公司相关文件要求，将应急响应分为 I、Ⅱ、Ⅲ、Ⅳ级。 </w:t>
      </w:r>
    </w:p>
    <w:p w14:paraId="72228E36">
      <w:pPr>
        <w:bidi w:val="0"/>
        <w:ind w:firstLine="480" w:firstLineChars="200"/>
        <w:outlineLvl w:val="9"/>
        <w:rPr>
          <w:rFonts w:hint="eastAsia" w:ascii="宋体" w:hAnsi="宋体" w:eastAsia="宋体" w:cs="宋体"/>
          <w:highlight w:val="none"/>
        </w:rPr>
      </w:pPr>
      <w:r>
        <w:rPr>
          <w:rFonts w:hint="eastAsia" w:ascii="宋体" w:hAnsi="宋体" w:eastAsia="宋体" w:cs="宋体"/>
          <w:highlight w:val="none"/>
          <w:lang w:val="en-US" w:eastAsia="zh-CN"/>
        </w:rPr>
        <w:t>I级、Ⅱ级、Ⅲ级应急响应行动由广西桂贺高速公路有限公司应急领导小组组织实施。当广西桂贺高速公路有限公司应急领导小组进行应急响应行动时，总承包部应当按照相应的预案在确保救援人员安全的情况下全力以赴组织救援，控制事态发展；如事态有继续扩大可能，应立即撤离周边人员并及时向属地应急管理部门、监管部门、广西桂贺高速公路有限公司以及公司报告救援工作进展情况。</w:t>
      </w:r>
    </w:p>
    <w:p w14:paraId="052178D3">
      <w:pPr>
        <w:bidi w:val="0"/>
        <w:ind w:firstLine="480" w:firstLineChars="200"/>
        <w:outlineLvl w:val="9"/>
        <w:rPr>
          <w:rFonts w:hint="eastAsia" w:ascii="宋体" w:hAnsi="宋体" w:eastAsia="宋体" w:cs="宋体"/>
          <w:highlight w:val="none"/>
        </w:rPr>
      </w:pPr>
      <w:r>
        <w:rPr>
          <w:rFonts w:hint="eastAsia" w:ascii="宋体" w:hAnsi="宋体" w:eastAsia="宋体" w:cs="宋体"/>
          <w:highlight w:val="none"/>
          <w:lang w:val="en-US" w:eastAsia="zh-CN"/>
        </w:rPr>
        <w:t>Ⅳ级应急响应行动的组织实施由总承包部应急领导小组决定。总承包部根据事故灾难或险情的严重程度启动相应的应急预案，超出其应急救援处置能力时，及时报请广西桂贺高速公路有限公司或上级公司应急领导小组启动相应应急预案实施救援。</w:t>
      </w:r>
    </w:p>
    <w:p w14:paraId="22E0FDAD">
      <w:pPr>
        <w:bidi w:val="0"/>
        <w:outlineLvl w:val="9"/>
        <w:rPr>
          <w:rFonts w:hint="eastAsia" w:ascii="宋体" w:hAnsi="宋体" w:eastAsia="宋体" w:cs="宋体"/>
          <w:highlight w:val="none"/>
        </w:rPr>
      </w:pPr>
      <w:r>
        <w:rPr>
          <w:rFonts w:hint="eastAsia" w:ascii="宋体" w:hAnsi="宋体" w:eastAsia="宋体" w:cs="宋体"/>
          <w:highlight w:val="none"/>
          <w:lang w:val="en-US" w:eastAsia="zh-CN"/>
        </w:rPr>
        <w:t>3、响应程序</w:t>
      </w:r>
    </w:p>
    <w:p w14:paraId="2982A9D9">
      <w:pPr>
        <w:bidi w:val="0"/>
        <w:ind w:firstLine="480" w:firstLineChars="200"/>
        <w:outlineLvl w:val="9"/>
        <w:rPr>
          <w:rFonts w:hint="eastAsia" w:ascii="宋体" w:hAnsi="宋体" w:eastAsia="宋体" w:cs="宋体"/>
          <w:highlight w:val="none"/>
        </w:rPr>
      </w:pPr>
      <w:r>
        <w:rPr>
          <w:rFonts w:hint="eastAsia" w:ascii="宋体" w:hAnsi="宋体" w:eastAsia="宋体" w:cs="宋体"/>
          <w:highlight w:val="none"/>
          <w:lang w:val="en-US" w:eastAsia="zh-CN"/>
        </w:rPr>
        <w:t xml:space="preserve">（1）经现场发现异常现象或发生事件、事故时现场管理人员根据出现的险情或有可能出现的险情，迅速向应急领导小组上报。应急救援组织机构领导小组成员必须迅速到达指定岗位并立即启动总承包部应急救援预案。由应急领导小组组长主持紧急情况处理会议，协调、派遣和统一指挥所有车辆、设备、人员、物资等实施紧急抢救，并在30分钟内向广西桂贺高速公路有限公司应急领导小组办公室、监理及公司领导报告，主要说明紧急情况性质、地点、发生时间、有无伤亡等现场情况。根据上级领导指示启动更高一级的应急预案。（根据事故大小情况来确定，如果事故特别小，根据上级指示可由总承包部自行直接处理。如果事故较大或总承包部处理不了则由总承包部向广西桂贺高速公路有限公司应急救援领导办公室进行请示，请求启动广西桂贺高速公路有限公司级应急预案，广西桂贺高速公路有限公司的救援预案仍不能进行处理，则由广西桂贺高速公路有限公司向政府部门请示启动上一级救援预案。） </w:t>
      </w:r>
    </w:p>
    <w:p w14:paraId="1EAD7252">
      <w:pPr>
        <w:bidi w:val="0"/>
        <w:ind w:firstLine="480" w:firstLineChars="200"/>
        <w:outlineLvl w:val="9"/>
        <w:rPr>
          <w:rFonts w:hint="eastAsia" w:ascii="宋体" w:hAnsi="宋体" w:eastAsia="宋体" w:cs="宋体"/>
          <w:highlight w:val="none"/>
        </w:rPr>
      </w:pPr>
      <w:r>
        <w:rPr>
          <w:rFonts w:hint="eastAsia" w:ascii="宋体" w:hAnsi="宋体" w:eastAsia="宋体" w:cs="宋体"/>
          <w:highlight w:val="none"/>
          <w:lang w:val="en-US" w:eastAsia="zh-CN"/>
        </w:rPr>
        <w:t xml:space="preserve">（2）应急领导小组组长指挥各相应应急救援小组实施救援，各应急救援小组要切实履行自己的应急救援职责，实施救援。根据现场情况拨打120、110、119 等急救电话。 </w:t>
      </w:r>
    </w:p>
    <w:p w14:paraId="29F896A1">
      <w:pPr>
        <w:bidi w:val="0"/>
        <w:ind w:firstLine="480" w:firstLineChars="200"/>
        <w:outlineLvl w:val="9"/>
        <w:rPr>
          <w:rFonts w:hint="eastAsia" w:ascii="宋体" w:hAnsi="宋体" w:eastAsia="宋体" w:cs="宋体"/>
          <w:highlight w:val="none"/>
        </w:rPr>
      </w:pPr>
      <w:r>
        <w:rPr>
          <w:rFonts w:hint="eastAsia" w:ascii="宋体" w:hAnsi="宋体" w:eastAsia="宋体" w:cs="宋体"/>
          <w:highlight w:val="none"/>
          <w:lang w:val="en-US" w:eastAsia="zh-CN"/>
        </w:rPr>
        <w:t>（3）遇到紧急情况，全体职工应特事特办、急事急办，主动积极地投身到紧急情况的处理中去。各种设备、车辆、器材、物资等统一调遣，各类人员必须坚持无条件服从组长或副组长的命令和安排，不得拖延、推诿、阻碍紧急情况的处理。</w:t>
      </w:r>
    </w:p>
    <w:p w14:paraId="6F13D906">
      <w:pPr>
        <w:bidi w:val="0"/>
        <w:ind w:firstLine="480" w:firstLineChars="200"/>
        <w:outlineLvl w:val="9"/>
        <w:rPr>
          <w:rFonts w:hint="eastAsia" w:ascii="宋体" w:hAnsi="宋体" w:eastAsia="宋体" w:cs="宋体"/>
          <w:highlight w:val="none"/>
        </w:rPr>
      </w:pPr>
      <w:r>
        <w:rPr>
          <w:rFonts w:hint="eastAsia" w:ascii="宋体" w:hAnsi="宋体" w:eastAsia="宋体" w:cs="宋体"/>
          <w:highlight w:val="none"/>
          <w:lang w:val="en-US" w:eastAsia="zh-CN"/>
        </w:rPr>
        <w:t>应急领导小组在确认事故现场得以控制，环境符合有关标准，导致次生、诱发事故隐患消除后，按照“谁启动、谁结束”的原则，经事故现场应急指挥机构批准后，现场应急结束</w:t>
      </w:r>
    </w:p>
    <w:p w14:paraId="57A48D6C">
      <w:pPr>
        <w:bidi w:val="0"/>
        <w:outlineLvl w:val="9"/>
        <w:rPr>
          <w:rFonts w:hint="eastAsia" w:ascii="宋体" w:hAnsi="宋体" w:eastAsia="宋体" w:cs="宋体"/>
          <w:highlight w:val="none"/>
        </w:rPr>
      </w:pPr>
      <w:r>
        <w:rPr>
          <w:rFonts w:hint="eastAsia" w:ascii="宋体" w:hAnsi="宋体" w:eastAsia="宋体" w:cs="宋体"/>
          <w:highlight w:val="none"/>
          <w:lang w:val="en-US" w:eastAsia="zh-CN"/>
        </w:rPr>
        <w:t>4、 后期处理</w:t>
      </w:r>
    </w:p>
    <w:p w14:paraId="048C6E6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lang w:val="en-US" w:eastAsia="zh-CN"/>
        </w:rPr>
        <w:t xml:space="preserve">（1）应急总结 </w:t>
      </w:r>
    </w:p>
    <w:p w14:paraId="4F461C19">
      <w:pPr>
        <w:bidi w:val="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抢险救援结束后，由监理单位主持、业主、设计、咨询等相关单位参加的恢复生产会，对生产安全事故发生的原因进行分析，确定下一步恢复生产应采取的安全、文明、质量等施工措施和管理措施。总承包部主要从以下几个方面进行恢复生产： </w:t>
      </w:r>
    </w:p>
    <w:p w14:paraId="4DED71A9">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1）做好事故处理和善后工作，对受害人员进行领导慰问或团体慰问。对良性事迹加强报道。 </w:t>
      </w:r>
    </w:p>
    <w:p w14:paraId="447882BB">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2）严格落实公司及广西桂贺高速公路有限公司和地方政府应急管理规定，推行全员应急管理，认真学习应急预案。 </w:t>
      </w:r>
    </w:p>
    <w:p w14:paraId="32628601">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3）健全各组织机构，加强人员管理，建立矩阵管理。完善安全、质量保证体系，健全安全、质量管理组织机构，整个项目形成一套严密完整的安全、质量管理体系，各层级充分发挥管理的机能、职能和人的作用。 </w:t>
      </w:r>
    </w:p>
    <w:p w14:paraId="736DE60E">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4）依据安全、质量体系有关文件，制定安全、质量检查计划制度，形成安全、质量管理依据，做到“有法可依”。严格实施岗位责任制。 </w:t>
      </w:r>
    </w:p>
    <w:p w14:paraId="5BEE4E75">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5）做好技术、试验、测量、机械、施工工艺、后勤等各项保证工作。 </w:t>
      </w:r>
    </w:p>
    <w:p w14:paraId="19964DDF">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6）对恢复生产确保资金投入不受阻。 </w:t>
      </w:r>
    </w:p>
    <w:p w14:paraId="623284E6">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7）确保设计、施工方案可行，符合现场实际情况，可利用现场存有的机械、设备和材料。 </w:t>
      </w:r>
    </w:p>
    <w:p w14:paraId="6DB7E81B">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8）及时调用后备人员和机械设备，补充到该工区，进行生产恢复，尽快达到生产正常。 </w:t>
      </w:r>
    </w:p>
    <w:p w14:paraId="6725E91F">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抢险结束和生产恢复后，对应急预案的整个过程进行评审、分析和总结，找出预案中存在的不足，并进行评审及修订，使以后的应急预案更加成熟，遇到紧急情况等能处理及时，将安全、财产损失降到最低限度。 </w:t>
      </w:r>
    </w:p>
    <w:p w14:paraId="710D492A">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（2）事故调查 </w:t>
      </w:r>
    </w:p>
    <w:p w14:paraId="05F54C0C">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按照事故调查组的要求，总承包部如实提供相应资料。 </w:t>
      </w:r>
    </w:p>
    <w:p w14:paraId="4E18A2D0">
      <w:pPr>
        <w:bidi w:val="0"/>
        <w:ind w:firstLine="480" w:firstLineChars="20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（3）保险理赔 </w:t>
      </w:r>
    </w:p>
    <w:p w14:paraId="341CCFB3">
      <w:pPr>
        <w:bidi w:val="0"/>
        <w:ind w:firstLine="480" w:firstLineChars="200"/>
        <w:outlineLvl w:val="9"/>
        <w:rPr>
          <w:rFonts w:hint="eastAsia" w:ascii="宋体" w:hAnsi="宋体" w:eastAsia="宋体" w:cs="宋体"/>
          <w:highlight w:val="none"/>
        </w:rPr>
      </w:pPr>
      <w:r>
        <w:rPr>
          <w:rFonts w:hint="eastAsia" w:ascii="宋体" w:hAnsi="宋体" w:eastAsia="宋体" w:cs="宋体"/>
          <w:highlight w:val="none"/>
          <w:lang w:val="en-US" w:eastAsia="zh-CN"/>
        </w:rPr>
        <w:t>按照保险理赔机构的要求，总承包部如实提供相应资料。</w:t>
      </w:r>
    </w:p>
    <w:p w14:paraId="4579000C">
      <w:pPr>
        <w:pStyle w:val="4"/>
        <w:tabs>
          <w:tab w:val="left" w:pos="0"/>
          <w:tab w:val="left" w:pos="630"/>
        </w:tabs>
        <w:bidi w:val="0"/>
        <w:rPr>
          <w:rFonts w:hint="eastAsia" w:ascii="宋体" w:hAnsi="宋体" w:eastAsia="宋体" w:cs="宋体"/>
        </w:rPr>
      </w:pPr>
      <w:r>
        <w:rPr>
          <w:rFonts w:hint="eastAsia" w:ascii="宋体" w:hAnsi="宋体" w:eastAsia="宋体" w:cs="宋体"/>
        </w:rPr>
        <w:t>突发事件应急</w:t>
      </w:r>
      <w:r>
        <w:rPr>
          <w:rFonts w:hint="eastAsia" w:ascii="宋体" w:hAnsi="宋体" w:eastAsia="宋体" w:cs="宋体"/>
          <w:lang w:val="en-US" w:eastAsia="zh-CN"/>
        </w:rPr>
        <w:t>处置措施和</w:t>
      </w:r>
      <w:r>
        <w:rPr>
          <w:rFonts w:hint="eastAsia" w:ascii="宋体" w:hAnsi="宋体" w:eastAsia="宋体" w:cs="宋体"/>
        </w:rPr>
        <w:t>预案</w:t>
      </w:r>
    </w:p>
    <w:p w14:paraId="5CF1CF06">
      <w:pPr>
        <w:bidi w:val="0"/>
        <w:outlineLvl w:val="9"/>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rPr>
        <w:t>高空坠落应急处置措施</w:t>
      </w:r>
    </w:p>
    <w:p w14:paraId="3C95E049">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1）发生高处坠落事故，应马上组织挽救伤者，首先观察伤者的受伤情况、部位、伤害性质，如伤员发生休克，应先处理休克。遇呼吸、心跳停止者，应立即进行人工呼吸，胸外心脏挤压。处于休克状态的伤员要认其安静、保暖、平卧、少动，并将下肢抬高约20度左右，尽快送医院进行抢救治疗。</w:t>
      </w:r>
    </w:p>
    <w:p w14:paraId="2950BC37">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2）出现颅脑损伤时，必须维持呼吸道畅通。昏迷者应平卧，面部转向一侧，以防舌根下坠或分泌物、呕吐物吸入，发生喉阻塞。有骨折者，应初步固定后再搬运。遇有凹陷骨折、严重的颅底骨折及严重的脑损伤症状出现，创伤处用消毒的纱布或清洁布等覆盖伤口，用绷带或布条包扎后，及时送往就近有条件的医院治疗。</w:t>
      </w:r>
    </w:p>
    <w:p w14:paraId="513578F2">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 xml:space="preserve">（3）发现脊椎受伤者，创伤处用消毒的纱布或清洁布等覆盖伤口，用绷带或布条包扎，搬运时将伤者平卧放在帆布担架或硬板上，以免受伤的脊椎移位、断裂造成截瘫，招致死亡。抢救脊椎受伤者，搬运过程中，严禁只抬伤者的两肩与两腿或单肩背运。 </w:t>
      </w:r>
    </w:p>
    <w:p w14:paraId="0BBDA03C">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4）发现伤者手足骨折者，不要盲目搬动伤者。应在骨折部位用夹板把受伤的位置临时固定，使断端不再移位或刺伤肌肉、神经或血管。固定方法：以固定骨折处上下关节为原则，用夹板，也可就地取材，用木板、竹子等，在无材料的情况下，上肢可固定在身侧，下肢与腱侧下肢缚在一起。</w:t>
      </w:r>
    </w:p>
    <w:p w14:paraId="10B36605">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（5）遇有创伤性出血的伤员，应迅速包扎止血，使伤员保持在头底脚高的卧位，并注意保暖。正确的现场止血处理措施：</w:t>
      </w:r>
    </w:p>
    <w:p w14:paraId="0B508602">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a.一般伤口的止血法：先用生理盐水（0.9%Nacl溶液）冲洗伤口，涂上红汞水，然后盖上消毒纱布，用绷带较紧地包扎。</w:t>
      </w:r>
    </w:p>
    <w:p w14:paraId="2F0EA3A9">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b.加压包扎止血法：用纱布、棉花等作成软件垫，放在伤口上再加包扎，来增强压力而达到止血。</w:t>
      </w:r>
    </w:p>
    <w:p w14:paraId="1DBD452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c.止血带止血法：选择弹性好的橡皮管、橡皮带或三角巾、毛巾、带状布条等，上肢出血结扎在上臂1/2处（靠近心脏位置），下肢出血结扎在大腿上1/3处（靠近心脏位置）。结扎时，在止血带与皮肤之间垫上纱布棉垫。每隔25—40分钟放松一次，每次放松0.5—1分钟。</w:t>
      </w:r>
    </w:p>
    <w:p w14:paraId="7D2EE8EB">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（6）动用最快的交通工具或其他措施，及时把伤者送往邻近医院抢救，运送途中应尽量减少颠簸。同时密切注意伤者的呼吸、脉搏、血压及伤口的情况。</w:t>
      </w:r>
    </w:p>
    <w:p w14:paraId="3C58FF9C">
      <w:pPr>
        <w:bidi w:val="0"/>
        <w:outlineLvl w:val="9"/>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物体打击应急处置措施</w:t>
      </w:r>
    </w:p>
    <w:p w14:paraId="3F66FE61">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当发生物体打击事故后，抢救的重点放在颅脑损伤、胸部骨折和出血上进行处理。</w:t>
      </w:r>
    </w:p>
    <w:p w14:paraId="44E5FD92">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1）当施工人员发生物体打击时，急救人员应尽快赶往出事地点，并呼叫周围人员及时通知医疗部门，首先观察伤者的受伤情况、部位、伤害性质，尽可能不要移动患者，尽量当场施救。如果处在不宜施工的场所时必须将患者搬运到能够安全施救的地方，搬运时应尽量多找一些人来搬运，观察患者呼吸和脸色的变化，如果是脊柱骨折，不要弯曲、扭动患者的颈部和身体，不要接触患者的伤口，要使患者身体放松，尽量将患者放到担架或平板上进行搬运。</w:t>
      </w:r>
    </w:p>
    <w:p w14:paraId="0B851A24">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（2）遇呼吸、心跳停止者，应立即进行人工呼吸，胸外心脏挤压。处于休克状态的伤员要让其安静、保暖、平卧、少动，并将下肢抬高约20度左右，尽快送医院进行抢救治疗。</w:t>
      </w:r>
    </w:p>
    <w:p w14:paraId="54089B79">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3）出现颅脑损伤，必须维持呼吸道通畅。昏迷者应平卧，面部转向一侧，以防舌根下坠或分泌物、呕吐物吸入，发生喉阻塞。有骨折者，应初步固定后再搬运。遇有凹陷骨折、严重的颅底骨折及严重的脑损伤症状出现，创伤处用消毒的纱布或清洁布等覆盖伤口，用绷带或布条包扎后，及时送医院治疗。</w:t>
      </w:r>
    </w:p>
    <w:p w14:paraId="0E13210A">
      <w:pPr>
        <w:bidi w:val="0"/>
        <w:outlineLvl w:val="9"/>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 xml:space="preserve">机械伤害应急处置措施 </w:t>
      </w:r>
    </w:p>
    <w:p w14:paraId="5C77918F">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当施工人员发生机械伤害事故时，迅速确定事故发生的准确位置、可能波及的范围、设备损坏的程度、人员伤亡等情况，观察伤者的受伤情况、部位、伤害性质，急救人员应尽快赶往出事地点。</w:t>
      </w:r>
    </w:p>
    <w:p w14:paraId="74B1FF7B">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（1）休克、昏迷急救</w:t>
      </w:r>
    </w:p>
    <w:p w14:paraId="7AC5D1D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让休克者平卧、不用枕头，腿部抬高30度。若属于心原性休克同时伴有心力衰竭、气急，不能平卧时，可采用半卧，注意保暖和安静，尽量不要搬动，如必须搬动时，动作要轻。</w:t>
      </w:r>
    </w:p>
    <w:p w14:paraId="1C37534B">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（2）骨折急救</w:t>
      </w:r>
    </w:p>
    <w:p w14:paraId="70E6CC99">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a.固定断骨的材料可就地取材，如棍、木板、拐杖、硬纸板等都可作为固定材料，长短要以能固定住骨折处上下两个关节或不使断骨错动为准。 </w:t>
      </w:r>
    </w:p>
    <w:p w14:paraId="5FB6C76B">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 xml:space="preserve">b.脊柱骨折或骨折或颈部骨折时，除非是特殊情况如室内失火，否则应让伤者留在原地，等待携有医疗器材的医护人员来搬动。  </w:t>
      </w:r>
    </w:p>
    <w:p w14:paraId="00FF05BD">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c.抬运伤者，从地上抬起时，要多人同时缓缓用力平托；运送时，必须用木板或硬材料，不能用布担架或绳床。木板上可垫棉被，但不能用枕头，颈椎骨骨折伤者的头须放正，两旁用沙袋将头夹住，不能让头随便晃动。</w:t>
      </w:r>
    </w:p>
    <w:p w14:paraId="35CCA5E0">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（3）严重出血的急救</w:t>
      </w:r>
    </w:p>
    <w:p w14:paraId="7160B785">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止血的方法：</w:t>
      </w:r>
    </w:p>
    <w:p w14:paraId="6F5D156C">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a.一般止血法：一般伤口小的出血，先用生理盐水涂上红汞药水，然后盖上消毒纱布，用绷带较紧地包扎。</w:t>
      </w:r>
    </w:p>
    <w:p w14:paraId="11D52CBF">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b.严重出血时，应使用压迫带止血法。这是一种最基本、最常用，也是最有效的止血方法。适用于头、颈、四肢动脉大血管出血的临时止血。即用手指或手掌用力压住比伤口靠近心脏更近部位的动脉跳动处（止血点）。只要位置找的准，这种方法能马上起到止血作用。</w:t>
      </w:r>
    </w:p>
    <w:p w14:paraId="688899BE">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（4）肢体切断断肢(指)后，有时即刻造成伤者因流血或疼痛而发生休克，所以应设法首先止血，防止伤员休克。其急救要点为：</w:t>
      </w:r>
    </w:p>
    <w:p w14:paraId="01F798BD">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a.让伤者躺下，用一块纱布或清洁布块(如翻出干净手帕的内面)，放在断肢伤口上，再用绷带固定位置。如果找不到绷带，也可用围巾包扎。</w:t>
      </w:r>
    </w:p>
    <w:p w14:paraId="5E7A12FA">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b.如是手臂切断，用绷带把断臂挂在胸前，固定位置；若是一条腿断了，则与另一条腿扎在一起。</w:t>
      </w:r>
    </w:p>
    <w:p w14:paraId="28701D4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c.料理好伤者后，设法找回断肢。倘若离断的伤肢(指)仍在机器中，千万不能将肢体强行拉出，或将机器倒开(转)，以免增加损伤的机会。正确的方法应是拆开机器后取出。</w:t>
      </w:r>
    </w:p>
    <w:p w14:paraId="7711DE7A">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d.取下断落的肢(指)体后，立即用无菌纱布或干净布片包扎，然后放人塑料袋或橡皮袋中，结扎袋口。若一时未准备好袋子或消毒纱布，可暂置于4℃的冰箱内(不应放在冰冻室内，以免冻伤)。运送时应将装有断伤肢体的袋子放入合适的容器中，如广口保温桶等，周围用冰块或冰棍冷冻（注意防止冰块与其直接接触，以免冻伤），迅速同伤员一起送医院以备断肢(指)再植。   </w:t>
      </w:r>
    </w:p>
    <w:p w14:paraId="01E2C4C4">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e.离断后的伤肢，如有少许皮肤或其他肌腱相连，不能将其离断，应放在夹板或阔竹片上，然后包扎，立即送到医院作紧急处理。</w:t>
      </w:r>
    </w:p>
    <w:p w14:paraId="18415E17">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f.严禁在离断伤肢(指)的断端涂抹各种药物及药水(包括消毒剂)，更不能涂抹牙膏、灶灰之类试图止血。</w:t>
      </w:r>
    </w:p>
    <w:p w14:paraId="0E2A88D7">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（5）一般性外伤</w:t>
      </w:r>
    </w:p>
    <w:p w14:paraId="2B103E5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a.视伤情送往医院，防止破伤风。</w:t>
      </w:r>
    </w:p>
    <w:p w14:paraId="15B315E5">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b.轻微内伤，送医院检查。</w:t>
      </w:r>
    </w:p>
    <w:p w14:paraId="4C581FE7">
      <w:pPr>
        <w:bidi w:val="0"/>
        <w:outlineLvl w:val="9"/>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rPr>
        <w:t xml:space="preserve">触电应急处置措施 </w:t>
      </w:r>
    </w:p>
    <w:p w14:paraId="499E617F">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 xml:space="preserve">（1）迅速脱离电源  </w:t>
      </w:r>
    </w:p>
    <w:p w14:paraId="1073ACCA">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人体触电以后，可能由于痉挛或失去知觉等原因而紧抓带电体，不能自己摆脱电源。抢救触电者的首要步骤就是使触电者尽快脱离电源。 </w:t>
      </w:r>
    </w:p>
    <w:p w14:paraId="53EC68DF">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 xml:space="preserve">使触电者脱离电源的方法：  </w:t>
      </w:r>
    </w:p>
    <w:p w14:paraId="7AE81126">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a.立即将闸刀打开或将插头拨掉，切断电源。要注意，普通的电灯开关（如拉线开关）只能关断一根线，有时关断的不是相线，并未真正切断电源。 </w:t>
      </w:r>
    </w:p>
    <w:p w14:paraId="1717CB01">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b.找不到开关或插头时，可用绝缘的物体（如干燥的木棒、竹杆、手套等）将电线拨开，使触电者脱离电源。</w:t>
      </w:r>
    </w:p>
    <w:p w14:paraId="32F99475">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c.用绝缘工具（如带绝缘的电工钳、木柄斧头以及锄头等）切断电线来切断电源。</w:t>
      </w:r>
    </w:p>
    <w:p w14:paraId="61D69E7B">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 xml:space="preserve">d.遇高压触电事故，立即通过有关部门停电。 </w:t>
      </w:r>
    </w:p>
    <w:p w14:paraId="48CA502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总之，要因地制宜，灵活运用各种方法，快速切断电源，防止事故扩大。</w:t>
      </w:r>
    </w:p>
    <w:p w14:paraId="3D73344C">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（2）现场急救方法</w:t>
      </w:r>
    </w:p>
    <w:p w14:paraId="06BC61AE">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当触电者脱离电源后，应根据触电者的具体情况迅速对症救护，力争在触电后1分钟内进行救治。国内外一些资料表明，触电后在一分钟内进救治的，90％以上有良好的效果，而超过12分钟再开始救治的，基本无救活的可能。现场应用的主要方法是口对口人工呼吸和体外心脏挤压法，严禁打强心针。</w:t>
      </w:r>
    </w:p>
    <w:p w14:paraId="5CA53A57">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 xml:space="preserve">a.口对口人工呼吸法：是用人工的方法来代替肺的呼吸活动，使空气有节律地进入和排出肺脏，供给体内足够的氧气，充分排出二氧化碳，维持正常的通气功能。 </w:t>
      </w:r>
    </w:p>
    <w:p w14:paraId="15F11AE9">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b.体外心脏挤压法：是指有节律地对心脏挤压，用人工的方法代替心脏的自然收缩，使心脏恢复搏动功能，维持血液循环。</w:t>
      </w:r>
    </w:p>
    <w:p w14:paraId="6A32BFC7">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（3）触电急救方法</w:t>
      </w:r>
    </w:p>
    <w:p w14:paraId="366AE77D">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触电病人一般有以下四种症状，可分别给予正确的对症救治：</w:t>
      </w:r>
    </w:p>
    <w:p w14:paraId="3891D1E2">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a.神志尚清醒，但心慌力乏，四肢麻木。该类病人一般只需将其扶到清凉通风之处休息，让其自然慢慢恢复。但要派专人照料护理，因为有的病人在几小时后会发生病变而突然死亡。</w:t>
      </w:r>
    </w:p>
    <w:p w14:paraId="21628438">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b.有心跳，但呼吸停止或极微弱。该类病人应该采用口对口人工呼吸法进行急救。人工呼吸法可按下述口诀进行，频率是每分钟约12次：清理口腔防堵塞，鼻孔朝天头后仰；贴嘴吹气胸扩张，放开口鼻换气畅。</w:t>
      </w:r>
    </w:p>
    <w:p w14:paraId="5B94217F">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c.有呼吸，但心跳停止或极微弱。该类病人应该采用人工胸外心脏挤压法来恢复病人的心跳。一般可以按下述口诀进行，频率是每分钟约60~80次。当胸一手掌，中指对凹膛；掌根用力向下压，压下突然收。</w:t>
      </w:r>
    </w:p>
    <w:p w14:paraId="6FBBBA54">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d.心跳、呼吸均已停止者。该类病人的危险性最大，抢救的难度也最大。应该把以上两法同时使用，亦即采用“人工氧合”的方法。最好是两人一起抢救，如果仅有一人抢救时，应先吹气2～3次，再挤压心脏15次，如此反复交替进行。</w:t>
      </w:r>
    </w:p>
    <w:p w14:paraId="3A441CF1">
      <w:pPr>
        <w:bidi w:val="0"/>
        <w:outlineLvl w:val="9"/>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rPr>
        <w:t>落水人员应急处置措施</w:t>
      </w:r>
    </w:p>
    <w:p w14:paraId="51ADCE4A">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（1）交通船舶必须符合水上航行安全要求，备妥救生工具如救生衣、救生圈、救生竹篙等救生器材。</w:t>
      </w:r>
    </w:p>
    <w:p w14:paraId="647DC29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（2）水上施工作业及船上流动作业人员应按规定穿着救生衣。符合高处作业条件的，还应按高处作业的规定系好安全带。</w:t>
      </w:r>
    </w:p>
    <w:p w14:paraId="6FDFB248">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（3）交通船必须按定员，不准超载。乘坐人员应听从船员的指挥，船到位后，应待靠稳拴牢方可上、下。不得抢上抢下或船未靠稳就跳船。</w:t>
      </w:r>
    </w:p>
    <w:p w14:paraId="40B3FD53">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（4）乘坐人员应听从船员的指挥，自觉入舱，不得站立和坐骑在船头、船尾和船帮上，遇有风浪时，船上乘坐人员不得来回走动。非本船驾驶人员严禁擅自操作。</w:t>
      </w:r>
    </w:p>
    <w:p w14:paraId="6B522657">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（5）施工人员应开展游泳培训，加强自救和互救的能力。</w:t>
      </w:r>
    </w:p>
    <w:p w14:paraId="43C71BF2">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（6）人员上下通道必须设安全网，跳板要固定。作业平台应满铺脚手板，周边必须有栏杆和安全网等可靠的临边维护。</w:t>
      </w:r>
    </w:p>
    <w:p w14:paraId="6D7B8505">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（7）作业平台上应配置足够数量的救生圈等救生设备，并配备一定数量的固定式防水灯，保证夜间足够的照明。</w:t>
      </w:r>
    </w:p>
    <w:p w14:paraId="7AA5DD3E">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rPr>
        <w:t>（8）作业平台上设置多条安全通道，以防不测时人员迅速疏散。</w:t>
      </w:r>
    </w:p>
    <w:p w14:paraId="2E32A67C">
      <w:pPr>
        <w:bidi w:val="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6、塔机液压系统失效应急处置措施</w:t>
      </w:r>
    </w:p>
    <w:p w14:paraId="3D4FE2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eastAsia="zh-CN"/>
        </w:rPr>
        <w:t>塔机</w:t>
      </w:r>
      <w:r>
        <w:rPr>
          <w:rFonts w:hint="eastAsia" w:ascii="宋体" w:hAnsi="宋体" w:eastAsia="宋体" w:cs="宋体"/>
          <w:highlight w:val="none"/>
        </w:rPr>
        <w:t>在作业过程中，液压系统失效也是一种常见的紧急情况。液压系统的失效可能导致</w:t>
      </w:r>
      <w:r>
        <w:rPr>
          <w:rFonts w:hint="eastAsia" w:ascii="宋体" w:hAnsi="宋体" w:eastAsia="宋体" w:cs="宋体"/>
          <w:highlight w:val="none"/>
          <w:lang w:eastAsia="zh-CN"/>
        </w:rPr>
        <w:t>塔机</w:t>
      </w:r>
      <w:r>
        <w:rPr>
          <w:rFonts w:hint="eastAsia" w:ascii="宋体" w:hAnsi="宋体" w:eastAsia="宋体" w:cs="宋体"/>
          <w:highlight w:val="none"/>
        </w:rPr>
        <w:t>操作失控，引发安全事故。因此，必须采取有效的应急处置措施。</w:t>
      </w:r>
    </w:p>
    <w:p w14:paraId="56D4CEA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（1）立即停车</w:t>
      </w:r>
    </w:p>
    <w:p w14:paraId="74A75BD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一旦发现液压系统失效，操作人员应立即停止</w:t>
      </w:r>
      <w:r>
        <w:rPr>
          <w:rFonts w:hint="eastAsia" w:ascii="宋体" w:hAnsi="宋体" w:eastAsia="宋体" w:cs="宋体"/>
          <w:highlight w:val="none"/>
          <w:lang w:eastAsia="zh-CN"/>
        </w:rPr>
        <w:t>塔机</w:t>
      </w:r>
      <w:r>
        <w:rPr>
          <w:rFonts w:hint="eastAsia" w:ascii="宋体" w:hAnsi="宋体" w:eastAsia="宋体" w:cs="宋体"/>
          <w:highlight w:val="none"/>
        </w:rPr>
        <w:t>作业，避免进一步造成危险。</w:t>
      </w:r>
    </w:p>
    <w:p w14:paraId="1055C53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（2）发出警报</w:t>
      </w:r>
    </w:p>
    <w:p w14:paraId="3DEAB1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操作人员应立即向指挥人员发出警报，通知现场人员撤离危险区域。</w:t>
      </w:r>
    </w:p>
    <w:p w14:paraId="7C476A7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（3）切断电源</w:t>
      </w:r>
    </w:p>
    <w:p w14:paraId="36EF5F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为防止液压系统失效引发电路故障，应立即切断</w:t>
      </w:r>
      <w:r>
        <w:rPr>
          <w:rFonts w:hint="eastAsia" w:ascii="宋体" w:hAnsi="宋体" w:eastAsia="宋体" w:cs="宋体"/>
          <w:highlight w:val="none"/>
          <w:lang w:eastAsia="zh-CN"/>
        </w:rPr>
        <w:t>塔机</w:t>
      </w:r>
      <w:r>
        <w:rPr>
          <w:rFonts w:hint="eastAsia" w:ascii="宋体" w:hAnsi="宋体" w:eastAsia="宋体" w:cs="宋体"/>
          <w:highlight w:val="none"/>
        </w:rPr>
        <w:t>的电源。</w:t>
      </w:r>
    </w:p>
    <w:p w14:paraId="2A540AB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（4）检查液压系统</w:t>
      </w:r>
    </w:p>
    <w:p w14:paraId="0582A71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检查液压油箱的油位，确保油位在正常范围内。检查液压油管是否有泄漏或破损，及时更换损坏的油管。检查液压泵和液压阀的工作状态，如有异常，应立即维修或更换。</w:t>
      </w:r>
    </w:p>
    <w:p w14:paraId="579023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（5）启用备用系统</w:t>
      </w:r>
    </w:p>
    <w:p w14:paraId="3F77F2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如果</w:t>
      </w:r>
      <w:r>
        <w:rPr>
          <w:rFonts w:hint="eastAsia" w:ascii="宋体" w:hAnsi="宋体" w:eastAsia="宋体" w:cs="宋体"/>
          <w:highlight w:val="none"/>
          <w:lang w:eastAsia="zh-CN"/>
        </w:rPr>
        <w:t>塔机</w:t>
      </w:r>
      <w:r>
        <w:rPr>
          <w:rFonts w:hint="eastAsia" w:ascii="宋体" w:hAnsi="宋体" w:eastAsia="宋体" w:cs="宋体"/>
          <w:highlight w:val="none"/>
        </w:rPr>
        <w:t>配备了备用液压系统，可以启用备用系统，确保</w:t>
      </w:r>
      <w:r>
        <w:rPr>
          <w:rFonts w:hint="eastAsia" w:ascii="宋体" w:hAnsi="宋体" w:eastAsia="宋体" w:cs="宋体"/>
          <w:highlight w:val="none"/>
          <w:lang w:eastAsia="zh-CN"/>
        </w:rPr>
        <w:t>塔机</w:t>
      </w:r>
      <w:r>
        <w:rPr>
          <w:rFonts w:hint="eastAsia" w:ascii="宋体" w:hAnsi="宋体" w:eastAsia="宋体" w:cs="宋体"/>
          <w:highlight w:val="none"/>
        </w:rPr>
        <w:t>能够安全降落。</w:t>
      </w:r>
    </w:p>
    <w:p w14:paraId="465A36F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（6）专业维修</w:t>
      </w:r>
    </w:p>
    <w:p w14:paraId="3199FCA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在采取应急处置措施后，应立即联系专业维修人员进行检修，确保液压系统恢复正常工作。</w:t>
      </w:r>
    </w:p>
    <w:p w14:paraId="6F1D1A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（7）安全评估</w:t>
      </w:r>
    </w:p>
    <w:p w14:paraId="0AF7E04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 xml:space="preserve"> 在液压系统修复后，应进行安全评估，确保</w:t>
      </w:r>
      <w:r>
        <w:rPr>
          <w:rFonts w:hint="eastAsia" w:ascii="宋体" w:hAnsi="宋体" w:eastAsia="宋体" w:cs="宋体"/>
          <w:highlight w:val="none"/>
          <w:lang w:eastAsia="zh-CN"/>
        </w:rPr>
        <w:t>塔机</w:t>
      </w:r>
      <w:r>
        <w:rPr>
          <w:rFonts w:hint="eastAsia" w:ascii="宋体" w:hAnsi="宋体" w:eastAsia="宋体" w:cs="宋体"/>
          <w:highlight w:val="none"/>
        </w:rPr>
        <w:t>能够安全使用。</w:t>
      </w:r>
    </w:p>
    <w:p w14:paraId="5D2922C0">
      <w:pPr>
        <w:bidi w:val="0"/>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7、塔机倾覆应急处置措施</w:t>
      </w:r>
    </w:p>
    <w:p w14:paraId="57B9AF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）应急响应启动</w:t>
      </w:r>
    </w:p>
    <w:p w14:paraId="736CB7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事故发现人立即呼救、按下急停按钮切断电源，迅速向项目负责人及应急指挥部报告，明确事故时间、地点、倾覆程度、人员伤亡及周边环境等关键信息。</w:t>
      </w:r>
    </w:p>
    <w:p w14:paraId="183492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应急指挥部立即启动响应，明确抢险、疏散、医疗等各组职责，指令携带救援设备赶赴现场。</w:t>
      </w:r>
    </w:p>
    <w:p w14:paraId="671C68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）现场警戒与疏散</w:t>
      </w:r>
    </w:p>
    <w:p w14:paraId="4D8A5F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警戒保卫组立即以倾覆塔机为中心划定至少50米警戒半径，设置警示标志并专人24小时值守，严禁无关人员车辆进入，防范二次事故。</w:t>
      </w:r>
    </w:p>
    <w:p w14:paraId="60288D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疏散引导组组织人员沿安全通道撤离至集结点，清点人数并上报，确保无遗漏。</w:t>
      </w:r>
    </w:p>
    <w:p w14:paraId="19931F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）人员搜救与医疗救护</w:t>
      </w:r>
    </w:p>
    <w:p w14:paraId="026988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抢险救援组在确保安全前提下排查被困人员，严禁盲目操作加重伤害；制定科学搜救方案开辟救援通道。医疗救护组同步待命，对获救人员紧急处理后联系120转运，跟进救治情况。</w:t>
      </w:r>
    </w:p>
    <w:p w14:paraId="2754BF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医疗救护组同步待命，一旦搜救到被困人员，立即对其进行初步检查（判断意识、呼吸、心跳及受伤部位），实施止血、包扎、固定等紧急处理，同时联系120急救中心，安排救护车转运至医院接受进一步治疗，并安排专人跟进救治情况。</w:t>
      </w:r>
    </w:p>
    <w:p w14:paraId="1DA10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）风险管控与现场处置</w:t>
      </w:r>
    </w:p>
    <w:p w14:paraId="593BCD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评估塔机稳定性，存在坍塌风险时由专业人员指导临时加固；排查周边隐患，若碰撞高压线、建筑物等，及时联系相关部门处理。隐患消除后，按专业方案拆解清理塔机。</w:t>
      </w:r>
    </w:p>
    <w:p w14:paraId="3D1D7B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）应急结束与后期处置</w:t>
      </w:r>
    </w:p>
    <w:p w14:paraId="14150C66">
      <w:pPr>
        <w:pStyle w:val="11"/>
        <w:rPr>
          <w:rFonts w:hint="eastAsia" w:ascii="宋体" w:hAnsi="宋体" w:eastAsia="宋体" w:cs="宋体"/>
          <w:highlight w:val="none"/>
          <w:lang w:val="en-US" w:eastAsia="zh-CN"/>
        </w:rPr>
      </w:pPr>
      <w:r>
        <w:rPr>
          <w:rFonts w:hint="eastAsia" w:ascii="宋体" w:hAnsi="宋体" w:eastAsia="宋体" w:cs="宋体"/>
          <w:sz w:val="24"/>
          <w:szCs w:val="24"/>
          <w:highlight w:val="none"/>
          <w:lang w:val="en-US" w:eastAsia="zh-CN"/>
        </w:rPr>
        <w:t>现场清理完毕、人员撤离无二次风险后，应急指挥部宣布响应结束；保护现场配合事故调查，分析原因并制定整改措施，开展安全警示教育。</w:t>
      </w:r>
    </w:p>
    <w:p w14:paraId="4EBE8208">
      <w:pPr>
        <w:pStyle w:val="3"/>
        <w:tabs>
          <w:tab w:val="left" w:pos="240"/>
        </w:tabs>
        <w:bidi w:val="0"/>
        <w:rPr>
          <w:rFonts w:hint="eastAsia" w:ascii="宋体" w:hAnsi="宋体" w:eastAsia="宋体" w:cs="宋体"/>
          <w:highlight w:val="none"/>
          <w:lang w:val="en-US" w:eastAsia="zh-CN"/>
        </w:rPr>
      </w:pPr>
      <w:bookmarkStart w:id="240" w:name="_Toc7123"/>
      <w:bookmarkStart w:id="241" w:name="_Toc8510"/>
      <w:r>
        <w:rPr>
          <w:rFonts w:hint="eastAsia" w:ascii="宋体" w:hAnsi="宋体" w:eastAsia="宋体" w:cs="宋体"/>
          <w:highlight w:val="none"/>
          <w:lang w:val="en-US" w:eastAsia="zh-CN"/>
        </w:rPr>
        <w:t>应急保障</w:t>
      </w:r>
      <w:bookmarkEnd w:id="240"/>
      <w:bookmarkEnd w:id="241"/>
    </w:p>
    <w:p w14:paraId="2F833651">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1、应急救援物资</w:t>
      </w:r>
    </w:p>
    <w:p w14:paraId="3DBE01FB">
      <w:pPr>
        <w:pStyle w:val="42"/>
        <w:bidi w:val="0"/>
        <w:rPr>
          <w:rFonts w:hint="eastAsia" w:ascii="宋体" w:hAnsi="宋体" w:eastAsia="宋体" w:cs="宋体"/>
          <w:highlight w:val="none"/>
          <w:lang w:val="en-US" w:eastAsia="zh-CN"/>
        </w:rPr>
      </w:pPr>
      <w:r>
        <w:rPr>
          <w:rFonts w:hint="eastAsia" w:ascii="宋体" w:hAnsi="宋体" w:eastAsia="宋体" w:cs="宋体"/>
          <w:highlight w:val="none"/>
        </w:rPr>
        <w:t>表</w:t>
      </w:r>
      <w:r>
        <w:rPr>
          <w:rFonts w:hint="eastAsia" w:ascii="宋体" w:hAnsi="宋体" w:eastAsia="宋体" w:cs="宋体"/>
          <w:highlight w:val="none"/>
          <w:lang w:val="en-US" w:eastAsia="zh-CN"/>
        </w:rPr>
        <w:t>5.6-1应急物资、机械设备表</w:t>
      </w:r>
    </w:p>
    <w:tbl>
      <w:tblPr>
        <w:tblStyle w:val="29"/>
        <w:tblW w:w="4998" w:type="pct"/>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autofit"/>
        <w:tblCellMar>
          <w:top w:w="0" w:type="dxa"/>
          <w:left w:w="108" w:type="dxa"/>
          <w:bottom w:w="0" w:type="dxa"/>
          <w:right w:w="108" w:type="dxa"/>
        </w:tblCellMar>
      </w:tblPr>
      <w:tblGrid>
        <w:gridCol w:w="815"/>
        <w:gridCol w:w="2708"/>
        <w:gridCol w:w="1268"/>
        <w:gridCol w:w="1878"/>
        <w:gridCol w:w="1850"/>
      </w:tblGrid>
      <w:tr w14:paraId="322F1F39">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PrEx>
        <w:trPr>
          <w:trHeight w:val="397" w:hRule="exact"/>
          <w:tblHeader/>
          <w:jc w:val="center"/>
        </w:trPr>
        <w:tc>
          <w:tcPr>
            <w:tcW w:w="478" w:type="pct"/>
            <w:tcBorders>
              <w:tl2br w:val="nil"/>
              <w:tr2bl w:val="nil"/>
            </w:tcBorders>
            <w:shd w:val="clear" w:color="auto" w:fill="DAE3F3" w:themeFill="accent5" w:themeFillTint="32"/>
            <w:noWrap w:val="0"/>
            <w:vAlign w:val="center"/>
          </w:tcPr>
          <w:p w14:paraId="5C5DBAB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编号</w:t>
            </w:r>
          </w:p>
        </w:tc>
        <w:tc>
          <w:tcPr>
            <w:tcW w:w="1589" w:type="pct"/>
            <w:tcBorders>
              <w:tl2br w:val="nil"/>
              <w:tr2bl w:val="nil"/>
            </w:tcBorders>
            <w:shd w:val="clear" w:color="auto" w:fill="DAE3F3" w:themeFill="accent5" w:themeFillTint="32"/>
            <w:noWrap w:val="0"/>
            <w:vAlign w:val="center"/>
          </w:tcPr>
          <w:p w14:paraId="4EB3E1A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机具、材料名称</w:t>
            </w:r>
          </w:p>
        </w:tc>
        <w:tc>
          <w:tcPr>
            <w:tcW w:w="744" w:type="pct"/>
            <w:tcBorders>
              <w:tl2br w:val="nil"/>
              <w:tr2bl w:val="nil"/>
            </w:tcBorders>
            <w:shd w:val="clear" w:color="auto" w:fill="DAE3F3" w:themeFill="accent5" w:themeFillTint="32"/>
            <w:noWrap w:val="0"/>
            <w:vAlign w:val="center"/>
          </w:tcPr>
          <w:p w14:paraId="16FA75B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单位</w:t>
            </w:r>
          </w:p>
        </w:tc>
        <w:tc>
          <w:tcPr>
            <w:tcW w:w="1102" w:type="pct"/>
            <w:tcBorders>
              <w:tl2br w:val="nil"/>
              <w:tr2bl w:val="nil"/>
            </w:tcBorders>
            <w:shd w:val="clear" w:color="auto" w:fill="DAE3F3" w:themeFill="accent5" w:themeFillTint="32"/>
            <w:noWrap w:val="0"/>
            <w:vAlign w:val="center"/>
          </w:tcPr>
          <w:p w14:paraId="6FB70C1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数量</w:t>
            </w:r>
          </w:p>
        </w:tc>
        <w:tc>
          <w:tcPr>
            <w:tcW w:w="1085" w:type="pct"/>
            <w:tcBorders>
              <w:tl2br w:val="nil"/>
              <w:tr2bl w:val="nil"/>
            </w:tcBorders>
            <w:shd w:val="clear" w:color="auto" w:fill="DAE3F3" w:themeFill="accent5" w:themeFillTint="32"/>
            <w:noWrap w:val="0"/>
            <w:vAlign w:val="center"/>
          </w:tcPr>
          <w:p w14:paraId="2C5F398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备注</w:t>
            </w:r>
          </w:p>
        </w:tc>
      </w:tr>
      <w:tr w14:paraId="0D5719A9">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397" w:hRule="exact"/>
          <w:jc w:val="center"/>
        </w:trPr>
        <w:tc>
          <w:tcPr>
            <w:tcW w:w="478" w:type="pct"/>
            <w:tcBorders>
              <w:tl2br w:val="nil"/>
              <w:tr2bl w:val="nil"/>
            </w:tcBorders>
            <w:noWrap w:val="0"/>
            <w:vAlign w:val="center"/>
          </w:tcPr>
          <w:p w14:paraId="5FCC5B6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1589" w:type="pct"/>
            <w:tcBorders>
              <w:tl2br w:val="nil"/>
              <w:tr2bl w:val="nil"/>
            </w:tcBorders>
            <w:noWrap w:val="0"/>
            <w:vAlign w:val="center"/>
          </w:tcPr>
          <w:p w14:paraId="3A498DF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挖掘机</w:t>
            </w:r>
          </w:p>
        </w:tc>
        <w:tc>
          <w:tcPr>
            <w:tcW w:w="744" w:type="pct"/>
            <w:tcBorders>
              <w:tl2br w:val="nil"/>
              <w:tr2bl w:val="nil"/>
            </w:tcBorders>
            <w:noWrap w:val="0"/>
            <w:vAlign w:val="center"/>
          </w:tcPr>
          <w:p w14:paraId="6CADB28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台</w:t>
            </w:r>
          </w:p>
        </w:tc>
        <w:tc>
          <w:tcPr>
            <w:tcW w:w="1102" w:type="pct"/>
            <w:tcBorders>
              <w:tl2br w:val="nil"/>
              <w:tr2bl w:val="nil"/>
            </w:tcBorders>
            <w:noWrap w:val="0"/>
            <w:vAlign w:val="center"/>
          </w:tcPr>
          <w:p w14:paraId="3363D24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1085" w:type="pct"/>
            <w:tcBorders>
              <w:tl2br w:val="nil"/>
              <w:tr2bl w:val="nil"/>
            </w:tcBorders>
            <w:noWrap w:val="0"/>
            <w:vAlign w:val="center"/>
          </w:tcPr>
          <w:p w14:paraId="0C19101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220型</w:t>
            </w:r>
          </w:p>
        </w:tc>
      </w:tr>
      <w:tr w14:paraId="5D488243">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397" w:hRule="exact"/>
          <w:jc w:val="center"/>
        </w:trPr>
        <w:tc>
          <w:tcPr>
            <w:tcW w:w="478" w:type="pct"/>
            <w:tcBorders>
              <w:tl2br w:val="nil"/>
              <w:tr2bl w:val="nil"/>
            </w:tcBorders>
            <w:noWrap w:val="0"/>
            <w:vAlign w:val="center"/>
          </w:tcPr>
          <w:p w14:paraId="0E5A09D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1589" w:type="pct"/>
            <w:tcBorders>
              <w:tl2br w:val="nil"/>
              <w:tr2bl w:val="nil"/>
            </w:tcBorders>
            <w:noWrap w:val="0"/>
            <w:vAlign w:val="center"/>
          </w:tcPr>
          <w:p w14:paraId="680B919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装载机</w:t>
            </w:r>
          </w:p>
        </w:tc>
        <w:tc>
          <w:tcPr>
            <w:tcW w:w="744" w:type="pct"/>
            <w:tcBorders>
              <w:tl2br w:val="nil"/>
              <w:tr2bl w:val="nil"/>
            </w:tcBorders>
            <w:noWrap w:val="0"/>
            <w:vAlign w:val="center"/>
          </w:tcPr>
          <w:p w14:paraId="1241DA8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台</w:t>
            </w:r>
          </w:p>
        </w:tc>
        <w:tc>
          <w:tcPr>
            <w:tcW w:w="1102" w:type="pct"/>
            <w:tcBorders>
              <w:tl2br w:val="nil"/>
              <w:tr2bl w:val="nil"/>
            </w:tcBorders>
            <w:noWrap w:val="0"/>
            <w:vAlign w:val="center"/>
          </w:tcPr>
          <w:p w14:paraId="22E41FD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1085" w:type="pct"/>
            <w:tcBorders>
              <w:tl2br w:val="nil"/>
              <w:tr2bl w:val="nil"/>
            </w:tcBorders>
            <w:noWrap w:val="0"/>
            <w:vAlign w:val="center"/>
          </w:tcPr>
          <w:p w14:paraId="756512D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50型</w:t>
            </w:r>
          </w:p>
        </w:tc>
      </w:tr>
      <w:tr w14:paraId="2CEE0B18">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397" w:hRule="exact"/>
          <w:jc w:val="center"/>
        </w:trPr>
        <w:tc>
          <w:tcPr>
            <w:tcW w:w="478" w:type="pct"/>
            <w:tcBorders>
              <w:tl2br w:val="nil"/>
              <w:tr2bl w:val="nil"/>
            </w:tcBorders>
            <w:noWrap w:val="0"/>
            <w:vAlign w:val="center"/>
          </w:tcPr>
          <w:p w14:paraId="5DEB367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1589" w:type="pct"/>
            <w:tcBorders>
              <w:tl2br w:val="nil"/>
              <w:tr2bl w:val="nil"/>
            </w:tcBorders>
            <w:noWrap w:val="0"/>
            <w:vAlign w:val="center"/>
          </w:tcPr>
          <w:p w14:paraId="594154F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发电机</w:t>
            </w:r>
          </w:p>
        </w:tc>
        <w:tc>
          <w:tcPr>
            <w:tcW w:w="744" w:type="pct"/>
            <w:tcBorders>
              <w:tl2br w:val="nil"/>
              <w:tr2bl w:val="nil"/>
            </w:tcBorders>
            <w:noWrap w:val="0"/>
            <w:vAlign w:val="center"/>
          </w:tcPr>
          <w:p w14:paraId="266CD1E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台</w:t>
            </w:r>
          </w:p>
        </w:tc>
        <w:tc>
          <w:tcPr>
            <w:tcW w:w="1102" w:type="pct"/>
            <w:tcBorders>
              <w:tl2br w:val="nil"/>
              <w:tr2bl w:val="nil"/>
            </w:tcBorders>
            <w:noWrap w:val="0"/>
            <w:vAlign w:val="center"/>
          </w:tcPr>
          <w:p w14:paraId="43F6C3E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1085" w:type="pct"/>
            <w:tcBorders>
              <w:tl2br w:val="nil"/>
              <w:tr2bl w:val="nil"/>
            </w:tcBorders>
            <w:noWrap w:val="0"/>
            <w:vAlign w:val="center"/>
          </w:tcPr>
          <w:p w14:paraId="285FAC5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200千瓦</w:t>
            </w:r>
          </w:p>
        </w:tc>
      </w:tr>
      <w:tr w14:paraId="3656BB0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397" w:hRule="exact"/>
          <w:jc w:val="center"/>
        </w:trPr>
        <w:tc>
          <w:tcPr>
            <w:tcW w:w="478" w:type="pct"/>
            <w:tcBorders>
              <w:tl2br w:val="nil"/>
              <w:tr2bl w:val="nil"/>
            </w:tcBorders>
            <w:noWrap w:val="0"/>
            <w:vAlign w:val="center"/>
          </w:tcPr>
          <w:p w14:paraId="46CD298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1589" w:type="pct"/>
            <w:tcBorders>
              <w:tl2br w:val="nil"/>
              <w:tr2bl w:val="nil"/>
            </w:tcBorders>
            <w:noWrap w:val="0"/>
            <w:vAlign w:val="center"/>
          </w:tcPr>
          <w:p w14:paraId="507001E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千斤顶</w:t>
            </w:r>
          </w:p>
        </w:tc>
        <w:tc>
          <w:tcPr>
            <w:tcW w:w="744" w:type="pct"/>
            <w:tcBorders>
              <w:tl2br w:val="nil"/>
              <w:tr2bl w:val="nil"/>
            </w:tcBorders>
            <w:noWrap w:val="0"/>
            <w:vAlign w:val="center"/>
          </w:tcPr>
          <w:p w14:paraId="41CF9C5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台</w:t>
            </w:r>
          </w:p>
        </w:tc>
        <w:tc>
          <w:tcPr>
            <w:tcW w:w="1102" w:type="pct"/>
            <w:tcBorders>
              <w:tl2br w:val="nil"/>
              <w:tr2bl w:val="nil"/>
            </w:tcBorders>
            <w:noWrap w:val="0"/>
            <w:vAlign w:val="center"/>
          </w:tcPr>
          <w:p w14:paraId="62B2A25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1085" w:type="pct"/>
            <w:tcBorders>
              <w:tl2br w:val="nil"/>
              <w:tr2bl w:val="nil"/>
            </w:tcBorders>
            <w:noWrap w:val="0"/>
            <w:vAlign w:val="center"/>
          </w:tcPr>
          <w:p w14:paraId="6026C98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400吨</w:t>
            </w:r>
          </w:p>
        </w:tc>
      </w:tr>
      <w:tr w14:paraId="57345190">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397" w:hRule="exact"/>
          <w:jc w:val="center"/>
        </w:trPr>
        <w:tc>
          <w:tcPr>
            <w:tcW w:w="478" w:type="pct"/>
            <w:tcBorders>
              <w:tl2br w:val="nil"/>
              <w:tr2bl w:val="nil"/>
            </w:tcBorders>
            <w:noWrap w:val="0"/>
            <w:vAlign w:val="center"/>
          </w:tcPr>
          <w:p w14:paraId="1A3B698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1589" w:type="pct"/>
            <w:tcBorders>
              <w:tl2br w:val="nil"/>
              <w:tr2bl w:val="nil"/>
            </w:tcBorders>
            <w:noWrap w:val="0"/>
            <w:vAlign w:val="center"/>
          </w:tcPr>
          <w:p w14:paraId="434B7A6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铁锹</w:t>
            </w:r>
          </w:p>
        </w:tc>
        <w:tc>
          <w:tcPr>
            <w:tcW w:w="744" w:type="pct"/>
            <w:tcBorders>
              <w:tl2br w:val="nil"/>
              <w:tr2bl w:val="nil"/>
            </w:tcBorders>
            <w:noWrap w:val="0"/>
            <w:vAlign w:val="center"/>
          </w:tcPr>
          <w:p w14:paraId="0E0C955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把</w:t>
            </w:r>
          </w:p>
        </w:tc>
        <w:tc>
          <w:tcPr>
            <w:tcW w:w="1102" w:type="pct"/>
            <w:tcBorders>
              <w:tl2br w:val="nil"/>
              <w:tr2bl w:val="nil"/>
            </w:tcBorders>
            <w:noWrap w:val="0"/>
            <w:vAlign w:val="center"/>
          </w:tcPr>
          <w:p w14:paraId="2A8E2C0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30</w:t>
            </w:r>
          </w:p>
        </w:tc>
        <w:tc>
          <w:tcPr>
            <w:tcW w:w="1085" w:type="pct"/>
            <w:tcBorders>
              <w:tl2br w:val="nil"/>
              <w:tr2bl w:val="nil"/>
            </w:tcBorders>
            <w:noWrap w:val="0"/>
            <w:vAlign w:val="center"/>
          </w:tcPr>
          <w:p w14:paraId="200A4AA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6DB7EFF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397" w:hRule="exact"/>
          <w:jc w:val="center"/>
        </w:trPr>
        <w:tc>
          <w:tcPr>
            <w:tcW w:w="478" w:type="pct"/>
            <w:tcBorders>
              <w:tl2br w:val="nil"/>
              <w:tr2bl w:val="nil"/>
            </w:tcBorders>
            <w:noWrap w:val="0"/>
            <w:vAlign w:val="center"/>
          </w:tcPr>
          <w:p w14:paraId="28B3C6E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1589" w:type="pct"/>
            <w:tcBorders>
              <w:tl2br w:val="nil"/>
              <w:tr2bl w:val="nil"/>
            </w:tcBorders>
            <w:noWrap w:val="0"/>
            <w:vAlign w:val="center"/>
          </w:tcPr>
          <w:p w14:paraId="27AD1AC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担架</w:t>
            </w:r>
          </w:p>
        </w:tc>
        <w:tc>
          <w:tcPr>
            <w:tcW w:w="744" w:type="pct"/>
            <w:tcBorders>
              <w:tl2br w:val="nil"/>
              <w:tr2bl w:val="nil"/>
            </w:tcBorders>
            <w:noWrap w:val="0"/>
            <w:vAlign w:val="center"/>
          </w:tcPr>
          <w:p w14:paraId="7A054C7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副</w:t>
            </w:r>
          </w:p>
        </w:tc>
        <w:tc>
          <w:tcPr>
            <w:tcW w:w="1102" w:type="pct"/>
            <w:tcBorders>
              <w:tl2br w:val="nil"/>
              <w:tr2bl w:val="nil"/>
            </w:tcBorders>
            <w:noWrap w:val="0"/>
            <w:vAlign w:val="center"/>
          </w:tcPr>
          <w:p w14:paraId="44788BB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1085" w:type="pct"/>
            <w:tcBorders>
              <w:tl2br w:val="nil"/>
              <w:tr2bl w:val="nil"/>
            </w:tcBorders>
            <w:noWrap w:val="0"/>
            <w:vAlign w:val="center"/>
          </w:tcPr>
          <w:p w14:paraId="7E0DEE4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40C6C8D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397" w:hRule="exact"/>
          <w:jc w:val="center"/>
        </w:trPr>
        <w:tc>
          <w:tcPr>
            <w:tcW w:w="478" w:type="pct"/>
            <w:tcBorders>
              <w:tl2br w:val="nil"/>
              <w:tr2bl w:val="nil"/>
            </w:tcBorders>
            <w:noWrap w:val="0"/>
            <w:vAlign w:val="center"/>
          </w:tcPr>
          <w:p w14:paraId="174BB75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7</w:t>
            </w:r>
          </w:p>
        </w:tc>
        <w:tc>
          <w:tcPr>
            <w:tcW w:w="1589" w:type="pct"/>
            <w:tcBorders>
              <w:tl2br w:val="nil"/>
              <w:tr2bl w:val="nil"/>
            </w:tcBorders>
            <w:noWrap w:val="0"/>
            <w:vAlign w:val="center"/>
          </w:tcPr>
          <w:p w14:paraId="6751F0D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灭火器</w:t>
            </w:r>
          </w:p>
        </w:tc>
        <w:tc>
          <w:tcPr>
            <w:tcW w:w="744" w:type="pct"/>
            <w:tcBorders>
              <w:tl2br w:val="nil"/>
              <w:tr2bl w:val="nil"/>
            </w:tcBorders>
            <w:noWrap w:val="0"/>
            <w:vAlign w:val="center"/>
          </w:tcPr>
          <w:p w14:paraId="4B73456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个</w:t>
            </w:r>
          </w:p>
        </w:tc>
        <w:tc>
          <w:tcPr>
            <w:tcW w:w="1102" w:type="pct"/>
            <w:tcBorders>
              <w:tl2br w:val="nil"/>
              <w:tr2bl w:val="nil"/>
            </w:tcBorders>
            <w:noWrap w:val="0"/>
            <w:vAlign w:val="center"/>
          </w:tcPr>
          <w:p w14:paraId="2A05368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若干</w:t>
            </w:r>
          </w:p>
        </w:tc>
        <w:tc>
          <w:tcPr>
            <w:tcW w:w="1085" w:type="pct"/>
            <w:tcBorders>
              <w:tl2br w:val="nil"/>
              <w:tr2bl w:val="nil"/>
            </w:tcBorders>
            <w:noWrap w:val="0"/>
            <w:vAlign w:val="center"/>
          </w:tcPr>
          <w:p w14:paraId="47C4670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符合规范</w:t>
            </w:r>
          </w:p>
        </w:tc>
      </w:tr>
      <w:tr w14:paraId="3AB7835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397" w:hRule="exact"/>
          <w:jc w:val="center"/>
        </w:trPr>
        <w:tc>
          <w:tcPr>
            <w:tcW w:w="478" w:type="pct"/>
            <w:tcBorders>
              <w:tl2br w:val="nil"/>
              <w:tr2bl w:val="nil"/>
            </w:tcBorders>
            <w:noWrap w:val="0"/>
            <w:vAlign w:val="center"/>
          </w:tcPr>
          <w:p w14:paraId="511358D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8</w:t>
            </w:r>
          </w:p>
        </w:tc>
        <w:tc>
          <w:tcPr>
            <w:tcW w:w="1589" w:type="pct"/>
            <w:tcBorders>
              <w:tl2br w:val="nil"/>
              <w:tr2bl w:val="nil"/>
            </w:tcBorders>
            <w:noWrap w:val="0"/>
            <w:vAlign w:val="center"/>
          </w:tcPr>
          <w:p w14:paraId="6710932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手电筒</w:t>
            </w:r>
          </w:p>
        </w:tc>
        <w:tc>
          <w:tcPr>
            <w:tcW w:w="744" w:type="pct"/>
            <w:tcBorders>
              <w:tl2br w:val="nil"/>
              <w:tr2bl w:val="nil"/>
            </w:tcBorders>
            <w:noWrap w:val="0"/>
            <w:vAlign w:val="center"/>
          </w:tcPr>
          <w:p w14:paraId="16B9136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个</w:t>
            </w:r>
          </w:p>
        </w:tc>
        <w:tc>
          <w:tcPr>
            <w:tcW w:w="1102" w:type="pct"/>
            <w:tcBorders>
              <w:tl2br w:val="nil"/>
              <w:tr2bl w:val="nil"/>
            </w:tcBorders>
            <w:noWrap w:val="0"/>
            <w:vAlign w:val="center"/>
          </w:tcPr>
          <w:p w14:paraId="05FE095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若干</w:t>
            </w:r>
          </w:p>
        </w:tc>
        <w:tc>
          <w:tcPr>
            <w:tcW w:w="1085" w:type="pct"/>
            <w:tcBorders>
              <w:tl2br w:val="nil"/>
              <w:tr2bl w:val="nil"/>
            </w:tcBorders>
            <w:noWrap w:val="0"/>
            <w:vAlign w:val="center"/>
          </w:tcPr>
          <w:p w14:paraId="46D876B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07EFD62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397" w:hRule="exact"/>
          <w:jc w:val="center"/>
        </w:trPr>
        <w:tc>
          <w:tcPr>
            <w:tcW w:w="478" w:type="pct"/>
            <w:tcBorders>
              <w:tl2br w:val="nil"/>
              <w:tr2bl w:val="nil"/>
            </w:tcBorders>
            <w:noWrap w:val="0"/>
            <w:vAlign w:val="center"/>
          </w:tcPr>
          <w:p w14:paraId="2DED961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9</w:t>
            </w:r>
          </w:p>
        </w:tc>
        <w:tc>
          <w:tcPr>
            <w:tcW w:w="1589" w:type="pct"/>
            <w:tcBorders>
              <w:tl2br w:val="nil"/>
              <w:tr2bl w:val="nil"/>
            </w:tcBorders>
            <w:noWrap w:val="0"/>
            <w:vAlign w:val="center"/>
          </w:tcPr>
          <w:p w14:paraId="7F43AB6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指挥车</w:t>
            </w:r>
          </w:p>
        </w:tc>
        <w:tc>
          <w:tcPr>
            <w:tcW w:w="744" w:type="pct"/>
            <w:tcBorders>
              <w:tl2br w:val="nil"/>
              <w:tr2bl w:val="nil"/>
            </w:tcBorders>
            <w:noWrap w:val="0"/>
            <w:vAlign w:val="center"/>
          </w:tcPr>
          <w:p w14:paraId="3D5361A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辆</w:t>
            </w:r>
          </w:p>
        </w:tc>
        <w:tc>
          <w:tcPr>
            <w:tcW w:w="1102" w:type="pct"/>
            <w:tcBorders>
              <w:tl2br w:val="nil"/>
              <w:tr2bl w:val="nil"/>
            </w:tcBorders>
            <w:noWrap w:val="0"/>
            <w:vAlign w:val="center"/>
          </w:tcPr>
          <w:p w14:paraId="2E2CD05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1085" w:type="pct"/>
            <w:tcBorders>
              <w:tl2br w:val="nil"/>
              <w:tr2bl w:val="nil"/>
            </w:tcBorders>
            <w:noWrap w:val="0"/>
            <w:vAlign w:val="center"/>
          </w:tcPr>
          <w:p w14:paraId="39B8822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bl>
    <w:p w14:paraId="42D8654F">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2、应急电话及救援路线图</w:t>
      </w:r>
    </w:p>
    <w:p w14:paraId="0890E0CE">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（1）应急电话及机构</w:t>
      </w:r>
    </w:p>
    <w:p w14:paraId="08D5D4DD">
      <w:pPr>
        <w:pStyle w:val="42"/>
        <w:bidi w:val="0"/>
        <w:rPr>
          <w:rFonts w:hint="eastAsia" w:ascii="宋体" w:hAnsi="宋体" w:eastAsia="宋体" w:cs="宋体"/>
          <w:highlight w:val="none"/>
          <w:lang w:val="en-US" w:eastAsia="zh-CN"/>
        </w:rPr>
      </w:pPr>
      <w:r>
        <w:rPr>
          <w:rFonts w:hint="eastAsia" w:ascii="宋体" w:hAnsi="宋体" w:eastAsia="宋体" w:cs="宋体"/>
          <w:highlight w:val="none"/>
        </w:rPr>
        <w:t>表</w:t>
      </w:r>
      <w:r>
        <w:rPr>
          <w:rFonts w:hint="eastAsia" w:ascii="宋体" w:hAnsi="宋体" w:eastAsia="宋体" w:cs="宋体"/>
          <w:highlight w:val="none"/>
          <w:lang w:val="en-US" w:eastAsia="zh-CN"/>
        </w:rPr>
        <w:t>5.6-2项目附近救援机构联系方式及位置</w:t>
      </w:r>
    </w:p>
    <w:tbl>
      <w:tblPr>
        <w:tblStyle w:val="29"/>
        <w:tblW w:w="4998" w:type="pct"/>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autofit"/>
        <w:tblCellMar>
          <w:top w:w="0" w:type="dxa"/>
          <w:left w:w="108" w:type="dxa"/>
          <w:bottom w:w="0" w:type="dxa"/>
          <w:right w:w="108" w:type="dxa"/>
        </w:tblCellMar>
      </w:tblPr>
      <w:tblGrid>
        <w:gridCol w:w="699"/>
        <w:gridCol w:w="2496"/>
        <w:gridCol w:w="1693"/>
        <w:gridCol w:w="1831"/>
        <w:gridCol w:w="1800"/>
      </w:tblGrid>
      <w:tr w14:paraId="7B4A02E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tblHeader/>
          <w:jc w:val="center"/>
        </w:trPr>
        <w:tc>
          <w:tcPr>
            <w:tcW w:w="410" w:type="pct"/>
            <w:tcBorders>
              <w:tl2br w:val="nil"/>
              <w:tr2bl w:val="nil"/>
            </w:tcBorders>
            <w:shd w:val="clear" w:color="auto" w:fill="DAE3F3" w:themeFill="accent5" w:themeFillTint="32"/>
            <w:noWrap w:val="0"/>
            <w:vAlign w:val="center"/>
          </w:tcPr>
          <w:p w14:paraId="4643899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序号</w:t>
            </w:r>
          </w:p>
        </w:tc>
        <w:tc>
          <w:tcPr>
            <w:tcW w:w="1464" w:type="pct"/>
            <w:tcBorders>
              <w:tl2br w:val="nil"/>
              <w:tr2bl w:val="nil"/>
            </w:tcBorders>
            <w:shd w:val="clear" w:color="auto" w:fill="DAE3F3" w:themeFill="accent5" w:themeFillTint="32"/>
            <w:noWrap w:val="0"/>
            <w:vAlign w:val="center"/>
          </w:tcPr>
          <w:p w14:paraId="2DAEC31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周边资源</w:t>
            </w:r>
          </w:p>
        </w:tc>
        <w:tc>
          <w:tcPr>
            <w:tcW w:w="993" w:type="pct"/>
            <w:tcBorders>
              <w:tl2br w:val="nil"/>
              <w:tr2bl w:val="nil"/>
            </w:tcBorders>
            <w:shd w:val="clear" w:color="auto" w:fill="DAE3F3" w:themeFill="accent5" w:themeFillTint="32"/>
            <w:noWrap w:val="0"/>
            <w:vAlign w:val="center"/>
          </w:tcPr>
          <w:p w14:paraId="0A6A129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联系方式</w:t>
            </w:r>
          </w:p>
        </w:tc>
        <w:tc>
          <w:tcPr>
            <w:tcW w:w="1074" w:type="pct"/>
            <w:tcBorders>
              <w:tl2br w:val="nil"/>
              <w:tr2bl w:val="nil"/>
            </w:tcBorders>
            <w:shd w:val="clear" w:color="auto" w:fill="DAE3F3" w:themeFill="accent5" w:themeFillTint="32"/>
            <w:noWrap w:val="0"/>
            <w:vAlign w:val="center"/>
          </w:tcPr>
          <w:p w14:paraId="63EB1DF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位置</w:t>
            </w:r>
          </w:p>
        </w:tc>
        <w:tc>
          <w:tcPr>
            <w:tcW w:w="1056" w:type="pct"/>
            <w:tcBorders>
              <w:tl2br w:val="nil"/>
              <w:tr2bl w:val="nil"/>
            </w:tcBorders>
            <w:shd w:val="clear" w:color="auto" w:fill="DAE3F3" w:themeFill="accent5" w:themeFillTint="32"/>
            <w:noWrap w:val="0"/>
            <w:vAlign w:val="center"/>
          </w:tcPr>
          <w:p w14:paraId="6416976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用途</w:t>
            </w:r>
          </w:p>
        </w:tc>
      </w:tr>
      <w:tr w14:paraId="70A4E78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410" w:type="pct"/>
            <w:tcBorders>
              <w:tl2br w:val="nil"/>
              <w:tr2bl w:val="nil"/>
            </w:tcBorders>
            <w:noWrap w:val="0"/>
            <w:vAlign w:val="center"/>
          </w:tcPr>
          <w:p w14:paraId="39E6FDA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1</w:t>
            </w:r>
          </w:p>
        </w:tc>
        <w:tc>
          <w:tcPr>
            <w:tcW w:w="1464" w:type="pct"/>
            <w:tcBorders>
              <w:tl2br w:val="nil"/>
              <w:tr2bl w:val="nil"/>
            </w:tcBorders>
            <w:noWrap w:val="0"/>
            <w:vAlign w:val="center"/>
          </w:tcPr>
          <w:p w14:paraId="622F2E3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火警</w:t>
            </w:r>
          </w:p>
        </w:tc>
        <w:tc>
          <w:tcPr>
            <w:tcW w:w="993" w:type="pct"/>
            <w:tcBorders>
              <w:tl2br w:val="nil"/>
              <w:tr2bl w:val="nil"/>
            </w:tcBorders>
            <w:noWrap w:val="0"/>
            <w:vAlign w:val="center"/>
          </w:tcPr>
          <w:p w14:paraId="6BD19FF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119</w:t>
            </w:r>
          </w:p>
        </w:tc>
        <w:tc>
          <w:tcPr>
            <w:tcW w:w="1074" w:type="pct"/>
            <w:tcBorders>
              <w:tl2br w:val="nil"/>
              <w:tr2bl w:val="nil"/>
            </w:tcBorders>
            <w:noWrap w:val="0"/>
            <w:vAlign w:val="center"/>
          </w:tcPr>
          <w:p w14:paraId="3E07CAF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w:t>
            </w:r>
          </w:p>
        </w:tc>
        <w:tc>
          <w:tcPr>
            <w:tcW w:w="1056" w:type="pct"/>
            <w:tcBorders>
              <w:tl2br w:val="nil"/>
              <w:tr2bl w:val="nil"/>
            </w:tcBorders>
            <w:noWrap w:val="0"/>
            <w:vAlign w:val="center"/>
          </w:tcPr>
          <w:p w14:paraId="571C29A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火灾报警救援</w:t>
            </w:r>
          </w:p>
        </w:tc>
      </w:tr>
      <w:tr w14:paraId="4DA8632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410" w:type="pct"/>
            <w:tcBorders>
              <w:tl2br w:val="nil"/>
              <w:tr2bl w:val="nil"/>
            </w:tcBorders>
            <w:noWrap w:val="0"/>
            <w:vAlign w:val="center"/>
          </w:tcPr>
          <w:p w14:paraId="6EAB912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2</w:t>
            </w:r>
          </w:p>
        </w:tc>
        <w:tc>
          <w:tcPr>
            <w:tcW w:w="1464" w:type="pct"/>
            <w:tcBorders>
              <w:tl2br w:val="nil"/>
              <w:tr2bl w:val="nil"/>
            </w:tcBorders>
            <w:noWrap w:val="0"/>
            <w:vAlign w:val="center"/>
          </w:tcPr>
          <w:p w14:paraId="074312C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匪警</w:t>
            </w:r>
          </w:p>
        </w:tc>
        <w:tc>
          <w:tcPr>
            <w:tcW w:w="993" w:type="pct"/>
            <w:tcBorders>
              <w:tl2br w:val="nil"/>
              <w:tr2bl w:val="nil"/>
            </w:tcBorders>
            <w:noWrap w:val="0"/>
            <w:vAlign w:val="center"/>
          </w:tcPr>
          <w:p w14:paraId="27D2A68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110</w:t>
            </w:r>
          </w:p>
        </w:tc>
        <w:tc>
          <w:tcPr>
            <w:tcW w:w="1074" w:type="pct"/>
            <w:tcBorders>
              <w:tl2br w:val="nil"/>
              <w:tr2bl w:val="nil"/>
            </w:tcBorders>
            <w:noWrap w:val="0"/>
            <w:vAlign w:val="center"/>
          </w:tcPr>
          <w:p w14:paraId="64F7B4D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w:t>
            </w:r>
          </w:p>
        </w:tc>
        <w:tc>
          <w:tcPr>
            <w:tcW w:w="1056" w:type="pct"/>
            <w:tcBorders>
              <w:tl2br w:val="nil"/>
              <w:tr2bl w:val="nil"/>
            </w:tcBorders>
            <w:noWrap w:val="0"/>
            <w:vAlign w:val="center"/>
          </w:tcPr>
          <w:p w14:paraId="00BC775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治安事件报警救援</w:t>
            </w:r>
          </w:p>
        </w:tc>
      </w:tr>
      <w:tr w14:paraId="31DAB96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410" w:type="pct"/>
            <w:tcBorders>
              <w:tl2br w:val="nil"/>
              <w:tr2bl w:val="nil"/>
            </w:tcBorders>
            <w:noWrap w:val="0"/>
            <w:vAlign w:val="center"/>
          </w:tcPr>
          <w:p w14:paraId="5417D69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3</w:t>
            </w:r>
          </w:p>
        </w:tc>
        <w:tc>
          <w:tcPr>
            <w:tcW w:w="1464" w:type="pct"/>
            <w:tcBorders>
              <w:tl2br w:val="nil"/>
              <w:tr2bl w:val="nil"/>
            </w:tcBorders>
            <w:noWrap w:val="0"/>
            <w:vAlign w:val="center"/>
          </w:tcPr>
          <w:p w14:paraId="4472C76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气象</w:t>
            </w:r>
          </w:p>
        </w:tc>
        <w:tc>
          <w:tcPr>
            <w:tcW w:w="993" w:type="pct"/>
            <w:tcBorders>
              <w:tl2br w:val="nil"/>
              <w:tr2bl w:val="nil"/>
            </w:tcBorders>
            <w:noWrap w:val="0"/>
            <w:vAlign w:val="center"/>
          </w:tcPr>
          <w:p w14:paraId="68416A4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121</w:t>
            </w:r>
          </w:p>
        </w:tc>
        <w:tc>
          <w:tcPr>
            <w:tcW w:w="1074" w:type="pct"/>
            <w:tcBorders>
              <w:tl2br w:val="nil"/>
              <w:tr2bl w:val="nil"/>
            </w:tcBorders>
            <w:noWrap w:val="0"/>
            <w:vAlign w:val="center"/>
          </w:tcPr>
          <w:p w14:paraId="2D28A64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w:t>
            </w:r>
          </w:p>
        </w:tc>
        <w:tc>
          <w:tcPr>
            <w:tcW w:w="1056" w:type="pct"/>
            <w:tcBorders>
              <w:tl2br w:val="nil"/>
              <w:tr2bl w:val="nil"/>
            </w:tcBorders>
            <w:noWrap w:val="0"/>
            <w:vAlign w:val="center"/>
          </w:tcPr>
          <w:p w14:paraId="043802B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气象信息</w:t>
            </w:r>
          </w:p>
        </w:tc>
      </w:tr>
      <w:tr w14:paraId="597BBF8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410" w:type="pct"/>
            <w:tcBorders>
              <w:tl2br w:val="nil"/>
              <w:tr2bl w:val="nil"/>
            </w:tcBorders>
            <w:noWrap w:val="0"/>
            <w:vAlign w:val="center"/>
          </w:tcPr>
          <w:p w14:paraId="2324731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4</w:t>
            </w:r>
          </w:p>
        </w:tc>
        <w:tc>
          <w:tcPr>
            <w:tcW w:w="1464" w:type="pct"/>
            <w:tcBorders>
              <w:tl2br w:val="nil"/>
              <w:tr2bl w:val="nil"/>
            </w:tcBorders>
            <w:noWrap w:val="0"/>
            <w:vAlign w:val="center"/>
          </w:tcPr>
          <w:p w14:paraId="504E09A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查号台</w:t>
            </w:r>
          </w:p>
        </w:tc>
        <w:tc>
          <w:tcPr>
            <w:tcW w:w="993" w:type="pct"/>
            <w:tcBorders>
              <w:tl2br w:val="nil"/>
              <w:tr2bl w:val="nil"/>
            </w:tcBorders>
            <w:noWrap w:val="0"/>
            <w:vAlign w:val="center"/>
          </w:tcPr>
          <w:p w14:paraId="43B12CB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114</w:t>
            </w:r>
          </w:p>
        </w:tc>
        <w:tc>
          <w:tcPr>
            <w:tcW w:w="1074" w:type="pct"/>
            <w:tcBorders>
              <w:tl2br w:val="nil"/>
              <w:tr2bl w:val="nil"/>
            </w:tcBorders>
            <w:noWrap w:val="0"/>
            <w:vAlign w:val="center"/>
          </w:tcPr>
          <w:p w14:paraId="18EA80C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w:t>
            </w:r>
          </w:p>
        </w:tc>
        <w:tc>
          <w:tcPr>
            <w:tcW w:w="1056" w:type="pct"/>
            <w:tcBorders>
              <w:tl2br w:val="nil"/>
              <w:tr2bl w:val="nil"/>
            </w:tcBorders>
            <w:noWrap w:val="0"/>
            <w:vAlign w:val="center"/>
          </w:tcPr>
          <w:p w14:paraId="7511E51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电话号码查询</w:t>
            </w:r>
          </w:p>
        </w:tc>
      </w:tr>
      <w:tr w14:paraId="7DA901A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410" w:type="pct"/>
            <w:tcBorders>
              <w:tl2br w:val="nil"/>
              <w:tr2bl w:val="nil"/>
            </w:tcBorders>
            <w:noWrap w:val="0"/>
            <w:vAlign w:val="center"/>
          </w:tcPr>
          <w:p w14:paraId="2BFCC06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1464" w:type="pct"/>
            <w:tcBorders>
              <w:tl2br w:val="nil"/>
              <w:tr2bl w:val="nil"/>
            </w:tcBorders>
            <w:noWrap w:val="0"/>
            <w:vAlign w:val="center"/>
          </w:tcPr>
          <w:p w14:paraId="4FDB9EC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市急救中心</w:t>
            </w:r>
          </w:p>
        </w:tc>
        <w:tc>
          <w:tcPr>
            <w:tcW w:w="993" w:type="pct"/>
            <w:tcBorders>
              <w:tl2br w:val="nil"/>
              <w:tr2bl w:val="nil"/>
            </w:tcBorders>
            <w:noWrap w:val="0"/>
            <w:vAlign w:val="center"/>
          </w:tcPr>
          <w:p w14:paraId="10CEC92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120</w:t>
            </w:r>
          </w:p>
        </w:tc>
        <w:tc>
          <w:tcPr>
            <w:tcW w:w="1074" w:type="pct"/>
            <w:tcBorders>
              <w:tl2br w:val="nil"/>
              <w:tr2bl w:val="nil"/>
            </w:tcBorders>
            <w:noWrap w:val="0"/>
            <w:vAlign w:val="center"/>
          </w:tcPr>
          <w:p w14:paraId="35C7F31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w:t>
            </w:r>
          </w:p>
        </w:tc>
        <w:tc>
          <w:tcPr>
            <w:tcW w:w="1056" w:type="pct"/>
            <w:tcBorders>
              <w:tl2br w:val="nil"/>
              <w:tr2bl w:val="nil"/>
            </w:tcBorders>
            <w:noWrap w:val="0"/>
            <w:vAlign w:val="center"/>
          </w:tcPr>
          <w:p w14:paraId="2A07583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人员伤亡急救</w:t>
            </w:r>
          </w:p>
        </w:tc>
      </w:tr>
      <w:tr w14:paraId="41D66C8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410" w:type="pct"/>
            <w:tcBorders>
              <w:tl2br w:val="nil"/>
              <w:tr2bl w:val="nil"/>
            </w:tcBorders>
            <w:noWrap w:val="0"/>
            <w:vAlign w:val="center"/>
          </w:tcPr>
          <w:p w14:paraId="4DFAC8E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1464" w:type="pct"/>
            <w:tcBorders>
              <w:tl2br w:val="nil"/>
              <w:tr2bl w:val="nil"/>
            </w:tcBorders>
            <w:noWrap w:val="0"/>
            <w:vAlign w:val="center"/>
          </w:tcPr>
          <w:p w14:paraId="622D5DA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道路事故报警</w:t>
            </w:r>
          </w:p>
        </w:tc>
        <w:tc>
          <w:tcPr>
            <w:tcW w:w="993" w:type="pct"/>
            <w:tcBorders>
              <w:tl2br w:val="nil"/>
              <w:tr2bl w:val="nil"/>
            </w:tcBorders>
            <w:noWrap w:val="0"/>
            <w:vAlign w:val="center"/>
          </w:tcPr>
          <w:p w14:paraId="60623D0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122</w:t>
            </w:r>
          </w:p>
        </w:tc>
        <w:tc>
          <w:tcPr>
            <w:tcW w:w="1074" w:type="pct"/>
            <w:tcBorders>
              <w:tl2br w:val="nil"/>
              <w:tr2bl w:val="nil"/>
            </w:tcBorders>
            <w:noWrap w:val="0"/>
            <w:vAlign w:val="center"/>
          </w:tcPr>
          <w:p w14:paraId="382AE16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w:t>
            </w:r>
          </w:p>
        </w:tc>
        <w:tc>
          <w:tcPr>
            <w:tcW w:w="1056" w:type="pct"/>
            <w:tcBorders>
              <w:tl2br w:val="nil"/>
              <w:tr2bl w:val="nil"/>
            </w:tcBorders>
            <w:noWrap w:val="0"/>
            <w:vAlign w:val="center"/>
          </w:tcPr>
          <w:p w14:paraId="7301C2D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道路事故报警</w:t>
            </w:r>
          </w:p>
        </w:tc>
      </w:tr>
    </w:tbl>
    <w:p w14:paraId="4D6F5ECB">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（2）应急救援路线</w:t>
      </w:r>
    </w:p>
    <w:p w14:paraId="17BA18F1">
      <w:pPr>
        <w:keepNext w:val="0"/>
        <w:keepLines w:val="0"/>
        <w:widowControl/>
        <w:suppressLineNumbers w:val="0"/>
        <w:ind w:firstLine="480" w:firstLineChars="200"/>
        <w:jc w:val="left"/>
        <w:rPr>
          <w:rFonts w:hint="eastAsia" w:ascii="宋体" w:hAnsi="宋体" w:eastAsia="宋体" w:cs="宋体"/>
          <w:highlight w:val="none"/>
        </w:rPr>
      </w:pPr>
      <w:r>
        <w:rPr>
          <w:rFonts w:hint="eastAsia" w:ascii="宋体" w:hAnsi="宋体" w:eastAsia="宋体" w:cs="宋体"/>
          <w:color w:val="000000"/>
          <w:kern w:val="0"/>
          <w:sz w:val="24"/>
          <w:szCs w:val="24"/>
          <w:highlight w:val="none"/>
          <w:lang w:val="en-US" w:eastAsia="zh-CN" w:bidi="ar"/>
        </w:rPr>
        <w:t>为急救医生留出抢救通道，确保安全通道畅通，我部已与恭城县人民医院签订协议，联系电话120、0773-8212298。</w:t>
      </w:r>
    </w:p>
    <w:p w14:paraId="12964BA8">
      <w:pPr>
        <w:keepNext w:val="0"/>
        <w:keepLines w:val="0"/>
        <w:widowControl/>
        <w:suppressLineNumbers w:val="0"/>
        <w:ind w:firstLine="480" w:firstLineChars="200"/>
        <w:jc w:val="left"/>
        <w:rPr>
          <w:rFonts w:hint="eastAsia" w:ascii="宋体" w:hAnsi="宋体" w:eastAsia="宋体" w:cs="宋体"/>
          <w:highlight w:val="none"/>
        </w:rPr>
      </w:pPr>
      <w:r>
        <w:rPr>
          <w:rFonts w:hint="eastAsia" w:ascii="宋体" w:hAnsi="宋体" w:eastAsia="宋体" w:cs="宋体"/>
          <w:color w:val="000000"/>
          <w:kern w:val="0"/>
          <w:sz w:val="24"/>
          <w:szCs w:val="24"/>
          <w:highlight w:val="none"/>
          <w:lang w:val="en-US" w:eastAsia="zh-CN" w:bidi="ar"/>
        </w:rPr>
        <w:t>应急救援路线：项目经理部在施工事故应急抢险过程中一旦发生人员伤亡事故或其他紧急情况，除及时采取对应的应急响应处置措施外，恭城县人民医院为主要应急处置地点，现场至恭城县人民医院全程约30分钟。</w:t>
      </w:r>
    </w:p>
    <w:p w14:paraId="5427D1F4">
      <w:pPr>
        <w:pStyle w:val="12"/>
        <w:ind w:left="0" w:leftChars="0" w:firstLine="0" w:firstLineChars="0"/>
        <w:jc w:val="center"/>
        <w:rPr>
          <w:rFonts w:hint="eastAsia" w:ascii="宋体" w:hAnsi="宋体" w:eastAsia="宋体" w:cs="宋体"/>
          <w:highlight w:val="none"/>
        </w:rPr>
      </w:pPr>
      <w:r>
        <w:rPr>
          <w:rFonts w:hint="eastAsia" w:ascii="宋体" w:hAnsi="宋体" w:eastAsia="宋体" w:cs="宋体"/>
          <w:kern w:val="0"/>
          <w:sz w:val="24"/>
          <w:szCs w:val="24"/>
          <w:highlight w:val="none"/>
          <w:lang w:val="en-US" w:eastAsia="zh-CN" w:bidi="ar"/>
        </w:rPr>
        <w:drawing>
          <wp:inline distT="0" distB="0" distL="114300" distR="114300">
            <wp:extent cx="4458335" cy="2416810"/>
            <wp:effectExtent l="0" t="0" r="18415" b="2540"/>
            <wp:docPr id="64"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0" descr="IMG_256"/>
                    <pic:cNvPicPr>
                      <a:picLocks noChangeAspect="1"/>
                    </pic:cNvPicPr>
                  </pic:nvPicPr>
                  <pic:blipFill>
                    <a:blip r:embed="rId53"/>
                    <a:srcRect b="6944"/>
                    <a:stretch>
                      <a:fillRect/>
                    </a:stretch>
                  </pic:blipFill>
                  <pic:spPr>
                    <a:xfrm>
                      <a:off x="0" y="0"/>
                      <a:ext cx="4458335" cy="2416810"/>
                    </a:xfrm>
                    <a:prstGeom prst="rect">
                      <a:avLst/>
                    </a:prstGeom>
                    <a:noFill/>
                    <a:ln w="9525">
                      <a:noFill/>
                    </a:ln>
                  </pic:spPr>
                </pic:pic>
              </a:graphicData>
            </a:graphic>
          </wp:inline>
        </w:drawing>
      </w:r>
    </w:p>
    <w:p w14:paraId="6BBDAE12">
      <w:pPr>
        <w:pStyle w:val="42"/>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图5.6-1 应急路线图</w:t>
      </w:r>
    </w:p>
    <w:p w14:paraId="2FC187F3">
      <w:pPr>
        <w:pStyle w:val="3"/>
        <w:tabs>
          <w:tab w:val="left" w:pos="240"/>
        </w:tabs>
        <w:bidi w:val="0"/>
        <w:rPr>
          <w:rFonts w:hint="eastAsia" w:ascii="宋体" w:hAnsi="宋体" w:eastAsia="宋体" w:cs="宋体"/>
          <w:highlight w:val="none"/>
        </w:rPr>
      </w:pPr>
      <w:bookmarkStart w:id="242" w:name="_Toc33"/>
      <w:bookmarkStart w:id="243" w:name="_Toc14843"/>
      <w:r>
        <w:rPr>
          <w:rFonts w:hint="eastAsia" w:ascii="宋体" w:hAnsi="宋体" w:eastAsia="宋体" w:cs="宋体"/>
          <w:highlight w:val="none"/>
        </w:rPr>
        <w:t>事故善后及恢复生产</w:t>
      </w:r>
      <w:bookmarkEnd w:id="242"/>
      <w:bookmarkEnd w:id="243"/>
    </w:p>
    <w:p w14:paraId="4A87E3DF">
      <w:pPr>
        <w:bidi w:val="0"/>
        <w:ind w:firstLine="480" w:firstLineChars="200"/>
        <w:rPr>
          <w:rFonts w:hint="eastAsia" w:ascii="宋体" w:hAnsi="宋体" w:eastAsia="宋体" w:cs="宋体"/>
          <w:highlight w:val="none"/>
        </w:rPr>
      </w:pPr>
      <w:r>
        <w:rPr>
          <w:rFonts w:hint="eastAsia" w:ascii="宋体" w:hAnsi="宋体" w:eastAsia="宋体" w:cs="宋体"/>
          <w:highlight w:val="none"/>
        </w:rPr>
        <w:t>当事态得到有效控制，危险得以消除时，由项目经理下达终止应急令。</w:t>
      </w:r>
    </w:p>
    <w:p w14:paraId="04973105">
      <w:pPr>
        <w:bidi w:val="0"/>
        <w:ind w:firstLine="480" w:firstLineChars="200"/>
        <w:rPr>
          <w:rFonts w:hint="eastAsia" w:ascii="宋体" w:hAnsi="宋体" w:eastAsia="宋体" w:cs="宋体"/>
          <w:highlight w:val="none"/>
        </w:rPr>
      </w:pPr>
      <w:r>
        <w:rPr>
          <w:rFonts w:hint="eastAsia" w:ascii="宋体" w:hAnsi="宋体" w:eastAsia="宋体" w:cs="宋体"/>
          <w:highlight w:val="none"/>
        </w:rPr>
        <w:t>当终止应急救援后，事故现场仍然存在可能的不明隐患时支护结构是否能满足土体应力、是否需要采取加强支护等），现场警戒不予解除，直至经技术部门技术鉴定确认无不明隐患、周边土体、支护结构及周边建筑物等趋于稳定后，告知安保部部长下令解除现场警戒。</w:t>
      </w:r>
    </w:p>
    <w:p w14:paraId="7CE6B6B5">
      <w:pPr>
        <w:bidi w:val="0"/>
        <w:ind w:firstLine="480" w:firstLineChars="200"/>
        <w:rPr>
          <w:rFonts w:hint="eastAsia" w:ascii="宋体" w:hAnsi="宋体" w:eastAsia="宋体" w:cs="宋体"/>
          <w:highlight w:val="none"/>
        </w:rPr>
      </w:pPr>
      <w:r>
        <w:rPr>
          <w:rFonts w:hint="eastAsia" w:ascii="宋体" w:hAnsi="宋体" w:eastAsia="宋体" w:cs="宋体"/>
          <w:highlight w:val="none"/>
        </w:rPr>
        <w:t>警戒解除后，由应急救援队伍负责恢复现场。主要清理临时设施、救援过程中产生的废弃物、恢复现场施工条件等。</w:t>
      </w:r>
    </w:p>
    <w:p w14:paraId="2DE264AB">
      <w:pPr>
        <w:bidi w:val="0"/>
        <w:ind w:firstLine="480" w:firstLineChars="200"/>
        <w:rPr>
          <w:rFonts w:hint="eastAsia" w:ascii="宋体" w:hAnsi="宋体" w:eastAsia="宋体" w:cs="宋体"/>
          <w:highlight w:val="none"/>
        </w:rPr>
      </w:pPr>
      <w:r>
        <w:rPr>
          <w:rFonts w:hint="eastAsia" w:ascii="宋体" w:hAnsi="宋体" w:eastAsia="宋体" w:cs="宋体"/>
          <w:highlight w:val="none"/>
        </w:rPr>
        <w:t>事故处理：事故调查小组在事故得到控制以后，迅速到受到保护的现场调查取证，查明产生事故的原因。项目部在事故处理完毕后，认真总结经验教训。</w:t>
      </w:r>
    </w:p>
    <w:p w14:paraId="61A9EB47">
      <w:pPr>
        <w:bidi w:val="0"/>
        <w:ind w:firstLine="480" w:firstLineChars="200"/>
        <w:rPr>
          <w:rFonts w:hint="eastAsia" w:ascii="宋体" w:hAnsi="宋体" w:eastAsia="宋体" w:cs="宋体"/>
          <w:highlight w:val="none"/>
        </w:rPr>
      </w:pPr>
      <w:r>
        <w:rPr>
          <w:rFonts w:hint="eastAsia" w:ascii="宋体" w:hAnsi="宋体" w:eastAsia="宋体" w:cs="宋体"/>
          <w:highlight w:val="none"/>
        </w:rPr>
        <w:t>生产恢复：事故发生后，项目部在处理事故的同时，尽快组织人员恢复生产，避免影响项目部施工生产进度，恢复生产的主要工作包括：</w:t>
      </w:r>
    </w:p>
    <w:p w14:paraId="40FC0966">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rPr>
        <w:t>明确事故处理所需的现场材料，加快对施工现场进行调查和取证，收集相关的资料证据，包括对现场的</w:t>
      </w:r>
      <w:r>
        <w:rPr>
          <w:rFonts w:hint="eastAsia" w:ascii="宋体" w:hAnsi="宋体" w:eastAsia="宋体" w:cs="宋体"/>
          <w:highlight w:val="none"/>
          <w:lang w:eastAsia="zh-CN"/>
        </w:rPr>
        <w:t>摄像</w:t>
      </w:r>
      <w:r>
        <w:rPr>
          <w:rFonts w:hint="eastAsia" w:ascii="宋体" w:hAnsi="宋体" w:eastAsia="宋体" w:cs="宋体"/>
          <w:highlight w:val="none"/>
        </w:rPr>
        <w:t>，相关人员、机械设备、物资材料在现场的资料照片，详细统计机械设备、物资材料的损失情况，制定维修或报废处理计划。</w:t>
      </w:r>
    </w:p>
    <w:p w14:paraId="45ABA5EF">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现场取证工作完成后，项目部对现场清理行动进行充分论证，认为时机成熟时，调集相关人员和设备对现场进行清理，制定现场清理的计划和措施，落实现场责任人，防止清理过程中事态进一步扩大。</w:t>
      </w:r>
    </w:p>
    <w:p w14:paraId="6A659A8C">
      <w:pPr>
        <w:rPr>
          <w:rFonts w:hint="eastAsia"/>
          <w:lang w:val="en-US" w:eastAsia="zh-CN"/>
        </w:rPr>
      </w:pPr>
      <w:r>
        <w:rPr>
          <w:rFonts w:hint="eastAsia" w:ascii="宋体" w:hAnsi="宋体" w:eastAsia="宋体" w:cs="宋体"/>
          <w:highlight w:val="none"/>
          <w:lang w:val="en-US" w:eastAsia="zh-CN"/>
        </w:rPr>
        <w:t>3、</w:t>
      </w:r>
      <w:r>
        <w:rPr>
          <w:rFonts w:hint="eastAsia" w:ascii="宋体" w:hAnsi="宋体" w:eastAsia="宋体" w:cs="宋体"/>
          <w:highlight w:val="none"/>
        </w:rPr>
        <w:t>现场清理完毕，项目部重新调集生产资源，组织施工生产，组织生产过程中，应吸取事故教训、总结经验、制定切实可靠的安全措施后方可施工。</w:t>
      </w:r>
      <w:r>
        <w:rPr>
          <w:rFonts w:hint="eastAsia" w:ascii="宋体" w:hAnsi="宋体" w:eastAsia="宋体" w:cs="宋体"/>
          <w:highlight w:val="none"/>
          <w:lang w:val="en-US" w:eastAsia="zh-CN"/>
        </w:rPr>
        <w:br w:type="page"/>
      </w:r>
    </w:p>
    <w:bookmarkEnd w:id="195"/>
    <w:bookmarkEnd w:id="197"/>
    <w:bookmarkEnd w:id="198"/>
    <w:bookmarkEnd w:id="199"/>
    <w:bookmarkEnd w:id="200"/>
    <w:bookmarkEnd w:id="201"/>
    <w:bookmarkEnd w:id="202"/>
    <w:p w14:paraId="03A3EC8A">
      <w:pPr>
        <w:pStyle w:val="2"/>
        <w:tabs>
          <w:tab w:val="left" w:pos="0"/>
        </w:tabs>
        <w:bidi w:val="0"/>
        <w:ind w:left="432" w:leftChars="0" w:hanging="432" w:firstLineChars="0"/>
        <w:rPr>
          <w:rFonts w:hint="eastAsia" w:ascii="Times New Roman" w:hAnsi="Times New Roman" w:eastAsia="宋体" w:cs="Times New Roman"/>
          <w:b/>
          <w:caps w:val="0"/>
          <w:smallCaps w:val="0"/>
          <w:color w:val="000000" w:themeColor="text1"/>
          <w:kern w:val="44"/>
          <w:sz w:val="30"/>
          <w:szCs w:val="22"/>
          <w:highlight w:val="none"/>
          <w:lang w:val="en-US" w:eastAsia="zh-CN" w:bidi="ar-SA"/>
          <w14:textFill>
            <w14:solidFill>
              <w14:schemeClr w14:val="tx1"/>
            </w14:solidFill>
          </w14:textFill>
        </w:rPr>
      </w:pPr>
      <w:bookmarkStart w:id="244" w:name="_Toc26551"/>
      <w:bookmarkStart w:id="245" w:name="_Toc27618"/>
      <w:bookmarkStart w:id="246" w:name="_Toc29966"/>
      <w:bookmarkStart w:id="247" w:name="_Toc19109"/>
      <w:bookmarkStart w:id="248" w:name="_Toc8718"/>
      <w:r>
        <w:rPr>
          <w:rFonts w:hint="eastAsia" w:ascii="Times New Roman" w:hAnsi="Times New Roman" w:cs="Times New Roman"/>
          <w:b/>
          <w:caps w:val="0"/>
          <w:smallCaps w:val="0"/>
          <w:color w:val="000000" w:themeColor="text1"/>
          <w:kern w:val="44"/>
          <w:sz w:val="30"/>
          <w:szCs w:val="22"/>
          <w:highlight w:val="none"/>
          <w:lang w:val="en-US" w:eastAsia="zh-CN" w:bidi="ar-SA"/>
          <w14:textFill>
            <w14:solidFill>
              <w14:schemeClr w14:val="tx1"/>
            </w14:solidFill>
          </w14:textFill>
        </w:rPr>
        <w:t>质量控制措施</w:t>
      </w:r>
      <w:bookmarkEnd w:id="244"/>
    </w:p>
    <w:p w14:paraId="216D1A9B">
      <w:pPr>
        <w:pStyle w:val="3"/>
        <w:bidi w:val="0"/>
        <w:jc w:val="left"/>
        <w:rPr>
          <w:rFonts w:hint="eastAsia" w:ascii="宋体" w:hAnsi="宋体" w:eastAsia="宋体" w:cs="宋体"/>
          <w:color w:val="000000" w:themeColor="text1"/>
          <w:highlight w:val="none"/>
          <w14:textFill>
            <w14:solidFill>
              <w14:schemeClr w14:val="tx1"/>
            </w14:solidFill>
          </w14:textFill>
        </w:rPr>
      </w:pPr>
      <w:bookmarkStart w:id="249" w:name="_Toc28054"/>
      <w:bookmarkStart w:id="250" w:name="_Toc8671"/>
      <w:r>
        <w:rPr>
          <w:rFonts w:hint="eastAsia" w:ascii="宋体" w:hAnsi="宋体" w:eastAsia="宋体" w:cs="宋体"/>
          <w:color w:val="000000" w:themeColor="text1"/>
          <w:highlight w:val="none"/>
          <w14:textFill>
            <w14:solidFill>
              <w14:schemeClr w14:val="tx1"/>
            </w14:solidFill>
          </w14:textFill>
        </w:rPr>
        <w:t>质量</w:t>
      </w:r>
      <w:r>
        <w:rPr>
          <w:rFonts w:hint="eastAsia" w:ascii="宋体" w:hAnsi="宋体" w:eastAsia="宋体" w:cs="宋体"/>
          <w:highlight w:val="none"/>
        </w:rPr>
        <w:t>管理</w:t>
      </w:r>
      <w:r>
        <w:rPr>
          <w:rFonts w:hint="eastAsia" w:ascii="宋体" w:hAnsi="宋体" w:eastAsia="宋体" w:cs="宋体"/>
          <w:color w:val="000000" w:themeColor="text1"/>
          <w:highlight w:val="none"/>
          <w14:textFill>
            <w14:solidFill>
              <w14:schemeClr w14:val="tx1"/>
            </w14:solidFill>
          </w14:textFill>
        </w:rPr>
        <w:t>组织机构</w:t>
      </w:r>
      <w:bookmarkEnd w:id="249"/>
      <w:bookmarkEnd w:id="250"/>
    </w:p>
    <w:p w14:paraId="45F1C250">
      <w:pPr>
        <w:bidi w:val="0"/>
        <w:ind w:firstLine="480" w:firstLineChars="200"/>
        <w:rPr>
          <w:rFonts w:hint="eastAsia" w:ascii="宋体" w:hAnsi="宋体" w:eastAsia="宋体" w:cs="宋体"/>
          <w:highlight w:val="none"/>
          <w:lang w:eastAsia="zh-CN"/>
        </w:rPr>
      </w:pPr>
      <w:r>
        <w:rPr>
          <w:rFonts w:hint="eastAsia" w:ascii="宋体" w:hAnsi="宋体" w:eastAsia="宋体" w:cs="宋体"/>
          <w:highlight w:val="none"/>
        </w:rPr>
        <w:t>健全的组织机构是质量管理和质量控制的基本保证。本工程项目部将配备完善的组织机构，建立本工程质量保证体系组织机构，开展全面质量管理，确保工程质量目标的实现</w:t>
      </w:r>
      <w:r>
        <w:rPr>
          <w:rFonts w:hint="eastAsia" w:ascii="宋体" w:hAnsi="宋体" w:eastAsia="宋体" w:cs="宋体"/>
          <w:highlight w:val="none"/>
          <w:lang w:eastAsia="zh-CN"/>
        </w:rPr>
        <w:t>。</w:t>
      </w:r>
    </w:p>
    <w:p w14:paraId="6A05EEFF">
      <w:pPr>
        <w:pStyle w:val="12"/>
        <w:ind w:left="0" w:leftChars="0" w:firstLine="0" w:firstLineChars="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drawing>
          <wp:inline distT="0" distB="0" distL="114300" distR="114300">
            <wp:extent cx="4473575" cy="3220085"/>
            <wp:effectExtent l="0" t="0" r="0" b="0"/>
            <wp:docPr id="65" name="ECB019B1-382A-4266-B25C-5B523AA43C14-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ECB019B1-382A-4266-B25C-5B523AA43C14-2" descr="wps"/>
                    <pic:cNvPicPr>
                      <a:picLocks noChangeAspect="1"/>
                    </pic:cNvPicPr>
                  </pic:nvPicPr>
                  <pic:blipFill>
                    <a:blip r:embed="rId54"/>
                    <a:stretch>
                      <a:fillRect/>
                    </a:stretch>
                  </pic:blipFill>
                  <pic:spPr>
                    <a:xfrm>
                      <a:off x="0" y="0"/>
                      <a:ext cx="4473575" cy="3220085"/>
                    </a:xfrm>
                    <a:prstGeom prst="rect">
                      <a:avLst/>
                    </a:prstGeom>
                  </pic:spPr>
                </pic:pic>
              </a:graphicData>
            </a:graphic>
          </wp:inline>
        </w:drawing>
      </w:r>
    </w:p>
    <w:p w14:paraId="48E7E617">
      <w:pPr>
        <w:pStyle w:val="14"/>
        <w:bidi w:val="0"/>
        <w:rPr>
          <w:rFonts w:hint="eastAsia" w:ascii="宋体" w:hAnsi="宋体" w:eastAsia="宋体" w:cs="宋体"/>
          <w:highlight w:val="none"/>
        </w:rPr>
      </w:pPr>
      <w:r>
        <w:rPr>
          <w:rFonts w:hint="eastAsia" w:ascii="宋体" w:hAnsi="宋体" w:eastAsia="宋体" w:cs="宋体"/>
          <w:highlight w:val="none"/>
          <w:lang w:val="en-US" w:eastAsia="zh-CN"/>
        </w:rPr>
        <w:t>图6.1-1质量管理组织机构图</w:t>
      </w:r>
    </w:p>
    <w:p w14:paraId="29FFB933">
      <w:pPr>
        <w:pStyle w:val="3"/>
        <w:rPr>
          <w:rFonts w:hint="eastAsia" w:ascii="宋体" w:hAnsi="宋体" w:eastAsia="宋体" w:cs="宋体"/>
          <w:highlight w:val="none"/>
        </w:rPr>
      </w:pPr>
      <w:bookmarkStart w:id="251" w:name="_Toc13943"/>
      <w:bookmarkStart w:id="252" w:name="_Toc4606"/>
      <w:bookmarkStart w:id="253" w:name="_Toc30252"/>
      <w:bookmarkStart w:id="254" w:name="_Toc26559"/>
      <w:r>
        <w:rPr>
          <w:rFonts w:hint="eastAsia" w:ascii="宋体" w:hAnsi="宋体" w:eastAsia="宋体" w:cs="宋体"/>
          <w:highlight w:val="none"/>
        </w:rPr>
        <w:t>质量通病及质量通病预防</w:t>
      </w:r>
      <w:bookmarkEnd w:id="251"/>
      <w:bookmarkEnd w:id="252"/>
      <w:bookmarkEnd w:id="253"/>
      <w:bookmarkEnd w:id="254"/>
    </w:p>
    <w:p w14:paraId="1D86F939">
      <w:pPr>
        <w:pStyle w:val="14"/>
        <w:bidi w:val="0"/>
        <w:rPr>
          <w:rFonts w:hint="eastAsia" w:ascii="宋体" w:hAnsi="宋体" w:eastAsia="宋体" w:cs="宋体"/>
          <w:b/>
          <w:bCs/>
          <w:color w:val="C00000"/>
          <w:kern w:val="2"/>
          <w:szCs w:val="24"/>
          <w:highlight w:val="none"/>
          <w:lang w:val="en-US" w:eastAsia="zh-CN" w:bidi="ar-SA"/>
        </w:rPr>
      </w:pPr>
      <w:r>
        <w:rPr>
          <w:rFonts w:hint="eastAsia" w:ascii="宋体" w:hAnsi="宋体" w:eastAsia="宋体" w:cs="宋体"/>
          <w:highlight w:val="none"/>
          <w:lang w:val="en-US" w:eastAsia="zh-CN"/>
        </w:rPr>
        <w:t>表6.2-1塔机拆除质量通病管控措施一览表</w:t>
      </w:r>
    </w:p>
    <w:tbl>
      <w:tblPr>
        <w:tblStyle w:val="30"/>
        <w:tblW w:w="0" w:type="auto"/>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autofit"/>
        <w:tblCellMar>
          <w:top w:w="0" w:type="dxa"/>
          <w:left w:w="108" w:type="dxa"/>
          <w:bottom w:w="0" w:type="dxa"/>
          <w:right w:w="108" w:type="dxa"/>
        </w:tblCellMar>
      </w:tblPr>
      <w:tblGrid>
        <w:gridCol w:w="1059"/>
        <w:gridCol w:w="1491"/>
        <w:gridCol w:w="5972"/>
      </w:tblGrid>
      <w:tr w14:paraId="2F708DCB">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tblHeader/>
          <w:jc w:val="center"/>
        </w:trPr>
        <w:tc>
          <w:tcPr>
            <w:tcW w:w="1100" w:type="dxa"/>
            <w:tcBorders>
              <w:tl2br w:val="nil"/>
              <w:tr2bl w:val="nil"/>
            </w:tcBorders>
            <w:shd w:val="clear" w:color="auto" w:fill="DAE3F3" w:themeFill="accent5" w:themeFillTint="32"/>
            <w:vAlign w:val="center"/>
          </w:tcPr>
          <w:p w14:paraId="25CCCD7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项次</w:t>
            </w:r>
          </w:p>
        </w:tc>
        <w:tc>
          <w:tcPr>
            <w:tcW w:w="1560" w:type="dxa"/>
            <w:tcBorders>
              <w:tl2br w:val="nil"/>
              <w:tr2bl w:val="nil"/>
            </w:tcBorders>
            <w:shd w:val="clear" w:color="auto" w:fill="DAE3F3" w:themeFill="accent5" w:themeFillTint="32"/>
            <w:vAlign w:val="center"/>
          </w:tcPr>
          <w:p w14:paraId="012B9E1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质量通病</w:t>
            </w:r>
          </w:p>
        </w:tc>
        <w:tc>
          <w:tcPr>
            <w:tcW w:w="6315" w:type="dxa"/>
            <w:tcBorders>
              <w:tl2br w:val="nil"/>
              <w:tr2bl w:val="nil"/>
            </w:tcBorders>
            <w:shd w:val="clear" w:color="auto" w:fill="DAE3F3" w:themeFill="accent5" w:themeFillTint="32"/>
            <w:vAlign w:val="center"/>
          </w:tcPr>
          <w:p w14:paraId="69BDE2A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预防措施</w:t>
            </w:r>
          </w:p>
        </w:tc>
      </w:tr>
      <w:tr w14:paraId="14B29BF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00" w:type="dxa"/>
            <w:tcBorders>
              <w:tl2br w:val="nil"/>
              <w:tr2bl w:val="nil"/>
            </w:tcBorders>
            <w:vAlign w:val="center"/>
          </w:tcPr>
          <w:p w14:paraId="107EAFC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1560" w:type="dxa"/>
            <w:tcBorders>
              <w:tl2br w:val="nil"/>
              <w:tr2bl w:val="nil"/>
            </w:tcBorders>
            <w:vAlign w:val="center"/>
          </w:tcPr>
          <w:p w14:paraId="3B96205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拆除作业前未对设备进行全面检查</w:t>
            </w:r>
          </w:p>
        </w:tc>
        <w:tc>
          <w:tcPr>
            <w:tcW w:w="6315" w:type="dxa"/>
            <w:tcBorders>
              <w:tl2br w:val="nil"/>
              <w:tr2bl w:val="nil"/>
            </w:tcBorders>
            <w:vAlign w:val="center"/>
          </w:tcPr>
          <w:p w14:paraId="380C3DF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在对整机进行拆除作前,拆除人员,尤其是拆除队的负责人应对塔机进行全面的检查,确保钢结构无裂纹及不可恢复的塑性变形,焊缝无开裂现象各安全装置齐全、有效,如发现问题应及时的采取措施,以免在塔机拆除作过程中发生事故。</w:t>
            </w:r>
          </w:p>
        </w:tc>
      </w:tr>
      <w:tr w14:paraId="2E48E22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00" w:type="dxa"/>
            <w:tcBorders>
              <w:tl2br w:val="nil"/>
              <w:tr2bl w:val="nil"/>
            </w:tcBorders>
            <w:vAlign w:val="center"/>
          </w:tcPr>
          <w:p w14:paraId="1A13776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1560" w:type="dxa"/>
            <w:tcBorders>
              <w:tl2br w:val="nil"/>
              <w:tr2bl w:val="nil"/>
            </w:tcBorders>
            <w:vAlign w:val="center"/>
          </w:tcPr>
          <w:p w14:paraId="3C46ED7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施工工艺粗糙</w:t>
            </w:r>
          </w:p>
        </w:tc>
        <w:tc>
          <w:tcPr>
            <w:tcW w:w="6315" w:type="dxa"/>
            <w:tcBorders>
              <w:tl2br w:val="nil"/>
              <w:tr2bl w:val="nil"/>
            </w:tcBorders>
            <w:vAlign w:val="center"/>
          </w:tcPr>
          <w:p w14:paraId="3A09F7B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要求在施工准备阶段,技术人员在熟悉图纸、规范、标准的基础上,根据具体的施工条件,制定周密可行的施工技术措施。施工前作好技术交底工作,使每个施工人员都清楚拆除过程中需控制的质量标准,施工人员在熟悉各种构件的特点后,参考以往的施工经验,确定一套科学的施工方法,并在施工中不断总结经验,使施工方法日趋完善和合理。</w:t>
            </w:r>
          </w:p>
        </w:tc>
      </w:tr>
      <w:tr w14:paraId="179C36B0">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00" w:type="dxa"/>
            <w:tcBorders>
              <w:tl2br w:val="nil"/>
              <w:tr2bl w:val="nil"/>
            </w:tcBorders>
            <w:vAlign w:val="center"/>
          </w:tcPr>
          <w:p w14:paraId="63F2876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1560" w:type="dxa"/>
            <w:tcBorders>
              <w:tl2br w:val="nil"/>
              <w:tr2bl w:val="nil"/>
            </w:tcBorders>
            <w:vAlign w:val="center"/>
          </w:tcPr>
          <w:p w14:paraId="2975B4B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吊索具未进行检查和使用不当</w:t>
            </w:r>
          </w:p>
        </w:tc>
        <w:tc>
          <w:tcPr>
            <w:tcW w:w="6315" w:type="dxa"/>
            <w:tcBorders>
              <w:tl2br w:val="nil"/>
              <w:tr2bl w:val="nil"/>
            </w:tcBorders>
            <w:vAlign w:val="center"/>
          </w:tcPr>
          <w:p w14:paraId="0137D5C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塔机的拆除作业的吊装工具主要是钢丝绳和卡扣,在进行吊装作业前,对各吊装的吊索具进行全面的检查,确保钢丝绳无断丝、断股现象,对已达到报废标准的应停止使用,卡具无严重变形和磨损。在进行部件吊装时,拆除队负责人首先要对特拆除部件的重量要非常清楚,尤其是重量较大的部件,严格按照施工的方案选用吊素具,保证6倍以上的安全系数。</w:t>
            </w:r>
          </w:p>
        </w:tc>
      </w:tr>
    </w:tbl>
    <w:p w14:paraId="51BFD8F9">
      <w:pPr>
        <w:pStyle w:val="3"/>
        <w:rPr>
          <w:rFonts w:hint="eastAsia" w:ascii="宋体" w:hAnsi="宋体" w:eastAsia="宋体" w:cs="宋体"/>
          <w:highlight w:val="none"/>
        </w:rPr>
      </w:pPr>
      <w:bookmarkStart w:id="255" w:name="_Toc22190"/>
      <w:bookmarkStart w:id="256" w:name="_Toc533345492"/>
      <w:bookmarkStart w:id="257" w:name="_Toc14944"/>
      <w:bookmarkStart w:id="258" w:name="_Toc23331"/>
      <w:bookmarkStart w:id="259" w:name="_Toc12141"/>
      <w:bookmarkStart w:id="260" w:name="_Toc15812"/>
      <w:r>
        <w:rPr>
          <w:rFonts w:hint="eastAsia" w:ascii="宋体" w:hAnsi="宋体" w:eastAsia="宋体" w:cs="宋体"/>
          <w:highlight w:val="none"/>
        </w:rPr>
        <w:t>质量保证措施</w:t>
      </w:r>
      <w:bookmarkEnd w:id="255"/>
      <w:bookmarkEnd w:id="256"/>
      <w:bookmarkEnd w:id="257"/>
      <w:bookmarkEnd w:id="258"/>
      <w:bookmarkEnd w:id="259"/>
      <w:bookmarkEnd w:id="260"/>
    </w:p>
    <w:p w14:paraId="5698EF75">
      <w:pPr>
        <w:pStyle w:val="4"/>
        <w:tabs>
          <w:tab w:val="left" w:pos="0"/>
          <w:tab w:val="left" w:pos="630"/>
        </w:tabs>
        <w:bidi w:val="0"/>
        <w:rPr>
          <w:rFonts w:hint="eastAsia" w:ascii="宋体" w:hAnsi="宋体" w:eastAsia="宋体" w:cs="宋体"/>
          <w:lang w:val="en-US" w:eastAsia="zh-CN"/>
        </w:rPr>
      </w:pPr>
      <w:bookmarkStart w:id="261" w:name="_Toc28601"/>
      <w:bookmarkStart w:id="262" w:name="_Toc11673"/>
      <w:r>
        <w:rPr>
          <w:rFonts w:hint="eastAsia" w:ascii="宋体" w:hAnsi="宋体" w:eastAsia="宋体" w:cs="宋体"/>
          <w:lang w:val="en-US" w:eastAsia="zh-CN"/>
        </w:rPr>
        <w:t>质量管理手段</w:t>
      </w:r>
      <w:bookmarkEnd w:id="261"/>
      <w:bookmarkEnd w:id="262"/>
    </w:p>
    <w:p w14:paraId="57168987">
      <w:pPr>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为了保证塔机拆除质量，树立良好的质量信誉，全面贯彻落实公司制定的质量管理作业文件，实现对施工过程的有效控制，特制定以下控制措施：</w:t>
      </w:r>
    </w:p>
    <w:p w14:paraId="240925C8">
      <w:pPr>
        <w:keepNext w:val="0"/>
        <w:keepLines w:val="0"/>
        <w:pageBreakBefore w:val="0"/>
        <w:widowControl w:val="0"/>
        <w:kinsoku/>
        <w:wordWrap/>
        <w:overflowPunct/>
        <w:topLinePunct w:val="0"/>
        <w:autoSpaceDE/>
        <w:autoSpaceDN/>
        <w:bidi w:val="0"/>
        <w:adjustRightInd/>
        <w:snapToGrid/>
        <w:ind w:firstLine="420" w:firstLineChars="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（1）作业前由技术员及工长组织作业人员认真学习图纸、资料，了解作业技术要求，掌握作业方法和作业要领。同时宣传质量，提高意识，加强作业人员的工作责任心。</w:t>
      </w:r>
    </w:p>
    <w:p w14:paraId="6DCC4453">
      <w:pPr>
        <w:keepNext w:val="0"/>
        <w:keepLines w:val="0"/>
        <w:pageBreakBefore w:val="0"/>
        <w:widowControl w:val="0"/>
        <w:kinsoku/>
        <w:wordWrap/>
        <w:overflowPunct/>
        <w:topLinePunct w:val="0"/>
        <w:autoSpaceDE/>
        <w:autoSpaceDN/>
        <w:bidi w:val="0"/>
        <w:adjustRightInd/>
        <w:snapToGrid/>
        <w:ind w:firstLine="420" w:firstLineChars="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（2）对重要工序的作业方法、作业要领，应进行作业前的施工技术培训。</w:t>
      </w:r>
    </w:p>
    <w:p w14:paraId="67911C9B">
      <w:pPr>
        <w:keepNext w:val="0"/>
        <w:keepLines w:val="0"/>
        <w:pageBreakBefore w:val="0"/>
        <w:widowControl w:val="0"/>
        <w:kinsoku/>
        <w:wordWrap/>
        <w:overflowPunct/>
        <w:topLinePunct w:val="0"/>
        <w:autoSpaceDE/>
        <w:autoSpaceDN/>
        <w:bidi w:val="0"/>
        <w:adjustRightInd/>
        <w:snapToGrid/>
        <w:ind w:firstLine="420" w:firstLineChars="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（3）认真做好作业前的技术交底工作，使每个作业人员充分的理解施工工艺和技术要求，达到作业人员对工作心中有数，交底后必须双方签字。</w:t>
      </w:r>
    </w:p>
    <w:p w14:paraId="0624E392">
      <w:pPr>
        <w:keepNext w:val="0"/>
        <w:keepLines w:val="0"/>
        <w:pageBreakBefore w:val="0"/>
        <w:widowControl w:val="0"/>
        <w:kinsoku/>
        <w:wordWrap/>
        <w:overflowPunct/>
        <w:topLinePunct w:val="0"/>
        <w:autoSpaceDE/>
        <w:autoSpaceDN/>
        <w:bidi w:val="0"/>
        <w:adjustRightInd/>
        <w:snapToGrid/>
        <w:ind w:firstLine="420" w:firstLineChars="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（4）班长和安全员认真作好作业过程的质量监督控制，确保每一道工序的施工质量以及工序间合理衔接，不留缺陷，不留尾工，认真做好作业后的自检工作。</w:t>
      </w:r>
    </w:p>
    <w:p w14:paraId="466EEC24">
      <w:pPr>
        <w:keepNext w:val="0"/>
        <w:keepLines w:val="0"/>
        <w:pageBreakBefore w:val="0"/>
        <w:widowControl w:val="0"/>
        <w:kinsoku/>
        <w:wordWrap/>
        <w:overflowPunct/>
        <w:topLinePunct w:val="0"/>
        <w:autoSpaceDE/>
        <w:autoSpaceDN/>
        <w:bidi w:val="0"/>
        <w:adjustRightInd/>
        <w:snapToGrid/>
        <w:ind w:firstLine="420" w:firstLineChars="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（5）对作业中容易发生的质量问题，作业前做出预测，并采取有效的、可操作的预防措施，消除施工质量缺陷。</w:t>
      </w:r>
    </w:p>
    <w:p w14:paraId="359E669D">
      <w:pPr>
        <w:keepNext w:val="0"/>
        <w:keepLines w:val="0"/>
        <w:pageBreakBefore w:val="0"/>
        <w:widowControl w:val="0"/>
        <w:kinsoku/>
        <w:wordWrap/>
        <w:overflowPunct/>
        <w:topLinePunct w:val="0"/>
        <w:autoSpaceDE/>
        <w:autoSpaceDN/>
        <w:bidi w:val="0"/>
        <w:adjustRightInd/>
        <w:snapToGrid/>
        <w:ind w:firstLine="420" w:firstLineChars="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（6）作业中发现设备缺陷或施工质量问题，及时向技术员提出并采取措施后进行处理。重大质量问题必须停工，待提出处理意见或制定整改措施后方可进行整改。</w:t>
      </w:r>
    </w:p>
    <w:p w14:paraId="4FE09317">
      <w:pPr>
        <w:keepNext w:val="0"/>
        <w:keepLines w:val="0"/>
        <w:pageBreakBefore w:val="0"/>
        <w:widowControl w:val="0"/>
        <w:kinsoku/>
        <w:wordWrap/>
        <w:overflowPunct/>
        <w:topLinePunct w:val="0"/>
        <w:autoSpaceDE/>
        <w:autoSpaceDN/>
        <w:bidi w:val="0"/>
        <w:adjustRightInd/>
        <w:snapToGrid/>
        <w:ind w:firstLine="420" w:firstLineChars="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（7）积极配合项目部工程部、质检部和监理的质检工作，对查出的质量问题积极并及时的进行处理。</w:t>
      </w:r>
    </w:p>
    <w:p w14:paraId="70DA14A7">
      <w:pPr>
        <w:pStyle w:val="4"/>
        <w:keepNext w:val="0"/>
        <w:keepLines w:val="0"/>
        <w:pageBreakBefore w:val="0"/>
        <w:widowControl w:val="0"/>
        <w:tabs>
          <w:tab w:val="left" w:pos="0"/>
          <w:tab w:val="left" w:pos="630"/>
        </w:tabs>
        <w:kinsoku/>
        <w:wordWrap/>
        <w:overflowPunct/>
        <w:topLinePunct w:val="0"/>
        <w:autoSpaceDE/>
        <w:autoSpaceDN/>
        <w:bidi w:val="0"/>
        <w:adjustRightInd/>
        <w:snapToGrid/>
        <w:textAlignment w:val="auto"/>
        <w:rPr>
          <w:rFonts w:hint="eastAsia" w:ascii="宋体" w:hAnsi="宋体" w:eastAsia="宋体" w:cs="宋体"/>
        </w:rPr>
      </w:pPr>
      <w:r>
        <w:rPr>
          <w:rFonts w:hint="eastAsia" w:ascii="宋体" w:hAnsi="宋体" w:eastAsia="宋体" w:cs="宋体"/>
        </w:rPr>
        <w:t>机械设备保证质量措施</w:t>
      </w:r>
    </w:p>
    <w:p w14:paraId="4BF16F19">
      <w:pPr>
        <w:keepNext w:val="0"/>
        <w:keepLines w:val="0"/>
        <w:pageBreakBefore w:val="0"/>
        <w:widowControl w:val="0"/>
        <w:kinsoku/>
        <w:wordWrap/>
        <w:overflowPunct/>
        <w:topLinePunct w:val="0"/>
        <w:autoSpaceDE/>
        <w:autoSpaceDN/>
        <w:bidi w:val="0"/>
        <w:adjustRightInd/>
        <w:snapToGrid/>
        <w:ind w:firstLine="480"/>
        <w:textAlignment w:val="auto"/>
        <w:rPr>
          <w:rFonts w:hint="eastAsia" w:ascii="宋体" w:hAnsi="宋体" w:eastAsia="宋体" w:cs="宋体"/>
          <w:highlight w:val="none"/>
        </w:rPr>
      </w:pPr>
      <w:r>
        <w:rPr>
          <w:rFonts w:hint="eastAsia" w:ascii="宋体" w:hAnsi="宋体" w:eastAsia="宋体" w:cs="宋体"/>
          <w:highlight w:val="none"/>
        </w:rPr>
        <w:t>对</w:t>
      </w:r>
      <w:r>
        <w:rPr>
          <w:rFonts w:hint="eastAsia" w:ascii="宋体" w:hAnsi="宋体" w:eastAsia="宋体" w:cs="宋体"/>
          <w:highlight w:val="none"/>
          <w:lang w:eastAsia="zh-CN"/>
        </w:rPr>
        <w:t>退场</w:t>
      </w:r>
      <w:r>
        <w:rPr>
          <w:rFonts w:hint="eastAsia" w:ascii="宋体" w:hAnsi="宋体" w:eastAsia="宋体" w:cs="宋体"/>
          <w:highlight w:val="none"/>
        </w:rPr>
        <w:t>的机械设备应定期维修，定人操作，明确机械的操作制度；工程所有数控设备具均应在鉴定的有效期内，设备</w:t>
      </w:r>
      <w:r>
        <w:rPr>
          <w:rFonts w:hint="eastAsia" w:ascii="宋体" w:hAnsi="宋体" w:eastAsia="宋体" w:cs="宋体"/>
          <w:highlight w:val="none"/>
          <w:lang w:eastAsia="zh-CN"/>
        </w:rPr>
        <w:t>退场</w:t>
      </w:r>
      <w:r>
        <w:rPr>
          <w:rFonts w:hint="eastAsia" w:ascii="宋体" w:hAnsi="宋体" w:eastAsia="宋体" w:cs="宋体"/>
          <w:highlight w:val="none"/>
        </w:rPr>
        <w:t>后必须进行能力确认，或新数控设备应出具出厂合格证及设备合格证等。并健全日常维修保养制度，要确保它的精度，以提供准确可靠的计量数据。计量器具的检定、核准由试验员送所在地的法定检定机构检定或进行现场检定，在校验期内，每次使用前都应进行零点校核，保持计量准确。</w:t>
      </w:r>
    </w:p>
    <w:p w14:paraId="02F80063">
      <w:pPr>
        <w:pStyle w:val="4"/>
        <w:keepNext w:val="0"/>
        <w:keepLines w:val="0"/>
        <w:pageBreakBefore w:val="0"/>
        <w:widowControl w:val="0"/>
        <w:tabs>
          <w:tab w:val="left" w:pos="0"/>
          <w:tab w:val="left" w:pos="630"/>
        </w:tabs>
        <w:kinsoku/>
        <w:wordWrap/>
        <w:overflowPunct/>
        <w:topLinePunct w:val="0"/>
        <w:autoSpaceDE/>
        <w:autoSpaceDN/>
        <w:bidi w:val="0"/>
        <w:adjustRightInd/>
        <w:snapToGrid/>
        <w:textAlignment w:val="auto"/>
        <w:rPr>
          <w:rFonts w:hint="eastAsia" w:ascii="宋体" w:hAnsi="宋体" w:eastAsia="宋体" w:cs="宋体"/>
        </w:rPr>
      </w:pPr>
      <w:bookmarkStart w:id="263" w:name="_Toc439690944"/>
      <w:bookmarkStart w:id="264" w:name="_Toc439617511"/>
      <w:bookmarkStart w:id="265" w:name="_Toc480156102"/>
      <w:r>
        <w:rPr>
          <w:rFonts w:hint="eastAsia" w:ascii="宋体" w:hAnsi="宋体" w:eastAsia="宋体" w:cs="宋体"/>
        </w:rPr>
        <w:t>施工操作保证质量措施</w:t>
      </w:r>
      <w:bookmarkEnd w:id="263"/>
      <w:bookmarkEnd w:id="264"/>
      <w:bookmarkEnd w:id="265"/>
    </w:p>
    <w:p w14:paraId="5E1CD215">
      <w:pPr>
        <w:keepNext w:val="0"/>
        <w:keepLines w:val="0"/>
        <w:pageBreakBefore w:val="0"/>
        <w:widowControl w:val="0"/>
        <w:kinsoku/>
        <w:wordWrap/>
        <w:overflowPunct/>
        <w:topLinePunct w:val="0"/>
        <w:autoSpaceDE/>
        <w:autoSpaceDN/>
        <w:bidi w:val="0"/>
        <w:adjustRightInd/>
        <w:snapToGrid/>
        <w:ind w:firstLine="480"/>
        <w:textAlignment w:val="auto"/>
        <w:rPr>
          <w:rFonts w:hint="eastAsia" w:ascii="宋体" w:hAnsi="宋体" w:eastAsia="宋体" w:cs="宋体"/>
          <w:highlight w:val="none"/>
        </w:rPr>
      </w:pPr>
      <w:r>
        <w:rPr>
          <w:rFonts w:hint="eastAsia" w:ascii="宋体" w:hAnsi="宋体" w:eastAsia="宋体" w:cs="宋体"/>
          <w:highlight w:val="none"/>
        </w:rPr>
        <w:t>所有操作人员均选用具有丰富经验的工人，进入工地后进行安全生产三级教育，定期进行安全意识教育，职工必须熟悉本工种安全技术操作规程，掌握本工种操作技能，特殊工种持证上岗；对具体的分部分项工程及新工艺、新材料的使用要进行技术交底；每一次下达任务时施工员要对操作人员进行详细的技术交底。</w:t>
      </w:r>
    </w:p>
    <w:p w14:paraId="0A047EBD">
      <w:pPr>
        <w:pStyle w:val="4"/>
        <w:tabs>
          <w:tab w:val="left" w:pos="0"/>
          <w:tab w:val="left" w:pos="630"/>
        </w:tabs>
        <w:bidi w:val="0"/>
        <w:rPr>
          <w:rFonts w:hint="eastAsia" w:ascii="宋体" w:hAnsi="宋体" w:eastAsia="宋体" w:cs="宋体"/>
        </w:rPr>
      </w:pPr>
      <w:bookmarkStart w:id="266" w:name="_Toc7308"/>
      <w:bookmarkStart w:id="267" w:name="_Toc475980807"/>
      <w:bookmarkStart w:id="268" w:name="_Toc475477278"/>
      <w:r>
        <w:rPr>
          <w:rFonts w:hint="eastAsia" w:ascii="宋体" w:hAnsi="宋体" w:eastAsia="宋体" w:cs="宋体"/>
        </w:rPr>
        <w:t>制度保证措施</w:t>
      </w:r>
      <w:bookmarkEnd w:id="266"/>
      <w:bookmarkEnd w:id="267"/>
      <w:bookmarkEnd w:id="268"/>
    </w:p>
    <w:p w14:paraId="04DFC04C">
      <w:pPr>
        <w:pStyle w:val="158"/>
        <w:rPr>
          <w:rFonts w:hint="eastAsia" w:ascii="宋体" w:hAnsi="宋体" w:eastAsia="宋体" w:cs="宋体"/>
          <w:highlight w:val="none"/>
        </w:rPr>
      </w:pPr>
      <w:r>
        <w:rPr>
          <w:rFonts w:hint="eastAsia" w:ascii="宋体" w:hAnsi="宋体" w:eastAsia="宋体" w:cs="宋体"/>
          <w:highlight w:val="none"/>
        </w:rPr>
        <w:t>对施工进行全过程的质量检查，对施工材料、施工方法等随时进行抽查。</w:t>
      </w:r>
    </w:p>
    <w:p w14:paraId="088158A5">
      <w:pPr>
        <w:pStyle w:val="158"/>
        <w:rPr>
          <w:rFonts w:hint="eastAsia" w:ascii="宋体" w:hAnsi="宋体" w:eastAsia="宋体" w:cs="宋体"/>
          <w:highlight w:val="none"/>
        </w:rPr>
      </w:pPr>
      <w:r>
        <w:rPr>
          <w:rFonts w:hint="eastAsia" w:ascii="宋体" w:hAnsi="宋体" w:eastAsia="宋体" w:cs="宋体"/>
          <w:highlight w:val="none"/>
        </w:rPr>
        <w:t>对施工过程中出现的违规、违制、严重影响项目驻地施工质量的行为予以制止，并令其停工或返工。</w:t>
      </w:r>
    </w:p>
    <w:p w14:paraId="20D121ED">
      <w:pPr>
        <w:pStyle w:val="158"/>
        <w:rPr>
          <w:rFonts w:hint="eastAsia" w:ascii="宋体" w:hAnsi="宋体" w:eastAsia="宋体" w:cs="宋体"/>
          <w:highlight w:val="none"/>
        </w:rPr>
      </w:pPr>
      <w:r>
        <w:rPr>
          <w:rFonts w:hint="eastAsia" w:ascii="宋体" w:hAnsi="宋体" w:eastAsia="宋体" w:cs="宋体"/>
          <w:highlight w:val="none"/>
        </w:rPr>
        <w:t>临时设施的承包单位应由相应资质的施工队伍承担，作业人员应持证上岗。</w:t>
      </w:r>
    </w:p>
    <w:p w14:paraId="649BC79F">
      <w:pPr>
        <w:pStyle w:val="3"/>
        <w:rPr>
          <w:rFonts w:hint="eastAsia" w:ascii="宋体" w:hAnsi="宋体" w:eastAsia="宋体" w:cs="宋体"/>
          <w:highlight w:val="none"/>
        </w:rPr>
      </w:pPr>
      <w:bookmarkStart w:id="269" w:name="_Toc31784"/>
      <w:bookmarkStart w:id="270" w:name="_Toc30509"/>
      <w:bookmarkStart w:id="271" w:name="_Toc20735"/>
      <w:bookmarkStart w:id="272" w:name="_Toc9380"/>
      <w:bookmarkStart w:id="273" w:name="_Toc533345493"/>
      <w:r>
        <w:rPr>
          <w:rFonts w:hint="eastAsia" w:ascii="宋体" w:hAnsi="宋体" w:eastAsia="宋体" w:cs="宋体"/>
          <w:highlight w:val="none"/>
          <w:lang w:val="en-US" w:eastAsia="zh-CN"/>
        </w:rPr>
        <w:t xml:space="preserve"> </w:t>
      </w:r>
      <w:bookmarkStart w:id="274" w:name="_Toc30395"/>
      <w:r>
        <w:rPr>
          <w:rFonts w:hint="eastAsia" w:ascii="宋体" w:hAnsi="宋体" w:eastAsia="宋体" w:cs="宋体"/>
          <w:highlight w:val="none"/>
        </w:rPr>
        <w:t>作业过程中控制点的设置</w:t>
      </w:r>
      <w:bookmarkEnd w:id="269"/>
      <w:bookmarkEnd w:id="270"/>
      <w:bookmarkEnd w:id="271"/>
      <w:bookmarkEnd w:id="272"/>
      <w:bookmarkEnd w:id="273"/>
      <w:bookmarkEnd w:id="274"/>
    </w:p>
    <w:p w14:paraId="0CBDC3AD">
      <w:pPr>
        <w:pStyle w:val="14"/>
        <w:bidi w:val="0"/>
        <w:rPr>
          <w:rFonts w:hint="eastAsia" w:ascii="宋体" w:hAnsi="宋体" w:eastAsia="宋体" w:cs="宋体"/>
          <w:b/>
          <w:bCs/>
          <w:color w:val="C00000"/>
          <w:kern w:val="2"/>
          <w:szCs w:val="24"/>
          <w:highlight w:val="none"/>
          <w:lang w:val="en-US" w:eastAsia="zh-CN" w:bidi="ar-SA"/>
        </w:rPr>
      </w:pPr>
      <w:r>
        <w:rPr>
          <w:rFonts w:hint="eastAsia" w:ascii="宋体" w:hAnsi="宋体" w:eastAsia="宋体" w:cs="宋体"/>
          <w:highlight w:val="none"/>
          <w:lang w:val="en-US" w:eastAsia="zh-CN"/>
        </w:rPr>
        <w:t>表6.4-1 关键控制点</w:t>
      </w:r>
    </w:p>
    <w:tbl>
      <w:tblPr>
        <w:tblStyle w:val="29"/>
        <w:tblW w:w="9049" w:type="dxa"/>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6"/>
        <w:gridCol w:w="3895"/>
        <w:gridCol w:w="659"/>
        <w:gridCol w:w="1100"/>
        <w:gridCol w:w="954"/>
        <w:gridCol w:w="701"/>
        <w:gridCol w:w="854"/>
      </w:tblGrid>
      <w:tr w14:paraId="7D1EDC8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6" w:type="dxa"/>
            <w:vMerge w:val="restart"/>
            <w:tcBorders>
              <w:tl2br w:val="nil"/>
              <w:tr2bl w:val="nil"/>
            </w:tcBorders>
            <w:shd w:val="clear" w:color="auto" w:fill="D6DCE5" w:themeFill="text2" w:themeFillTint="32"/>
            <w:vAlign w:val="center"/>
          </w:tcPr>
          <w:p w14:paraId="6D83ECC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序号</w:t>
            </w:r>
          </w:p>
        </w:tc>
        <w:tc>
          <w:tcPr>
            <w:tcW w:w="3895" w:type="dxa"/>
            <w:vMerge w:val="restart"/>
            <w:tcBorders>
              <w:tl2br w:val="nil"/>
              <w:tr2bl w:val="nil"/>
            </w:tcBorders>
            <w:shd w:val="clear" w:color="auto" w:fill="D6DCE5" w:themeFill="text2" w:themeFillTint="32"/>
            <w:vAlign w:val="center"/>
          </w:tcPr>
          <w:p w14:paraId="37E8569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作业控制点</w:t>
            </w:r>
          </w:p>
        </w:tc>
        <w:tc>
          <w:tcPr>
            <w:tcW w:w="3414" w:type="dxa"/>
            <w:gridSpan w:val="4"/>
            <w:tcBorders>
              <w:tl2br w:val="nil"/>
              <w:tr2bl w:val="nil"/>
            </w:tcBorders>
            <w:shd w:val="clear" w:color="auto" w:fill="D6DCE5" w:themeFill="text2" w:themeFillTint="32"/>
            <w:vAlign w:val="center"/>
          </w:tcPr>
          <w:p w14:paraId="13DBF84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检验单位</w:t>
            </w:r>
          </w:p>
        </w:tc>
        <w:tc>
          <w:tcPr>
            <w:tcW w:w="854" w:type="dxa"/>
            <w:vMerge w:val="restart"/>
            <w:tcBorders>
              <w:tl2br w:val="nil"/>
              <w:tr2bl w:val="nil"/>
            </w:tcBorders>
            <w:shd w:val="clear" w:color="auto" w:fill="D6DCE5" w:themeFill="text2" w:themeFillTint="32"/>
            <w:vAlign w:val="center"/>
          </w:tcPr>
          <w:p w14:paraId="1366E3A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见证</w:t>
            </w:r>
          </w:p>
          <w:p w14:paraId="3840B42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方式</w:t>
            </w:r>
          </w:p>
        </w:tc>
      </w:tr>
      <w:tr w14:paraId="68C29D4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6" w:type="dxa"/>
            <w:vMerge w:val="continue"/>
            <w:tcBorders>
              <w:tl2br w:val="nil"/>
              <w:tr2bl w:val="nil"/>
            </w:tcBorders>
            <w:shd w:val="clear" w:color="auto" w:fill="D6DCE5" w:themeFill="text2" w:themeFillTint="32"/>
            <w:vAlign w:val="center"/>
          </w:tcPr>
          <w:p w14:paraId="5B63F59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3895" w:type="dxa"/>
            <w:vMerge w:val="continue"/>
            <w:tcBorders>
              <w:tl2br w:val="nil"/>
              <w:tr2bl w:val="nil"/>
            </w:tcBorders>
            <w:shd w:val="clear" w:color="auto" w:fill="D6DCE5" w:themeFill="text2" w:themeFillTint="32"/>
            <w:vAlign w:val="center"/>
          </w:tcPr>
          <w:p w14:paraId="557405B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659" w:type="dxa"/>
            <w:tcBorders>
              <w:tl2br w:val="nil"/>
              <w:tr2bl w:val="nil"/>
            </w:tcBorders>
            <w:shd w:val="clear" w:color="auto" w:fill="D6DCE5" w:themeFill="text2" w:themeFillTint="32"/>
            <w:vAlign w:val="center"/>
          </w:tcPr>
          <w:p w14:paraId="5658AB8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班组</w:t>
            </w:r>
          </w:p>
        </w:tc>
        <w:tc>
          <w:tcPr>
            <w:tcW w:w="1100" w:type="dxa"/>
            <w:tcBorders>
              <w:tl2br w:val="nil"/>
              <w:tr2bl w:val="nil"/>
            </w:tcBorders>
            <w:shd w:val="clear" w:color="auto" w:fill="D6DCE5" w:themeFill="text2" w:themeFillTint="32"/>
            <w:vAlign w:val="center"/>
          </w:tcPr>
          <w:p w14:paraId="5E9A1F5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设备部门</w:t>
            </w:r>
          </w:p>
        </w:tc>
        <w:tc>
          <w:tcPr>
            <w:tcW w:w="954" w:type="dxa"/>
            <w:tcBorders>
              <w:tl2br w:val="nil"/>
              <w:tr2bl w:val="nil"/>
            </w:tcBorders>
            <w:shd w:val="clear" w:color="auto" w:fill="D6DCE5" w:themeFill="text2" w:themeFillTint="32"/>
            <w:vAlign w:val="center"/>
          </w:tcPr>
          <w:p w14:paraId="37CCE85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项目质检部门</w:t>
            </w:r>
          </w:p>
        </w:tc>
        <w:tc>
          <w:tcPr>
            <w:tcW w:w="701" w:type="dxa"/>
            <w:tcBorders>
              <w:tl2br w:val="nil"/>
              <w:tr2bl w:val="nil"/>
            </w:tcBorders>
            <w:shd w:val="clear" w:color="auto" w:fill="D6DCE5" w:themeFill="text2" w:themeFillTint="32"/>
            <w:vAlign w:val="center"/>
          </w:tcPr>
          <w:p w14:paraId="0151E0A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监理</w:t>
            </w:r>
          </w:p>
        </w:tc>
        <w:tc>
          <w:tcPr>
            <w:tcW w:w="854" w:type="dxa"/>
            <w:vMerge w:val="continue"/>
            <w:tcBorders>
              <w:tl2br w:val="nil"/>
              <w:tr2bl w:val="nil"/>
            </w:tcBorders>
            <w:shd w:val="clear" w:color="auto" w:fill="D6DCE5" w:themeFill="text2" w:themeFillTint="32"/>
            <w:vAlign w:val="center"/>
          </w:tcPr>
          <w:p w14:paraId="28756A8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r>
      <w:tr w14:paraId="3A267A0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6" w:type="dxa"/>
            <w:tcBorders>
              <w:tl2br w:val="nil"/>
              <w:tr2bl w:val="nil"/>
            </w:tcBorders>
            <w:vAlign w:val="center"/>
          </w:tcPr>
          <w:p w14:paraId="55DDE20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1</w:t>
            </w:r>
          </w:p>
        </w:tc>
        <w:tc>
          <w:tcPr>
            <w:tcW w:w="3895" w:type="dxa"/>
            <w:tcBorders>
              <w:tl2br w:val="nil"/>
              <w:tr2bl w:val="nil"/>
            </w:tcBorders>
            <w:vAlign w:val="center"/>
          </w:tcPr>
          <w:p w14:paraId="1D809B6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施工中防止部件磕碰和交叉作业现象</w:t>
            </w:r>
          </w:p>
        </w:tc>
        <w:tc>
          <w:tcPr>
            <w:tcW w:w="659" w:type="dxa"/>
            <w:tcBorders>
              <w:tl2br w:val="nil"/>
              <w:tr2bl w:val="nil"/>
            </w:tcBorders>
            <w:vAlign w:val="center"/>
          </w:tcPr>
          <w:p w14:paraId="2312032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t>
            </w:r>
          </w:p>
        </w:tc>
        <w:tc>
          <w:tcPr>
            <w:tcW w:w="1100" w:type="dxa"/>
            <w:tcBorders>
              <w:tl2br w:val="nil"/>
              <w:tr2bl w:val="nil"/>
            </w:tcBorders>
            <w:vAlign w:val="center"/>
          </w:tcPr>
          <w:p w14:paraId="3339064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954" w:type="dxa"/>
            <w:tcBorders>
              <w:tl2br w:val="nil"/>
              <w:tr2bl w:val="nil"/>
            </w:tcBorders>
            <w:vAlign w:val="center"/>
          </w:tcPr>
          <w:p w14:paraId="115DB43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t>
            </w:r>
          </w:p>
        </w:tc>
        <w:tc>
          <w:tcPr>
            <w:tcW w:w="701" w:type="dxa"/>
            <w:tcBorders>
              <w:tl2br w:val="nil"/>
              <w:tr2bl w:val="nil"/>
            </w:tcBorders>
            <w:vAlign w:val="center"/>
          </w:tcPr>
          <w:p w14:paraId="6BB1C1B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854" w:type="dxa"/>
            <w:tcBorders>
              <w:tl2br w:val="nil"/>
              <w:tr2bl w:val="nil"/>
            </w:tcBorders>
            <w:vAlign w:val="center"/>
          </w:tcPr>
          <w:p w14:paraId="598AE1A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R</w:t>
            </w:r>
          </w:p>
        </w:tc>
      </w:tr>
      <w:tr w14:paraId="2710A31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6" w:type="dxa"/>
            <w:tcBorders>
              <w:tl2br w:val="nil"/>
              <w:tr2bl w:val="nil"/>
            </w:tcBorders>
            <w:vAlign w:val="center"/>
          </w:tcPr>
          <w:p w14:paraId="163F113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2</w:t>
            </w:r>
          </w:p>
        </w:tc>
        <w:tc>
          <w:tcPr>
            <w:tcW w:w="3895" w:type="dxa"/>
            <w:tcBorders>
              <w:tl2br w:val="nil"/>
              <w:tr2bl w:val="nil"/>
            </w:tcBorders>
            <w:vAlign w:val="center"/>
          </w:tcPr>
          <w:p w14:paraId="5882870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作业工机具、卡索具完好无损，无人员、设备损伤</w:t>
            </w:r>
          </w:p>
        </w:tc>
        <w:tc>
          <w:tcPr>
            <w:tcW w:w="659" w:type="dxa"/>
            <w:tcBorders>
              <w:tl2br w:val="nil"/>
              <w:tr2bl w:val="nil"/>
            </w:tcBorders>
            <w:vAlign w:val="center"/>
          </w:tcPr>
          <w:p w14:paraId="62DC241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t>
            </w:r>
          </w:p>
        </w:tc>
        <w:tc>
          <w:tcPr>
            <w:tcW w:w="1100" w:type="dxa"/>
            <w:tcBorders>
              <w:tl2br w:val="nil"/>
              <w:tr2bl w:val="nil"/>
            </w:tcBorders>
            <w:vAlign w:val="center"/>
          </w:tcPr>
          <w:p w14:paraId="40DF54C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954" w:type="dxa"/>
            <w:tcBorders>
              <w:tl2br w:val="nil"/>
              <w:tr2bl w:val="nil"/>
            </w:tcBorders>
            <w:vAlign w:val="center"/>
          </w:tcPr>
          <w:p w14:paraId="4493D8C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t>
            </w:r>
          </w:p>
        </w:tc>
        <w:tc>
          <w:tcPr>
            <w:tcW w:w="701" w:type="dxa"/>
            <w:tcBorders>
              <w:tl2br w:val="nil"/>
              <w:tr2bl w:val="nil"/>
            </w:tcBorders>
            <w:vAlign w:val="center"/>
          </w:tcPr>
          <w:p w14:paraId="78D6EE6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854" w:type="dxa"/>
            <w:tcBorders>
              <w:tl2br w:val="nil"/>
              <w:tr2bl w:val="nil"/>
            </w:tcBorders>
            <w:vAlign w:val="center"/>
          </w:tcPr>
          <w:p w14:paraId="041B0DA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S</w:t>
            </w:r>
          </w:p>
        </w:tc>
      </w:tr>
      <w:tr w14:paraId="0AA49E0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6" w:type="dxa"/>
            <w:tcBorders>
              <w:tl2br w:val="nil"/>
              <w:tr2bl w:val="nil"/>
            </w:tcBorders>
            <w:vAlign w:val="center"/>
          </w:tcPr>
          <w:p w14:paraId="4759124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3</w:t>
            </w:r>
          </w:p>
        </w:tc>
        <w:tc>
          <w:tcPr>
            <w:tcW w:w="3895" w:type="dxa"/>
            <w:tcBorders>
              <w:tl2br w:val="nil"/>
              <w:tr2bl w:val="nil"/>
            </w:tcBorders>
            <w:vAlign w:val="center"/>
          </w:tcPr>
          <w:p w14:paraId="6B26376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各组件、零部件安全顺利</w:t>
            </w:r>
            <w:r>
              <w:rPr>
                <w:rFonts w:hint="eastAsia" w:ascii="宋体" w:hAnsi="宋体" w:eastAsia="宋体" w:cs="宋体"/>
                <w:highlight w:val="none"/>
                <w:lang w:val="en-US" w:eastAsia="zh-CN"/>
              </w:rPr>
              <w:t>拆除</w:t>
            </w:r>
            <w:r>
              <w:rPr>
                <w:rFonts w:hint="eastAsia" w:ascii="宋体" w:hAnsi="宋体" w:eastAsia="宋体" w:cs="宋体"/>
                <w:highlight w:val="none"/>
              </w:rPr>
              <w:t>，无损坏或变形</w:t>
            </w:r>
          </w:p>
        </w:tc>
        <w:tc>
          <w:tcPr>
            <w:tcW w:w="659" w:type="dxa"/>
            <w:tcBorders>
              <w:tl2br w:val="nil"/>
              <w:tr2bl w:val="nil"/>
            </w:tcBorders>
            <w:vAlign w:val="center"/>
          </w:tcPr>
          <w:p w14:paraId="32B392E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t>
            </w:r>
          </w:p>
        </w:tc>
        <w:tc>
          <w:tcPr>
            <w:tcW w:w="1100" w:type="dxa"/>
            <w:tcBorders>
              <w:tl2br w:val="nil"/>
              <w:tr2bl w:val="nil"/>
            </w:tcBorders>
            <w:vAlign w:val="center"/>
          </w:tcPr>
          <w:p w14:paraId="64DD995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954" w:type="dxa"/>
            <w:tcBorders>
              <w:tl2br w:val="nil"/>
              <w:tr2bl w:val="nil"/>
            </w:tcBorders>
            <w:vAlign w:val="center"/>
          </w:tcPr>
          <w:p w14:paraId="6C975C3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t>
            </w:r>
          </w:p>
        </w:tc>
        <w:tc>
          <w:tcPr>
            <w:tcW w:w="701" w:type="dxa"/>
            <w:tcBorders>
              <w:tl2br w:val="nil"/>
              <w:tr2bl w:val="nil"/>
            </w:tcBorders>
            <w:vAlign w:val="center"/>
          </w:tcPr>
          <w:p w14:paraId="34C5671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854" w:type="dxa"/>
            <w:tcBorders>
              <w:tl2br w:val="nil"/>
              <w:tr2bl w:val="nil"/>
            </w:tcBorders>
            <w:vAlign w:val="center"/>
          </w:tcPr>
          <w:p w14:paraId="17CE6E8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w:t>
            </w:r>
          </w:p>
        </w:tc>
      </w:tr>
      <w:tr w14:paraId="67F61D8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6" w:type="dxa"/>
            <w:tcBorders>
              <w:tl2br w:val="nil"/>
              <w:tr2bl w:val="nil"/>
            </w:tcBorders>
            <w:vAlign w:val="center"/>
          </w:tcPr>
          <w:p w14:paraId="11DC72A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4</w:t>
            </w:r>
          </w:p>
        </w:tc>
        <w:tc>
          <w:tcPr>
            <w:tcW w:w="3895" w:type="dxa"/>
            <w:tcBorders>
              <w:tl2br w:val="nil"/>
              <w:tr2bl w:val="nil"/>
            </w:tcBorders>
            <w:vAlign w:val="center"/>
          </w:tcPr>
          <w:p w14:paraId="6527E46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做好各组件、零部件</w:t>
            </w:r>
            <w:r>
              <w:rPr>
                <w:rFonts w:hint="eastAsia" w:ascii="宋体" w:hAnsi="宋体" w:eastAsia="宋体" w:cs="宋体"/>
                <w:highlight w:val="none"/>
                <w:lang w:val="en-US" w:eastAsia="zh-CN"/>
              </w:rPr>
              <w:t>拆除</w:t>
            </w:r>
            <w:r>
              <w:rPr>
                <w:rFonts w:hint="eastAsia" w:ascii="宋体" w:hAnsi="宋体" w:eastAsia="宋体" w:cs="宋体"/>
                <w:highlight w:val="none"/>
              </w:rPr>
              <w:t>后清点、整理和存放工作。</w:t>
            </w:r>
          </w:p>
        </w:tc>
        <w:tc>
          <w:tcPr>
            <w:tcW w:w="659" w:type="dxa"/>
            <w:tcBorders>
              <w:tl2br w:val="nil"/>
              <w:tr2bl w:val="nil"/>
            </w:tcBorders>
            <w:vAlign w:val="center"/>
          </w:tcPr>
          <w:p w14:paraId="7BBD0E8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t>
            </w:r>
          </w:p>
        </w:tc>
        <w:tc>
          <w:tcPr>
            <w:tcW w:w="1100" w:type="dxa"/>
            <w:tcBorders>
              <w:tl2br w:val="nil"/>
              <w:tr2bl w:val="nil"/>
            </w:tcBorders>
            <w:vAlign w:val="center"/>
          </w:tcPr>
          <w:p w14:paraId="30DDCBE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954" w:type="dxa"/>
            <w:tcBorders>
              <w:tl2br w:val="nil"/>
              <w:tr2bl w:val="nil"/>
            </w:tcBorders>
            <w:vAlign w:val="center"/>
          </w:tcPr>
          <w:p w14:paraId="454CE82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t>
            </w:r>
          </w:p>
        </w:tc>
        <w:tc>
          <w:tcPr>
            <w:tcW w:w="701" w:type="dxa"/>
            <w:tcBorders>
              <w:tl2br w:val="nil"/>
              <w:tr2bl w:val="nil"/>
            </w:tcBorders>
            <w:vAlign w:val="center"/>
          </w:tcPr>
          <w:p w14:paraId="4B1A417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854" w:type="dxa"/>
            <w:tcBorders>
              <w:tl2br w:val="nil"/>
              <w:tr2bl w:val="nil"/>
            </w:tcBorders>
            <w:vAlign w:val="center"/>
          </w:tcPr>
          <w:p w14:paraId="61D8976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w:t>
            </w:r>
          </w:p>
        </w:tc>
      </w:tr>
      <w:tr w14:paraId="073C905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6" w:type="dxa"/>
            <w:tcBorders>
              <w:tl2br w:val="nil"/>
              <w:tr2bl w:val="nil"/>
            </w:tcBorders>
            <w:vAlign w:val="center"/>
          </w:tcPr>
          <w:p w14:paraId="4466790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5</w:t>
            </w:r>
          </w:p>
        </w:tc>
        <w:tc>
          <w:tcPr>
            <w:tcW w:w="3895" w:type="dxa"/>
            <w:tcBorders>
              <w:tl2br w:val="nil"/>
              <w:tr2bl w:val="nil"/>
            </w:tcBorders>
            <w:vAlign w:val="center"/>
          </w:tcPr>
          <w:p w14:paraId="557411E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作业方法应该按照说明书和本方案要求严格执行</w:t>
            </w:r>
          </w:p>
        </w:tc>
        <w:tc>
          <w:tcPr>
            <w:tcW w:w="659" w:type="dxa"/>
            <w:tcBorders>
              <w:tl2br w:val="nil"/>
              <w:tr2bl w:val="nil"/>
            </w:tcBorders>
            <w:vAlign w:val="center"/>
          </w:tcPr>
          <w:p w14:paraId="41E2989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t>
            </w:r>
          </w:p>
        </w:tc>
        <w:tc>
          <w:tcPr>
            <w:tcW w:w="1100" w:type="dxa"/>
            <w:tcBorders>
              <w:tl2br w:val="nil"/>
              <w:tr2bl w:val="nil"/>
            </w:tcBorders>
            <w:vAlign w:val="center"/>
          </w:tcPr>
          <w:p w14:paraId="5A199E0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954" w:type="dxa"/>
            <w:tcBorders>
              <w:tl2br w:val="nil"/>
              <w:tr2bl w:val="nil"/>
            </w:tcBorders>
            <w:vAlign w:val="center"/>
          </w:tcPr>
          <w:p w14:paraId="1A42976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w:t>
            </w:r>
          </w:p>
        </w:tc>
        <w:tc>
          <w:tcPr>
            <w:tcW w:w="701" w:type="dxa"/>
            <w:tcBorders>
              <w:tl2br w:val="nil"/>
              <w:tr2bl w:val="nil"/>
            </w:tcBorders>
            <w:vAlign w:val="center"/>
          </w:tcPr>
          <w:p w14:paraId="3536E62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p>
        </w:tc>
        <w:tc>
          <w:tcPr>
            <w:tcW w:w="854" w:type="dxa"/>
            <w:tcBorders>
              <w:tl2br w:val="nil"/>
              <w:tr2bl w:val="nil"/>
            </w:tcBorders>
            <w:vAlign w:val="center"/>
          </w:tcPr>
          <w:p w14:paraId="67D33A0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R</w:t>
            </w:r>
          </w:p>
        </w:tc>
      </w:tr>
    </w:tbl>
    <w:p w14:paraId="1C6388A8">
      <w:pPr>
        <w:spacing w:line="360" w:lineRule="auto"/>
      </w:pPr>
      <w:r>
        <w:rPr>
          <w:rFonts w:hint="eastAsia" w:ascii="宋体" w:hAnsi="宋体" w:eastAsia="宋体" w:cs="宋体"/>
          <w:sz w:val="22"/>
          <w:highlight w:val="none"/>
        </w:rPr>
        <w:t>见证方式:R － 记录确认点；W － 见证点；H － 停工待检点；S － 连续监视监护。</w:t>
      </w:r>
      <w:r>
        <w:rPr>
          <w:rFonts w:hint="eastAsia" w:ascii="宋体" w:hAnsi="宋体" w:eastAsia="宋体" w:cs="宋体"/>
          <w:highlight w:val="none"/>
        </w:rPr>
        <w:br w:type="page"/>
      </w:r>
    </w:p>
    <w:p w14:paraId="6D3E0FA4">
      <w:pPr>
        <w:pStyle w:val="2"/>
        <w:tabs>
          <w:tab w:val="left" w:pos="0"/>
        </w:tabs>
        <w:bidi w:val="0"/>
        <w:ind w:left="432" w:leftChars="0" w:hanging="432" w:firstLineChars="0"/>
        <w:rPr>
          <w:rFonts w:hint="eastAsia" w:ascii="Times New Roman" w:hAnsi="Times New Roman" w:eastAsia="宋体" w:cs="Times New Roman"/>
          <w:b/>
          <w:caps w:val="0"/>
          <w:smallCaps w:val="0"/>
          <w:color w:val="000000" w:themeColor="text1"/>
          <w:kern w:val="44"/>
          <w:sz w:val="30"/>
          <w:szCs w:val="22"/>
          <w:highlight w:val="none"/>
          <w:lang w:val="en-US" w:eastAsia="zh-CN" w:bidi="ar-SA"/>
          <w14:textFill>
            <w14:solidFill>
              <w14:schemeClr w14:val="tx1"/>
            </w14:solidFill>
          </w14:textFill>
        </w:rPr>
      </w:pPr>
      <w:bookmarkStart w:id="275" w:name="_Toc17655"/>
      <w:r>
        <w:rPr>
          <w:rFonts w:hint="eastAsia" w:ascii="Times New Roman" w:hAnsi="Times New Roman" w:cs="Times New Roman"/>
          <w:b/>
          <w:caps w:val="0"/>
          <w:smallCaps w:val="0"/>
          <w:color w:val="000000" w:themeColor="text1"/>
          <w:kern w:val="44"/>
          <w:sz w:val="30"/>
          <w:szCs w:val="22"/>
          <w:highlight w:val="none"/>
          <w:lang w:val="en-US" w:eastAsia="zh-CN" w:bidi="ar-SA"/>
          <w14:textFill>
            <w14:solidFill>
              <w14:schemeClr w14:val="tx1"/>
            </w14:solidFill>
          </w14:textFill>
        </w:rPr>
        <w:t>环境保障措施</w:t>
      </w:r>
      <w:bookmarkEnd w:id="275"/>
    </w:p>
    <w:p w14:paraId="10AF3B34">
      <w:pPr>
        <w:pStyle w:val="3"/>
        <w:tabs>
          <w:tab w:val="left" w:pos="240"/>
        </w:tabs>
        <w:bidi w:val="0"/>
        <w:rPr>
          <w:rFonts w:hint="eastAsia" w:ascii="宋体" w:hAnsi="宋体" w:eastAsia="宋体" w:cs="宋体"/>
          <w:highlight w:val="none"/>
          <w:lang w:val="en-US" w:eastAsia="zh-CN"/>
        </w:rPr>
      </w:pPr>
      <w:bookmarkStart w:id="276" w:name="_Toc24806"/>
      <w:bookmarkStart w:id="277" w:name="_Toc12366"/>
      <w:r>
        <w:rPr>
          <w:rFonts w:hint="eastAsia" w:ascii="宋体" w:hAnsi="宋体" w:eastAsia="宋体" w:cs="宋体"/>
          <w:highlight w:val="none"/>
          <w:lang w:val="en-US" w:eastAsia="zh-CN"/>
        </w:rPr>
        <w:t>绿色施工</w:t>
      </w:r>
      <w:bookmarkEnd w:id="276"/>
      <w:bookmarkEnd w:id="277"/>
    </w:p>
    <w:p w14:paraId="0A41C97F">
      <w:pPr>
        <w:pStyle w:val="4"/>
        <w:tabs>
          <w:tab w:val="left" w:pos="0"/>
          <w:tab w:val="left" w:pos="630"/>
        </w:tabs>
        <w:bidi w:val="0"/>
        <w:rPr>
          <w:rFonts w:hint="eastAsia" w:ascii="宋体" w:hAnsi="宋体" w:eastAsia="宋体" w:cs="宋体"/>
          <w:lang w:val="en-US" w:eastAsia="zh-CN"/>
        </w:rPr>
      </w:pPr>
      <w:r>
        <w:rPr>
          <w:rFonts w:hint="eastAsia" w:ascii="宋体" w:hAnsi="宋体" w:eastAsia="宋体" w:cs="宋体"/>
          <w:lang w:val="en-US" w:eastAsia="zh-CN"/>
        </w:rPr>
        <w:t>绿色施工</w:t>
      </w:r>
      <w:r>
        <w:rPr>
          <w:rFonts w:hint="eastAsia" w:ascii="宋体" w:hAnsi="宋体" w:eastAsia="宋体" w:cs="宋体"/>
        </w:rPr>
        <w:t>组织机构</w:t>
      </w:r>
    </w:p>
    <w:p w14:paraId="19E5C072">
      <w:pPr>
        <w:bidi w:val="0"/>
        <w:ind w:firstLine="480" w:firstLineChars="200"/>
        <w:rPr>
          <w:rFonts w:hint="eastAsia" w:ascii="宋体" w:hAnsi="宋体" w:eastAsia="宋体" w:cs="宋体"/>
          <w:highlight w:val="none"/>
          <w:lang w:eastAsia="zh-CN"/>
        </w:rPr>
      </w:pPr>
      <w:r>
        <w:rPr>
          <w:rFonts w:hint="eastAsia" w:ascii="宋体" w:hAnsi="宋体" w:eastAsia="宋体" w:cs="宋体"/>
          <w:sz w:val="24"/>
          <w:highlight w:val="none"/>
        </w:rPr>
        <w:t>项目部成立节</w:t>
      </w:r>
      <w:r>
        <w:rPr>
          <w:rFonts w:hint="eastAsia" w:ascii="宋体" w:hAnsi="宋体" w:eastAsia="宋体" w:cs="宋体"/>
          <w:sz w:val="24"/>
          <w:highlight w:val="none"/>
          <w:lang w:val="en-US" w:eastAsia="zh-CN"/>
        </w:rPr>
        <w:t>绿色施工</w:t>
      </w:r>
      <w:r>
        <w:rPr>
          <w:rFonts w:hint="eastAsia" w:ascii="宋体" w:hAnsi="宋体" w:eastAsia="宋体" w:cs="宋体"/>
          <w:sz w:val="24"/>
          <w:highlight w:val="none"/>
        </w:rPr>
        <w:t>领导小组，负责项目</w:t>
      </w:r>
      <w:r>
        <w:rPr>
          <w:rFonts w:hint="eastAsia" w:ascii="宋体" w:hAnsi="宋体" w:eastAsia="宋体" w:cs="宋体"/>
          <w:sz w:val="24"/>
          <w:highlight w:val="none"/>
          <w:lang w:val="en-US" w:eastAsia="zh-CN"/>
        </w:rPr>
        <w:t>绿色施工</w:t>
      </w:r>
      <w:r>
        <w:rPr>
          <w:rFonts w:hint="eastAsia" w:ascii="宋体" w:hAnsi="宋体" w:eastAsia="宋体" w:cs="宋体"/>
          <w:sz w:val="24"/>
          <w:highlight w:val="none"/>
        </w:rPr>
        <w:t>的指导工作，指定</w:t>
      </w:r>
      <w:r>
        <w:rPr>
          <w:rFonts w:hint="eastAsia" w:ascii="宋体" w:hAnsi="宋体" w:eastAsia="宋体" w:cs="宋体"/>
          <w:sz w:val="24"/>
          <w:highlight w:val="none"/>
          <w:lang w:val="en-US" w:eastAsia="zh-CN"/>
        </w:rPr>
        <w:t>工程部</w:t>
      </w:r>
      <w:r>
        <w:rPr>
          <w:rFonts w:hint="eastAsia" w:ascii="宋体" w:hAnsi="宋体" w:eastAsia="宋体" w:cs="宋体"/>
          <w:sz w:val="24"/>
          <w:highlight w:val="none"/>
        </w:rPr>
        <w:t>人员具体负责节能减排工作。项目经理是</w:t>
      </w:r>
      <w:r>
        <w:rPr>
          <w:rFonts w:hint="eastAsia" w:ascii="宋体" w:hAnsi="宋体" w:eastAsia="宋体" w:cs="宋体"/>
          <w:sz w:val="24"/>
          <w:highlight w:val="none"/>
          <w:lang w:val="en-US" w:eastAsia="zh-CN"/>
        </w:rPr>
        <w:t>绿色施工</w:t>
      </w:r>
      <w:r>
        <w:rPr>
          <w:rFonts w:hint="eastAsia" w:ascii="宋体" w:hAnsi="宋体" w:eastAsia="宋体" w:cs="宋体"/>
          <w:sz w:val="24"/>
          <w:highlight w:val="none"/>
        </w:rPr>
        <w:t>第一责任人，对此项工作负总责。</w:t>
      </w:r>
    </w:p>
    <w:p w14:paraId="470EE183">
      <w:pPr>
        <w:bidi w:val="0"/>
        <w:rPr>
          <w:rFonts w:hint="eastAsia" w:ascii="宋体" w:hAnsi="宋体" w:eastAsia="宋体" w:cs="宋体"/>
          <w:highlight w:val="none"/>
          <w:lang w:eastAsia="zh-CN"/>
        </w:rPr>
      </w:pPr>
      <w:r>
        <w:rPr>
          <w:rFonts w:hint="eastAsia" w:ascii="宋体" w:hAnsi="宋体" w:eastAsia="宋体" w:cs="宋体"/>
          <w:highlight w:val="none"/>
        </w:rPr>
        <w:drawing>
          <wp:inline distT="0" distB="0" distL="114300" distR="114300">
            <wp:extent cx="5269230" cy="4343400"/>
            <wp:effectExtent l="0" t="0" r="0" b="0"/>
            <wp:docPr id="70" name="图片 70" descr="组织流程图--(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组织流程图--(2)(2)"/>
                    <pic:cNvPicPr>
                      <a:picLocks noChangeAspect="1"/>
                    </pic:cNvPicPr>
                  </pic:nvPicPr>
                  <pic:blipFill>
                    <a:blip r:embed="rId55"/>
                    <a:stretch>
                      <a:fillRect/>
                    </a:stretch>
                  </pic:blipFill>
                  <pic:spPr>
                    <a:xfrm>
                      <a:off x="0" y="0"/>
                      <a:ext cx="5269230" cy="4343400"/>
                    </a:xfrm>
                    <a:prstGeom prst="rect">
                      <a:avLst/>
                    </a:prstGeom>
                  </pic:spPr>
                </pic:pic>
              </a:graphicData>
            </a:graphic>
          </wp:inline>
        </w:drawing>
      </w:r>
    </w:p>
    <w:p w14:paraId="32044E20">
      <w:pPr>
        <w:pStyle w:val="42"/>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图7</w:t>
      </w:r>
      <w:r>
        <w:rPr>
          <w:rFonts w:hint="eastAsia" w:ascii="宋体" w:hAnsi="宋体" w:eastAsia="宋体" w:cs="宋体"/>
          <w:highlight w:val="none"/>
        </w:rPr>
        <w:t>.1.1</w:t>
      </w:r>
      <w:r>
        <w:rPr>
          <w:rFonts w:hint="eastAsia" w:ascii="宋体" w:hAnsi="宋体" w:eastAsia="宋体" w:cs="宋体"/>
          <w:highlight w:val="none"/>
          <w:lang w:val="en-US" w:eastAsia="zh-CN"/>
        </w:rPr>
        <w:t xml:space="preserve">-1 </w:t>
      </w:r>
      <w:r>
        <w:rPr>
          <w:rFonts w:hint="eastAsia" w:ascii="宋体" w:hAnsi="宋体" w:eastAsia="宋体" w:cs="宋体"/>
          <w:sz w:val="24"/>
          <w:highlight w:val="none"/>
          <w:lang w:val="en-US" w:eastAsia="zh-CN"/>
        </w:rPr>
        <w:t>绿色施工</w:t>
      </w:r>
      <w:r>
        <w:rPr>
          <w:rFonts w:hint="eastAsia" w:ascii="宋体" w:hAnsi="宋体" w:eastAsia="宋体" w:cs="宋体"/>
          <w:highlight w:val="none"/>
        </w:rPr>
        <w:t>管理组织机构</w:t>
      </w:r>
    </w:p>
    <w:p w14:paraId="74C68C2D">
      <w:pPr>
        <w:pStyle w:val="4"/>
        <w:tabs>
          <w:tab w:val="left" w:pos="0"/>
          <w:tab w:val="left" w:pos="630"/>
        </w:tabs>
        <w:bidi w:val="0"/>
        <w:rPr>
          <w:rFonts w:hint="eastAsia" w:ascii="宋体" w:hAnsi="宋体" w:eastAsia="宋体" w:cs="宋体"/>
        </w:rPr>
      </w:pPr>
      <w:r>
        <w:rPr>
          <w:rFonts w:hint="eastAsia" w:ascii="宋体" w:hAnsi="宋体" w:eastAsia="宋体" w:cs="宋体"/>
          <w:lang w:val="en-US" w:eastAsia="zh-CN"/>
        </w:rPr>
        <w:t>绿色施工</w:t>
      </w:r>
      <w:r>
        <w:rPr>
          <w:rFonts w:hint="eastAsia" w:ascii="宋体" w:hAnsi="宋体" w:eastAsia="宋体" w:cs="宋体"/>
        </w:rPr>
        <w:t>保证体系</w:t>
      </w:r>
    </w:p>
    <w:p w14:paraId="3D0C2AEB">
      <w:pPr>
        <w:pStyle w:val="12"/>
        <w:rPr>
          <w:rFonts w:hint="eastAsia" w:ascii="宋体" w:hAnsi="宋体" w:eastAsia="宋体" w:cs="宋体"/>
          <w:highlight w:val="none"/>
          <w:lang w:val="en-US" w:eastAsia="zh-CN"/>
        </w:rPr>
      </w:pPr>
      <w:r>
        <w:rPr>
          <w:rFonts w:hint="eastAsia" w:ascii="宋体" w:hAnsi="宋体" w:eastAsia="宋体" w:cs="宋体"/>
          <w:highlight w:val="none"/>
          <w:lang w:val="en-US" w:eastAsia="zh-CN"/>
        </w:rPr>
        <w:t>绿色施工保证体系如图7</w:t>
      </w:r>
      <w:r>
        <w:rPr>
          <w:rFonts w:hint="eastAsia" w:ascii="宋体" w:hAnsi="宋体" w:eastAsia="宋体" w:cs="宋体"/>
          <w:highlight w:val="none"/>
        </w:rPr>
        <w:t>.1.</w:t>
      </w:r>
      <w:r>
        <w:rPr>
          <w:rFonts w:hint="eastAsia" w:ascii="宋体" w:hAnsi="宋体" w:eastAsia="宋体" w:cs="宋体"/>
          <w:highlight w:val="none"/>
          <w:lang w:val="en-US" w:eastAsia="zh-CN"/>
        </w:rPr>
        <w:t>1-1所示。</w:t>
      </w:r>
    </w:p>
    <w:p w14:paraId="1DFAA737">
      <w:pPr>
        <w:pStyle w:val="4"/>
        <w:tabs>
          <w:tab w:val="left" w:pos="0"/>
          <w:tab w:val="left" w:pos="630"/>
        </w:tabs>
        <w:bidi w:val="0"/>
        <w:rPr>
          <w:rFonts w:hint="eastAsia" w:ascii="宋体" w:hAnsi="宋体" w:eastAsia="宋体" w:cs="宋体"/>
          <w:lang w:val="en-US" w:eastAsia="zh-CN"/>
        </w:rPr>
      </w:pPr>
      <w:r>
        <w:rPr>
          <w:rFonts w:hint="eastAsia" w:ascii="宋体" w:hAnsi="宋体" w:eastAsia="宋体" w:cs="宋体"/>
          <w:lang w:val="en-US" w:eastAsia="zh-CN"/>
        </w:rPr>
        <w:t>绿色施工保证措施</w:t>
      </w:r>
    </w:p>
    <w:p w14:paraId="06FE6001">
      <w:pPr>
        <w:pStyle w:val="5"/>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生态环保和水土保持措施</w:t>
      </w:r>
    </w:p>
    <w:p w14:paraId="4DC11A48">
      <w:pPr>
        <w:numPr>
          <w:ilvl w:val="0"/>
          <w:numId w:val="14"/>
        </w:numPr>
        <w:ind w:firstLine="480" w:firstLineChars="200"/>
        <w:rPr>
          <w:rFonts w:hint="eastAsia" w:ascii="宋体" w:hAnsi="宋体" w:eastAsia="宋体" w:cs="宋体"/>
          <w:highlight w:val="none"/>
        </w:rPr>
      </w:pPr>
      <w:r>
        <w:rPr>
          <w:rFonts w:hint="eastAsia" w:ascii="宋体" w:hAnsi="宋体" w:eastAsia="宋体" w:cs="宋体"/>
          <w:highlight w:val="none"/>
        </w:rPr>
        <w:t>维护自然生态平衡的措施</w:t>
      </w:r>
    </w:p>
    <w:p w14:paraId="3011CA51">
      <w:pPr>
        <w:bidi w:val="0"/>
        <w:ind w:firstLine="480" w:firstLineChars="200"/>
        <w:rPr>
          <w:rFonts w:hint="eastAsia" w:ascii="宋体" w:hAnsi="宋体" w:eastAsia="宋体" w:cs="宋体"/>
          <w:highlight w:val="none"/>
        </w:rPr>
      </w:pPr>
      <w:r>
        <w:rPr>
          <w:rFonts w:hint="eastAsia" w:ascii="宋体" w:hAnsi="宋体" w:eastAsia="宋体" w:cs="宋体"/>
          <w:highlight w:val="none"/>
        </w:rPr>
        <w:t>施工现场生产、生活房屋及生活设施、原材料堆放处和材料加工场均在规划 的区域内进行。修建的施工便道，要结合地方乡镇长远规划，选择线路。弃土场 必须做好防护工作，确保不发生水土流失情况，并进行弃土场绿化。</w:t>
      </w:r>
    </w:p>
    <w:p w14:paraId="6E8F144D">
      <w:pPr>
        <w:bidi w:val="0"/>
        <w:ind w:firstLine="480" w:firstLineChars="200"/>
        <w:rPr>
          <w:rFonts w:hint="eastAsia" w:ascii="宋体" w:hAnsi="宋体" w:eastAsia="宋体" w:cs="宋体"/>
          <w:highlight w:val="none"/>
        </w:rPr>
      </w:pPr>
      <w:r>
        <w:rPr>
          <w:rFonts w:hint="eastAsia" w:ascii="宋体" w:hAnsi="宋体" w:eastAsia="宋体" w:cs="宋体"/>
          <w:highlight w:val="none"/>
        </w:rPr>
        <w:t>施工期间对施工人员加强保护自然资源及野生动植物的教育，严禁随意砍伐 和偷猎，限制施工人员和车辆的活动范围。</w:t>
      </w:r>
    </w:p>
    <w:p w14:paraId="61434145">
      <w:pPr>
        <w:bidi w:val="0"/>
        <w:ind w:firstLine="480" w:firstLineChars="200"/>
        <w:rPr>
          <w:rFonts w:hint="eastAsia" w:ascii="宋体" w:hAnsi="宋体" w:eastAsia="宋体" w:cs="宋体"/>
          <w:highlight w:val="none"/>
        </w:rPr>
      </w:pPr>
      <w:r>
        <w:rPr>
          <w:rFonts w:hint="eastAsia" w:ascii="宋体" w:hAnsi="宋体" w:eastAsia="宋体" w:cs="宋体"/>
          <w:highlight w:val="none"/>
        </w:rPr>
        <w:t>施工便道选线、生活营地、大型临时设施场地选址尽量少占或绕避林地、耕</w:t>
      </w:r>
    </w:p>
    <w:p w14:paraId="05C5FFD0">
      <w:pPr>
        <w:bidi w:val="0"/>
        <w:rPr>
          <w:rFonts w:hint="eastAsia" w:ascii="宋体" w:hAnsi="宋体" w:eastAsia="宋体" w:cs="宋体"/>
          <w:highlight w:val="none"/>
        </w:rPr>
      </w:pPr>
      <w:r>
        <w:rPr>
          <w:rFonts w:hint="eastAsia" w:ascii="宋体" w:hAnsi="宋体" w:eastAsia="宋体" w:cs="宋体"/>
          <w:highlight w:val="none"/>
        </w:rPr>
        <w:t>地，保护原有植被。</w:t>
      </w:r>
    </w:p>
    <w:p w14:paraId="22E6EF58">
      <w:pPr>
        <w:bidi w:val="0"/>
        <w:ind w:firstLine="480" w:firstLineChars="200"/>
        <w:rPr>
          <w:rFonts w:hint="eastAsia" w:ascii="宋体" w:hAnsi="宋体" w:eastAsia="宋体" w:cs="宋体"/>
          <w:highlight w:val="none"/>
        </w:rPr>
      </w:pPr>
      <w:r>
        <w:rPr>
          <w:rFonts w:hint="eastAsia" w:ascii="宋体" w:hAnsi="宋体" w:eastAsia="宋体" w:cs="宋体"/>
          <w:highlight w:val="none"/>
        </w:rPr>
        <w:t>对合同规定的施工界限外的植物、树木等尽力维护，严禁超范围砍伐。工程</w:t>
      </w:r>
    </w:p>
    <w:p w14:paraId="49DDF618">
      <w:pPr>
        <w:bidi w:val="0"/>
        <w:rPr>
          <w:rFonts w:hint="eastAsia" w:ascii="宋体" w:hAnsi="宋体" w:eastAsia="宋体" w:cs="宋体"/>
          <w:highlight w:val="none"/>
        </w:rPr>
      </w:pPr>
      <w:r>
        <w:rPr>
          <w:rFonts w:hint="eastAsia" w:ascii="宋体" w:hAnsi="宋体" w:eastAsia="宋体" w:cs="宋体"/>
          <w:highlight w:val="none"/>
        </w:rPr>
        <w:t>完工后及时进行现场清理，复垦或绿化。</w:t>
      </w:r>
    </w:p>
    <w:p w14:paraId="78F0D82F">
      <w:pPr>
        <w:pStyle w:val="12"/>
        <w:rPr>
          <w:rFonts w:hint="eastAsia" w:ascii="宋体" w:hAnsi="宋体" w:eastAsia="宋体" w:cs="宋体"/>
          <w:highlight w:val="none"/>
        </w:rPr>
      </w:pPr>
      <w:r>
        <w:rPr>
          <w:rFonts w:hint="eastAsia" w:ascii="宋体" w:hAnsi="宋体" w:eastAsia="宋体" w:cs="宋体"/>
          <w:highlight w:val="none"/>
        </w:rPr>
        <mc:AlternateContent>
          <mc:Choice Requires="wpg">
            <w:drawing>
              <wp:inline distT="0" distB="0" distL="0" distR="0">
                <wp:extent cx="4855210" cy="4525645"/>
                <wp:effectExtent l="6350" t="6350" r="15240" b="20955"/>
                <wp:docPr id="9" name="Group 2503"/>
                <wp:cNvGraphicFramePr/>
                <a:graphic xmlns:a="http://schemas.openxmlformats.org/drawingml/2006/main">
                  <a:graphicData uri="http://schemas.microsoft.com/office/word/2010/wordprocessingGroup">
                    <wpg:wgp>
                      <wpg:cNvGrpSpPr/>
                      <wpg:grpSpPr>
                        <a:xfrm>
                          <a:off x="0" y="0"/>
                          <a:ext cx="4855210" cy="4525645"/>
                          <a:chOff x="0" y="0"/>
                          <a:chExt cx="7901" cy="5079"/>
                        </a:xfrm>
                      </wpg:grpSpPr>
                      <wps:wsp>
                        <wps:cNvPr id="100" name="Text Box 2504"/>
                        <wps:cNvSpPr txBox="1">
                          <a:spLocks noChangeArrowheads="1"/>
                        </wps:cNvSpPr>
                        <wps:spPr bwMode="auto">
                          <a:xfrm>
                            <a:off x="0" y="1142"/>
                            <a:ext cx="804" cy="2272"/>
                          </a:xfrm>
                          <a:prstGeom prst="rect">
                            <a:avLst/>
                          </a:prstGeom>
                          <a:solidFill>
                            <a:schemeClr val="accent6">
                              <a:lumMod val="40000"/>
                              <a:lumOff val="60000"/>
                            </a:schemeClr>
                          </a:solidFill>
                          <a:ln w="12700">
                            <a:solidFill>
                              <a:srgbClr val="0000C8"/>
                            </a:solidFill>
                            <a:miter lim="800000"/>
                          </a:ln>
                        </wps:spPr>
                        <wps:txbx>
                          <w:txbxContent>
                            <w:p w14:paraId="0560F15F">
                              <w:pPr>
                                <w:pStyle w:val="56"/>
                                <w:rPr>
                                  <w:rFonts w:hint="eastAsia"/>
                                  <w:lang w:val="en-US" w:eastAsia="zh-CN"/>
                                </w:rPr>
                              </w:pPr>
                              <w:r>
                                <w:rPr>
                                  <w:rFonts w:hint="eastAsia"/>
                                  <w:lang w:val="en-US" w:eastAsia="zh-CN"/>
                                </w:rPr>
                                <w:t>绿色</w:t>
                              </w:r>
                            </w:p>
                            <w:p w14:paraId="23BBC25E">
                              <w:pPr>
                                <w:pStyle w:val="56"/>
                              </w:pPr>
                              <w:r>
                                <w:rPr>
                                  <w:rFonts w:hint="eastAsia"/>
                                </w:rPr>
                                <w:t>施工</w:t>
                              </w:r>
                            </w:p>
                            <w:p w14:paraId="76D3B1BC">
                              <w:pPr>
                                <w:pStyle w:val="56"/>
                              </w:pPr>
                              <w:r>
                                <w:rPr>
                                  <w:rFonts w:hint="eastAsia"/>
                                </w:rPr>
                                <w:t>保证</w:t>
                              </w:r>
                            </w:p>
                            <w:p w14:paraId="7BD06732">
                              <w:pPr>
                                <w:pStyle w:val="56"/>
                              </w:pPr>
                              <w:r>
                                <w:rPr>
                                  <w:rFonts w:hint="eastAsia"/>
                                </w:rPr>
                                <w:t>体系</w:t>
                              </w:r>
                            </w:p>
                          </w:txbxContent>
                        </wps:txbx>
                        <wps:bodyPr rot="0" vert="horz" wrap="square" lIns="0" tIns="0" rIns="0" bIns="0" anchor="ctr" anchorCtr="0" upright="1">
                          <a:noAutofit/>
                        </wps:bodyPr>
                      </wps:wsp>
                      <wps:wsp>
                        <wps:cNvPr id="104" name="Line 2505"/>
                        <wps:cNvCnPr>
                          <a:cxnSpLocks noChangeShapeType="1"/>
                        </wps:cNvCnPr>
                        <wps:spPr bwMode="auto">
                          <a:xfrm>
                            <a:off x="806" y="2267"/>
                            <a:ext cx="195" cy="0"/>
                          </a:xfrm>
                          <a:prstGeom prst="line">
                            <a:avLst/>
                          </a:prstGeom>
                          <a:noFill/>
                          <a:ln w="12700">
                            <a:solidFill>
                              <a:srgbClr val="0000C8"/>
                            </a:solidFill>
                            <a:round/>
                          </a:ln>
                        </wps:spPr>
                        <wps:bodyPr/>
                      </wps:wsp>
                      <wps:wsp>
                        <wps:cNvPr id="106" name="Line 2506"/>
                        <wps:cNvCnPr>
                          <a:cxnSpLocks noChangeShapeType="1"/>
                        </wps:cNvCnPr>
                        <wps:spPr bwMode="auto">
                          <a:xfrm>
                            <a:off x="1001" y="385"/>
                            <a:ext cx="0" cy="3740"/>
                          </a:xfrm>
                          <a:prstGeom prst="line">
                            <a:avLst/>
                          </a:prstGeom>
                          <a:noFill/>
                          <a:ln w="12700">
                            <a:solidFill>
                              <a:srgbClr val="0000C8"/>
                            </a:solidFill>
                            <a:round/>
                          </a:ln>
                        </wps:spPr>
                        <wps:bodyPr/>
                      </wps:wsp>
                      <wps:wsp>
                        <wps:cNvPr id="107" name="Line 2507"/>
                        <wps:cNvCnPr>
                          <a:cxnSpLocks noChangeShapeType="1"/>
                        </wps:cNvCnPr>
                        <wps:spPr bwMode="auto">
                          <a:xfrm>
                            <a:off x="1001" y="385"/>
                            <a:ext cx="214" cy="0"/>
                          </a:xfrm>
                          <a:prstGeom prst="line">
                            <a:avLst/>
                          </a:prstGeom>
                          <a:noFill/>
                          <a:ln w="12700">
                            <a:solidFill>
                              <a:srgbClr val="0000C8"/>
                            </a:solidFill>
                            <a:round/>
                          </a:ln>
                        </wps:spPr>
                        <wps:bodyPr/>
                      </wps:wsp>
                      <wps:wsp>
                        <wps:cNvPr id="108" name="Text Box 2508"/>
                        <wps:cNvSpPr txBox="1">
                          <a:spLocks noChangeArrowheads="1"/>
                        </wps:cNvSpPr>
                        <wps:spPr bwMode="auto">
                          <a:xfrm>
                            <a:off x="1215" y="233"/>
                            <a:ext cx="1351" cy="303"/>
                          </a:xfrm>
                          <a:prstGeom prst="rect">
                            <a:avLst/>
                          </a:prstGeom>
                          <a:solidFill>
                            <a:schemeClr val="accent6">
                              <a:lumMod val="40000"/>
                              <a:lumOff val="60000"/>
                            </a:schemeClr>
                          </a:solidFill>
                          <a:ln w="12700">
                            <a:solidFill>
                              <a:srgbClr val="0000C8"/>
                            </a:solidFill>
                            <a:miter lim="800000"/>
                          </a:ln>
                        </wps:spPr>
                        <wps:txbx>
                          <w:txbxContent>
                            <w:p w14:paraId="2E133764">
                              <w:pPr>
                                <w:pStyle w:val="56"/>
                              </w:pPr>
                              <w:r>
                                <w:rPr>
                                  <w:rFonts w:hint="eastAsia"/>
                                </w:rPr>
                                <w:t>思想保证</w:t>
                              </w:r>
                            </w:p>
                          </w:txbxContent>
                        </wps:txbx>
                        <wps:bodyPr rot="0" vert="horz" wrap="square" lIns="0" tIns="0" rIns="0" bIns="0" anchor="ctr" anchorCtr="0" upright="1">
                          <a:noAutofit/>
                        </wps:bodyPr>
                      </wps:wsp>
                      <wps:wsp>
                        <wps:cNvPr id="109" name="Line 2509"/>
                        <wps:cNvCnPr>
                          <a:cxnSpLocks noChangeShapeType="1"/>
                        </wps:cNvCnPr>
                        <wps:spPr bwMode="auto">
                          <a:xfrm>
                            <a:off x="1002" y="1142"/>
                            <a:ext cx="214" cy="0"/>
                          </a:xfrm>
                          <a:prstGeom prst="line">
                            <a:avLst/>
                          </a:prstGeom>
                          <a:noFill/>
                          <a:ln w="12700">
                            <a:solidFill>
                              <a:srgbClr val="0000C8"/>
                            </a:solidFill>
                            <a:round/>
                          </a:ln>
                        </wps:spPr>
                        <wps:bodyPr/>
                      </wps:wsp>
                      <wps:wsp>
                        <wps:cNvPr id="110" name="Text Box 2510"/>
                        <wps:cNvSpPr txBox="1">
                          <a:spLocks noChangeArrowheads="1"/>
                        </wps:cNvSpPr>
                        <wps:spPr bwMode="auto">
                          <a:xfrm>
                            <a:off x="1215" y="990"/>
                            <a:ext cx="1351" cy="303"/>
                          </a:xfrm>
                          <a:prstGeom prst="rect">
                            <a:avLst/>
                          </a:prstGeom>
                          <a:solidFill>
                            <a:schemeClr val="accent6">
                              <a:lumMod val="40000"/>
                              <a:lumOff val="60000"/>
                            </a:schemeClr>
                          </a:solidFill>
                          <a:ln w="12700">
                            <a:solidFill>
                              <a:srgbClr val="0000C8"/>
                            </a:solidFill>
                            <a:miter lim="800000"/>
                          </a:ln>
                        </wps:spPr>
                        <wps:txbx>
                          <w:txbxContent>
                            <w:p w14:paraId="4EDC653E">
                              <w:pPr>
                                <w:pStyle w:val="56"/>
                              </w:pPr>
                              <w:r>
                                <w:rPr>
                                  <w:rFonts w:hint="eastAsia"/>
                                </w:rPr>
                                <w:t>组织保证</w:t>
                              </w:r>
                            </w:p>
                          </w:txbxContent>
                        </wps:txbx>
                        <wps:bodyPr rot="0" vert="horz" wrap="square" lIns="0" tIns="0" rIns="0" bIns="0" anchor="ctr" anchorCtr="0" upright="1">
                          <a:noAutofit/>
                        </wps:bodyPr>
                      </wps:wsp>
                      <wps:wsp>
                        <wps:cNvPr id="112" name="Line 2511"/>
                        <wps:cNvCnPr>
                          <a:cxnSpLocks noChangeShapeType="1"/>
                        </wps:cNvCnPr>
                        <wps:spPr bwMode="auto">
                          <a:xfrm>
                            <a:off x="2566" y="1142"/>
                            <a:ext cx="479" cy="0"/>
                          </a:xfrm>
                          <a:prstGeom prst="line">
                            <a:avLst/>
                          </a:prstGeom>
                          <a:noFill/>
                          <a:ln w="12700">
                            <a:solidFill>
                              <a:srgbClr val="0000C8"/>
                            </a:solidFill>
                            <a:round/>
                          </a:ln>
                        </wps:spPr>
                        <wps:bodyPr/>
                      </wps:wsp>
                      <wps:wsp>
                        <wps:cNvPr id="113" name="Text Box 2512"/>
                        <wps:cNvSpPr txBox="1">
                          <a:spLocks noChangeArrowheads="1"/>
                        </wps:cNvSpPr>
                        <wps:spPr bwMode="auto">
                          <a:xfrm>
                            <a:off x="3045" y="990"/>
                            <a:ext cx="2533" cy="303"/>
                          </a:xfrm>
                          <a:prstGeom prst="rect">
                            <a:avLst/>
                          </a:prstGeom>
                          <a:solidFill>
                            <a:schemeClr val="accent6">
                              <a:lumMod val="40000"/>
                              <a:lumOff val="60000"/>
                            </a:schemeClr>
                          </a:solidFill>
                          <a:ln w="12700">
                            <a:solidFill>
                              <a:srgbClr val="0000C8"/>
                            </a:solidFill>
                            <a:miter lim="800000"/>
                          </a:ln>
                        </wps:spPr>
                        <wps:txbx>
                          <w:txbxContent>
                            <w:p w14:paraId="5D07DD2C">
                              <w:pPr>
                                <w:pStyle w:val="56"/>
                              </w:pPr>
                              <w:r>
                                <w:rPr>
                                  <w:rFonts w:hint="eastAsia"/>
                                </w:rPr>
                                <w:t>成立</w:t>
                              </w:r>
                              <w:r>
                                <w:rPr>
                                  <w:rFonts w:hint="eastAsia"/>
                                  <w:lang w:val="en-US" w:eastAsia="zh-CN"/>
                                </w:rPr>
                                <w:t>绿色施工</w:t>
                              </w:r>
                              <w:r>
                                <w:rPr>
                                  <w:rFonts w:hint="eastAsia"/>
                                </w:rPr>
                                <w:t>领导小组</w:t>
                              </w:r>
                            </w:p>
                          </w:txbxContent>
                        </wps:txbx>
                        <wps:bodyPr rot="0" vert="horz" wrap="square" lIns="108000" tIns="0" rIns="0" bIns="0" anchor="ctr" anchorCtr="0" upright="1">
                          <a:noAutofit/>
                        </wps:bodyPr>
                      </wps:wsp>
                      <wps:wsp>
                        <wps:cNvPr id="114" name="Text Box 2513"/>
                        <wps:cNvSpPr txBox="1">
                          <a:spLocks noChangeArrowheads="1"/>
                        </wps:cNvSpPr>
                        <wps:spPr bwMode="auto">
                          <a:xfrm>
                            <a:off x="3045" y="0"/>
                            <a:ext cx="2533" cy="302"/>
                          </a:xfrm>
                          <a:prstGeom prst="rect">
                            <a:avLst/>
                          </a:prstGeom>
                          <a:solidFill>
                            <a:schemeClr val="accent6">
                              <a:lumMod val="40000"/>
                              <a:lumOff val="60000"/>
                            </a:schemeClr>
                          </a:solidFill>
                          <a:ln w="12700">
                            <a:solidFill>
                              <a:srgbClr val="0000C8"/>
                            </a:solidFill>
                            <a:miter lim="800000"/>
                          </a:ln>
                        </wps:spPr>
                        <wps:txbx>
                          <w:txbxContent>
                            <w:p w14:paraId="78749FC7">
                              <w:pPr>
                                <w:pStyle w:val="56"/>
                              </w:pPr>
                              <w:r>
                                <w:rPr>
                                  <w:rFonts w:hint="eastAsia"/>
                                  <w:lang w:val="en-US" w:eastAsia="zh-CN"/>
                                </w:rPr>
                                <w:t>环保节能</w:t>
                              </w:r>
                              <w:r>
                                <w:rPr>
                                  <w:rFonts w:hint="eastAsia"/>
                                </w:rPr>
                                <w:t>知识宣传教育</w:t>
                              </w:r>
                            </w:p>
                          </w:txbxContent>
                        </wps:txbx>
                        <wps:bodyPr rot="0" vert="horz" wrap="square" lIns="108000" tIns="0" rIns="0" bIns="0" anchor="ctr" anchorCtr="0" upright="1">
                          <a:noAutofit/>
                        </wps:bodyPr>
                      </wps:wsp>
                      <wps:wsp>
                        <wps:cNvPr id="115" name="Text Box 2514"/>
                        <wps:cNvSpPr txBox="1">
                          <a:spLocks noChangeArrowheads="1"/>
                        </wps:cNvSpPr>
                        <wps:spPr bwMode="auto">
                          <a:xfrm>
                            <a:off x="3045" y="453"/>
                            <a:ext cx="2533" cy="303"/>
                          </a:xfrm>
                          <a:prstGeom prst="rect">
                            <a:avLst/>
                          </a:prstGeom>
                          <a:solidFill>
                            <a:schemeClr val="accent6">
                              <a:lumMod val="40000"/>
                              <a:lumOff val="60000"/>
                            </a:schemeClr>
                          </a:solidFill>
                          <a:ln w="12700">
                            <a:solidFill>
                              <a:srgbClr val="0000C8"/>
                            </a:solidFill>
                            <a:miter lim="800000"/>
                          </a:ln>
                        </wps:spPr>
                        <wps:txbx>
                          <w:txbxContent>
                            <w:p w14:paraId="62336FD6">
                              <w:pPr>
                                <w:pStyle w:val="56"/>
                                <w:spacing w:line="240" w:lineRule="auto"/>
                              </w:pPr>
                              <w:r>
                                <w:rPr>
                                  <w:rFonts w:hint="eastAsia"/>
                                </w:rPr>
                                <w:t>制定目标责任制</w:t>
                              </w:r>
                            </w:p>
                            <w:p w14:paraId="5032DDE7">
                              <w:pPr>
                                <w:pStyle w:val="56"/>
                              </w:pPr>
                            </w:p>
                          </w:txbxContent>
                        </wps:txbx>
                        <wps:bodyPr rot="0" vert="horz" wrap="square" lIns="108000" tIns="0" rIns="0" bIns="0" anchor="ctr" anchorCtr="0" upright="1">
                          <a:noAutofit/>
                        </wps:bodyPr>
                      </wps:wsp>
                      <wps:wsp>
                        <wps:cNvPr id="116" name="Line 2515"/>
                        <wps:cNvCnPr>
                          <a:cxnSpLocks noChangeShapeType="1"/>
                        </wps:cNvCnPr>
                        <wps:spPr bwMode="auto">
                          <a:xfrm>
                            <a:off x="2707" y="158"/>
                            <a:ext cx="0" cy="447"/>
                          </a:xfrm>
                          <a:prstGeom prst="line">
                            <a:avLst/>
                          </a:prstGeom>
                          <a:noFill/>
                          <a:ln w="12700">
                            <a:solidFill>
                              <a:srgbClr val="0000C8"/>
                            </a:solidFill>
                            <a:round/>
                          </a:ln>
                        </wps:spPr>
                        <wps:bodyPr/>
                      </wps:wsp>
                      <wps:wsp>
                        <wps:cNvPr id="118" name="Line 2516"/>
                        <wps:cNvCnPr>
                          <a:cxnSpLocks noChangeShapeType="1"/>
                        </wps:cNvCnPr>
                        <wps:spPr bwMode="auto">
                          <a:xfrm>
                            <a:off x="2707" y="158"/>
                            <a:ext cx="338" cy="0"/>
                          </a:xfrm>
                          <a:prstGeom prst="line">
                            <a:avLst/>
                          </a:prstGeom>
                          <a:noFill/>
                          <a:ln w="12700">
                            <a:solidFill>
                              <a:srgbClr val="0000C8"/>
                            </a:solidFill>
                            <a:round/>
                          </a:ln>
                        </wps:spPr>
                        <wps:bodyPr/>
                      </wps:wsp>
                      <wps:wsp>
                        <wps:cNvPr id="120" name="Line 2517"/>
                        <wps:cNvCnPr>
                          <a:cxnSpLocks noChangeShapeType="1"/>
                        </wps:cNvCnPr>
                        <wps:spPr bwMode="auto">
                          <a:xfrm>
                            <a:off x="2707" y="605"/>
                            <a:ext cx="338" cy="0"/>
                          </a:xfrm>
                          <a:prstGeom prst="line">
                            <a:avLst/>
                          </a:prstGeom>
                          <a:noFill/>
                          <a:ln w="12700">
                            <a:solidFill>
                              <a:srgbClr val="0000C8"/>
                            </a:solidFill>
                            <a:round/>
                          </a:ln>
                        </wps:spPr>
                        <wps:bodyPr/>
                      </wps:wsp>
                      <wps:wsp>
                        <wps:cNvPr id="121" name="Line 2518"/>
                        <wps:cNvCnPr>
                          <a:cxnSpLocks noChangeShapeType="1"/>
                        </wps:cNvCnPr>
                        <wps:spPr bwMode="auto">
                          <a:xfrm>
                            <a:off x="1001" y="2039"/>
                            <a:ext cx="143" cy="0"/>
                          </a:xfrm>
                          <a:prstGeom prst="line">
                            <a:avLst/>
                          </a:prstGeom>
                          <a:noFill/>
                          <a:ln w="12700">
                            <a:solidFill>
                              <a:srgbClr val="0000C8"/>
                            </a:solidFill>
                            <a:round/>
                          </a:ln>
                        </wps:spPr>
                        <wps:bodyPr/>
                      </wps:wsp>
                      <wps:wsp>
                        <wps:cNvPr id="124" name="Text Box 2519"/>
                        <wps:cNvSpPr txBox="1">
                          <a:spLocks noChangeArrowheads="1"/>
                        </wps:cNvSpPr>
                        <wps:spPr bwMode="auto">
                          <a:xfrm>
                            <a:off x="1144" y="1887"/>
                            <a:ext cx="1352" cy="303"/>
                          </a:xfrm>
                          <a:prstGeom prst="rect">
                            <a:avLst/>
                          </a:prstGeom>
                          <a:solidFill>
                            <a:schemeClr val="accent6">
                              <a:lumMod val="40000"/>
                              <a:lumOff val="60000"/>
                            </a:schemeClr>
                          </a:solidFill>
                          <a:ln w="12700">
                            <a:solidFill>
                              <a:srgbClr val="0000C8"/>
                            </a:solidFill>
                            <a:miter lim="800000"/>
                          </a:ln>
                        </wps:spPr>
                        <wps:txbx>
                          <w:txbxContent>
                            <w:p w14:paraId="532BAA36">
                              <w:pPr>
                                <w:pStyle w:val="56"/>
                              </w:pPr>
                              <w:r>
                                <w:rPr>
                                  <w:rFonts w:hint="eastAsia"/>
                                </w:rPr>
                                <w:t>技术保证</w:t>
                              </w:r>
                            </w:p>
                          </w:txbxContent>
                        </wps:txbx>
                        <wps:bodyPr rot="0" vert="horz" wrap="square" lIns="0" tIns="0" rIns="0" bIns="0" anchor="ctr" anchorCtr="0" upright="1">
                          <a:noAutofit/>
                        </wps:bodyPr>
                      </wps:wsp>
                      <wps:wsp>
                        <wps:cNvPr id="126" name="Line 2520"/>
                        <wps:cNvCnPr>
                          <a:cxnSpLocks noChangeShapeType="1"/>
                        </wps:cNvCnPr>
                        <wps:spPr bwMode="auto">
                          <a:xfrm>
                            <a:off x="2496" y="2039"/>
                            <a:ext cx="549" cy="0"/>
                          </a:xfrm>
                          <a:prstGeom prst="line">
                            <a:avLst/>
                          </a:prstGeom>
                          <a:noFill/>
                          <a:ln w="12700">
                            <a:solidFill>
                              <a:srgbClr val="0000C8"/>
                            </a:solidFill>
                            <a:round/>
                          </a:ln>
                        </wps:spPr>
                        <wps:bodyPr/>
                      </wps:wsp>
                      <wps:wsp>
                        <wps:cNvPr id="127" name="Text Box 2521"/>
                        <wps:cNvSpPr txBox="1">
                          <a:spLocks noChangeArrowheads="1"/>
                        </wps:cNvSpPr>
                        <wps:spPr bwMode="auto">
                          <a:xfrm>
                            <a:off x="3045" y="1887"/>
                            <a:ext cx="3390" cy="303"/>
                          </a:xfrm>
                          <a:prstGeom prst="rect">
                            <a:avLst/>
                          </a:prstGeom>
                          <a:solidFill>
                            <a:schemeClr val="accent6">
                              <a:lumMod val="40000"/>
                              <a:lumOff val="60000"/>
                            </a:schemeClr>
                          </a:solidFill>
                          <a:ln w="12700">
                            <a:solidFill>
                              <a:srgbClr val="0000C8"/>
                            </a:solidFill>
                            <a:miter lim="800000"/>
                          </a:ln>
                        </wps:spPr>
                        <wps:txbx>
                          <w:txbxContent>
                            <w:p w14:paraId="3AA0294F">
                              <w:pPr>
                                <w:pStyle w:val="56"/>
                                <w:rPr>
                                  <w:rFonts w:hint="eastAsia" w:eastAsia="宋体"/>
                                  <w:lang w:eastAsia="zh-CN"/>
                                </w:rPr>
                              </w:pPr>
                              <w:r>
                                <w:rPr>
                                  <w:rFonts w:hint="eastAsia"/>
                                </w:rPr>
                                <w:t>制定实施</w:t>
                              </w:r>
                              <w:r>
                                <w:rPr>
                                  <w:rFonts w:hint="eastAsia"/>
                                  <w:lang w:val="en-US" w:eastAsia="zh-CN"/>
                                </w:rPr>
                                <w:t>性绿色施工措施</w:t>
                              </w:r>
                            </w:p>
                          </w:txbxContent>
                        </wps:txbx>
                        <wps:bodyPr rot="0" vert="horz" wrap="square" lIns="108000" tIns="0" rIns="0" bIns="0" anchor="ctr" anchorCtr="0" upright="1">
                          <a:noAutofit/>
                        </wps:bodyPr>
                      </wps:wsp>
                      <wps:wsp>
                        <wps:cNvPr id="128" name="Text Box 2522"/>
                        <wps:cNvSpPr txBox="1">
                          <a:spLocks noChangeArrowheads="1"/>
                        </wps:cNvSpPr>
                        <wps:spPr bwMode="auto">
                          <a:xfrm>
                            <a:off x="3045" y="1510"/>
                            <a:ext cx="3390" cy="303"/>
                          </a:xfrm>
                          <a:prstGeom prst="rect">
                            <a:avLst/>
                          </a:prstGeom>
                          <a:solidFill>
                            <a:schemeClr val="accent6">
                              <a:lumMod val="40000"/>
                              <a:lumOff val="60000"/>
                            </a:schemeClr>
                          </a:solidFill>
                          <a:ln w="12700">
                            <a:solidFill>
                              <a:srgbClr val="0000C8"/>
                            </a:solidFill>
                            <a:miter lim="800000"/>
                          </a:ln>
                        </wps:spPr>
                        <wps:txbx>
                          <w:txbxContent>
                            <w:p w14:paraId="3E2ADBE3">
                              <w:pPr>
                                <w:pStyle w:val="56"/>
                              </w:pPr>
                              <w:r>
                                <w:rPr>
                                  <w:rFonts w:hint="eastAsia"/>
                                  <w:lang w:val="en-US" w:eastAsia="zh-CN"/>
                                </w:rPr>
                                <w:t>组织</w:t>
                              </w:r>
                              <w:r>
                                <w:rPr>
                                  <w:rFonts w:hint="eastAsia"/>
                                </w:rPr>
                                <w:t>员工培训</w:t>
                              </w:r>
                            </w:p>
                          </w:txbxContent>
                        </wps:txbx>
                        <wps:bodyPr rot="0" vert="horz" wrap="square" lIns="108000" tIns="0" rIns="0" bIns="0" anchor="ctr" anchorCtr="0" upright="1">
                          <a:noAutofit/>
                        </wps:bodyPr>
                      </wps:wsp>
                      <wps:wsp>
                        <wps:cNvPr id="132" name="Line 2523"/>
                        <wps:cNvCnPr>
                          <a:cxnSpLocks noChangeShapeType="1"/>
                        </wps:cNvCnPr>
                        <wps:spPr bwMode="auto">
                          <a:xfrm>
                            <a:off x="2707" y="1659"/>
                            <a:ext cx="0" cy="767"/>
                          </a:xfrm>
                          <a:prstGeom prst="line">
                            <a:avLst/>
                          </a:prstGeom>
                          <a:noFill/>
                          <a:ln w="12700">
                            <a:solidFill>
                              <a:srgbClr val="0000C8"/>
                            </a:solidFill>
                            <a:round/>
                          </a:ln>
                        </wps:spPr>
                        <wps:bodyPr/>
                      </wps:wsp>
                      <wps:wsp>
                        <wps:cNvPr id="159" name="Line 2524"/>
                        <wps:cNvCnPr>
                          <a:cxnSpLocks noChangeShapeType="1"/>
                        </wps:cNvCnPr>
                        <wps:spPr bwMode="auto">
                          <a:xfrm>
                            <a:off x="2707" y="1659"/>
                            <a:ext cx="338" cy="0"/>
                          </a:xfrm>
                          <a:prstGeom prst="line">
                            <a:avLst/>
                          </a:prstGeom>
                          <a:noFill/>
                          <a:ln w="12700">
                            <a:solidFill>
                              <a:srgbClr val="0000C8"/>
                            </a:solidFill>
                            <a:round/>
                          </a:ln>
                        </wps:spPr>
                        <wps:bodyPr/>
                      </wps:wsp>
                      <wps:wsp>
                        <wps:cNvPr id="160" name="Line 2525"/>
                        <wps:cNvCnPr>
                          <a:cxnSpLocks noChangeShapeType="1"/>
                        </wps:cNvCnPr>
                        <wps:spPr bwMode="auto">
                          <a:xfrm>
                            <a:off x="1001" y="3110"/>
                            <a:ext cx="143" cy="0"/>
                          </a:xfrm>
                          <a:prstGeom prst="line">
                            <a:avLst/>
                          </a:prstGeom>
                          <a:noFill/>
                          <a:ln w="12700">
                            <a:solidFill>
                              <a:srgbClr val="0000C8"/>
                            </a:solidFill>
                            <a:round/>
                          </a:ln>
                        </wps:spPr>
                        <wps:bodyPr/>
                      </wps:wsp>
                      <wps:wsp>
                        <wps:cNvPr id="161" name="Text Box 2526"/>
                        <wps:cNvSpPr txBox="1">
                          <a:spLocks noChangeArrowheads="1"/>
                        </wps:cNvSpPr>
                        <wps:spPr bwMode="auto">
                          <a:xfrm>
                            <a:off x="1144" y="2959"/>
                            <a:ext cx="1352" cy="303"/>
                          </a:xfrm>
                          <a:prstGeom prst="rect">
                            <a:avLst/>
                          </a:prstGeom>
                          <a:solidFill>
                            <a:schemeClr val="accent6">
                              <a:lumMod val="40000"/>
                              <a:lumOff val="60000"/>
                            </a:schemeClr>
                          </a:solidFill>
                          <a:ln w="12700">
                            <a:solidFill>
                              <a:srgbClr val="0000C8"/>
                            </a:solidFill>
                            <a:miter lim="800000"/>
                          </a:ln>
                        </wps:spPr>
                        <wps:txbx>
                          <w:txbxContent>
                            <w:p w14:paraId="4A98C996">
                              <w:pPr>
                                <w:pStyle w:val="56"/>
                              </w:pPr>
                              <w:r>
                                <w:rPr>
                                  <w:rFonts w:hint="eastAsia"/>
                                </w:rPr>
                                <w:t>制度保证</w:t>
                              </w:r>
                            </w:p>
                          </w:txbxContent>
                        </wps:txbx>
                        <wps:bodyPr rot="0" vert="horz" wrap="square" lIns="0" tIns="0" rIns="0" bIns="0" anchor="ctr" anchorCtr="0" upright="1">
                          <a:noAutofit/>
                        </wps:bodyPr>
                      </wps:wsp>
                      <wps:wsp>
                        <wps:cNvPr id="162" name="Text Box 2527"/>
                        <wps:cNvSpPr txBox="1">
                          <a:spLocks noChangeArrowheads="1"/>
                        </wps:cNvSpPr>
                        <wps:spPr bwMode="auto">
                          <a:xfrm>
                            <a:off x="3045" y="3111"/>
                            <a:ext cx="3390" cy="303"/>
                          </a:xfrm>
                          <a:prstGeom prst="rect">
                            <a:avLst/>
                          </a:prstGeom>
                          <a:solidFill>
                            <a:schemeClr val="accent6">
                              <a:lumMod val="40000"/>
                              <a:lumOff val="60000"/>
                            </a:schemeClr>
                          </a:solidFill>
                          <a:ln w="12700">
                            <a:solidFill>
                              <a:srgbClr val="0000C8"/>
                            </a:solidFill>
                            <a:miter lim="800000"/>
                          </a:ln>
                        </wps:spPr>
                        <wps:txbx>
                          <w:txbxContent>
                            <w:p w14:paraId="1A75533B">
                              <w:pPr>
                                <w:pStyle w:val="56"/>
                              </w:pPr>
                              <w:r>
                                <w:rPr>
                                  <w:rFonts w:hint="eastAsia"/>
                                </w:rPr>
                                <w:t>公司、项目部相关规章制度</w:t>
                              </w:r>
                            </w:p>
                          </w:txbxContent>
                        </wps:txbx>
                        <wps:bodyPr rot="0" vert="horz" wrap="square" lIns="108000" tIns="0" rIns="0" bIns="0" anchor="ctr" anchorCtr="0" upright="1">
                          <a:noAutofit/>
                        </wps:bodyPr>
                      </wps:wsp>
                      <wps:wsp>
                        <wps:cNvPr id="166" name="Text Box 2528"/>
                        <wps:cNvSpPr txBox="1">
                          <a:spLocks noChangeArrowheads="1"/>
                        </wps:cNvSpPr>
                        <wps:spPr bwMode="auto">
                          <a:xfrm>
                            <a:off x="3045" y="2734"/>
                            <a:ext cx="3390" cy="303"/>
                          </a:xfrm>
                          <a:prstGeom prst="rect">
                            <a:avLst/>
                          </a:prstGeom>
                          <a:solidFill>
                            <a:schemeClr val="accent6">
                              <a:lumMod val="40000"/>
                              <a:lumOff val="60000"/>
                            </a:schemeClr>
                          </a:solidFill>
                          <a:ln w="12700">
                            <a:solidFill>
                              <a:srgbClr val="0000C8"/>
                            </a:solidFill>
                            <a:miter lim="800000"/>
                          </a:ln>
                        </wps:spPr>
                        <wps:txbx>
                          <w:txbxContent>
                            <w:p w14:paraId="5BE4169B">
                              <w:pPr>
                                <w:pStyle w:val="56"/>
                              </w:pPr>
                              <w:r>
                                <w:rPr>
                                  <w:rFonts w:hint="eastAsia"/>
                                </w:rPr>
                                <w:t>国家、相关部委相关法律、法规</w:t>
                              </w:r>
                            </w:p>
                          </w:txbxContent>
                        </wps:txbx>
                        <wps:bodyPr rot="0" vert="horz" wrap="square" lIns="108000" tIns="0" rIns="0" bIns="0" anchor="ctr" anchorCtr="0" upright="1">
                          <a:noAutofit/>
                        </wps:bodyPr>
                      </wps:wsp>
                      <wps:wsp>
                        <wps:cNvPr id="167" name="Line 2529"/>
                        <wps:cNvCnPr>
                          <a:cxnSpLocks noChangeShapeType="1"/>
                        </wps:cNvCnPr>
                        <wps:spPr bwMode="auto">
                          <a:xfrm>
                            <a:off x="2707" y="2883"/>
                            <a:ext cx="0" cy="379"/>
                          </a:xfrm>
                          <a:prstGeom prst="line">
                            <a:avLst/>
                          </a:prstGeom>
                          <a:noFill/>
                          <a:ln w="12700">
                            <a:solidFill>
                              <a:srgbClr val="0000C8"/>
                            </a:solidFill>
                            <a:round/>
                          </a:ln>
                        </wps:spPr>
                        <wps:bodyPr/>
                      </wps:wsp>
                      <wps:wsp>
                        <wps:cNvPr id="169" name="Line 2530"/>
                        <wps:cNvCnPr>
                          <a:cxnSpLocks noChangeShapeType="1"/>
                        </wps:cNvCnPr>
                        <wps:spPr bwMode="auto">
                          <a:xfrm>
                            <a:off x="2707" y="2883"/>
                            <a:ext cx="338" cy="0"/>
                          </a:xfrm>
                          <a:prstGeom prst="line">
                            <a:avLst/>
                          </a:prstGeom>
                          <a:noFill/>
                          <a:ln w="12700">
                            <a:solidFill>
                              <a:srgbClr val="0000C8"/>
                            </a:solidFill>
                            <a:round/>
                          </a:ln>
                        </wps:spPr>
                        <wps:bodyPr/>
                      </wps:wsp>
                      <wps:wsp>
                        <wps:cNvPr id="170" name="Line 2531"/>
                        <wps:cNvCnPr>
                          <a:cxnSpLocks noChangeShapeType="1"/>
                        </wps:cNvCnPr>
                        <wps:spPr bwMode="auto">
                          <a:xfrm>
                            <a:off x="1001" y="4125"/>
                            <a:ext cx="143" cy="0"/>
                          </a:xfrm>
                          <a:prstGeom prst="line">
                            <a:avLst/>
                          </a:prstGeom>
                          <a:noFill/>
                          <a:ln w="12700">
                            <a:solidFill>
                              <a:srgbClr val="0000C8"/>
                            </a:solidFill>
                            <a:round/>
                          </a:ln>
                        </wps:spPr>
                        <wps:bodyPr/>
                      </wps:wsp>
                      <wps:wsp>
                        <wps:cNvPr id="187" name="Text Box 2532"/>
                        <wps:cNvSpPr txBox="1">
                          <a:spLocks noChangeArrowheads="1"/>
                        </wps:cNvSpPr>
                        <wps:spPr bwMode="auto">
                          <a:xfrm>
                            <a:off x="1144" y="3973"/>
                            <a:ext cx="1352" cy="304"/>
                          </a:xfrm>
                          <a:prstGeom prst="rect">
                            <a:avLst/>
                          </a:prstGeom>
                          <a:solidFill>
                            <a:schemeClr val="accent6">
                              <a:lumMod val="40000"/>
                              <a:lumOff val="60000"/>
                            </a:schemeClr>
                          </a:solidFill>
                          <a:ln w="12700">
                            <a:solidFill>
                              <a:srgbClr val="0000C8"/>
                            </a:solidFill>
                            <a:miter lim="800000"/>
                          </a:ln>
                        </wps:spPr>
                        <wps:txbx>
                          <w:txbxContent>
                            <w:p w14:paraId="4445B9F4">
                              <w:pPr>
                                <w:pStyle w:val="56"/>
                              </w:pPr>
                              <w:r>
                                <w:rPr>
                                  <w:rFonts w:hint="eastAsia"/>
                                </w:rPr>
                                <w:t>施工保证</w:t>
                              </w:r>
                            </w:p>
                          </w:txbxContent>
                        </wps:txbx>
                        <wps:bodyPr rot="0" vert="horz" wrap="square" lIns="0" tIns="0" rIns="0" bIns="0" anchor="ctr" anchorCtr="0" upright="1">
                          <a:noAutofit/>
                        </wps:bodyPr>
                      </wps:wsp>
                      <wps:wsp>
                        <wps:cNvPr id="189" name="Line 2533"/>
                        <wps:cNvCnPr>
                          <a:cxnSpLocks noChangeShapeType="1"/>
                        </wps:cNvCnPr>
                        <wps:spPr bwMode="auto">
                          <a:xfrm>
                            <a:off x="2496" y="4125"/>
                            <a:ext cx="549" cy="0"/>
                          </a:xfrm>
                          <a:prstGeom prst="line">
                            <a:avLst/>
                          </a:prstGeom>
                          <a:noFill/>
                          <a:ln w="12700">
                            <a:solidFill>
                              <a:srgbClr val="0000C8"/>
                            </a:solidFill>
                            <a:round/>
                          </a:ln>
                        </wps:spPr>
                        <wps:bodyPr/>
                      </wps:wsp>
                      <wps:wsp>
                        <wps:cNvPr id="190" name="Text Box 2534"/>
                        <wps:cNvSpPr txBox="1">
                          <a:spLocks noChangeArrowheads="1"/>
                        </wps:cNvSpPr>
                        <wps:spPr bwMode="auto">
                          <a:xfrm>
                            <a:off x="3045" y="3973"/>
                            <a:ext cx="3040" cy="304"/>
                          </a:xfrm>
                          <a:prstGeom prst="rect">
                            <a:avLst/>
                          </a:prstGeom>
                          <a:solidFill>
                            <a:schemeClr val="accent6">
                              <a:lumMod val="40000"/>
                              <a:lumOff val="60000"/>
                            </a:schemeClr>
                          </a:solidFill>
                          <a:ln w="12700">
                            <a:solidFill>
                              <a:srgbClr val="0000C8"/>
                            </a:solidFill>
                            <a:miter lim="800000"/>
                          </a:ln>
                        </wps:spPr>
                        <wps:txbx>
                          <w:txbxContent>
                            <w:p w14:paraId="1E10DC6A">
                              <w:pPr>
                                <w:pStyle w:val="56"/>
                              </w:pPr>
                              <w:r>
                                <w:rPr>
                                  <w:rFonts w:hint="eastAsia"/>
                                  <w:lang w:val="en-US" w:eastAsia="zh-CN"/>
                                </w:rPr>
                                <w:t>绿色</w:t>
                              </w:r>
                              <w:r>
                                <w:rPr>
                                  <w:rFonts w:hint="eastAsia"/>
                                </w:rPr>
                                <w:t>施工工艺保证</w:t>
                              </w:r>
                            </w:p>
                          </w:txbxContent>
                        </wps:txbx>
                        <wps:bodyPr rot="0" vert="horz" wrap="square" lIns="108000" tIns="0" rIns="0" bIns="0" anchor="ctr" anchorCtr="0" upright="1">
                          <a:noAutofit/>
                        </wps:bodyPr>
                      </wps:wsp>
                      <wps:wsp>
                        <wps:cNvPr id="191" name="Text Box 2535"/>
                        <wps:cNvSpPr txBox="1">
                          <a:spLocks noChangeArrowheads="1"/>
                        </wps:cNvSpPr>
                        <wps:spPr bwMode="auto">
                          <a:xfrm>
                            <a:off x="3045" y="3596"/>
                            <a:ext cx="3040" cy="303"/>
                          </a:xfrm>
                          <a:prstGeom prst="rect">
                            <a:avLst/>
                          </a:prstGeom>
                          <a:solidFill>
                            <a:schemeClr val="accent6">
                              <a:lumMod val="40000"/>
                              <a:lumOff val="60000"/>
                            </a:schemeClr>
                          </a:solidFill>
                          <a:ln w="12700">
                            <a:solidFill>
                              <a:srgbClr val="0000C8"/>
                            </a:solidFill>
                            <a:miter lim="800000"/>
                          </a:ln>
                        </wps:spPr>
                        <wps:txbx>
                          <w:txbxContent>
                            <w:p w14:paraId="75DA740F">
                              <w:pPr>
                                <w:pStyle w:val="56"/>
                              </w:pPr>
                              <w:r>
                                <w:rPr>
                                  <w:rFonts w:hint="eastAsia"/>
                                </w:rPr>
                                <w:t>落实岗位责任制</w:t>
                              </w:r>
                            </w:p>
                          </w:txbxContent>
                        </wps:txbx>
                        <wps:bodyPr rot="0" vert="horz" wrap="square" lIns="108000" tIns="0" rIns="0" bIns="0" anchor="ctr" anchorCtr="0" upright="1">
                          <a:noAutofit/>
                        </wps:bodyPr>
                      </wps:wsp>
                      <wps:wsp>
                        <wps:cNvPr id="192" name="Text Box 2536"/>
                        <wps:cNvSpPr txBox="1">
                          <a:spLocks noChangeArrowheads="1"/>
                        </wps:cNvSpPr>
                        <wps:spPr bwMode="auto">
                          <a:xfrm>
                            <a:off x="3045" y="4353"/>
                            <a:ext cx="3040" cy="302"/>
                          </a:xfrm>
                          <a:prstGeom prst="rect">
                            <a:avLst/>
                          </a:prstGeom>
                          <a:solidFill>
                            <a:schemeClr val="accent6">
                              <a:lumMod val="40000"/>
                              <a:lumOff val="60000"/>
                            </a:schemeClr>
                          </a:solidFill>
                          <a:ln w="12700">
                            <a:solidFill>
                              <a:srgbClr val="0000C8"/>
                            </a:solidFill>
                            <a:miter lim="800000"/>
                          </a:ln>
                        </wps:spPr>
                        <wps:txbx>
                          <w:txbxContent>
                            <w:p w14:paraId="00F8951E">
                              <w:pPr>
                                <w:pStyle w:val="56"/>
                              </w:pPr>
                              <w:r>
                                <w:rPr>
                                  <w:rFonts w:hint="eastAsia"/>
                                </w:rPr>
                                <w:t>物资设备保证</w:t>
                              </w:r>
                            </w:p>
                          </w:txbxContent>
                        </wps:txbx>
                        <wps:bodyPr rot="0" vert="horz" wrap="square" lIns="108000" tIns="0" rIns="0" bIns="0" anchor="ctr" anchorCtr="0" upright="1">
                          <a:noAutofit/>
                        </wps:bodyPr>
                      </wps:wsp>
                      <wps:wsp>
                        <wps:cNvPr id="194" name="Line 2537"/>
                        <wps:cNvCnPr>
                          <a:cxnSpLocks noChangeShapeType="1"/>
                        </wps:cNvCnPr>
                        <wps:spPr bwMode="auto">
                          <a:xfrm>
                            <a:off x="2707" y="3747"/>
                            <a:ext cx="0" cy="1180"/>
                          </a:xfrm>
                          <a:prstGeom prst="line">
                            <a:avLst/>
                          </a:prstGeom>
                          <a:noFill/>
                          <a:ln w="12700">
                            <a:solidFill>
                              <a:srgbClr val="0000C8"/>
                            </a:solidFill>
                            <a:round/>
                          </a:ln>
                        </wps:spPr>
                        <wps:bodyPr/>
                      </wps:wsp>
                      <wps:wsp>
                        <wps:cNvPr id="195" name="Line 2538"/>
                        <wps:cNvCnPr>
                          <a:cxnSpLocks noChangeShapeType="1"/>
                        </wps:cNvCnPr>
                        <wps:spPr bwMode="auto">
                          <a:xfrm>
                            <a:off x="2707" y="3747"/>
                            <a:ext cx="338" cy="0"/>
                          </a:xfrm>
                          <a:prstGeom prst="line">
                            <a:avLst/>
                          </a:prstGeom>
                          <a:noFill/>
                          <a:ln w="12700">
                            <a:solidFill>
                              <a:srgbClr val="0000C8"/>
                            </a:solidFill>
                            <a:round/>
                          </a:ln>
                        </wps:spPr>
                        <wps:bodyPr/>
                      </wps:wsp>
                      <wps:wsp>
                        <wps:cNvPr id="196" name="Line 2539"/>
                        <wps:cNvCnPr>
                          <a:cxnSpLocks noChangeShapeType="1"/>
                        </wps:cNvCnPr>
                        <wps:spPr bwMode="auto">
                          <a:xfrm>
                            <a:off x="2707" y="4504"/>
                            <a:ext cx="338" cy="0"/>
                          </a:xfrm>
                          <a:prstGeom prst="line">
                            <a:avLst/>
                          </a:prstGeom>
                          <a:noFill/>
                          <a:ln w="12700">
                            <a:solidFill>
                              <a:srgbClr val="0000C8"/>
                            </a:solidFill>
                            <a:round/>
                          </a:ln>
                        </wps:spPr>
                        <wps:bodyPr/>
                      </wps:wsp>
                      <wps:wsp>
                        <wps:cNvPr id="197" name="Line 2540"/>
                        <wps:cNvCnPr>
                          <a:cxnSpLocks noChangeShapeType="1"/>
                        </wps:cNvCnPr>
                        <wps:spPr bwMode="auto">
                          <a:xfrm>
                            <a:off x="2566" y="358"/>
                            <a:ext cx="141" cy="0"/>
                          </a:xfrm>
                          <a:prstGeom prst="line">
                            <a:avLst/>
                          </a:prstGeom>
                          <a:noFill/>
                          <a:ln w="12700">
                            <a:solidFill>
                              <a:srgbClr val="0000C8"/>
                            </a:solidFill>
                            <a:round/>
                          </a:ln>
                        </wps:spPr>
                        <wps:bodyPr/>
                      </wps:wsp>
                      <wps:wsp>
                        <wps:cNvPr id="198" name="Text Box 2541"/>
                        <wps:cNvSpPr txBox="1">
                          <a:spLocks noChangeArrowheads="1"/>
                        </wps:cNvSpPr>
                        <wps:spPr bwMode="auto">
                          <a:xfrm>
                            <a:off x="3045" y="2276"/>
                            <a:ext cx="3390" cy="303"/>
                          </a:xfrm>
                          <a:prstGeom prst="rect">
                            <a:avLst/>
                          </a:prstGeom>
                          <a:solidFill>
                            <a:schemeClr val="accent6">
                              <a:lumMod val="40000"/>
                              <a:lumOff val="60000"/>
                            </a:schemeClr>
                          </a:solidFill>
                          <a:ln w="12700">
                            <a:solidFill>
                              <a:srgbClr val="0000C8"/>
                            </a:solidFill>
                            <a:miter lim="800000"/>
                          </a:ln>
                        </wps:spPr>
                        <wps:txbx>
                          <w:txbxContent>
                            <w:p w14:paraId="6F0C9FBA">
                              <w:pPr>
                                <w:pStyle w:val="56"/>
                                <w:rPr>
                                  <w:rFonts w:hint="default" w:eastAsia="宋体"/>
                                  <w:lang w:val="en-US" w:eastAsia="zh-CN"/>
                                </w:rPr>
                              </w:pPr>
                              <w:r>
                                <w:rPr>
                                  <w:rFonts w:hint="eastAsia"/>
                                  <w:lang w:val="en-US" w:eastAsia="zh-CN"/>
                                </w:rPr>
                                <w:t>按照设计和施组内容进行落实</w:t>
                              </w:r>
                            </w:p>
                          </w:txbxContent>
                        </wps:txbx>
                        <wps:bodyPr rot="0" vert="horz" wrap="square" lIns="108000" tIns="0" rIns="0" bIns="0" anchor="ctr" anchorCtr="0" upright="1">
                          <a:noAutofit/>
                        </wps:bodyPr>
                      </wps:wsp>
                      <wps:wsp>
                        <wps:cNvPr id="199" name="Line 2542"/>
                        <wps:cNvCnPr>
                          <a:cxnSpLocks noChangeShapeType="1"/>
                        </wps:cNvCnPr>
                        <wps:spPr bwMode="auto">
                          <a:xfrm>
                            <a:off x="2707" y="2426"/>
                            <a:ext cx="338" cy="0"/>
                          </a:xfrm>
                          <a:prstGeom prst="line">
                            <a:avLst/>
                          </a:prstGeom>
                          <a:noFill/>
                          <a:ln w="12700">
                            <a:solidFill>
                              <a:srgbClr val="0000C8"/>
                            </a:solidFill>
                            <a:round/>
                          </a:ln>
                        </wps:spPr>
                        <wps:bodyPr/>
                      </wps:wsp>
                      <wps:wsp>
                        <wps:cNvPr id="200" name="Text Box 2543"/>
                        <wps:cNvSpPr txBox="1">
                          <a:spLocks noChangeArrowheads="1"/>
                        </wps:cNvSpPr>
                        <wps:spPr bwMode="auto">
                          <a:xfrm>
                            <a:off x="3045" y="4776"/>
                            <a:ext cx="3040" cy="303"/>
                          </a:xfrm>
                          <a:prstGeom prst="rect">
                            <a:avLst/>
                          </a:prstGeom>
                          <a:solidFill>
                            <a:schemeClr val="accent6">
                              <a:lumMod val="40000"/>
                              <a:lumOff val="60000"/>
                            </a:schemeClr>
                          </a:solidFill>
                          <a:ln w="12700">
                            <a:solidFill>
                              <a:srgbClr val="0000C8"/>
                            </a:solidFill>
                            <a:miter lim="800000"/>
                          </a:ln>
                        </wps:spPr>
                        <wps:txbx>
                          <w:txbxContent>
                            <w:p w14:paraId="78A7CE60">
                              <w:pPr>
                                <w:pStyle w:val="56"/>
                              </w:pPr>
                              <w:r>
                                <w:rPr>
                                  <w:rFonts w:hint="eastAsia"/>
                                </w:rPr>
                                <w:t>监督、检查、改进</w:t>
                              </w:r>
                            </w:p>
                          </w:txbxContent>
                        </wps:txbx>
                        <wps:bodyPr rot="0" vert="horz" wrap="square" lIns="108000" tIns="0" rIns="0" bIns="0" anchor="ctr" anchorCtr="0" upright="1">
                          <a:noAutofit/>
                        </wps:bodyPr>
                      </wps:wsp>
                      <wps:wsp>
                        <wps:cNvPr id="201" name="Line 2544"/>
                        <wps:cNvCnPr>
                          <a:cxnSpLocks noChangeShapeType="1"/>
                        </wps:cNvCnPr>
                        <wps:spPr bwMode="auto">
                          <a:xfrm>
                            <a:off x="2707" y="4927"/>
                            <a:ext cx="338" cy="0"/>
                          </a:xfrm>
                          <a:prstGeom prst="line">
                            <a:avLst/>
                          </a:prstGeom>
                          <a:noFill/>
                          <a:ln w="12700">
                            <a:solidFill>
                              <a:srgbClr val="0000C8"/>
                            </a:solidFill>
                            <a:round/>
                          </a:ln>
                        </wps:spPr>
                        <wps:bodyPr/>
                      </wps:wsp>
                      <wps:wsp>
                        <wps:cNvPr id="202" name="Line 2545"/>
                        <wps:cNvCnPr>
                          <a:cxnSpLocks noChangeShapeType="1"/>
                        </wps:cNvCnPr>
                        <wps:spPr bwMode="auto">
                          <a:xfrm>
                            <a:off x="2707" y="3262"/>
                            <a:ext cx="338" cy="0"/>
                          </a:xfrm>
                          <a:prstGeom prst="line">
                            <a:avLst/>
                          </a:prstGeom>
                          <a:noFill/>
                          <a:ln w="12700">
                            <a:solidFill>
                              <a:srgbClr val="0000C8"/>
                            </a:solidFill>
                            <a:round/>
                          </a:ln>
                        </wps:spPr>
                        <wps:bodyPr/>
                      </wps:wsp>
                      <wps:wsp>
                        <wps:cNvPr id="203" name="Line 2546"/>
                        <wps:cNvCnPr>
                          <a:cxnSpLocks noChangeShapeType="1"/>
                        </wps:cNvCnPr>
                        <wps:spPr bwMode="auto">
                          <a:xfrm flipV="1">
                            <a:off x="2496" y="3111"/>
                            <a:ext cx="211" cy="0"/>
                          </a:xfrm>
                          <a:prstGeom prst="line">
                            <a:avLst/>
                          </a:prstGeom>
                          <a:noFill/>
                          <a:ln w="12700">
                            <a:solidFill>
                              <a:srgbClr val="0000C8"/>
                            </a:solidFill>
                            <a:round/>
                          </a:ln>
                        </wps:spPr>
                        <wps:bodyPr/>
                      </wps:wsp>
                      <wps:wsp>
                        <wps:cNvPr id="204" name="Line 2547"/>
                        <wps:cNvCnPr>
                          <a:cxnSpLocks noChangeShapeType="1"/>
                        </wps:cNvCnPr>
                        <wps:spPr bwMode="auto">
                          <a:xfrm flipV="1">
                            <a:off x="5578" y="171"/>
                            <a:ext cx="1200" cy="0"/>
                          </a:xfrm>
                          <a:prstGeom prst="line">
                            <a:avLst/>
                          </a:prstGeom>
                          <a:noFill/>
                          <a:ln w="12700">
                            <a:solidFill>
                              <a:srgbClr val="0000C8"/>
                            </a:solidFill>
                            <a:round/>
                          </a:ln>
                        </wps:spPr>
                        <wps:bodyPr/>
                      </wps:wsp>
                      <wps:wsp>
                        <wps:cNvPr id="205" name="Line 2548"/>
                        <wps:cNvCnPr>
                          <a:cxnSpLocks noChangeShapeType="1"/>
                        </wps:cNvCnPr>
                        <wps:spPr bwMode="auto">
                          <a:xfrm>
                            <a:off x="5578" y="605"/>
                            <a:ext cx="1205" cy="0"/>
                          </a:xfrm>
                          <a:prstGeom prst="line">
                            <a:avLst/>
                          </a:prstGeom>
                          <a:noFill/>
                          <a:ln w="12700">
                            <a:solidFill>
                              <a:srgbClr val="0000C8"/>
                            </a:solidFill>
                            <a:round/>
                          </a:ln>
                        </wps:spPr>
                        <wps:bodyPr/>
                      </wps:wsp>
                      <wps:wsp>
                        <wps:cNvPr id="206" name="Line 2549"/>
                        <wps:cNvCnPr>
                          <a:cxnSpLocks noChangeShapeType="1"/>
                        </wps:cNvCnPr>
                        <wps:spPr bwMode="auto">
                          <a:xfrm>
                            <a:off x="5573" y="1142"/>
                            <a:ext cx="1372" cy="0"/>
                          </a:xfrm>
                          <a:prstGeom prst="line">
                            <a:avLst/>
                          </a:prstGeom>
                          <a:noFill/>
                          <a:ln w="12700">
                            <a:solidFill>
                              <a:srgbClr val="0000C8"/>
                            </a:solidFill>
                            <a:round/>
                          </a:ln>
                        </wps:spPr>
                        <wps:bodyPr/>
                      </wps:wsp>
                      <wps:wsp>
                        <wps:cNvPr id="207" name="Line 2550"/>
                        <wps:cNvCnPr>
                          <a:cxnSpLocks noChangeShapeType="1"/>
                        </wps:cNvCnPr>
                        <wps:spPr bwMode="auto">
                          <a:xfrm>
                            <a:off x="6435" y="1659"/>
                            <a:ext cx="338" cy="0"/>
                          </a:xfrm>
                          <a:prstGeom prst="line">
                            <a:avLst/>
                          </a:prstGeom>
                          <a:noFill/>
                          <a:ln w="12700">
                            <a:solidFill>
                              <a:srgbClr val="0000C8"/>
                            </a:solidFill>
                            <a:round/>
                          </a:ln>
                        </wps:spPr>
                        <wps:bodyPr/>
                      </wps:wsp>
                      <wps:wsp>
                        <wps:cNvPr id="208" name="Line 2551"/>
                        <wps:cNvCnPr>
                          <a:cxnSpLocks noChangeShapeType="1"/>
                        </wps:cNvCnPr>
                        <wps:spPr bwMode="auto">
                          <a:xfrm>
                            <a:off x="6440" y="2039"/>
                            <a:ext cx="495" cy="0"/>
                          </a:xfrm>
                          <a:prstGeom prst="line">
                            <a:avLst/>
                          </a:prstGeom>
                          <a:noFill/>
                          <a:ln w="12700">
                            <a:solidFill>
                              <a:srgbClr val="0000C8"/>
                            </a:solidFill>
                            <a:round/>
                          </a:ln>
                        </wps:spPr>
                        <wps:bodyPr/>
                      </wps:wsp>
                      <wps:wsp>
                        <wps:cNvPr id="209" name="Line 2552"/>
                        <wps:cNvCnPr>
                          <a:cxnSpLocks noChangeShapeType="1"/>
                        </wps:cNvCnPr>
                        <wps:spPr bwMode="auto">
                          <a:xfrm>
                            <a:off x="6435" y="2438"/>
                            <a:ext cx="338" cy="0"/>
                          </a:xfrm>
                          <a:prstGeom prst="line">
                            <a:avLst/>
                          </a:prstGeom>
                          <a:noFill/>
                          <a:ln w="12700">
                            <a:solidFill>
                              <a:srgbClr val="0000C8"/>
                            </a:solidFill>
                            <a:round/>
                          </a:ln>
                        </wps:spPr>
                        <wps:bodyPr/>
                      </wps:wsp>
                      <wps:wsp>
                        <wps:cNvPr id="210" name="Line 2553"/>
                        <wps:cNvCnPr>
                          <a:cxnSpLocks noChangeShapeType="1"/>
                        </wps:cNvCnPr>
                        <wps:spPr bwMode="auto">
                          <a:xfrm>
                            <a:off x="6773" y="1659"/>
                            <a:ext cx="0" cy="779"/>
                          </a:xfrm>
                          <a:prstGeom prst="line">
                            <a:avLst/>
                          </a:prstGeom>
                          <a:noFill/>
                          <a:ln w="12700">
                            <a:solidFill>
                              <a:srgbClr val="0000C8"/>
                            </a:solidFill>
                            <a:round/>
                          </a:ln>
                        </wps:spPr>
                        <wps:bodyPr/>
                      </wps:wsp>
                      <wps:wsp>
                        <wps:cNvPr id="211" name="Line 2554"/>
                        <wps:cNvCnPr>
                          <a:cxnSpLocks noChangeShapeType="1"/>
                        </wps:cNvCnPr>
                        <wps:spPr bwMode="auto">
                          <a:xfrm>
                            <a:off x="6435" y="2883"/>
                            <a:ext cx="338" cy="0"/>
                          </a:xfrm>
                          <a:prstGeom prst="line">
                            <a:avLst/>
                          </a:prstGeom>
                          <a:noFill/>
                          <a:ln w="12700">
                            <a:solidFill>
                              <a:srgbClr val="0000C8"/>
                            </a:solidFill>
                            <a:round/>
                          </a:ln>
                        </wps:spPr>
                        <wps:bodyPr/>
                      </wps:wsp>
                      <wps:wsp>
                        <wps:cNvPr id="212" name="Line 2555"/>
                        <wps:cNvCnPr>
                          <a:cxnSpLocks noChangeShapeType="1"/>
                        </wps:cNvCnPr>
                        <wps:spPr bwMode="auto">
                          <a:xfrm>
                            <a:off x="6440" y="3262"/>
                            <a:ext cx="338" cy="0"/>
                          </a:xfrm>
                          <a:prstGeom prst="line">
                            <a:avLst/>
                          </a:prstGeom>
                          <a:noFill/>
                          <a:ln w="12700">
                            <a:solidFill>
                              <a:srgbClr val="0000C8"/>
                            </a:solidFill>
                            <a:round/>
                          </a:ln>
                        </wps:spPr>
                        <wps:bodyPr/>
                      </wps:wsp>
                      <wps:wsp>
                        <wps:cNvPr id="213" name="Line 2556"/>
                        <wps:cNvCnPr>
                          <a:cxnSpLocks noChangeShapeType="1"/>
                        </wps:cNvCnPr>
                        <wps:spPr bwMode="auto">
                          <a:xfrm>
                            <a:off x="6783" y="2883"/>
                            <a:ext cx="0" cy="379"/>
                          </a:xfrm>
                          <a:prstGeom prst="line">
                            <a:avLst/>
                          </a:prstGeom>
                          <a:noFill/>
                          <a:ln w="12700">
                            <a:solidFill>
                              <a:srgbClr val="0000C8"/>
                            </a:solidFill>
                            <a:round/>
                          </a:ln>
                        </wps:spPr>
                        <wps:bodyPr/>
                      </wps:wsp>
                      <wps:wsp>
                        <wps:cNvPr id="214" name="Line 2557"/>
                        <wps:cNvCnPr>
                          <a:cxnSpLocks noChangeShapeType="1"/>
                        </wps:cNvCnPr>
                        <wps:spPr bwMode="auto">
                          <a:xfrm>
                            <a:off x="6783" y="3057"/>
                            <a:ext cx="152" cy="0"/>
                          </a:xfrm>
                          <a:prstGeom prst="line">
                            <a:avLst/>
                          </a:prstGeom>
                          <a:noFill/>
                          <a:ln w="12700">
                            <a:solidFill>
                              <a:srgbClr val="0000C8"/>
                            </a:solidFill>
                            <a:round/>
                          </a:ln>
                        </wps:spPr>
                        <wps:bodyPr/>
                      </wps:wsp>
                      <wps:wsp>
                        <wps:cNvPr id="215" name="Line 2558"/>
                        <wps:cNvCnPr>
                          <a:cxnSpLocks noChangeShapeType="1"/>
                        </wps:cNvCnPr>
                        <wps:spPr bwMode="auto">
                          <a:xfrm>
                            <a:off x="6783" y="171"/>
                            <a:ext cx="0" cy="434"/>
                          </a:xfrm>
                          <a:prstGeom prst="line">
                            <a:avLst/>
                          </a:prstGeom>
                          <a:noFill/>
                          <a:ln w="12700">
                            <a:solidFill>
                              <a:srgbClr val="0000C8"/>
                            </a:solidFill>
                            <a:round/>
                          </a:ln>
                        </wps:spPr>
                        <wps:bodyPr/>
                      </wps:wsp>
                      <wps:wsp>
                        <wps:cNvPr id="216" name="Line 2559"/>
                        <wps:cNvCnPr>
                          <a:cxnSpLocks noChangeShapeType="1"/>
                        </wps:cNvCnPr>
                        <wps:spPr bwMode="auto">
                          <a:xfrm>
                            <a:off x="6783" y="407"/>
                            <a:ext cx="162" cy="0"/>
                          </a:xfrm>
                          <a:prstGeom prst="line">
                            <a:avLst/>
                          </a:prstGeom>
                          <a:noFill/>
                          <a:ln w="12700">
                            <a:solidFill>
                              <a:srgbClr val="0000C8"/>
                            </a:solidFill>
                            <a:round/>
                          </a:ln>
                        </wps:spPr>
                        <wps:bodyPr/>
                      </wps:wsp>
                      <wps:wsp>
                        <wps:cNvPr id="218" name="Line 2560"/>
                        <wps:cNvCnPr>
                          <a:cxnSpLocks noChangeShapeType="1"/>
                        </wps:cNvCnPr>
                        <wps:spPr bwMode="auto">
                          <a:xfrm>
                            <a:off x="6102" y="3747"/>
                            <a:ext cx="654" cy="0"/>
                          </a:xfrm>
                          <a:prstGeom prst="line">
                            <a:avLst/>
                          </a:prstGeom>
                          <a:noFill/>
                          <a:ln w="12700">
                            <a:solidFill>
                              <a:srgbClr val="0000C8"/>
                            </a:solidFill>
                            <a:round/>
                          </a:ln>
                        </wps:spPr>
                        <wps:bodyPr/>
                      </wps:wsp>
                      <wps:wsp>
                        <wps:cNvPr id="219" name="Line 2561"/>
                        <wps:cNvCnPr>
                          <a:cxnSpLocks noChangeShapeType="1"/>
                        </wps:cNvCnPr>
                        <wps:spPr bwMode="auto">
                          <a:xfrm>
                            <a:off x="6085" y="4125"/>
                            <a:ext cx="671" cy="0"/>
                          </a:xfrm>
                          <a:prstGeom prst="line">
                            <a:avLst/>
                          </a:prstGeom>
                          <a:noFill/>
                          <a:ln w="12700">
                            <a:solidFill>
                              <a:srgbClr val="0000C8"/>
                            </a:solidFill>
                            <a:round/>
                          </a:ln>
                        </wps:spPr>
                        <wps:bodyPr/>
                      </wps:wsp>
                      <wps:wsp>
                        <wps:cNvPr id="220" name="Line 2562"/>
                        <wps:cNvCnPr>
                          <a:cxnSpLocks noChangeShapeType="1"/>
                        </wps:cNvCnPr>
                        <wps:spPr bwMode="auto">
                          <a:xfrm>
                            <a:off x="6085" y="4504"/>
                            <a:ext cx="671" cy="0"/>
                          </a:xfrm>
                          <a:prstGeom prst="line">
                            <a:avLst/>
                          </a:prstGeom>
                          <a:noFill/>
                          <a:ln w="12700">
                            <a:solidFill>
                              <a:srgbClr val="0000C8"/>
                            </a:solidFill>
                            <a:round/>
                          </a:ln>
                        </wps:spPr>
                        <wps:bodyPr/>
                      </wps:wsp>
                      <wps:wsp>
                        <wps:cNvPr id="221" name="Line 2563"/>
                        <wps:cNvCnPr>
                          <a:cxnSpLocks noChangeShapeType="1"/>
                        </wps:cNvCnPr>
                        <wps:spPr bwMode="auto">
                          <a:xfrm>
                            <a:off x="6085" y="4927"/>
                            <a:ext cx="671" cy="0"/>
                          </a:xfrm>
                          <a:prstGeom prst="line">
                            <a:avLst/>
                          </a:prstGeom>
                          <a:noFill/>
                          <a:ln w="12700">
                            <a:solidFill>
                              <a:srgbClr val="0000C8"/>
                            </a:solidFill>
                            <a:round/>
                          </a:ln>
                        </wps:spPr>
                        <wps:bodyPr/>
                      </wps:wsp>
                      <wps:wsp>
                        <wps:cNvPr id="222" name="Line 2564"/>
                        <wps:cNvCnPr>
                          <a:cxnSpLocks noChangeShapeType="1"/>
                        </wps:cNvCnPr>
                        <wps:spPr bwMode="auto">
                          <a:xfrm>
                            <a:off x="6756" y="3747"/>
                            <a:ext cx="0" cy="1180"/>
                          </a:xfrm>
                          <a:prstGeom prst="line">
                            <a:avLst/>
                          </a:prstGeom>
                          <a:noFill/>
                          <a:ln w="12700">
                            <a:solidFill>
                              <a:srgbClr val="0000C8"/>
                            </a:solidFill>
                            <a:round/>
                          </a:ln>
                        </wps:spPr>
                        <wps:bodyPr/>
                      </wps:wsp>
                      <wps:wsp>
                        <wps:cNvPr id="224" name="Line 2565"/>
                        <wps:cNvCnPr>
                          <a:cxnSpLocks noChangeShapeType="1"/>
                        </wps:cNvCnPr>
                        <wps:spPr bwMode="auto">
                          <a:xfrm>
                            <a:off x="6756" y="4353"/>
                            <a:ext cx="189" cy="0"/>
                          </a:xfrm>
                          <a:prstGeom prst="line">
                            <a:avLst/>
                          </a:prstGeom>
                          <a:noFill/>
                          <a:ln w="12700">
                            <a:solidFill>
                              <a:srgbClr val="0000C8"/>
                            </a:solidFill>
                            <a:round/>
                          </a:ln>
                        </wps:spPr>
                        <wps:bodyPr/>
                      </wps:wsp>
                      <wps:wsp>
                        <wps:cNvPr id="225" name="Line 2566"/>
                        <wps:cNvCnPr>
                          <a:cxnSpLocks noChangeShapeType="1"/>
                        </wps:cNvCnPr>
                        <wps:spPr bwMode="auto">
                          <a:xfrm>
                            <a:off x="6945" y="407"/>
                            <a:ext cx="0" cy="3946"/>
                          </a:xfrm>
                          <a:prstGeom prst="line">
                            <a:avLst/>
                          </a:prstGeom>
                          <a:noFill/>
                          <a:ln w="12700">
                            <a:solidFill>
                              <a:srgbClr val="0000C8"/>
                            </a:solidFill>
                            <a:round/>
                          </a:ln>
                        </wps:spPr>
                        <wps:bodyPr/>
                      </wps:wsp>
                      <wps:wsp>
                        <wps:cNvPr id="226" name="Line 2567"/>
                        <wps:cNvCnPr>
                          <a:cxnSpLocks noChangeShapeType="1"/>
                        </wps:cNvCnPr>
                        <wps:spPr bwMode="auto">
                          <a:xfrm>
                            <a:off x="6945" y="2438"/>
                            <a:ext cx="152" cy="0"/>
                          </a:xfrm>
                          <a:prstGeom prst="line">
                            <a:avLst/>
                          </a:prstGeom>
                          <a:noFill/>
                          <a:ln w="12700">
                            <a:solidFill>
                              <a:srgbClr val="0000C8"/>
                            </a:solidFill>
                            <a:round/>
                          </a:ln>
                        </wps:spPr>
                        <wps:bodyPr/>
                      </wps:wsp>
                      <wps:wsp>
                        <wps:cNvPr id="227" name="Text Box 2568"/>
                        <wps:cNvSpPr txBox="1">
                          <a:spLocks noChangeArrowheads="1"/>
                        </wps:cNvSpPr>
                        <wps:spPr bwMode="auto">
                          <a:xfrm>
                            <a:off x="7097" y="1324"/>
                            <a:ext cx="804" cy="2272"/>
                          </a:xfrm>
                          <a:prstGeom prst="rect">
                            <a:avLst/>
                          </a:prstGeom>
                          <a:solidFill>
                            <a:schemeClr val="accent6">
                              <a:lumMod val="40000"/>
                              <a:lumOff val="60000"/>
                            </a:schemeClr>
                          </a:solidFill>
                          <a:ln w="12700">
                            <a:solidFill>
                              <a:srgbClr val="0000C8"/>
                            </a:solidFill>
                            <a:miter lim="800000"/>
                          </a:ln>
                        </wps:spPr>
                        <wps:txbx>
                          <w:txbxContent>
                            <w:p w14:paraId="481389A2">
                              <w:pPr>
                                <w:pStyle w:val="56"/>
                                <w:rPr>
                                  <w:rFonts w:hint="eastAsia"/>
                                  <w:lang w:val="en-US" w:eastAsia="zh-CN"/>
                                </w:rPr>
                              </w:pPr>
                              <w:r>
                                <w:rPr>
                                  <w:rFonts w:hint="eastAsia"/>
                                  <w:lang w:val="en-US" w:eastAsia="zh-CN"/>
                                </w:rPr>
                                <w:t>绿色</w:t>
                              </w:r>
                            </w:p>
                            <w:p w14:paraId="32E523FA">
                              <w:pPr>
                                <w:pStyle w:val="56"/>
                                <w:rPr>
                                  <w:rFonts w:hint="eastAsia"/>
                                </w:rPr>
                              </w:pPr>
                              <w:r>
                                <w:rPr>
                                  <w:rFonts w:hint="eastAsia"/>
                                </w:rPr>
                                <w:t>施工</w:t>
                              </w:r>
                            </w:p>
                            <w:p w14:paraId="48A2686C">
                              <w:pPr>
                                <w:pStyle w:val="56"/>
                              </w:pPr>
                              <w:r>
                                <w:rPr>
                                  <w:rFonts w:hint="eastAsia"/>
                                </w:rPr>
                                <w:t>达标</w:t>
                              </w:r>
                            </w:p>
                          </w:txbxContent>
                        </wps:txbx>
                        <wps:bodyPr rot="0" vert="horz" wrap="square" lIns="0" tIns="0" rIns="0" bIns="0" anchor="ctr" anchorCtr="0" upright="1">
                          <a:noAutofit/>
                        </wps:bodyPr>
                      </wps:wsp>
                    </wpg:wgp>
                  </a:graphicData>
                </a:graphic>
              </wp:inline>
            </w:drawing>
          </mc:Choice>
          <mc:Fallback>
            <w:pict>
              <v:group id="Group 2503" o:spid="_x0000_s1026" o:spt="203" style="height:356.35pt;width:382.3pt;" coordsize="7901,5079" o:gfxdata="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">
                <o:lock v:ext="edit" aspectratio="f"/>
                <v:shape id="Text Box 2504" o:spid="_x0000_s1026" o:spt="202" type="#_x0000_t202" style="position:absolute;left:0;top:1142;height:2272;width:804;v-text-anchor:middle;" fillcolor="#C5E0B4 [1305]" filled="t" stroked="t" coordsize="21600,21600" o:gfxdata="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9xyDr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0560F15F">
                        <w:pPr>
                          <w:pStyle w:val="56"/>
                          <w:rPr>
                            <w:rFonts w:hint="eastAsia"/>
                            <w:lang w:val="en-US" w:eastAsia="zh-CN"/>
                          </w:rPr>
                        </w:pPr>
                        <w:r>
                          <w:rPr>
                            <w:rFonts w:hint="eastAsia"/>
                            <w:lang w:val="en-US" w:eastAsia="zh-CN"/>
                          </w:rPr>
                          <w:t>绿色</w:t>
                        </w:r>
                      </w:p>
                      <w:p w14:paraId="23BBC25E">
                        <w:pPr>
                          <w:pStyle w:val="56"/>
                        </w:pPr>
                        <w:r>
                          <w:rPr>
                            <w:rFonts w:hint="eastAsia"/>
                          </w:rPr>
                          <w:t>施工</w:t>
                        </w:r>
                      </w:p>
                      <w:p w14:paraId="76D3B1BC">
                        <w:pPr>
                          <w:pStyle w:val="56"/>
                        </w:pPr>
                        <w:r>
                          <w:rPr>
                            <w:rFonts w:hint="eastAsia"/>
                          </w:rPr>
                          <w:t>保证</w:t>
                        </w:r>
                      </w:p>
                      <w:p w14:paraId="7BD06732">
                        <w:pPr>
                          <w:pStyle w:val="56"/>
                        </w:pPr>
                        <w:r>
                          <w:rPr>
                            <w:rFonts w:hint="eastAsia"/>
                          </w:rPr>
                          <w:t>体系</w:t>
                        </w:r>
                      </w:p>
                    </w:txbxContent>
                  </v:textbox>
                </v:shape>
                <v:line id="Line 2505" o:spid="_x0000_s1026" o:spt="20" style="position:absolute;left:806;top:2267;height:0;width:195;" filled="f" stroked="t" coordsize="21600,21600" o:gfxdata="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ddeRugAAANwA&#10;AAAPAAAAAAAAAAEAIAAAACIAAABkcnMvZG93bnJldi54bWxQSwECFAAUAAAACACHTuJAMy8FnjsA&#10;AAA5AAAAEAAAAAAAAAABACAAAAAJAQAAZHJzL3NoYXBleG1sLnhtbFBLBQYAAAAABgAGAFsBAACz&#10;AwAAAAA=&#10;">
                  <v:fill on="f" focussize="0,0"/>
                  <v:stroke weight="1pt" color="#0000C8" joinstyle="round"/>
                  <v:imagedata o:title=""/>
                  <o:lock v:ext="edit" aspectratio="f"/>
                </v:line>
                <v:line id="Line 2506" o:spid="_x0000_s1026" o:spt="20" style="position:absolute;left:1001;top:385;height:3740;width:0;" filled="f" stroked="t" coordsize="21600,21600" o:gfxdata="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rr7H2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07" o:spid="_x0000_s1026" o:spt="20" style="position:absolute;left:1001;top:385;height:0;width:214;" filled="f" stroked="t" coordsize="21600,21600" o:gfxdata="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p0nmugAAANwA&#10;AAAPAAAAAAAAAAEAIAAAACIAAABkcnMvZG93bnJldi54bWxQSwECFAAUAAAACACHTuJAMy8FnjsA&#10;AAA5AAAAEAAAAAAAAAABACAAAAAJAQAAZHJzL3NoYXBleG1sLnhtbFBLBQYAAAAABgAGAFsBAACz&#10;AwAAAAA=&#10;">
                  <v:fill on="f" focussize="0,0"/>
                  <v:stroke weight="1pt" color="#0000C8" joinstyle="round"/>
                  <v:imagedata o:title=""/>
                  <o:lock v:ext="edit" aspectratio="f"/>
                </v:line>
                <v:shape id="Text Box 2508" o:spid="_x0000_s1026" o:spt="202" type="#_x0000_t202" style="position:absolute;left:1215;top:233;height:303;width:1351;v-text-anchor:middle;" fillcolor="#C5E0B4 [1305]" filled="t" stroked="t" coordsize="21600,21600" o:gfxdata="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ap+CL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2E133764">
                        <w:pPr>
                          <w:pStyle w:val="56"/>
                        </w:pPr>
                        <w:r>
                          <w:rPr>
                            <w:rFonts w:hint="eastAsia"/>
                          </w:rPr>
                          <w:t>思想保证</w:t>
                        </w:r>
                      </w:p>
                    </w:txbxContent>
                  </v:textbox>
                </v:shape>
                <v:line id="Line 2509" o:spid="_x0000_s1026" o:spt="20" style="position:absolute;left:1002;top:1142;height:0;width:214;" filled="f" stroked="t" coordsize="21600,21600" o:gfxdata="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LdHgPugAAANwA&#10;AAAPAAAAAAAAAAEAIAAAACIAAABkcnMvZG93bnJldi54bWxQSwECFAAUAAAACACHTuJAMy8FnjsA&#10;AAA5AAAAEAAAAAAAAAABACAAAAAJAQAAZHJzL3NoYXBleG1sLnhtbFBLBQYAAAAABgAGAFsBAACz&#10;AwAAAAA=&#10;">
                  <v:fill on="f" focussize="0,0"/>
                  <v:stroke weight="1pt" color="#0000C8" joinstyle="round"/>
                  <v:imagedata o:title=""/>
                  <o:lock v:ext="edit" aspectratio="f"/>
                </v:line>
                <v:shape id="Text Box 2510" o:spid="_x0000_s1026" o:spt="202" type="#_x0000_t202" style="position:absolute;left:1215;top:990;height:303;width:1351;v-text-anchor:middle;" fillcolor="#C5E0B4 [1305]" filled="t" stroked="t" coordsize="21600,21600" o:gfxdata="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gXk07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4EDC653E">
                        <w:pPr>
                          <w:pStyle w:val="56"/>
                        </w:pPr>
                        <w:r>
                          <w:rPr>
                            <w:rFonts w:hint="eastAsia"/>
                          </w:rPr>
                          <w:t>组织保证</w:t>
                        </w:r>
                      </w:p>
                    </w:txbxContent>
                  </v:textbox>
                </v:shape>
                <v:line id="Line 2511" o:spid="_x0000_s1026" o:spt="20" style="position:absolute;left:2566;top:1142;height:0;width:479;" filled="f" stroked="t" coordsize="21600,21600" o:gfxdata="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AJfKO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shape id="Text Box 2512" o:spid="_x0000_s1026" o:spt="202" type="#_x0000_t202" style="position:absolute;left:3045;top:990;height:303;width:2533;v-text-anchor:middle;" fillcolor="#C5E0B4 [1305]" filled="t" stroked="t" coordsize="21600,21600" o:gfxdata="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nCYRu5AAAA3AAA&#10;AA8AAAAAAAAAAQAgAAAAIgAAAGRycy9kb3ducmV2LnhtbFBLAQIUABQAAAAIAIdO4kAzLwWeOwAA&#10;ADkAAAAQAAAAAAAAAAEAIAAAAAgBAABkcnMvc2hhcGV4bWwueG1sUEsFBgAAAAAGAAYAWwEAALID&#10;AAAAAA==&#10;">
                  <v:fill on="t" focussize="0,0"/>
                  <v:stroke weight="1pt" color="#0000C8" miterlimit="8" joinstyle="miter"/>
                  <v:imagedata o:title=""/>
                  <o:lock v:ext="edit" aspectratio="f"/>
                  <v:textbox inset="3mm,0mm,0mm,0mm">
                    <w:txbxContent>
                      <w:p w14:paraId="5D07DD2C">
                        <w:pPr>
                          <w:pStyle w:val="56"/>
                        </w:pPr>
                        <w:r>
                          <w:rPr>
                            <w:rFonts w:hint="eastAsia"/>
                          </w:rPr>
                          <w:t>成立</w:t>
                        </w:r>
                        <w:r>
                          <w:rPr>
                            <w:rFonts w:hint="eastAsia"/>
                            <w:lang w:val="en-US" w:eastAsia="zh-CN"/>
                          </w:rPr>
                          <w:t>绿色施工</w:t>
                        </w:r>
                        <w:r>
                          <w:rPr>
                            <w:rFonts w:hint="eastAsia"/>
                          </w:rPr>
                          <w:t>领导小组</w:t>
                        </w:r>
                      </w:p>
                    </w:txbxContent>
                  </v:textbox>
                </v:shape>
                <v:shape id="Text Box 2513" o:spid="_x0000_s1026" o:spt="202" type="#_x0000_t202" style="position:absolute;left:3045;top:0;height:302;width:2533;v-text-anchor:middle;" fillcolor="#C5E0B4 [1305]" filled="t" stroked="t" coordsize="21600,21600" o:gfxdata="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r+W+5AAAA3AAA&#10;AA8AAAAAAAAAAQAgAAAAIgAAAGRycy9kb3ducmV2LnhtbFBLAQIUABQAAAAIAIdO4kAzLwWeOwAA&#10;ADkAAAAQAAAAAAAAAAEAIAAAAAgBAABkcnMvc2hhcGV4bWwueG1sUEsFBgAAAAAGAAYAWwEAALID&#10;AAAAAA==&#10;">
                  <v:fill on="t" focussize="0,0"/>
                  <v:stroke weight="1pt" color="#0000C8" miterlimit="8" joinstyle="miter"/>
                  <v:imagedata o:title=""/>
                  <o:lock v:ext="edit" aspectratio="f"/>
                  <v:textbox inset="3mm,0mm,0mm,0mm">
                    <w:txbxContent>
                      <w:p w14:paraId="78749FC7">
                        <w:pPr>
                          <w:pStyle w:val="56"/>
                        </w:pPr>
                        <w:r>
                          <w:rPr>
                            <w:rFonts w:hint="eastAsia"/>
                            <w:lang w:val="en-US" w:eastAsia="zh-CN"/>
                          </w:rPr>
                          <w:t>环保节能</w:t>
                        </w:r>
                        <w:r>
                          <w:rPr>
                            <w:rFonts w:hint="eastAsia"/>
                          </w:rPr>
                          <w:t>知识宣传教育</w:t>
                        </w:r>
                      </w:p>
                    </w:txbxContent>
                  </v:textbox>
                </v:shape>
                <v:shape id="Text Box 2514" o:spid="_x0000_s1026" o:spt="202" type="#_x0000_t202" style="position:absolute;left:3045;top:453;height:303;width:2533;v-text-anchor:middle;" fillcolor="#C5E0B4 [1305]" filled="t" stroked="t" coordsize="21600,21600" o:gfxdata="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Z1z0ugAAANwA&#10;AAAPAAAAAAAAAAEAIAAAACIAAABkcnMvZG93bnJldi54bWxQSwECFAAUAAAACACHTuJAMy8FnjsA&#10;AAA5AAAAEAAAAAAAAAABACAAAAAJAQAAZHJzL3NoYXBleG1sLnhtbFBLBQYAAAAABgAGAFsBAACz&#10;AwAAAAA=&#10;">
                  <v:fill on="t" focussize="0,0"/>
                  <v:stroke weight="1pt" color="#0000C8" miterlimit="8" joinstyle="miter"/>
                  <v:imagedata o:title=""/>
                  <o:lock v:ext="edit" aspectratio="f"/>
                  <v:textbox inset="3mm,0mm,0mm,0mm">
                    <w:txbxContent>
                      <w:p w14:paraId="62336FD6">
                        <w:pPr>
                          <w:pStyle w:val="56"/>
                          <w:spacing w:line="240" w:lineRule="auto"/>
                        </w:pPr>
                        <w:r>
                          <w:rPr>
                            <w:rFonts w:hint="eastAsia"/>
                          </w:rPr>
                          <w:t>制定目标责任制</w:t>
                        </w:r>
                      </w:p>
                      <w:p w14:paraId="5032DDE7">
                        <w:pPr>
                          <w:pStyle w:val="56"/>
                        </w:pPr>
                      </w:p>
                    </w:txbxContent>
                  </v:textbox>
                </v:shape>
                <v:line id="Line 2515" o:spid="_x0000_s1026" o:spt="20" style="position:absolute;left:2707;top:158;height:447;width:0;" filled="f" stroked="t" coordsize="21600,21600" o:gfxdata="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8yeqC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16" o:spid="_x0000_s1026" o:spt="20" style="position:absolute;left:2707;top:158;height:0;width:338;" filled="f" stroked="t" coordsize="21600,21600" o:gfxdata="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HhS0m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17" o:spid="_x0000_s1026" o:spt="20" style="position:absolute;left:2707;top:605;height:0;width:338;" filled="f" stroked="t" coordsize="21600,21600" o:gfxdata="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43y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18" o:spid="_x0000_s1026" o:spt="20" style="position:absolute;left:1001;top:2039;height:0;width:143;" filled="f" stroked="t" coordsize="21600,21600" o:gfxdata="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63KGm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shape id="Text Box 2519" o:spid="_x0000_s1026" o:spt="202" type="#_x0000_t202" style="position:absolute;left:1144;top:1887;height:303;width:1352;v-text-anchor:middle;" fillcolor="#C5E0B4 [1305]" filled="t" stroked="t" coordsize="21600,21600" o:gfxdata="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1IobbsAAADc&#10;AAAADwAAAAAAAAABACAAAAAiAAAAZHJzL2Rvd25yZXYueG1sUEsBAhQAFAAAAAgAh07iQDMvBZ47&#10;AAAAOQAAABAAAAAAAAAAAQAgAAAACgEAAGRycy9zaGFwZXhtbC54bWxQSwUGAAAAAAYABgBbAQAA&#10;tAMAAAAA&#10;">
                  <v:fill on="t" focussize="0,0"/>
                  <v:stroke weight="1pt" color="#0000C8" miterlimit="8" joinstyle="miter"/>
                  <v:imagedata o:title=""/>
                  <o:lock v:ext="edit" aspectratio="f"/>
                  <v:textbox inset="0mm,0mm,0mm,0mm">
                    <w:txbxContent>
                      <w:p w14:paraId="532BAA36">
                        <w:pPr>
                          <w:pStyle w:val="56"/>
                        </w:pPr>
                        <w:r>
                          <w:rPr>
                            <w:rFonts w:hint="eastAsia"/>
                          </w:rPr>
                          <w:t>技术保证</w:t>
                        </w:r>
                      </w:p>
                    </w:txbxContent>
                  </v:textbox>
                </v:shape>
                <v:line id="Line 2520" o:spid="_x0000_s1026" o:spt="20" style="position:absolute;left:2496;top:2039;height:0;width:549;" filled="f" stroked="t" coordsize="21600,21600" o:gfxdata="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FesB2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shape id="Text Box 2521" o:spid="_x0000_s1026" o:spt="202" type="#_x0000_t202" style="position:absolute;left:3045;top:1887;height:303;width:3390;v-text-anchor:middle;" fillcolor="#C5E0B4 [1305]" filled="t" stroked="t" coordsize="21600,21600" o:gfxdata="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la2lugAAANwA&#10;AAAPAAAAAAAAAAEAIAAAACIAAABkcnMvZG93bnJldi54bWxQSwECFAAUAAAACACHTuJAMy8FnjsA&#10;AAA5AAAAEAAAAAAAAAABACAAAAAJAQAAZHJzL3NoYXBleG1sLnhtbFBLBQYAAAAABgAGAFsBAACz&#10;AwAAAAA=&#10;">
                  <v:fill on="t" focussize="0,0"/>
                  <v:stroke weight="1pt" color="#0000C8" miterlimit="8" joinstyle="miter"/>
                  <v:imagedata o:title=""/>
                  <o:lock v:ext="edit" aspectratio="f"/>
                  <v:textbox inset="3mm,0mm,0mm,0mm">
                    <w:txbxContent>
                      <w:p w14:paraId="3AA0294F">
                        <w:pPr>
                          <w:pStyle w:val="56"/>
                          <w:rPr>
                            <w:rFonts w:hint="eastAsia" w:eastAsia="宋体"/>
                            <w:lang w:eastAsia="zh-CN"/>
                          </w:rPr>
                        </w:pPr>
                        <w:r>
                          <w:rPr>
                            <w:rFonts w:hint="eastAsia"/>
                          </w:rPr>
                          <w:t>制定实施</w:t>
                        </w:r>
                        <w:r>
                          <w:rPr>
                            <w:rFonts w:hint="eastAsia"/>
                            <w:lang w:val="en-US" w:eastAsia="zh-CN"/>
                          </w:rPr>
                          <w:t>性绿色施工措施</w:t>
                        </w:r>
                      </w:p>
                    </w:txbxContent>
                  </v:textbox>
                </v:shape>
                <v:shape id="Text Box 2522" o:spid="_x0000_s1026" o:spt="202" type="#_x0000_t202" style="position:absolute;left:3045;top:1510;height:303;width:3390;v-text-anchor:middle;" fillcolor="#C5E0B4 [1305]" filled="t" stroked="t" coordsize="21600,21600" o:gfxdata="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Qo517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3mm,0mm,0mm,0mm">
                    <w:txbxContent>
                      <w:p w14:paraId="3E2ADBE3">
                        <w:pPr>
                          <w:pStyle w:val="56"/>
                        </w:pPr>
                        <w:r>
                          <w:rPr>
                            <w:rFonts w:hint="eastAsia"/>
                            <w:lang w:val="en-US" w:eastAsia="zh-CN"/>
                          </w:rPr>
                          <w:t>组织</w:t>
                        </w:r>
                        <w:r>
                          <w:rPr>
                            <w:rFonts w:hint="eastAsia"/>
                          </w:rPr>
                          <w:t>员工培训</w:t>
                        </w:r>
                      </w:p>
                    </w:txbxContent>
                  </v:textbox>
                </v:shape>
                <v:line id="Line 2523" o:spid="_x0000_s1026" o:spt="20" style="position:absolute;left:2707;top:1659;height:767;width:0;" filled="f" stroked="t" coordsize="21600,21600" o:gfxdata="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vCDDugAAANwA&#10;AAAPAAAAAAAAAAEAIAAAACIAAABkcnMvZG93bnJldi54bWxQSwECFAAUAAAACACHTuJAMy8FnjsA&#10;AAA5AAAAEAAAAAAAAAABACAAAAAJAQAAZHJzL3NoYXBleG1sLnhtbFBLBQYAAAAABgAGAFsBAACz&#10;AwAAAAA=&#10;">
                  <v:fill on="f" focussize="0,0"/>
                  <v:stroke weight="1pt" color="#0000C8" joinstyle="round"/>
                  <v:imagedata o:title=""/>
                  <o:lock v:ext="edit" aspectratio="f"/>
                </v:line>
                <v:line id="Line 2524" o:spid="_x0000_s1026" o:spt="20" style="position:absolute;left:2707;top:1659;height:0;width:338;" filled="f" stroked="t" coordsize="21600,21600" o:gfxdata="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MdXEr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25" o:spid="_x0000_s1026" o:spt="20" style="position:absolute;left:1001;top:3110;height:0;width:143;" filled="f" stroked="t" coordsize="21600,21600" o:gfxdata="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kTQy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526" o:spid="_x0000_s1026" o:spt="202" type="#_x0000_t202" style="position:absolute;left:1144;top:2959;height:303;width:1352;v-text-anchor:middle;" fillcolor="#C5E0B4 [1305]" filled="t" stroked="t" coordsize="21600,21600" o:gfxdata="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U8yNbsAAADc&#10;AAAADwAAAAAAAAABACAAAAAiAAAAZHJzL2Rvd25yZXYueG1sUEsBAhQAFAAAAAgAh07iQDMvBZ47&#10;AAAAOQAAABAAAAAAAAAAAQAgAAAACgEAAGRycy9zaGFwZXhtbC54bWxQSwUGAAAAAAYABgBbAQAA&#10;tAMAAAAA&#10;">
                  <v:fill on="t" focussize="0,0"/>
                  <v:stroke weight="1pt" color="#0000C8" miterlimit="8" joinstyle="miter"/>
                  <v:imagedata o:title=""/>
                  <o:lock v:ext="edit" aspectratio="f"/>
                  <v:textbox inset="0mm,0mm,0mm,0mm">
                    <w:txbxContent>
                      <w:p w14:paraId="4A98C996">
                        <w:pPr>
                          <w:pStyle w:val="56"/>
                        </w:pPr>
                        <w:r>
                          <w:rPr>
                            <w:rFonts w:hint="eastAsia"/>
                          </w:rPr>
                          <w:t>制度保证</w:t>
                        </w:r>
                      </w:p>
                    </w:txbxContent>
                  </v:textbox>
                </v:shape>
                <v:shape id="Text Box 2527" o:spid="_x0000_s1026" o:spt="202" type="#_x0000_t202" style="position:absolute;left:3045;top:3111;height:303;width:3390;v-text-anchor:middle;" fillcolor="#C5E0B4 [1305]" filled="t" stroked="t" coordsize="21600,21600" o:gfxdata="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iLf9ugAAANwA&#10;AAAPAAAAAAAAAAEAIAAAACIAAABkcnMvZG93bnJldi54bWxQSwECFAAUAAAACACHTuJAMy8FnjsA&#10;AAA5AAAAEAAAAAAAAAABACAAAAAJAQAAZHJzL3NoYXBleG1sLnhtbFBLBQYAAAAABgAGAFsBAACz&#10;AwAAAAA=&#10;">
                  <v:fill on="t" focussize="0,0"/>
                  <v:stroke weight="1pt" color="#0000C8" miterlimit="8" joinstyle="miter"/>
                  <v:imagedata o:title=""/>
                  <o:lock v:ext="edit" aspectratio="f"/>
                  <v:textbox inset="3mm,0mm,0mm,0mm">
                    <w:txbxContent>
                      <w:p w14:paraId="1A75533B">
                        <w:pPr>
                          <w:pStyle w:val="56"/>
                        </w:pPr>
                        <w:r>
                          <w:rPr>
                            <w:rFonts w:hint="eastAsia"/>
                          </w:rPr>
                          <w:t>公司、项目部相关规章制度</w:t>
                        </w:r>
                      </w:p>
                    </w:txbxContent>
                  </v:textbox>
                </v:shape>
                <v:shape id="Text Box 2528" o:spid="_x0000_s1026" o:spt="202" type="#_x0000_t202" style="position:absolute;left:3045;top:2734;height:303;width:3390;v-text-anchor:middle;" fillcolor="#C5E0B4 [1305]" filled="t" stroked="t" coordsize="21600,21600" o:gfxdata="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s7H+ugAAANwA&#10;AAAPAAAAAAAAAAEAIAAAACIAAABkcnMvZG93bnJldi54bWxQSwECFAAUAAAACACHTuJAMy8FnjsA&#10;AAA5AAAAEAAAAAAAAAABACAAAAAJAQAAZHJzL3NoYXBleG1sLnhtbFBLBQYAAAAABgAGAFsBAACz&#10;AwAAAAA=&#10;">
                  <v:fill on="t" focussize="0,0"/>
                  <v:stroke weight="1pt" color="#0000C8" miterlimit="8" joinstyle="miter"/>
                  <v:imagedata o:title=""/>
                  <o:lock v:ext="edit" aspectratio="f"/>
                  <v:textbox inset="3mm,0mm,0mm,0mm">
                    <w:txbxContent>
                      <w:p w14:paraId="5BE4169B">
                        <w:pPr>
                          <w:pStyle w:val="56"/>
                        </w:pPr>
                        <w:r>
                          <w:rPr>
                            <w:rFonts w:hint="eastAsia"/>
                          </w:rPr>
                          <w:t>国家、相关部委相关法律、法规</w:t>
                        </w:r>
                      </w:p>
                    </w:txbxContent>
                  </v:textbox>
                </v:shape>
                <v:line id="Line 2529" o:spid="_x0000_s1026" o:spt="20" style="position:absolute;left:2707;top:2883;height:379;width:0;" filled="f" stroked="t" coordsize="21600,21600" o:gfxdata="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IeKxGugAAANwA&#10;AAAPAAAAAAAAAAEAIAAAACIAAABkcnMvZG93bnJldi54bWxQSwECFAAUAAAACACHTuJAMy8FnjsA&#10;AAA5AAAAEAAAAAAAAAABACAAAAAJAQAAZHJzL3NoYXBleG1sLnhtbFBLBQYAAAAABgAGAFsBAACz&#10;AwAAAAA=&#10;">
                  <v:fill on="f" focussize="0,0"/>
                  <v:stroke weight="1pt" color="#0000C8" joinstyle="round"/>
                  <v:imagedata o:title=""/>
                  <o:lock v:ext="edit" aspectratio="f"/>
                </v:line>
                <v:line id="Line 2530" o:spid="_x0000_s1026" o:spt="20" style="position:absolute;left:2707;top:2883;height:0;width:338;" filled="f" stroked="t" coordsize="21600,21600" o:gfxdata="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q52vugAAANwA&#10;AAAPAAAAAAAAAAEAIAAAACIAAABkcnMvZG93bnJldi54bWxQSwECFAAUAAAACACHTuJAMy8FnjsA&#10;AAA5AAAAEAAAAAAAAAABACAAAAAJAQAAZHJzL3NoYXBleG1sLnhtbFBLBQYAAAAABgAGAFsBAACz&#10;AwAAAAA=&#10;">
                  <v:fill on="f" focussize="0,0"/>
                  <v:stroke weight="1pt" color="#0000C8" joinstyle="round"/>
                  <v:imagedata o:title=""/>
                  <o:lock v:ext="edit" aspectratio="f"/>
                </v:line>
                <v:line id="Line 2531" o:spid="_x0000_s1026" o:spt="20" style="position:absolute;left:1001;top:4125;height:0;width:143;" filled="f" stroked="t" coordsize="21600,21600" o:gfxdata="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SKLv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532" o:spid="_x0000_s1026" o:spt="202" type="#_x0000_t202" style="position:absolute;left:1144;top:3973;height:304;width:1352;v-text-anchor:middle;" fillcolor="#C5E0B4 [1305]" filled="t" stroked="t" coordsize="21600,21600" o:gfxdata="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5ukgugAAANwA&#10;AAAPAAAAAAAAAAEAIAAAACIAAABkcnMvZG93bnJldi54bWxQSwECFAAUAAAACACHTuJAMy8FnjsA&#10;AAA5AAAAEAAAAAAAAAABACAAAAAJAQAAZHJzL3NoYXBleG1sLnhtbFBLBQYAAAAABgAGAFsBAACz&#10;AwAAAAA=&#10;">
                  <v:fill on="t" focussize="0,0"/>
                  <v:stroke weight="1pt" color="#0000C8" miterlimit="8" joinstyle="miter"/>
                  <v:imagedata o:title=""/>
                  <o:lock v:ext="edit" aspectratio="f"/>
                  <v:textbox inset="0mm,0mm,0mm,0mm">
                    <w:txbxContent>
                      <w:p w14:paraId="4445B9F4">
                        <w:pPr>
                          <w:pStyle w:val="56"/>
                        </w:pPr>
                        <w:r>
                          <w:rPr>
                            <w:rFonts w:hint="eastAsia"/>
                          </w:rPr>
                          <w:t>施工保证</w:t>
                        </w:r>
                      </w:p>
                    </w:txbxContent>
                  </v:textbox>
                </v:shape>
                <v:line id="Line 2533" o:spid="_x0000_s1026" o:spt="20" style="position:absolute;left:2496;top:4125;height:0;width:549;" filled="f" stroked="t" coordsize="21600,21600" o:gfxdata="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mp3tVugAAANwA&#10;AAAPAAAAAAAAAAEAIAAAACIAAABkcnMvZG93bnJldi54bWxQSwECFAAUAAAACACHTuJAMy8FnjsA&#10;AAA5AAAAEAAAAAAAAAABACAAAAAJAQAAZHJzL3NoYXBleG1sLnhtbFBLBQYAAAAABgAGAFsBAACz&#10;AwAAAAA=&#10;">
                  <v:fill on="f" focussize="0,0"/>
                  <v:stroke weight="1pt" color="#0000C8" joinstyle="round"/>
                  <v:imagedata o:title=""/>
                  <o:lock v:ext="edit" aspectratio="f"/>
                </v:line>
                <v:shape id="Text Box 2534" o:spid="_x0000_s1026" o:spt="202" type="#_x0000_t202" style="position:absolute;left:3045;top:3973;height:304;width:3040;v-text-anchor:middle;" fillcolor="#C5E0B4 [1305]" filled="t" stroked="t" coordsize="21600,21600" o:gfxdata="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D/Da8AAAA&#10;3AAAAA8AAAAAAAAAAQAgAAAAIgAAAGRycy9kb3ducmV2LnhtbFBLAQIUABQAAAAIAIdO4kAzLwWe&#10;OwAAADkAAAAQAAAAAAAAAAEAIAAAAAsBAABkcnMvc2hhcGV4bWwueG1sUEsFBgAAAAAGAAYAWwEA&#10;ALUDAAAAAA==&#10;">
                  <v:fill on="t" focussize="0,0"/>
                  <v:stroke weight="1pt" color="#0000C8" miterlimit="8" joinstyle="miter"/>
                  <v:imagedata o:title=""/>
                  <o:lock v:ext="edit" aspectratio="f"/>
                  <v:textbox inset="3mm,0mm,0mm,0mm">
                    <w:txbxContent>
                      <w:p w14:paraId="1E10DC6A">
                        <w:pPr>
                          <w:pStyle w:val="56"/>
                        </w:pPr>
                        <w:r>
                          <w:rPr>
                            <w:rFonts w:hint="eastAsia"/>
                            <w:lang w:val="en-US" w:eastAsia="zh-CN"/>
                          </w:rPr>
                          <w:t>绿色</w:t>
                        </w:r>
                        <w:r>
                          <w:rPr>
                            <w:rFonts w:hint="eastAsia"/>
                          </w:rPr>
                          <w:t>施工工艺保证</w:t>
                        </w:r>
                      </w:p>
                    </w:txbxContent>
                  </v:textbox>
                </v:shape>
                <v:shape id="Text Box 2535" o:spid="_x0000_s1026" o:spt="202" type="#_x0000_t202" style="position:absolute;left:3045;top:3596;height:303;width:3040;v-text-anchor:middle;" fillcolor="#C5E0B4 [1305]" filled="t" stroked="t" coordsize="21600,21600" o:gfxdata="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uPWa25AAAA3AAA&#10;AA8AAAAAAAAAAQAgAAAAIgAAAGRycy9kb3ducmV2LnhtbFBLAQIUABQAAAAIAIdO4kAzLwWeOwAA&#10;ADkAAAAQAAAAAAAAAAEAIAAAAAgBAABkcnMvc2hhcGV4bWwueG1sUEsFBgAAAAAGAAYAWwEAALID&#10;AAAAAA==&#10;">
                  <v:fill on="t" focussize="0,0"/>
                  <v:stroke weight="1pt" color="#0000C8" miterlimit="8" joinstyle="miter"/>
                  <v:imagedata o:title=""/>
                  <o:lock v:ext="edit" aspectratio="f"/>
                  <v:textbox inset="3mm,0mm,0mm,0mm">
                    <w:txbxContent>
                      <w:p w14:paraId="75DA740F">
                        <w:pPr>
                          <w:pStyle w:val="56"/>
                        </w:pPr>
                        <w:r>
                          <w:rPr>
                            <w:rFonts w:hint="eastAsia"/>
                          </w:rPr>
                          <w:t>落实岗位责任制</w:t>
                        </w:r>
                      </w:p>
                    </w:txbxContent>
                  </v:textbox>
                </v:shape>
                <v:shape id="Text Box 2536" o:spid="_x0000_s1026" o:spt="202" type="#_x0000_t202" style="position:absolute;left:3045;top:4353;height:302;width:3040;v-text-anchor:middle;" fillcolor="#C5E0B4 [1305]" filled="t" stroked="t" coordsize="21600,21600" o:gfxdata="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7XcfaugAAANwA&#10;AAAPAAAAAAAAAAEAIAAAACIAAABkcnMvZG93bnJldi54bWxQSwECFAAUAAAACACHTuJAMy8FnjsA&#10;AAA5AAAAEAAAAAAAAAABACAAAAAJAQAAZHJzL3NoYXBleG1sLnhtbFBLBQYAAAAABgAGAFsBAACz&#10;AwAAAAA=&#10;">
                  <v:fill on="t" focussize="0,0"/>
                  <v:stroke weight="1pt" color="#0000C8" miterlimit="8" joinstyle="miter"/>
                  <v:imagedata o:title=""/>
                  <o:lock v:ext="edit" aspectratio="f"/>
                  <v:textbox inset="3mm,0mm,0mm,0mm">
                    <w:txbxContent>
                      <w:p w14:paraId="00F8951E">
                        <w:pPr>
                          <w:pStyle w:val="56"/>
                        </w:pPr>
                        <w:r>
                          <w:rPr>
                            <w:rFonts w:hint="eastAsia"/>
                          </w:rPr>
                          <w:t>物资设备保证</w:t>
                        </w:r>
                      </w:p>
                    </w:txbxContent>
                  </v:textbox>
                </v:shape>
                <v:line id="Line 2537" o:spid="_x0000_s1026" o:spt="20" style="position:absolute;left:2707;top:3747;height:1180;width:0;" filled="f" stroked="t" coordsize="21600,21600" o:gfxdata="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X9CFr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38" o:spid="_x0000_s1026" o:spt="20" style="position:absolute;left:2707;top:3747;height:0;width:338;" filled="f" stroked="t" coordsize="21600,21600" o:gfxdata="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jPnjb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39" o:spid="_x0000_s1026" o:spt="20" style="position:absolute;left:2707;top:4504;height:0;width:338;" filled="f" stroked="t" coordsize="21600,21600" o:gfxdata="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4Xn6ugAAANwA&#10;AAAPAAAAAAAAAAEAIAAAACIAAABkcnMvZG93bnJldi54bWxQSwECFAAUAAAACACHTuJAMy8FnjsA&#10;AAA5AAAAEAAAAAAAAAABACAAAAAJAQAAZHJzL3NoYXBleG1sLnhtbFBLBQYAAAAABgAGAFsBAACz&#10;AwAAAAA=&#10;">
                  <v:fill on="f" focussize="0,0"/>
                  <v:stroke weight="1pt" color="#0000C8" joinstyle="round"/>
                  <v:imagedata o:title=""/>
                  <o:lock v:ext="edit" aspectratio="f"/>
                </v:line>
                <v:line id="Line 2540" o:spid="_x0000_s1026" o:spt="20" style="position:absolute;left:2566;top:358;height:0;width:141;" filled="f" stroked="t" coordsize="21600,21600" o:gfxdata="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a3cYb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shape id="Text Box 2541" o:spid="_x0000_s1026" o:spt="202" type="#_x0000_t202" style="position:absolute;left:3045;top:2276;height:303;width:3390;v-text-anchor:middle;" fillcolor="#C5E0B4 [1305]" filled="t" stroked="t" coordsize="21600,21600" o:gfxdata="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q18DC8AAAA&#10;3AAAAA8AAAAAAAAAAQAgAAAAIgAAAGRycy9kb3ducmV2LnhtbFBLAQIUABQAAAAIAIdO4kAzLwWe&#10;OwAAADkAAAAQAAAAAAAAAAEAIAAAAAsBAABkcnMvc2hhcGV4bWwueG1sUEsFBgAAAAAGAAYAWwEA&#10;ALUDAAAAAA==&#10;">
                  <v:fill on="t" focussize="0,0"/>
                  <v:stroke weight="1pt" color="#0000C8" miterlimit="8" joinstyle="miter"/>
                  <v:imagedata o:title=""/>
                  <o:lock v:ext="edit" aspectratio="f"/>
                  <v:textbox inset="3mm,0mm,0mm,0mm">
                    <w:txbxContent>
                      <w:p w14:paraId="6F0C9FBA">
                        <w:pPr>
                          <w:pStyle w:val="56"/>
                          <w:rPr>
                            <w:rFonts w:hint="default" w:eastAsia="宋体"/>
                            <w:lang w:val="en-US" w:eastAsia="zh-CN"/>
                          </w:rPr>
                        </w:pPr>
                        <w:r>
                          <w:rPr>
                            <w:rFonts w:hint="eastAsia"/>
                            <w:lang w:val="en-US" w:eastAsia="zh-CN"/>
                          </w:rPr>
                          <w:t>按照设计和施组内容进行落实</w:t>
                        </w:r>
                      </w:p>
                    </w:txbxContent>
                  </v:textbox>
                </v:shape>
                <v:line id="Line 2542" o:spid="_x0000_s1026" o:spt="20" style="position:absolute;left:2707;top:2426;height:0;width:338;" filled="f" stroked="t" coordsize="21600,21600" o:gfxdata="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fu2IugAAANwA&#10;AAAPAAAAAAAAAAEAIAAAACIAAABkcnMvZG93bnJldi54bWxQSwECFAAUAAAACACHTuJAMy8FnjsA&#10;AAA5AAAAEAAAAAAAAAABACAAAAAJAQAAZHJzL3NoYXBleG1sLnhtbFBLBQYAAAAABgAGAFsBAACz&#10;AwAAAAA=&#10;">
                  <v:fill on="f" focussize="0,0"/>
                  <v:stroke weight="1pt" color="#0000C8" joinstyle="round"/>
                  <v:imagedata o:title=""/>
                  <o:lock v:ext="edit" aspectratio="f"/>
                </v:line>
                <v:shape id="Text Box 2543" o:spid="_x0000_s1026" o:spt="202" type="#_x0000_t202" style="position:absolute;left:3045;top:4776;height:303;width:3040;v-text-anchor:middle;" fillcolor="#C5E0B4 [1305]" filled="t" stroked="t" coordsize="21600,21600" o:gfxdata="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wIzbsAAADc&#10;AAAADwAAAAAAAAABACAAAAAiAAAAZHJzL2Rvd25yZXYueG1sUEsBAhQAFAAAAAgAh07iQDMvBZ47&#10;AAAAOQAAABAAAAAAAAAAAQAgAAAACgEAAGRycy9zaGFwZXhtbC54bWxQSwUGAAAAAAYABgBbAQAA&#10;tAMAAAAA&#10;">
                  <v:fill on="t" focussize="0,0"/>
                  <v:stroke weight="1pt" color="#0000C8" miterlimit="8" joinstyle="miter"/>
                  <v:imagedata o:title=""/>
                  <o:lock v:ext="edit" aspectratio="f"/>
                  <v:textbox inset="3mm,0mm,0mm,0mm">
                    <w:txbxContent>
                      <w:p w14:paraId="78A7CE60">
                        <w:pPr>
                          <w:pStyle w:val="56"/>
                        </w:pPr>
                        <w:r>
                          <w:rPr>
                            <w:rFonts w:hint="eastAsia"/>
                          </w:rPr>
                          <w:t>监督、检查、改进</w:t>
                        </w:r>
                      </w:p>
                    </w:txbxContent>
                  </v:textbox>
                </v:shape>
                <v:line id="Line 2544" o:spid="_x0000_s1026" o:spt="20" style="position:absolute;left:2707;top:4927;height:0;width:338;" filled="f" stroked="t" coordsize="21600,21600" o:gfxdata="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4nFXW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45" o:spid="_x0000_s1026" o:spt="20" style="position:absolute;left:2707;top:3262;height:0;width:338;" filled="f" stroked="t" coordsize="21600,21600" o:gfxdata="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9YsC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46" o:spid="_x0000_s1026" o:spt="20" style="position:absolute;left:2496;top:3111;flip:y;height:0;width:211;" filled="f" stroked="t" coordsize="21600,21600" o:gfxdata="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aP+7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47" o:spid="_x0000_s1026" o:spt="20" style="position:absolute;left:5578;top:171;flip:y;height:0;width:1200;" filled="f" stroked="t" coordsize="21600,21600" o:gfxdata="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gWfP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48" o:spid="_x0000_s1026" o:spt="20" style="position:absolute;left:5578;top:605;height:0;width:1205;" filled="f" stroked="t" coordsize="21600,21600" o:gfxdata="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cE3a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49" o:spid="_x0000_s1026" o:spt="20" style="position:absolute;left:5573;top:1142;height:0;width:1372;" filled="f" stroked="t" coordsize="21600,21600" o:gfxdata="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HOjQG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50" o:spid="_x0000_s1026" o:spt="20" style="position:absolute;left:6435;top:1659;height:0;width:338;" filled="f" stroked="t" coordsize="21600,21600" o:gfxdata="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giia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51" o:spid="_x0000_s1026" o:spt="20" style="position:absolute;left:6440;top:2039;height:0;width:495;" filled="f" stroked="t" coordsize="21600,21600" o:gfxdata="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8dvOi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52" o:spid="_x0000_s1026" o:spt="20" style="position:absolute;left:6435;top:2438;height:0;width:338;" filled="f" stroked="t" coordsize="21600,21600" o:gfxdata="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URlz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53" o:spid="_x0000_s1026" o:spt="20" style="position:absolute;left:6773;top:1659;height:779;width:0;" filled="f" stroked="t" coordsize="21600,21600" o:gfxdata="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LImM7gAAADcAAAA&#10;DwAAAAAAAAABACAAAAAiAAAAZHJzL2Rvd25yZXYueG1sUEsBAhQAFAAAAAgAh07iQDMvBZ47AAAA&#10;OQAAABAAAAAAAAAAAQAgAAAABwEAAGRycy9zaGFwZXhtbC54bWxQSwUGAAAAAAYABgBbAQAAsQMA&#10;AAAA&#10;">
                  <v:fill on="f" focussize="0,0"/>
                  <v:stroke weight="1pt" color="#0000C8" joinstyle="round"/>
                  <v:imagedata o:title=""/>
                  <o:lock v:ext="edit" aspectratio="f"/>
                </v:line>
                <v:line id="Line 2554" o:spid="_x0000_s1026" o:spt="20" style="position:absolute;left:6435;top:2883;height:0;width:338;" filled="f" stroked="t" coordsize="21600,21600" o:gfxdata="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v+g6i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55" o:spid="_x0000_s1026" o:spt="20" style="position:absolute;left:6440;top:3262;height:0;width:338;" filled="f" stroked="t" coordsize="21600,21600" o:gfxdata="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ywd37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56" o:spid="_x0000_s1026" o:spt="20" style="position:absolute;left:6783;top:2883;height:379;width:0;" filled="f" stroked="t" coordsize="21600,21600" o:gfxdata="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guES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57" o:spid="_x0000_s1026" o:spt="20" style="position:absolute;left:6783;top:3057;height:0;width:152;" filled="f" stroked="t" coordsize="21600,21600" o:gfxdata="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JIDC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58" o:spid="_x0000_s1026" o:spt="20" style="position:absolute;left:6783;top:171;height:434;width:0;" filled="f" stroked="t" coordsize="21600,21600" o:gfxdata="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TFhau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59" o:spid="_x0000_s1026" o:spt="20" style="position:absolute;left:6783;top:407;height:0;width:162;" filled="f" stroked="t" coordsize="21600,21600" o:gfxdata="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Bcb3L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60" o:spid="_x0000_s1026" o:spt="20" style="position:absolute;left:6102;top:3747;height:0;width:654;" filled="f" stroked="t" coordsize="21600,21600" o:gfxdata="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QqNbgAAADcAAAA&#10;DwAAAAAAAAABACAAAAAiAAAAZHJzL2Rvd25yZXYueG1sUEsBAhQAFAAAAAgAh07iQDMvBZ47AAAA&#10;OQAAABAAAAAAAAAAAQAgAAAABwEAAGRycy9zaGFwZXhtbC54bWxQSwUGAAAAAAYABgBbAQAAsQMA&#10;AAAA&#10;">
                  <v:fill on="f" focussize="0,0"/>
                  <v:stroke weight="1pt" color="#0000C8" joinstyle="round"/>
                  <v:imagedata o:title=""/>
                  <o:lock v:ext="edit" aspectratio="f"/>
                </v:line>
                <v:line id="Line 2561" o:spid="_x0000_s1026" o:spt="20" style="position:absolute;left:6085;top:4125;height:0;width:671;" filled="f" stroked="t" coordsize="21600,21600" o:gfxdata="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Ij66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62" o:spid="_x0000_s1026" o:spt="20" style="position:absolute;left:6085;top:4504;height:0;width:671;" filled="f" stroked="t" coordsize="21600,21600" o:gfxdata="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t7sjrgAAADcAAAA&#10;DwAAAAAAAAABACAAAAAiAAAAZHJzL2Rvd25yZXYueG1sUEsBAhQAFAAAAAgAh07iQDMvBZ47AAAA&#10;OQAAABAAAAAAAAAAAQAgAAAABwEAAGRycy9zaGFwZXhtbC54bWxQSwUGAAAAAAYABgBbAQAAsQMA&#10;AAAA&#10;">
                  <v:fill on="f" focussize="0,0"/>
                  <v:stroke weight="1pt" color="#0000C8" joinstyle="round"/>
                  <v:imagedata o:title=""/>
                  <o:lock v:ext="edit" aspectratio="f"/>
                </v:line>
                <v:line id="Line 2563" o:spid="_x0000_s1026" o:spt="20" style="position:absolute;left:6085;top:4927;height:0;width:671;" filled="f" stroked="t" coordsize="21600,21600" o:gfxdata="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ZJJFb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64" o:spid="_x0000_s1026" o:spt="20" style="position:absolute;left:6756;top:3747;height:1180;width:0;" filled="f" stroked="t" coordsize="21600,21600" o:gfxdata="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QNdi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65" o:spid="_x0000_s1026" o:spt="20" style="position:absolute;left:6756;top:4353;height:0;width:189;" filled="f" stroked="t" coordsize="21600,21600" o:gfxdata="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Xl6o2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66" o:spid="_x0000_s1026" o:spt="20" style="position:absolute;left:6945;top:407;height:3946;width:0;" filled="f" stroked="t" coordsize="21600,21600" o:gfxdata="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qpTxa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67" o:spid="_x0000_s1026" o:spt="20" style="position:absolute;left:6945;top:2438;height:0;width:152;" filled="f" stroked="t" coordsize="21600,21600" o:gfxdata="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nvRYb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shape id="Text Box 2568" o:spid="_x0000_s1026" o:spt="202" type="#_x0000_t202" style="position:absolute;left:7097;top:1324;height:2272;width:804;v-text-anchor:middle;" fillcolor="#C5E0B4 [1305]" filled="t" stroked="t" coordsize="21600,21600" o:gfxdata="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pddm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481389A2">
                        <w:pPr>
                          <w:pStyle w:val="56"/>
                          <w:rPr>
                            <w:rFonts w:hint="eastAsia"/>
                            <w:lang w:val="en-US" w:eastAsia="zh-CN"/>
                          </w:rPr>
                        </w:pPr>
                        <w:r>
                          <w:rPr>
                            <w:rFonts w:hint="eastAsia"/>
                            <w:lang w:val="en-US" w:eastAsia="zh-CN"/>
                          </w:rPr>
                          <w:t>绿色</w:t>
                        </w:r>
                      </w:p>
                      <w:p w14:paraId="32E523FA">
                        <w:pPr>
                          <w:pStyle w:val="56"/>
                          <w:rPr>
                            <w:rFonts w:hint="eastAsia"/>
                          </w:rPr>
                        </w:pPr>
                        <w:r>
                          <w:rPr>
                            <w:rFonts w:hint="eastAsia"/>
                          </w:rPr>
                          <w:t>施工</w:t>
                        </w:r>
                      </w:p>
                      <w:p w14:paraId="48A2686C">
                        <w:pPr>
                          <w:pStyle w:val="56"/>
                        </w:pPr>
                        <w:r>
                          <w:rPr>
                            <w:rFonts w:hint="eastAsia"/>
                          </w:rPr>
                          <w:t>达标</w:t>
                        </w:r>
                      </w:p>
                    </w:txbxContent>
                  </v:textbox>
                </v:shape>
                <w10:wrap type="none"/>
                <w10:anchorlock/>
              </v:group>
            </w:pict>
          </mc:Fallback>
        </mc:AlternateContent>
      </w:r>
    </w:p>
    <w:p w14:paraId="3684FD76">
      <w:pPr>
        <w:pStyle w:val="42"/>
        <w:bidi w:val="0"/>
        <w:rPr>
          <w:rFonts w:hint="eastAsia" w:ascii="宋体" w:hAnsi="宋体" w:eastAsia="宋体" w:cs="宋体"/>
          <w:highlight w:val="none"/>
        </w:rPr>
      </w:pPr>
      <w:r>
        <w:rPr>
          <w:rFonts w:hint="eastAsia" w:ascii="宋体" w:hAnsi="宋体" w:eastAsia="宋体" w:cs="宋体"/>
          <w:highlight w:val="none"/>
          <w:lang w:val="en-US" w:eastAsia="zh-CN"/>
        </w:rPr>
        <w:t>图7</w:t>
      </w:r>
      <w:r>
        <w:rPr>
          <w:rFonts w:hint="eastAsia" w:ascii="宋体" w:hAnsi="宋体" w:eastAsia="宋体" w:cs="宋体"/>
          <w:highlight w:val="none"/>
        </w:rPr>
        <w:t>.1.</w:t>
      </w:r>
      <w:r>
        <w:rPr>
          <w:rFonts w:hint="eastAsia" w:ascii="宋体" w:hAnsi="宋体" w:eastAsia="宋体" w:cs="宋体"/>
          <w:highlight w:val="none"/>
          <w:lang w:val="en-US" w:eastAsia="zh-CN"/>
        </w:rPr>
        <w:t>3-1 绿色施工</w:t>
      </w:r>
      <w:r>
        <w:rPr>
          <w:rFonts w:hint="eastAsia" w:ascii="宋体" w:hAnsi="宋体" w:eastAsia="宋体" w:cs="宋体"/>
          <w:highlight w:val="none"/>
        </w:rPr>
        <w:t>保证体系图</w:t>
      </w:r>
    </w:p>
    <w:p w14:paraId="2B775056">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r>
        <w:rPr>
          <w:rFonts w:hint="eastAsia" w:ascii="宋体" w:hAnsi="宋体" w:eastAsia="宋体" w:cs="宋体"/>
          <w:highlight w:val="none"/>
        </w:rPr>
        <w:t>临时设施环境保护</w:t>
      </w:r>
      <w:r>
        <w:rPr>
          <w:rFonts w:hint="eastAsia" w:ascii="宋体" w:hAnsi="宋体" w:eastAsia="宋体" w:cs="宋体"/>
          <w:highlight w:val="none"/>
          <w:lang w:val="en-US" w:eastAsia="zh-CN"/>
        </w:rPr>
        <w:t>措施</w:t>
      </w:r>
    </w:p>
    <w:p w14:paraId="450E5B8D">
      <w:pPr>
        <w:bidi w:val="0"/>
        <w:ind w:firstLine="480" w:firstLineChars="200"/>
        <w:rPr>
          <w:rFonts w:hint="eastAsia" w:ascii="宋体" w:hAnsi="宋体" w:eastAsia="宋体" w:cs="宋体"/>
          <w:highlight w:val="none"/>
        </w:rPr>
      </w:pPr>
      <w:r>
        <w:rPr>
          <w:rFonts w:hint="eastAsia" w:ascii="宋体" w:hAnsi="宋体" w:eastAsia="宋体" w:cs="宋体"/>
          <w:highlight w:val="none"/>
        </w:rPr>
        <w:t>便道、砼搅拌站、</w:t>
      </w:r>
      <w:r>
        <w:rPr>
          <w:rFonts w:hint="eastAsia" w:ascii="宋体" w:hAnsi="宋体" w:eastAsia="宋体" w:cs="宋体"/>
          <w:highlight w:val="none"/>
          <w:lang w:val="en-US" w:eastAsia="zh-CN"/>
        </w:rPr>
        <w:t>钢筋加工场</w:t>
      </w:r>
      <w:r>
        <w:rPr>
          <w:rFonts w:hint="eastAsia" w:ascii="宋体" w:hAnsi="宋体" w:eastAsia="宋体" w:cs="宋体"/>
          <w:highlight w:val="none"/>
        </w:rPr>
        <w:t>及施工营地的设置，要合理、紧凑，严禁随意搭建，尽量减少对植被的损坏，不占用乡村道路、阻碍交通。搅拌站等高</w:t>
      </w:r>
      <w:r>
        <w:rPr>
          <w:rFonts w:hint="eastAsia" w:ascii="宋体" w:hAnsi="宋体" w:eastAsia="宋体" w:cs="宋体"/>
          <w:highlight w:val="none"/>
          <w:lang w:eastAsia="zh-CN"/>
        </w:rPr>
        <w:t>噪声</w:t>
      </w:r>
      <w:r>
        <w:rPr>
          <w:rFonts w:hint="eastAsia" w:ascii="宋体" w:hAnsi="宋体" w:eastAsia="宋体" w:cs="宋体"/>
          <w:highlight w:val="none"/>
        </w:rPr>
        <w:t>生产设施 尽可能远离居民区或采取限时作业措施。施工场地周围预先开挖排水沟，做到排 水畅通，场内不得积水、积污，应充分考虑其对原地面排水的影响，以免阻挡地 表径流的排泄，影响当地居民的生产生活。</w:t>
      </w:r>
    </w:p>
    <w:p w14:paraId="0A327915">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r>
        <w:rPr>
          <w:rFonts w:hint="eastAsia" w:ascii="宋体" w:hAnsi="宋体" w:eastAsia="宋体" w:cs="宋体"/>
          <w:highlight w:val="none"/>
        </w:rPr>
        <w:t>施工中的环保措施</w:t>
      </w:r>
    </w:p>
    <w:p w14:paraId="068BF9B6">
      <w:pPr>
        <w:bidi w:val="0"/>
        <w:ind w:firstLine="480" w:firstLineChars="200"/>
        <w:rPr>
          <w:rFonts w:hint="eastAsia" w:ascii="宋体" w:hAnsi="宋体" w:eastAsia="宋体" w:cs="宋体"/>
          <w:highlight w:val="none"/>
        </w:rPr>
      </w:pPr>
      <w:r>
        <w:rPr>
          <w:rFonts w:hint="eastAsia" w:ascii="宋体" w:hAnsi="宋体" w:eastAsia="宋体" w:cs="宋体"/>
          <w:highlight w:val="none"/>
        </w:rPr>
        <w:t>做好当地水系、植被的保护工作，在施工时对路基边坡及时进行防护与植被 绿化，施工车辆不得越界行驶，以免碾坏植被、庄稼、乡村道路等。</w:t>
      </w:r>
    </w:p>
    <w:p w14:paraId="1BD2A973">
      <w:pPr>
        <w:bidi w:val="0"/>
        <w:rPr>
          <w:rFonts w:hint="eastAsia" w:ascii="宋体" w:hAnsi="宋体" w:eastAsia="宋体" w:cs="宋体"/>
          <w:highlight w:val="none"/>
          <w:lang w:val="en-US" w:eastAsia="zh-CN"/>
        </w:rPr>
      </w:pPr>
      <w:r>
        <w:rPr>
          <w:rFonts w:hint="eastAsia" w:ascii="宋体" w:hAnsi="宋体" w:eastAsia="宋体" w:cs="宋体"/>
          <w:highlight w:val="none"/>
        </w:rPr>
        <w:t>场地</w:t>
      </w:r>
      <w:r>
        <w:rPr>
          <w:rFonts w:hint="eastAsia" w:ascii="宋体" w:hAnsi="宋体" w:eastAsia="宋体" w:cs="宋体"/>
          <w:highlight w:val="none"/>
          <w:lang w:eastAsia="zh-CN"/>
        </w:rPr>
        <w:t>及时</w:t>
      </w:r>
      <w:r>
        <w:rPr>
          <w:rFonts w:hint="eastAsia" w:ascii="宋体" w:hAnsi="宋体" w:eastAsia="宋体" w:cs="宋体"/>
          <w:highlight w:val="none"/>
        </w:rPr>
        <w:t>进行清扫，以防粉尘被风吹扬。凡对环境有污染的废物,如挖方弃 土、建筑垃圾、生产垃圾、废弃材料等，</w:t>
      </w:r>
      <w:r>
        <w:rPr>
          <w:rFonts w:hint="eastAsia" w:ascii="宋体" w:hAnsi="宋体" w:eastAsia="宋体" w:cs="宋体"/>
          <w:highlight w:val="none"/>
          <w:lang w:eastAsia="zh-CN"/>
        </w:rPr>
        <w:t>并</w:t>
      </w:r>
      <w:r>
        <w:rPr>
          <w:rFonts w:hint="eastAsia" w:ascii="宋体" w:hAnsi="宋体" w:eastAsia="宋体" w:cs="宋体"/>
          <w:highlight w:val="none"/>
        </w:rPr>
        <w:t>在指定地点处理。在桥涵施工时各种 材料、机械不得随意堆放，破坏植被。</w:t>
      </w:r>
    </w:p>
    <w:p w14:paraId="3F7354D0">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w:t>
      </w:r>
      <w:r>
        <w:rPr>
          <w:rFonts w:hint="eastAsia" w:ascii="宋体" w:hAnsi="宋体" w:eastAsia="宋体" w:cs="宋体"/>
          <w:highlight w:val="none"/>
        </w:rPr>
        <w:t>防止大气、噪声、水污染的措施</w:t>
      </w:r>
    </w:p>
    <w:p w14:paraId="7AA8C573">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rPr>
        <w:t>防止大气污染措施</w:t>
      </w:r>
    </w:p>
    <w:p w14:paraId="01372B0E">
      <w:pPr>
        <w:bidi w:val="0"/>
        <w:ind w:firstLine="480" w:firstLineChars="200"/>
        <w:rPr>
          <w:rFonts w:hint="eastAsia" w:ascii="宋体" w:hAnsi="宋体" w:eastAsia="宋体" w:cs="宋体"/>
          <w:highlight w:val="none"/>
        </w:rPr>
      </w:pPr>
      <w:r>
        <w:rPr>
          <w:rFonts w:hint="eastAsia" w:ascii="宋体" w:hAnsi="宋体" w:eastAsia="宋体" w:cs="宋体"/>
          <w:highlight w:val="none"/>
        </w:rPr>
        <w:t>临时运输道路经常洒水湿润，减少道路扬尘。对产生尘埃运输车辆加以覆盖，</w:t>
      </w:r>
    </w:p>
    <w:p w14:paraId="3FAC77BB">
      <w:pPr>
        <w:bidi w:val="0"/>
        <w:rPr>
          <w:rFonts w:hint="eastAsia" w:ascii="宋体" w:hAnsi="宋体" w:eastAsia="宋体" w:cs="宋体"/>
          <w:highlight w:val="none"/>
        </w:rPr>
      </w:pPr>
      <w:r>
        <w:rPr>
          <w:rFonts w:hint="eastAsia" w:ascii="宋体" w:hAnsi="宋体" w:eastAsia="宋体" w:cs="宋体"/>
          <w:highlight w:val="none"/>
        </w:rPr>
        <w:t>减少对空气污染，生产及生活垃圾定期、专人处理。严禁焚烧有毒废料。</w:t>
      </w:r>
    </w:p>
    <w:p w14:paraId="1F3E4F99">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防止噪声的措施</w:t>
      </w:r>
    </w:p>
    <w:p w14:paraId="03C961C2">
      <w:pPr>
        <w:bidi w:val="0"/>
        <w:ind w:firstLine="480" w:firstLineChars="200"/>
        <w:rPr>
          <w:rFonts w:hint="eastAsia" w:ascii="宋体" w:hAnsi="宋体" w:eastAsia="宋体" w:cs="宋体"/>
          <w:highlight w:val="none"/>
        </w:rPr>
      </w:pPr>
      <w:r>
        <w:rPr>
          <w:rFonts w:hint="eastAsia" w:ascii="宋体" w:hAnsi="宋体" w:eastAsia="宋体" w:cs="宋体"/>
          <w:highlight w:val="none"/>
        </w:rPr>
        <w:t>施工噪声主要包括施工现场、机械作业时和车辆运输时产生的噪声。为减少 噪声影响，机械设备选型配套时优先考虑低噪声设备，尽可能采取液压设备和摩 擦设备代替振动式设备，并采取消声、隔音、安装防震底座等措施。加强机械设 备的维修保养，保证机械设备的完好率，确保施工噪声达到环境保护标准要求。</w:t>
      </w:r>
    </w:p>
    <w:p w14:paraId="6997A911">
      <w:pPr>
        <w:bidi w:val="0"/>
        <w:ind w:firstLine="480" w:firstLineChars="200"/>
        <w:rPr>
          <w:rFonts w:hint="eastAsia" w:ascii="宋体" w:hAnsi="宋体" w:eastAsia="宋体" w:cs="宋体"/>
          <w:highlight w:val="none"/>
        </w:rPr>
      </w:pPr>
      <w:r>
        <w:rPr>
          <w:rFonts w:hint="eastAsia" w:ascii="宋体" w:hAnsi="宋体" w:eastAsia="宋体" w:cs="宋体"/>
          <w:highlight w:val="none"/>
        </w:rPr>
        <w:t>合理布置施工和生活区域。进入施工现场的机械车辆少鸣笛、不急刹、不带故障运行，减少噪声。</w:t>
      </w:r>
    </w:p>
    <w:p w14:paraId="70E36D8D">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防止水污染的措施</w:t>
      </w:r>
    </w:p>
    <w:p w14:paraId="230617B0">
      <w:pPr>
        <w:bidi w:val="0"/>
        <w:ind w:firstLine="480" w:firstLineChars="200"/>
        <w:rPr>
          <w:rFonts w:hint="eastAsia" w:ascii="宋体" w:hAnsi="宋体" w:eastAsia="宋体" w:cs="宋体"/>
          <w:highlight w:val="none"/>
        </w:rPr>
      </w:pPr>
      <w:r>
        <w:rPr>
          <w:rFonts w:hint="eastAsia" w:ascii="宋体" w:hAnsi="宋体" w:eastAsia="宋体" w:cs="宋体"/>
          <w:highlight w:val="none"/>
        </w:rPr>
        <w:t>施工及生活废水的排放遵循清污分流、雨污分流的原则，各种施工废油、废 液集中储积，集中处理，严禁乱流乱淌，防止污染水源，破坏环境。</w:t>
      </w:r>
    </w:p>
    <w:p w14:paraId="6FC8929A">
      <w:pPr>
        <w:bidi w:val="0"/>
        <w:ind w:firstLine="480" w:firstLineChars="200"/>
        <w:rPr>
          <w:rFonts w:hint="eastAsia" w:ascii="宋体" w:hAnsi="宋体" w:eastAsia="宋体" w:cs="宋体"/>
          <w:highlight w:val="none"/>
        </w:rPr>
      </w:pPr>
      <w:r>
        <w:rPr>
          <w:rFonts w:hint="eastAsia" w:ascii="宋体" w:hAnsi="宋体" w:eastAsia="宋体" w:cs="宋体"/>
          <w:highlight w:val="none"/>
        </w:rPr>
        <w:t>施工作业产生的污水必须经过沉淀池沉淀，并经净化处理，符合要求后排放。</w:t>
      </w:r>
    </w:p>
    <w:p w14:paraId="1D3811D2">
      <w:pPr>
        <w:bidi w:val="0"/>
        <w:ind w:firstLine="480" w:firstLineChars="200"/>
        <w:rPr>
          <w:rFonts w:hint="eastAsia" w:ascii="宋体" w:hAnsi="宋体" w:eastAsia="宋体" w:cs="宋体"/>
          <w:highlight w:val="none"/>
        </w:rPr>
      </w:pPr>
      <w:r>
        <w:rPr>
          <w:rFonts w:hint="eastAsia" w:ascii="宋体" w:hAnsi="宋体" w:eastAsia="宋体" w:cs="宋体"/>
          <w:highlight w:val="none"/>
        </w:rPr>
        <w:t>食堂的废水处理应设置隔油池，定期清理油污，污水经过必要的处理后排入 污水管道，施工、生活污水严禁排入农田和水源。</w:t>
      </w:r>
    </w:p>
    <w:p w14:paraId="26B04588">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rPr>
        <w:t>废弃物中不得含有有毒有害物质，避免雨水冲刷后对地表、地下水造成污染。</w:t>
      </w:r>
    </w:p>
    <w:p w14:paraId="39B67168">
      <w:pPr>
        <w:pStyle w:val="5"/>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节能减排措施</w:t>
      </w:r>
    </w:p>
    <w:p w14:paraId="1B706C8A">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rPr>
        <w:t>节材措施</w:t>
      </w:r>
    </w:p>
    <w:p w14:paraId="389C8B95">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 xml:space="preserve">1）加强混凝土浇筑过程中方量的动态复核，每一次混凝土浇筑尽可能做到不超方，若出现超方现象，则多余混凝土用于便道修筑或者其他临时结构施工，减少资源消耗。 </w:t>
      </w:r>
    </w:p>
    <w:p w14:paraId="7DFD32B7">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2）推广钢筋专业化加工和配送，钢筋制作前应对下料单及样品进行复核，无误后方可批量下料。</w:t>
      </w:r>
    </w:p>
    <w:p w14:paraId="2BB40440">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节水措施</w:t>
      </w:r>
    </w:p>
    <w:p w14:paraId="6F4BBB9D">
      <w:pPr>
        <w:pStyle w:val="160"/>
        <w:ind w:firstLine="480"/>
        <w:rPr>
          <w:rFonts w:hint="eastAsia" w:ascii="宋体" w:hAnsi="宋体" w:eastAsia="宋体" w:cs="宋体"/>
          <w:highlight w:val="none"/>
        </w:rPr>
      </w:pPr>
      <w:r>
        <w:rPr>
          <w:rFonts w:hint="eastAsia" w:ascii="宋体" w:hAnsi="宋体" w:eastAsia="宋体" w:cs="宋体"/>
          <w:highlight w:val="none"/>
        </w:rPr>
        <w:t>1）现场搅拌用水、养护用水采取有效的节水措施，严禁无措施浇水养护混凝土。</w:t>
      </w:r>
    </w:p>
    <w:p w14:paraId="1622ACCD">
      <w:pPr>
        <w:pStyle w:val="160"/>
        <w:ind w:firstLine="480"/>
        <w:rPr>
          <w:rFonts w:hint="eastAsia" w:ascii="宋体" w:hAnsi="宋体" w:eastAsia="宋体" w:cs="宋体"/>
          <w:szCs w:val="24"/>
          <w:highlight w:val="none"/>
        </w:rPr>
      </w:pPr>
      <w:r>
        <w:rPr>
          <w:rFonts w:hint="eastAsia" w:ascii="宋体" w:hAnsi="宋体" w:eastAsia="宋体" w:cs="宋体"/>
          <w:szCs w:val="24"/>
          <w:highlight w:val="none"/>
        </w:rPr>
        <w:t>2）现场机具、设备、车辆冲洗用水设立循环用水装置。施工现场办公区、生活区的生活用水采用节水系统和节水器具，提高节水器具配置比率。</w:t>
      </w:r>
    </w:p>
    <w:p w14:paraId="7BCA54EC">
      <w:pPr>
        <w:pStyle w:val="160"/>
        <w:ind w:firstLine="480"/>
        <w:rPr>
          <w:rFonts w:hint="eastAsia" w:ascii="宋体" w:hAnsi="宋体" w:eastAsia="宋体" w:cs="宋体"/>
          <w:szCs w:val="24"/>
          <w:highlight w:val="none"/>
        </w:rPr>
      </w:pPr>
      <w:r>
        <w:rPr>
          <w:rFonts w:hint="eastAsia" w:ascii="宋体" w:hAnsi="宋体" w:eastAsia="宋体" w:cs="宋体"/>
          <w:szCs w:val="24"/>
          <w:highlight w:val="none"/>
        </w:rPr>
        <w:t>3）施工现场建立可再利用水的收集处理系统，使水资源得到梯级循环利用。</w:t>
      </w:r>
    </w:p>
    <w:p w14:paraId="21796F84">
      <w:pPr>
        <w:pStyle w:val="160"/>
        <w:ind w:firstLine="480"/>
        <w:rPr>
          <w:rFonts w:hint="eastAsia" w:ascii="宋体" w:hAnsi="宋体" w:eastAsia="宋体" w:cs="宋体"/>
          <w:szCs w:val="24"/>
          <w:highlight w:val="none"/>
        </w:rPr>
      </w:pPr>
      <w:r>
        <w:rPr>
          <w:rFonts w:hint="eastAsia" w:ascii="宋体" w:hAnsi="宋体" w:eastAsia="宋体" w:cs="宋体"/>
          <w:szCs w:val="24"/>
          <w:highlight w:val="none"/>
        </w:rPr>
        <w:t>4）施工现场分别对生活用水与工程用水确定用水定额指标，并分别计量管理。</w:t>
      </w:r>
    </w:p>
    <w:p w14:paraId="1AECD272">
      <w:pPr>
        <w:bidi w:val="0"/>
        <w:ind w:firstLine="480" w:firstLineChars="200"/>
        <w:rPr>
          <w:rFonts w:hint="eastAsia" w:ascii="宋体" w:hAnsi="宋体" w:eastAsia="宋体" w:cs="宋体"/>
          <w:highlight w:val="none"/>
          <w:lang w:val="en-US" w:eastAsia="zh-CN"/>
        </w:rPr>
      </w:pPr>
      <w:r>
        <w:rPr>
          <w:rFonts w:hint="eastAsia" w:ascii="宋体" w:hAnsi="宋体" w:eastAsia="宋体" w:cs="宋体"/>
          <w:szCs w:val="24"/>
          <w:highlight w:val="none"/>
          <w:lang w:val="en-US" w:eastAsia="zh-CN"/>
        </w:rPr>
        <w:t>5</w:t>
      </w:r>
      <w:r>
        <w:rPr>
          <w:rFonts w:hint="eastAsia" w:ascii="宋体" w:hAnsi="宋体" w:eastAsia="宋体" w:cs="宋体"/>
          <w:szCs w:val="24"/>
          <w:highlight w:val="none"/>
        </w:rPr>
        <w:t>）对混凝土搅拌站点等用水集中的区域和工艺点进行专项计量考核。</w:t>
      </w:r>
    </w:p>
    <w:p w14:paraId="2FFC52C0">
      <w:pPr>
        <w:bidi w:val="0"/>
        <w:ind w:firstLine="480" w:firstLineChars="20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3</w:t>
      </w:r>
      <w:r>
        <w:rPr>
          <w:rFonts w:hint="eastAsia" w:ascii="宋体" w:hAnsi="宋体" w:eastAsia="宋体" w:cs="宋体"/>
          <w:highlight w:val="none"/>
          <w:lang w:eastAsia="zh-CN"/>
        </w:rPr>
        <w:t>）</w:t>
      </w:r>
      <w:r>
        <w:rPr>
          <w:rFonts w:hint="eastAsia" w:ascii="宋体" w:hAnsi="宋体" w:eastAsia="宋体" w:cs="宋体"/>
          <w:highlight w:val="none"/>
        </w:rPr>
        <w:t>节能措施</w:t>
      </w:r>
    </w:p>
    <w:p w14:paraId="6E74DE6C">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 xml:space="preserve">1）建立施工机械设备管理制度，开展用电、用油计量，完善设备档案，及时做好维修保养工作，使机械设备保持低耗、高效的状态。 </w:t>
      </w:r>
    </w:p>
    <w:p w14:paraId="76260842">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 xml:space="preserve">2）选择功率与负载相匹配的施工机械设备，避免大功率施工机械设备低负载长时间运行。机电安装可采用节电型机械设备，如逆变式电焊机和能耗低、效率高的手持电动工具等，以利节电。机械设备宜使用节能型油料添加剂，在可能的情况下，考虑回收利用，节约油量。 </w:t>
      </w:r>
    </w:p>
    <w:p w14:paraId="125E195C">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3）合理安排工序，提高各种机械的使用率和满载率，降低各种设备的单位耗能。</w:t>
      </w:r>
    </w:p>
    <w:p w14:paraId="635B927A">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rPr>
        <w:t>节地与施工用地保护措施</w:t>
      </w:r>
    </w:p>
    <w:p w14:paraId="281F53DC">
      <w:pPr>
        <w:keepNext w:val="0"/>
        <w:keepLines w:val="0"/>
        <w:widowControl/>
        <w:suppressLineNumbers w:val="0"/>
        <w:ind w:firstLine="480" w:firstLineChars="20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挡土墙施工所需要的材料、设备均放置在红线范围内，减少临时用地使用，红线外临时占地应尽量使用荒地、废地，少占用农田和耕地，工程完工后，及时对红线外占地恢复原地形、地貌，使施工活动对周边环境的影响降至最低。</w:t>
      </w:r>
    </w:p>
    <w:p w14:paraId="25FA44FF">
      <w:pPr>
        <w:pStyle w:val="5"/>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环境保护管理</w:t>
      </w:r>
    </w:p>
    <w:p w14:paraId="58A48A38">
      <w:pP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1、自然生态环境保护措施</w:t>
      </w:r>
    </w:p>
    <w:p w14:paraId="72727042">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（1）施工现场保护</w:t>
      </w:r>
    </w:p>
    <w:p w14:paraId="5FBBADBA">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施工现场生产、生活房屋及生活设施、原材料堆放处和材料加工场均在规划的区域内进行。修建的施工便道，要结合地方长远规划，选择线路。弃土场必须做好防护工作，确保不发生水土流失情况，并进行弃土场绿化。</w:t>
      </w:r>
    </w:p>
    <w:p w14:paraId="2C5A38DB">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（2）施工期间保护</w:t>
      </w:r>
    </w:p>
    <w:p w14:paraId="14141888">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施工期间对施工人员加强保护自然资源及野生动植物的教育，严禁随意砍伐和偷猎，限制施工人员和车辆的活动范围。</w:t>
      </w:r>
    </w:p>
    <w:p w14:paraId="30EADF22">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（3）临建选址保护</w:t>
      </w:r>
    </w:p>
    <w:p w14:paraId="740894C3">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施工便道选线、生活营地、大型临时设施场地选址尽量少占或绕避林地、耕地，保护原有植被。对合同规定的施工界限外的植物、树木等尽力维护，严禁超范围砍伐。工程完工后及时进行现场清理，复垦或绿化。</w:t>
      </w:r>
    </w:p>
    <w:p w14:paraId="694720D3">
      <w:pP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2、防止大气污染措施</w:t>
      </w:r>
    </w:p>
    <w:p w14:paraId="2975D1B7">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（1）洒水降尘</w:t>
      </w:r>
    </w:p>
    <w:p w14:paraId="3591079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临时运输道路经常洒水湿润，减少道路扬尘。对产生尘埃运输车辆加以覆盖，在居民区等人员密集区域附近采取喷雾降尘措施、配备降尘雾炮以有效避免周边大气的污染。</w:t>
      </w:r>
    </w:p>
    <w:p w14:paraId="345B72D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控制现场的各种粉尘、废气对环境的污染和危害，施工区域内的场内道路原则上应硬化处理，对不能进行硬化处理的临时施工便道，在晴天干燥环境时，应经常洒水予以养护和保护。</w:t>
      </w:r>
    </w:p>
    <w:p w14:paraId="5AC9DB81">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（2）覆盖防尘</w:t>
      </w:r>
    </w:p>
    <w:p w14:paraId="13F5C2D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对施工现场裸露时间较长的土体进行绿化、对裸露时间较短的土体利用土工织物进行覆盖，避免在风力的作用下造成项目周边的空气扬尘。</w:t>
      </w:r>
    </w:p>
    <w:p w14:paraId="33FFB69C">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（3）材料运输防污染</w:t>
      </w:r>
    </w:p>
    <w:p w14:paraId="709D36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尽量缩短土石料的运输距离，汽车运输砂土、水泥、碎石等易起尘的物料要加盖蓬布、控制车速，防止物料洒落和产生扬尘，卸车时尽量减小落差。</w:t>
      </w:r>
    </w:p>
    <w:p w14:paraId="1E0A9AF1">
      <w:pP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3、防止噪声的措施</w:t>
      </w:r>
    </w:p>
    <w:p w14:paraId="052A319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施工噪声主要包括施工现场、机械作业时和车辆运输时产生的噪声。</w:t>
      </w:r>
    </w:p>
    <w:p w14:paraId="1884F313">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（1）建立制度、提高意识</w:t>
      </w:r>
    </w:p>
    <w:p w14:paraId="495E0C0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施工现场提倡文明施工，建立健全控制人为噪声的管理制度。尽量减少人为的大声喧哗，增加全体施工人员防噪声扰民的自觉意识。</w:t>
      </w:r>
    </w:p>
    <w:p w14:paraId="6A0671E5">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（2）选择低噪声机械</w:t>
      </w:r>
    </w:p>
    <w:p w14:paraId="22907E0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为减少噪声影响，机械设备选型配套时优先考虑低噪声设备，尽可能采取液压设备和摩擦设备代替振动式设备，并采取消声、隔音、安装防震底座等措施。加强机械设备的维修保养，保证机械设备的完好率，确保施工噪声达到环境保护标准要求。</w:t>
      </w:r>
    </w:p>
    <w:p w14:paraId="6A533C26">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（3）夜间施工降噪</w:t>
      </w:r>
    </w:p>
    <w:p w14:paraId="172935E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进行强噪声作业的，严格控制作业时间，晚间作业不超过22时，早晨作业不早于6时，特殊情况需连续作业（或夜间作业）的，采取降噪措施，事先做好周围群众的工作，并报相关环保部门备案方可施工。</w:t>
      </w:r>
    </w:p>
    <w:p w14:paraId="14918657">
      <w:pPr>
        <w:rPr>
          <w:rFonts w:hint="eastAsia" w:ascii="宋体" w:hAnsi="宋体" w:eastAsia="宋体" w:cs="宋体"/>
          <w:highlight w:val="none"/>
          <w:lang w:val="en-US" w:eastAsia="zh-CN"/>
        </w:rPr>
      </w:pPr>
      <w:r>
        <w:rPr>
          <w:rFonts w:hint="eastAsia" w:ascii="宋体" w:hAnsi="宋体" w:eastAsia="宋体" w:cs="宋体"/>
          <w:highlight w:val="none"/>
          <w:lang w:val="en-US" w:eastAsia="zh-CN"/>
        </w:rPr>
        <w:t>（4）机械降噪措施</w:t>
      </w:r>
    </w:p>
    <w:p w14:paraId="31C6EC9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①产生强噪声的成品、半成品加工、制作作业，应尽量在加工场区完成，减少因施工现场加工制作产生的噪声。</w:t>
      </w:r>
    </w:p>
    <w:p w14:paraId="129FFD5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②尽量选用低噪声或备有消声降噪的机械棚，以减少强噪声的扩散。</w:t>
      </w:r>
    </w:p>
    <w:p w14:paraId="03E3FACE">
      <w:pP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4、防止水污染的措施</w:t>
      </w:r>
    </w:p>
    <w:p w14:paraId="6FC459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（1）施工过程当中对产生的裸土进行绿化或土工织物覆盖，以免在雨天造成水土流失，将土体冲入河流。</w:t>
      </w:r>
    </w:p>
    <w:p w14:paraId="2DBE34A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（2）施工作业产生的污水必须经过沉淀池沉淀，并经净化处理，符合要求后排放。</w:t>
      </w:r>
    </w:p>
    <w:p w14:paraId="20E5AB8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（3）施工现场土方内利用土工织物或防水彩条布进行覆盖，避免造成周边的泥土对水体的污染。</w:t>
      </w:r>
    </w:p>
    <w:p w14:paraId="44722318">
      <w:pP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5、土壤防污染措施</w:t>
      </w:r>
    </w:p>
    <w:p w14:paraId="3237F42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（1）尽量做到对施工过程中产生的建筑垃圾进行再利用，入无法利用，则要进行无害化处理后按照当地环保部门的批示在指定地点掩埋。</w:t>
      </w:r>
    </w:p>
    <w:p w14:paraId="03D6A78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（2）施工现场修建的油料存放场地需进行防渗、方漏处理，避免油料等的渗漏对周边土壤造成污染。若发生意外而导致对周边土壤造成污染时需要对被污染土壤进行清理。</w:t>
      </w:r>
    </w:p>
    <w:p w14:paraId="259EEF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（3）在驻地设垃圾池，分类收集，进行集中处理，可降解的实行降解措施，不可降解的集中掩埋，防止污染环境。</w:t>
      </w:r>
    </w:p>
    <w:p w14:paraId="0510499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highlight w:val="none"/>
          <w:lang w:val="en-US" w:eastAsia="zh-CN"/>
        </w:rPr>
        <w:t>（4）工程施工完成后，根据环保及设计要求，要对所有生活区、生产区临时设施所占用地进行复耕，拆除建筑物、铲除硬化地面及建筑垃圾。</w:t>
      </w:r>
    </w:p>
    <w:p w14:paraId="43F290CF">
      <w:pPr>
        <w:pStyle w:val="3"/>
        <w:tabs>
          <w:tab w:val="left" w:pos="240"/>
        </w:tabs>
        <w:bidi w:val="0"/>
        <w:rPr>
          <w:rFonts w:hint="eastAsia" w:ascii="宋体" w:hAnsi="宋体" w:eastAsia="宋体" w:cs="宋体"/>
          <w:highlight w:val="none"/>
          <w:lang w:val="en-US" w:eastAsia="zh-CN"/>
        </w:rPr>
      </w:pPr>
      <w:bookmarkStart w:id="278" w:name="_Toc16036"/>
      <w:bookmarkStart w:id="279" w:name="_Toc26582"/>
      <w:r>
        <w:rPr>
          <w:rFonts w:hint="eastAsia" w:ascii="宋体" w:hAnsi="宋体" w:eastAsia="宋体" w:cs="宋体"/>
          <w:highlight w:val="none"/>
          <w:lang w:val="en-US" w:eastAsia="zh-CN"/>
        </w:rPr>
        <w:t>文明施工</w:t>
      </w:r>
      <w:bookmarkEnd w:id="278"/>
      <w:bookmarkEnd w:id="279"/>
    </w:p>
    <w:p w14:paraId="39BA10B8">
      <w:pPr>
        <w:pStyle w:val="4"/>
        <w:tabs>
          <w:tab w:val="left" w:pos="0"/>
          <w:tab w:val="left" w:pos="630"/>
        </w:tabs>
        <w:bidi w:val="0"/>
        <w:rPr>
          <w:rFonts w:hint="eastAsia" w:ascii="宋体" w:hAnsi="宋体" w:eastAsia="宋体" w:cs="宋体"/>
          <w:lang w:val="en-US" w:eastAsia="zh-CN"/>
        </w:rPr>
      </w:pPr>
      <w:r>
        <w:rPr>
          <w:rFonts w:hint="eastAsia" w:ascii="宋体" w:hAnsi="宋体" w:eastAsia="宋体" w:cs="宋体"/>
          <w:lang w:val="en-US" w:eastAsia="zh-CN"/>
        </w:rPr>
        <w:t>文明施工组织机构</w:t>
      </w:r>
    </w:p>
    <w:p w14:paraId="6CD48070">
      <w:pPr>
        <w:bidi w:val="0"/>
        <w:ind w:firstLine="480" w:firstLineChars="200"/>
        <w:rPr>
          <w:rFonts w:hint="eastAsia" w:ascii="宋体" w:hAnsi="宋体" w:eastAsia="宋体" w:cs="宋体"/>
          <w:highlight w:val="none"/>
          <w:lang w:eastAsia="zh-CN"/>
        </w:rPr>
      </w:pPr>
      <w:r>
        <w:rPr>
          <w:rFonts w:hint="eastAsia" w:ascii="宋体" w:hAnsi="宋体" w:eastAsia="宋体" w:cs="宋体"/>
          <w:bCs/>
          <w:kern w:val="44"/>
          <w:szCs w:val="32"/>
          <w:highlight w:val="none"/>
          <w:lang w:val="en-US" w:eastAsia="zh-CN"/>
        </w:rPr>
        <w:t>为</w:t>
      </w:r>
      <w:r>
        <w:rPr>
          <w:rFonts w:hint="eastAsia" w:ascii="宋体" w:hAnsi="宋体" w:eastAsia="宋体" w:cs="宋体"/>
          <w:bCs/>
          <w:kern w:val="44"/>
          <w:szCs w:val="32"/>
          <w:highlight w:val="none"/>
        </w:rPr>
        <w:t>实现项目施工标准化管理，规范现场管理，保障安全生产，促进文明施工，按照标准化建设要求，结合项目建设实际，特成立文明</w:t>
      </w:r>
      <w:r>
        <w:rPr>
          <w:rFonts w:hint="eastAsia" w:ascii="宋体" w:hAnsi="宋体" w:eastAsia="宋体" w:cs="宋体"/>
          <w:bCs/>
          <w:kern w:val="44"/>
          <w:szCs w:val="32"/>
          <w:highlight w:val="none"/>
          <w:lang w:val="en-US" w:eastAsia="zh-CN"/>
        </w:rPr>
        <w:t>施工</w:t>
      </w:r>
      <w:r>
        <w:rPr>
          <w:rFonts w:hint="eastAsia" w:ascii="宋体" w:hAnsi="宋体" w:eastAsia="宋体" w:cs="宋体"/>
          <w:bCs/>
          <w:kern w:val="44"/>
          <w:szCs w:val="32"/>
          <w:highlight w:val="none"/>
        </w:rPr>
        <w:t>领导小组</w:t>
      </w:r>
      <w:r>
        <w:rPr>
          <w:rFonts w:hint="eastAsia" w:ascii="宋体" w:hAnsi="宋体" w:eastAsia="宋体" w:cs="宋体"/>
          <w:bCs/>
          <w:kern w:val="44"/>
          <w:szCs w:val="32"/>
          <w:highlight w:val="none"/>
          <w:lang w:eastAsia="zh-CN"/>
        </w:rPr>
        <w:t>。</w:t>
      </w:r>
    </w:p>
    <w:p w14:paraId="51EF52E3">
      <w:pPr>
        <w:bidi w:val="0"/>
        <w:jc w:val="center"/>
        <w:rPr>
          <w:rFonts w:hint="eastAsia" w:ascii="宋体" w:hAnsi="宋体" w:eastAsia="宋体" w:cs="宋体"/>
          <w:highlight w:val="none"/>
          <w:lang w:eastAsia="zh-CN"/>
        </w:rPr>
      </w:pPr>
      <w:r>
        <w:rPr>
          <w:rFonts w:hint="eastAsia" w:ascii="宋体" w:hAnsi="宋体" w:eastAsia="宋体" w:cs="宋体"/>
          <w:highlight w:val="none"/>
        </w:rPr>
        <w:drawing>
          <wp:inline distT="0" distB="0" distL="114300" distR="114300">
            <wp:extent cx="4884420" cy="3716655"/>
            <wp:effectExtent l="0" t="0" r="0" b="0"/>
            <wp:docPr id="228" name="图片 228" descr="组织流程图--(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descr="组织流程图--(2)(3)"/>
                    <pic:cNvPicPr>
                      <a:picLocks noChangeAspect="1"/>
                    </pic:cNvPicPr>
                  </pic:nvPicPr>
                  <pic:blipFill>
                    <a:blip r:embed="rId56"/>
                    <a:stretch>
                      <a:fillRect/>
                    </a:stretch>
                  </pic:blipFill>
                  <pic:spPr>
                    <a:xfrm>
                      <a:off x="0" y="0"/>
                      <a:ext cx="4884420" cy="3716655"/>
                    </a:xfrm>
                    <a:prstGeom prst="rect">
                      <a:avLst/>
                    </a:prstGeom>
                  </pic:spPr>
                </pic:pic>
              </a:graphicData>
            </a:graphic>
          </wp:inline>
        </w:drawing>
      </w:r>
    </w:p>
    <w:p w14:paraId="42042265">
      <w:pPr>
        <w:pStyle w:val="42"/>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图7</w:t>
      </w:r>
      <w:r>
        <w:rPr>
          <w:rFonts w:hint="eastAsia" w:ascii="宋体" w:hAnsi="宋体" w:eastAsia="宋体" w:cs="宋体"/>
          <w:highlight w:val="none"/>
        </w:rPr>
        <w:t>.</w:t>
      </w:r>
      <w:r>
        <w:rPr>
          <w:rFonts w:hint="eastAsia" w:ascii="宋体" w:hAnsi="宋体" w:eastAsia="宋体" w:cs="宋体"/>
          <w:highlight w:val="none"/>
          <w:lang w:val="en-US" w:eastAsia="zh-CN"/>
        </w:rPr>
        <w:t>2</w:t>
      </w:r>
      <w:r>
        <w:rPr>
          <w:rFonts w:hint="eastAsia" w:ascii="宋体" w:hAnsi="宋体" w:eastAsia="宋体" w:cs="宋体"/>
          <w:highlight w:val="none"/>
        </w:rPr>
        <w:t>.1</w:t>
      </w:r>
      <w:r>
        <w:rPr>
          <w:rFonts w:hint="eastAsia" w:ascii="宋体" w:hAnsi="宋体" w:eastAsia="宋体" w:cs="宋体"/>
          <w:highlight w:val="none"/>
          <w:lang w:val="en-US" w:eastAsia="zh-CN"/>
        </w:rPr>
        <w:t xml:space="preserve">-1 </w:t>
      </w:r>
      <w:r>
        <w:rPr>
          <w:rFonts w:hint="eastAsia" w:ascii="宋体" w:hAnsi="宋体" w:eastAsia="宋体" w:cs="宋体"/>
          <w:highlight w:val="none"/>
        </w:rPr>
        <w:t>文明施工管理组织机构</w:t>
      </w:r>
    </w:p>
    <w:p w14:paraId="1352F145">
      <w:pPr>
        <w:pStyle w:val="4"/>
        <w:tabs>
          <w:tab w:val="left" w:pos="0"/>
          <w:tab w:val="left" w:pos="630"/>
        </w:tabs>
        <w:bidi w:val="0"/>
        <w:rPr>
          <w:rFonts w:hint="eastAsia" w:ascii="宋体" w:hAnsi="宋体" w:eastAsia="宋体" w:cs="宋体"/>
          <w:lang w:val="en-US" w:eastAsia="zh-CN"/>
        </w:rPr>
      </w:pPr>
      <w:r>
        <w:rPr>
          <w:rFonts w:hint="eastAsia" w:ascii="宋体" w:hAnsi="宋体" w:eastAsia="宋体" w:cs="宋体"/>
        </w:rPr>
        <w:t>文明施工保证体系</w:t>
      </w:r>
    </w:p>
    <w:p w14:paraId="4BCCC4AC">
      <w:pPr>
        <w:pStyle w:val="44"/>
        <w:rPr>
          <w:rFonts w:hint="eastAsia" w:ascii="宋体" w:hAnsi="宋体" w:eastAsia="宋体" w:cs="宋体"/>
          <w:highlight w:val="none"/>
        </w:rPr>
      </w:pPr>
      <w:r>
        <w:rPr>
          <w:rFonts w:hint="eastAsia" w:ascii="宋体" w:hAnsi="宋体" w:eastAsia="宋体" w:cs="宋体"/>
          <w:highlight w:val="none"/>
        </w:rPr>
        <mc:AlternateContent>
          <mc:Choice Requires="wpg">
            <w:drawing>
              <wp:inline distT="0" distB="0" distL="0" distR="0">
                <wp:extent cx="4109085" cy="3856355"/>
                <wp:effectExtent l="6350" t="6350" r="18415" b="23495"/>
                <wp:docPr id="12" name="Group 2503"/>
                <wp:cNvGraphicFramePr/>
                <a:graphic xmlns:a="http://schemas.openxmlformats.org/drawingml/2006/main">
                  <a:graphicData uri="http://schemas.microsoft.com/office/word/2010/wordprocessingGroup">
                    <wpg:wgp>
                      <wpg:cNvGrpSpPr/>
                      <wpg:grpSpPr>
                        <a:xfrm>
                          <a:off x="0" y="0"/>
                          <a:ext cx="4109085" cy="3856355"/>
                          <a:chOff x="0" y="0"/>
                          <a:chExt cx="7901" cy="5079"/>
                        </a:xfrm>
                      </wpg:grpSpPr>
                      <wps:wsp>
                        <wps:cNvPr id="229" name="Text Box 2504"/>
                        <wps:cNvSpPr txBox="1">
                          <a:spLocks noChangeArrowheads="1"/>
                        </wps:cNvSpPr>
                        <wps:spPr bwMode="auto">
                          <a:xfrm>
                            <a:off x="0" y="1142"/>
                            <a:ext cx="804" cy="2272"/>
                          </a:xfrm>
                          <a:prstGeom prst="rect">
                            <a:avLst/>
                          </a:prstGeom>
                          <a:solidFill>
                            <a:schemeClr val="accent6">
                              <a:lumMod val="40000"/>
                              <a:lumOff val="60000"/>
                            </a:schemeClr>
                          </a:solidFill>
                          <a:ln w="12700">
                            <a:solidFill>
                              <a:srgbClr val="0000C8"/>
                            </a:solidFill>
                            <a:miter lim="800000"/>
                          </a:ln>
                        </wps:spPr>
                        <wps:txbx>
                          <w:txbxContent>
                            <w:p w14:paraId="5B576CD4">
                              <w:pPr>
                                <w:pStyle w:val="56"/>
                              </w:pPr>
                              <w:r>
                                <w:rPr>
                                  <w:rFonts w:hint="eastAsia"/>
                                </w:rPr>
                                <w:t>文明</w:t>
                              </w:r>
                            </w:p>
                            <w:p w14:paraId="39FB6D23">
                              <w:pPr>
                                <w:pStyle w:val="56"/>
                              </w:pPr>
                              <w:r>
                                <w:rPr>
                                  <w:rFonts w:hint="eastAsia"/>
                                </w:rPr>
                                <w:t>施工</w:t>
                              </w:r>
                            </w:p>
                            <w:p w14:paraId="6DF2BCB6">
                              <w:pPr>
                                <w:pStyle w:val="56"/>
                              </w:pPr>
                              <w:r>
                                <w:rPr>
                                  <w:rFonts w:hint="eastAsia"/>
                                </w:rPr>
                                <w:t>保证</w:t>
                              </w:r>
                            </w:p>
                            <w:p w14:paraId="5CFBF5F2">
                              <w:pPr>
                                <w:pStyle w:val="56"/>
                              </w:pPr>
                              <w:r>
                                <w:rPr>
                                  <w:rFonts w:hint="eastAsia"/>
                                </w:rPr>
                                <w:t>体系</w:t>
                              </w:r>
                            </w:p>
                          </w:txbxContent>
                        </wps:txbx>
                        <wps:bodyPr rot="0" vert="horz" wrap="square" lIns="0" tIns="0" rIns="0" bIns="0" anchor="ctr" anchorCtr="0" upright="1">
                          <a:noAutofit/>
                        </wps:bodyPr>
                      </wps:wsp>
                      <wps:wsp>
                        <wps:cNvPr id="230" name="Line 2505"/>
                        <wps:cNvCnPr>
                          <a:cxnSpLocks noChangeShapeType="1"/>
                        </wps:cNvCnPr>
                        <wps:spPr bwMode="auto">
                          <a:xfrm>
                            <a:off x="806" y="2267"/>
                            <a:ext cx="195" cy="0"/>
                          </a:xfrm>
                          <a:prstGeom prst="line">
                            <a:avLst/>
                          </a:prstGeom>
                          <a:noFill/>
                          <a:ln w="12700">
                            <a:solidFill>
                              <a:srgbClr val="0000C8"/>
                            </a:solidFill>
                            <a:round/>
                          </a:ln>
                        </wps:spPr>
                        <wps:bodyPr/>
                      </wps:wsp>
                      <wps:wsp>
                        <wps:cNvPr id="231" name="Line 2506"/>
                        <wps:cNvCnPr>
                          <a:cxnSpLocks noChangeShapeType="1"/>
                        </wps:cNvCnPr>
                        <wps:spPr bwMode="auto">
                          <a:xfrm>
                            <a:off x="1001" y="385"/>
                            <a:ext cx="0" cy="3740"/>
                          </a:xfrm>
                          <a:prstGeom prst="line">
                            <a:avLst/>
                          </a:prstGeom>
                          <a:noFill/>
                          <a:ln w="12700">
                            <a:solidFill>
                              <a:srgbClr val="0000C8"/>
                            </a:solidFill>
                            <a:round/>
                          </a:ln>
                        </wps:spPr>
                        <wps:bodyPr/>
                      </wps:wsp>
                      <wps:wsp>
                        <wps:cNvPr id="232" name="Line 2507"/>
                        <wps:cNvCnPr>
                          <a:cxnSpLocks noChangeShapeType="1"/>
                        </wps:cNvCnPr>
                        <wps:spPr bwMode="auto">
                          <a:xfrm>
                            <a:off x="1001" y="385"/>
                            <a:ext cx="214" cy="0"/>
                          </a:xfrm>
                          <a:prstGeom prst="line">
                            <a:avLst/>
                          </a:prstGeom>
                          <a:noFill/>
                          <a:ln w="12700">
                            <a:solidFill>
                              <a:srgbClr val="0000C8"/>
                            </a:solidFill>
                            <a:round/>
                          </a:ln>
                        </wps:spPr>
                        <wps:bodyPr/>
                      </wps:wsp>
                      <wps:wsp>
                        <wps:cNvPr id="233" name="Text Box 2508"/>
                        <wps:cNvSpPr txBox="1">
                          <a:spLocks noChangeArrowheads="1"/>
                        </wps:cNvSpPr>
                        <wps:spPr bwMode="auto">
                          <a:xfrm>
                            <a:off x="1215" y="233"/>
                            <a:ext cx="1351" cy="303"/>
                          </a:xfrm>
                          <a:prstGeom prst="rect">
                            <a:avLst/>
                          </a:prstGeom>
                          <a:solidFill>
                            <a:schemeClr val="accent6">
                              <a:lumMod val="40000"/>
                              <a:lumOff val="60000"/>
                            </a:schemeClr>
                          </a:solidFill>
                          <a:ln w="12700">
                            <a:solidFill>
                              <a:srgbClr val="0000C8"/>
                            </a:solidFill>
                            <a:miter lim="800000"/>
                          </a:ln>
                        </wps:spPr>
                        <wps:txbx>
                          <w:txbxContent>
                            <w:p w14:paraId="22869606">
                              <w:pPr>
                                <w:pStyle w:val="56"/>
                              </w:pPr>
                              <w:r>
                                <w:rPr>
                                  <w:rFonts w:hint="eastAsia"/>
                                </w:rPr>
                                <w:t>思想保证</w:t>
                              </w:r>
                            </w:p>
                          </w:txbxContent>
                        </wps:txbx>
                        <wps:bodyPr rot="0" vert="horz" wrap="square" lIns="0" tIns="0" rIns="0" bIns="0" anchor="ctr" anchorCtr="0" upright="1">
                          <a:noAutofit/>
                        </wps:bodyPr>
                      </wps:wsp>
                      <wps:wsp>
                        <wps:cNvPr id="234" name="Line 2509"/>
                        <wps:cNvCnPr>
                          <a:cxnSpLocks noChangeShapeType="1"/>
                        </wps:cNvCnPr>
                        <wps:spPr bwMode="auto">
                          <a:xfrm>
                            <a:off x="1002" y="1142"/>
                            <a:ext cx="214" cy="0"/>
                          </a:xfrm>
                          <a:prstGeom prst="line">
                            <a:avLst/>
                          </a:prstGeom>
                          <a:noFill/>
                          <a:ln w="12700">
                            <a:solidFill>
                              <a:srgbClr val="0000C8"/>
                            </a:solidFill>
                            <a:round/>
                          </a:ln>
                        </wps:spPr>
                        <wps:bodyPr/>
                      </wps:wsp>
                      <wps:wsp>
                        <wps:cNvPr id="235" name="Text Box 2510"/>
                        <wps:cNvSpPr txBox="1">
                          <a:spLocks noChangeArrowheads="1"/>
                        </wps:cNvSpPr>
                        <wps:spPr bwMode="auto">
                          <a:xfrm>
                            <a:off x="1215" y="990"/>
                            <a:ext cx="1351" cy="303"/>
                          </a:xfrm>
                          <a:prstGeom prst="rect">
                            <a:avLst/>
                          </a:prstGeom>
                          <a:solidFill>
                            <a:schemeClr val="accent6">
                              <a:lumMod val="40000"/>
                              <a:lumOff val="60000"/>
                            </a:schemeClr>
                          </a:solidFill>
                          <a:ln w="12700">
                            <a:solidFill>
                              <a:srgbClr val="0000C8"/>
                            </a:solidFill>
                            <a:miter lim="800000"/>
                          </a:ln>
                        </wps:spPr>
                        <wps:txbx>
                          <w:txbxContent>
                            <w:p w14:paraId="62D39CEB">
                              <w:pPr>
                                <w:pStyle w:val="56"/>
                              </w:pPr>
                              <w:r>
                                <w:rPr>
                                  <w:rFonts w:hint="eastAsia"/>
                                </w:rPr>
                                <w:t>组织保证</w:t>
                              </w:r>
                            </w:p>
                          </w:txbxContent>
                        </wps:txbx>
                        <wps:bodyPr rot="0" vert="horz" wrap="square" lIns="0" tIns="0" rIns="0" bIns="0" anchor="ctr" anchorCtr="0" upright="1">
                          <a:noAutofit/>
                        </wps:bodyPr>
                      </wps:wsp>
                      <wps:wsp>
                        <wps:cNvPr id="236" name="Line 2511"/>
                        <wps:cNvCnPr>
                          <a:cxnSpLocks noChangeShapeType="1"/>
                        </wps:cNvCnPr>
                        <wps:spPr bwMode="auto">
                          <a:xfrm>
                            <a:off x="2566" y="1142"/>
                            <a:ext cx="479" cy="0"/>
                          </a:xfrm>
                          <a:prstGeom prst="line">
                            <a:avLst/>
                          </a:prstGeom>
                          <a:noFill/>
                          <a:ln w="12700">
                            <a:solidFill>
                              <a:srgbClr val="0000C8"/>
                            </a:solidFill>
                            <a:round/>
                          </a:ln>
                        </wps:spPr>
                        <wps:bodyPr/>
                      </wps:wsp>
                      <wps:wsp>
                        <wps:cNvPr id="237" name="Text Box 2512"/>
                        <wps:cNvSpPr txBox="1">
                          <a:spLocks noChangeArrowheads="1"/>
                        </wps:cNvSpPr>
                        <wps:spPr bwMode="auto">
                          <a:xfrm>
                            <a:off x="3045" y="990"/>
                            <a:ext cx="2533" cy="303"/>
                          </a:xfrm>
                          <a:prstGeom prst="rect">
                            <a:avLst/>
                          </a:prstGeom>
                          <a:solidFill>
                            <a:schemeClr val="accent6">
                              <a:lumMod val="40000"/>
                              <a:lumOff val="60000"/>
                            </a:schemeClr>
                          </a:solidFill>
                          <a:ln w="12700">
                            <a:solidFill>
                              <a:srgbClr val="0000C8"/>
                            </a:solidFill>
                            <a:miter lim="800000"/>
                          </a:ln>
                        </wps:spPr>
                        <wps:txbx>
                          <w:txbxContent>
                            <w:p w14:paraId="1052051C">
                              <w:pPr>
                                <w:pStyle w:val="56"/>
                              </w:pPr>
                              <w:r>
                                <w:rPr>
                                  <w:rFonts w:hint="eastAsia"/>
                                </w:rPr>
                                <w:t>成立</w:t>
                              </w:r>
                              <w:r>
                                <w:rPr>
                                  <w:rFonts w:hint="eastAsia"/>
                                  <w:lang w:val="en-US" w:eastAsia="zh-CN"/>
                                </w:rPr>
                                <w:t>文明施工</w:t>
                              </w:r>
                              <w:r>
                                <w:rPr>
                                  <w:rFonts w:hint="eastAsia"/>
                                </w:rPr>
                                <w:t>领导小组</w:t>
                              </w:r>
                            </w:p>
                          </w:txbxContent>
                        </wps:txbx>
                        <wps:bodyPr rot="0" vert="horz" wrap="square" lIns="108000" tIns="0" rIns="0" bIns="0" anchor="ctr" anchorCtr="0" upright="1">
                          <a:noAutofit/>
                        </wps:bodyPr>
                      </wps:wsp>
                      <wps:wsp>
                        <wps:cNvPr id="238" name="Text Box 2513"/>
                        <wps:cNvSpPr txBox="1">
                          <a:spLocks noChangeArrowheads="1"/>
                        </wps:cNvSpPr>
                        <wps:spPr bwMode="auto">
                          <a:xfrm>
                            <a:off x="3045" y="0"/>
                            <a:ext cx="2533" cy="302"/>
                          </a:xfrm>
                          <a:prstGeom prst="rect">
                            <a:avLst/>
                          </a:prstGeom>
                          <a:solidFill>
                            <a:schemeClr val="accent6">
                              <a:lumMod val="40000"/>
                              <a:lumOff val="60000"/>
                            </a:schemeClr>
                          </a:solidFill>
                          <a:ln w="12700">
                            <a:solidFill>
                              <a:srgbClr val="0000C8"/>
                            </a:solidFill>
                            <a:miter lim="800000"/>
                          </a:ln>
                        </wps:spPr>
                        <wps:txbx>
                          <w:txbxContent>
                            <w:p w14:paraId="51A98A28">
                              <w:pPr>
                                <w:pStyle w:val="56"/>
                              </w:pPr>
                              <w:r>
                                <w:rPr>
                                  <w:rFonts w:hint="eastAsia"/>
                                  <w:lang w:val="en-US" w:eastAsia="zh-CN"/>
                                </w:rPr>
                                <w:t>文明施工</w:t>
                              </w:r>
                              <w:r>
                                <w:rPr>
                                  <w:rFonts w:hint="eastAsia"/>
                                </w:rPr>
                                <w:t>知识宣传教育</w:t>
                              </w:r>
                            </w:p>
                          </w:txbxContent>
                        </wps:txbx>
                        <wps:bodyPr rot="0" vert="horz" wrap="square" lIns="108000" tIns="0" rIns="0" bIns="0" anchor="ctr" anchorCtr="0" upright="1">
                          <a:noAutofit/>
                        </wps:bodyPr>
                      </wps:wsp>
                      <wps:wsp>
                        <wps:cNvPr id="239" name="Text Box 2514"/>
                        <wps:cNvSpPr txBox="1">
                          <a:spLocks noChangeArrowheads="1"/>
                        </wps:cNvSpPr>
                        <wps:spPr bwMode="auto">
                          <a:xfrm>
                            <a:off x="3045" y="453"/>
                            <a:ext cx="2533" cy="303"/>
                          </a:xfrm>
                          <a:prstGeom prst="rect">
                            <a:avLst/>
                          </a:prstGeom>
                          <a:solidFill>
                            <a:schemeClr val="accent6">
                              <a:lumMod val="40000"/>
                              <a:lumOff val="60000"/>
                            </a:schemeClr>
                          </a:solidFill>
                          <a:ln w="12700">
                            <a:solidFill>
                              <a:srgbClr val="0000C8"/>
                            </a:solidFill>
                            <a:miter lim="800000"/>
                          </a:ln>
                        </wps:spPr>
                        <wps:txbx>
                          <w:txbxContent>
                            <w:p w14:paraId="70FE8189">
                              <w:pPr>
                                <w:pStyle w:val="56"/>
                              </w:pPr>
                              <w:r>
                                <w:rPr>
                                  <w:rFonts w:hint="eastAsia"/>
                                </w:rPr>
                                <w:t>制定目标责任制</w:t>
                              </w:r>
                            </w:p>
                            <w:p w14:paraId="4A516B26">
                              <w:pPr>
                                <w:pStyle w:val="56"/>
                              </w:pPr>
                            </w:p>
                          </w:txbxContent>
                        </wps:txbx>
                        <wps:bodyPr rot="0" vert="horz" wrap="square" lIns="108000" tIns="0" rIns="0" bIns="0" anchor="ctr" anchorCtr="0" upright="1">
                          <a:noAutofit/>
                        </wps:bodyPr>
                      </wps:wsp>
                      <wps:wsp>
                        <wps:cNvPr id="240" name="Line 2515"/>
                        <wps:cNvCnPr>
                          <a:cxnSpLocks noChangeShapeType="1"/>
                        </wps:cNvCnPr>
                        <wps:spPr bwMode="auto">
                          <a:xfrm>
                            <a:off x="2707" y="158"/>
                            <a:ext cx="0" cy="447"/>
                          </a:xfrm>
                          <a:prstGeom prst="line">
                            <a:avLst/>
                          </a:prstGeom>
                          <a:noFill/>
                          <a:ln w="12700">
                            <a:solidFill>
                              <a:srgbClr val="0000C8"/>
                            </a:solidFill>
                            <a:round/>
                          </a:ln>
                        </wps:spPr>
                        <wps:bodyPr/>
                      </wps:wsp>
                      <wps:wsp>
                        <wps:cNvPr id="241" name="Line 2516"/>
                        <wps:cNvCnPr>
                          <a:cxnSpLocks noChangeShapeType="1"/>
                        </wps:cNvCnPr>
                        <wps:spPr bwMode="auto">
                          <a:xfrm>
                            <a:off x="2707" y="158"/>
                            <a:ext cx="338" cy="0"/>
                          </a:xfrm>
                          <a:prstGeom prst="line">
                            <a:avLst/>
                          </a:prstGeom>
                          <a:noFill/>
                          <a:ln w="12700">
                            <a:solidFill>
                              <a:srgbClr val="0000C8"/>
                            </a:solidFill>
                            <a:round/>
                          </a:ln>
                        </wps:spPr>
                        <wps:bodyPr/>
                      </wps:wsp>
                      <wps:wsp>
                        <wps:cNvPr id="242" name="Line 2517"/>
                        <wps:cNvCnPr>
                          <a:cxnSpLocks noChangeShapeType="1"/>
                        </wps:cNvCnPr>
                        <wps:spPr bwMode="auto">
                          <a:xfrm>
                            <a:off x="2707" y="605"/>
                            <a:ext cx="338" cy="0"/>
                          </a:xfrm>
                          <a:prstGeom prst="line">
                            <a:avLst/>
                          </a:prstGeom>
                          <a:noFill/>
                          <a:ln w="12700">
                            <a:solidFill>
                              <a:srgbClr val="0000C8"/>
                            </a:solidFill>
                            <a:round/>
                          </a:ln>
                        </wps:spPr>
                        <wps:bodyPr/>
                      </wps:wsp>
                      <wps:wsp>
                        <wps:cNvPr id="243" name="Line 2518"/>
                        <wps:cNvCnPr>
                          <a:cxnSpLocks noChangeShapeType="1"/>
                        </wps:cNvCnPr>
                        <wps:spPr bwMode="auto">
                          <a:xfrm>
                            <a:off x="1001" y="2039"/>
                            <a:ext cx="143" cy="0"/>
                          </a:xfrm>
                          <a:prstGeom prst="line">
                            <a:avLst/>
                          </a:prstGeom>
                          <a:noFill/>
                          <a:ln w="12700">
                            <a:solidFill>
                              <a:srgbClr val="0000C8"/>
                            </a:solidFill>
                            <a:round/>
                          </a:ln>
                        </wps:spPr>
                        <wps:bodyPr/>
                      </wps:wsp>
                      <wps:wsp>
                        <wps:cNvPr id="244" name="Text Box 2519"/>
                        <wps:cNvSpPr txBox="1">
                          <a:spLocks noChangeArrowheads="1"/>
                        </wps:cNvSpPr>
                        <wps:spPr bwMode="auto">
                          <a:xfrm>
                            <a:off x="1144" y="1887"/>
                            <a:ext cx="1352" cy="303"/>
                          </a:xfrm>
                          <a:prstGeom prst="rect">
                            <a:avLst/>
                          </a:prstGeom>
                          <a:solidFill>
                            <a:schemeClr val="accent6">
                              <a:lumMod val="40000"/>
                              <a:lumOff val="60000"/>
                            </a:schemeClr>
                          </a:solidFill>
                          <a:ln w="12700">
                            <a:solidFill>
                              <a:srgbClr val="0000C8"/>
                            </a:solidFill>
                            <a:miter lim="800000"/>
                          </a:ln>
                        </wps:spPr>
                        <wps:txbx>
                          <w:txbxContent>
                            <w:p w14:paraId="06B13E63">
                              <w:pPr>
                                <w:pStyle w:val="56"/>
                              </w:pPr>
                              <w:r>
                                <w:rPr>
                                  <w:rFonts w:hint="eastAsia"/>
                                </w:rPr>
                                <w:t>技术保证</w:t>
                              </w:r>
                            </w:p>
                          </w:txbxContent>
                        </wps:txbx>
                        <wps:bodyPr rot="0" vert="horz" wrap="square" lIns="0" tIns="0" rIns="0" bIns="0" anchor="ctr" anchorCtr="0" upright="1">
                          <a:noAutofit/>
                        </wps:bodyPr>
                      </wps:wsp>
                      <wps:wsp>
                        <wps:cNvPr id="245" name="Line 2520"/>
                        <wps:cNvCnPr>
                          <a:cxnSpLocks noChangeShapeType="1"/>
                        </wps:cNvCnPr>
                        <wps:spPr bwMode="auto">
                          <a:xfrm>
                            <a:off x="2496" y="2039"/>
                            <a:ext cx="549" cy="0"/>
                          </a:xfrm>
                          <a:prstGeom prst="line">
                            <a:avLst/>
                          </a:prstGeom>
                          <a:noFill/>
                          <a:ln w="12700">
                            <a:solidFill>
                              <a:srgbClr val="0000C8"/>
                            </a:solidFill>
                            <a:round/>
                          </a:ln>
                        </wps:spPr>
                        <wps:bodyPr/>
                      </wps:wsp>
                      <wps:wsp>
                        <wps:cNvPr id="246" name="Text Box 2521"/>
                        <wps:cNvSpPr txBox="1">
                          <a:spLocks noChangeArrowheads="1"/>
                        </wps:cNvSpPr>
                        <wps:spPr bwMode="auto">
                          <a:xfrm>
                            <a:off x="3045" y="1887"/>
                            <a:ext cx="3390" cy="303"/>
                          </a:xfrm>
                          <a:prstGeom prst="rect">
                            <a:avLst/>
                          </a:prstGeom>
                          <a:solidFill>
                            <a:schemeClr val="accent6">
                              <a:lumMod val="40000"/>
                              <a:lumOff val="60000"/>
                            </a:schemeClr>
                          </a:solidFill>
                          <a:ln w="12700">
                            <a:solidFill>
                              <a:srgbClr val="0000C8"/>
                            </a:solidFill>
                            <a:miter lim="800000"/>
                          </a:ln>
                        </wps:spPr>
                        <wps:txbx>
                          <w:txbxContent>
                            <w:p w14:paraId="11F86312">
                              <w:pPr>
                                <w:pStyle w:val="56"/>
                              </w:pPr>
                              <w:r>
                                <w:rPr>
                                  <w:rFonts w:hint="eastAsia"/>
                                </w:rPr>
                                <w:t>制定</w:t>
                              </w:r>
                              <w:r>
                                <w:rPr>
                                  <w:rFonts w:hint="eastAsia"/>
                                  <w:lang w:val="en-US" w:eastAsia="zh-CN"/>
                                </w:rPr>
                                <w:t>文明施工</w:t>
                              </w:r>
                              <w:r>
                                <w:rPr>
                                  <w:rFonts w:hint="eastAsia"/>
                                </w:rPr>
                                <w:t>实施方案</w:t>
                              </w:r>
                            </w:p>
                          </w:txbxContent>
                        </wps:txbx>
                        <wps:bodyPr rot="0" vert="horz" wrap="square" lIns="108000" tIns="0" rIns="0" bIns="0" anchor="ctr" anchorCtr="0" upright="1">
                          <a:noAutofit/>
                        </wps:bodyPr>
                      </wps:wsp>
                      <wps:wsp>
                        <wps:cNvPr id="247" name="Text Box 2522"/>
                        <wps:cNvSpPr txBox="1">
                          <a:spLocks noChangeArrowheads="1"/>
                        </wps:cNvSpPr>
                        <wps:spPr bwMode="auto">
                          <a:xfrm>
                            <a:off x="3045" y="1510"/>
                            <a:ext cx="3390" cy="303"/>
                          </a:xfrm>
                          <a:prstGeom prst="rect">
                            <a:avLst/>
                          </a:prstGeom>
                          <a:solidFill>
                            <a:schemeClr val="accent6">
                              <a:lumMod val="40000"/>
                              <a:lumOff val="60000"/>
                            </a:schemeClr>
                          </a:solidFill>
                          <a:ln w="12700">
                            <a:solidFill>
                              <a:srgbClr val="0000C8"/>
                            </a:solidFill>
                            <a:miter lim="800000"/>
                          </a:ln>
                        </wps:spPr>
                        <wps:txbx>
                          <w:txbxContent>
                            <w:p w14:paraId="0B82F04F">
                              <w:pPr>
                                <w:pStyle w:val="56"/>
                              </w:pPr>
                              <w:r>
                                <w:rPr>
                                  <w:rFonts w:hint="eastAsia"/>
                                  <w:lang w:val="en-US" w:eastAsia="zh-CN"/>
                                </w:rPr>
                                <w:t>组织</w:t>
                              </w:r>
                              <w:r>
                                <w:rPr>
                                  <w:rFonts w:hint="eastAsia"/>
                                </w:rPr>
                                <w:t>员工培训</w:t>
                              </w:r>
                            </w:p>
                          </w:txbxContent>
                        </wps:txbx>
                        <wps:bodyPr rot="0" vert="horz" wrap="square" lIns="108000" tIns="0" rIns="0" bIns="0" anchor="ctr" anchorCtr="0" upright="1">
                          <a:noAutofit/>
                        </wps:bodyPr>
                      </wps:wsp>
                      <wps:wsp>
                        <wps:cNvPr id="248" name="Line 2523"/>
                        <wps:cNvCnPr>
                          <a:cxnSpLocks noChangeShapeType="1"/>
                        </wps:cNvCnPr>
                        <wps:spPr bwMode="auto">
                          <a:xfrm>
                            <a:off x="2707" y="1659"/>
                            <a:ext cx="0" cy="767"/>
                          </a:xfrm>
                          <a:prstGeom prst="line">
                            <a:avLst/>
                          </a:prstGeom>
                          <a:noFill/>
                          <a:ln w="12700">
                            <a:solidFill>
                              <a:srgbClr val="0000C8"/>
                            </a:solidFill>
                            <a:round/>
                          </a:ln>
                        </wps:spPr>
                        <wps:bodyPr/>
                      </wps:wsp>
                      <wps:wsp>
                        <wps:cNvPr id="249" name="Line 2524"/>
                        <wps:cNvCnPr>
                          <a:cxnSpLocks noChangeShapeType="1"/>
                        </wps:cNvCnPr>
                        <wps:spPr bwMode="auto">
                          <a:xfrm>
                            <a:off x="2707" y="1659"/>
                            <a:ext cx="338" cy="0"/>
                          </a:xfrm>
                          <a:prstGeom prst="line">
                            <a:avLst/>
                          </a:prstGeom>
                          <a:noFill/>
                          <a:ln w="12700">
                            <a:solidFill>
                              <a:srgbClr val="0000C8"/>
                            </a:solidFill>
                            <a:round/>
                          </a:ln>
                        </wps:spPr>
                        <wps:bodyPr/>
                      </wps:wsp>
                      <wps:wsp>
                        <wps:cNvPr id="250" name="Line 2525"/>
                        <wps:cNvCnPr>
                          <a:cxnSpLocks noChangeShapeType="1"/>
                        </wps:cNvCnPr>
                        <wps:spPr bwMode="auto">
                          <a:xfrm>
                            <a:off x="1001" y="3110"/>
                            <a:ext cx="143" cy="0"/>
                          </a:xfrm>
                          <a:prstGeom prst="line">
                            <a:avLst/>
                          </a:prstGeom>
                          <a:noFill/>
                          <a:ln w="12700">
                            <a:solidFill>
                              <a:srgbClr val="0000C8"/>
                            </a:solidFill>
                            <a:round/>
                          </a:ln>
                        </wps:spPr>
                        <wps:bodyPr/>
                      </wps:wsp>
                      <wps:wsp>
                        <wps:cNvPr id="251" name="Text Box 2526"/>
                        <wps:cNvSpPr txBox="1">
                          <a:spLocks noChangeArrowheads="1"/>
                        </wps:cNvSpPr>
                        <wps:spPr bwMode="auto">
                          <a:xfrm>
                            <a:off x="1144" y="2959"/>
                            <a:ext cx="1352" cy="303"/>
                          </a:xfrm>
                          <a:prstGeom prst="rect">
                            <a:avLst/>
                          </a:prstGeom>
                          <a:solidFill>
                            <a:schemeClr val="accent6">
                              <a:lumMod val="40000"/>
                              <a:lumOff val="60000"/>
                            </a:schemeClr>
                          </a:solidFill>
                          <a:ln w="12700">
                            <a:solidFill>
                              <a:srgbClr val="0000C8"/>
                            </a:solidFill>
                            <a:miter lim="800000"/>
                          </a:ln>
                        </wps:spPr>
                        <wps:txbx>
                          <w:txbxContent>
                            <w:p w14:paraId="442B0929">
                              <w:pPr>
                                <w:pStyle w:val="56"/>
                              </w:pPr>
                              <w:r>
                                <w:rPr>
                                  <w:rFonts w:hint="eastAsia"/>
                                </w:rPr>
                                <w:t>制度保证</w:t>
                              </w:r>
                            </w:p>
                          </w:txbxContent>
                        </wps:txbx>
                        <wps:bodyPr rot="0" vert="horz" wrap="square" lIns="0" tIns="0" rIns="0" bIns="0" anchor="ctr" anchorCtr="0" upright="1">
                          <a:noAutofit/>
                        </wps:bodyPr>
                      </wps:wsp>
                      <wps:wsp>
                        <wps:cNvPr id="252" name="Text Box 2527"/>
                        <wps:cNvSpPr txBox="1">
                          <a:spLocks noChangeArrowheads="1"/>
                        </wps:cNvSpPr>
                        <wps:spPr bwMode="auto">
                          <a:xfrm>
                            <a:off x="3045" y="3111"/>
                            <a:ext cx="3390" cy="303"/>
                          </a:xfrm>
                          <a:prstGeom prst="rect">
                            <a:avLst/>
                          </a:prstGeom>
                          <a:solidFill>
                            <a:schemeClr val="accent6">
                              <a:lumMod val="40000"/>
                              <a:lumOff val="60000"/>
                            </a:schemeClr>
                          </a:solidFill>
                          <a:ln w="12700">
                            <a:solidFill>
                              <a:srgbClr val="0000C8"/>
                            </a:solidFill>
                            <a:miter lim="800000"/>
                          </a:ln>
                        </wps:spPr>
                        <wps:txbx>
                          <w:txbxContent>
                            <w:p w14:paraId="5EFA750C">
                              <w:pPr>
                                <w:pStyle w:val="56"/>
                              </w:pPr>
                              <w:r>
                                <w:rPr>
                                  <w:rFonts w:hint="eastAsia"/>
                                </w:rPr>
                                <w:t>公司、项目部相关规章制度</w:t>
                              </w:r>
                            </w:p>
                          </w:txbxContent>
                        </wps:txbx>
                        <wps:bodyPr rot="0" vert="horz" wrap="square" lIns="108000" tIns="0" rIns="0" bIns="0" anchor="ctr" anchorCtr="0" upright="1">
                          <a:noAutofit/>
                        </wps:bodyPr>
                      </wps:wsp>
                      <wps:wsp>
                        <wps:cNvPr id="253" name="Text Box 2528"/>
                        <wps:cNvSpPr txBox="1">
                          <a:spLocks noChangeArrowheads="1"/>
                        </wps:cNvSpPr>
                        <wps:spPr bwMode="auto">
                          <a:xfrm>
                            <a:off x="3045" y="2734"/>
                            <a:ext cx="3390" cy="303"/>
                          </a:xfrm>
                          <a:prstGeom prst="rect">
                            <a:avLst/>
                          </a:prstGeom>
                          <a:solidFill>
                            <a:schemeClr val="accent6">
                              <a:lumMod val="40000"/>
                              <a:lumOff val="60000"/>
                            </a:schemeClr>
                          </a:solidFill>
                          <a:ln w="12700">
                            <a:solidFill>
                              <a:srgbClr val="0000C8"/>
                            </a:solidFill>
                            <a:miter lim="800000"/>
                          </a:ln>
                        </wps:spPr>
                        <wps:txbx>
                          <w:txbxContent>
                            <w:p w14:paraId="4CC6FF77">
                              <w:pPr>
                                <w:pStyle w:val="56"/>
                              </w:pPr>
                              <w:r>
                                <w:rPr>
                                  <w:rFonts w:hint="eastAsia"/>
                                </w:rPr>
                                <w:t>国家、相关部委相关法律、法规</w:t>
                              </w:r>
                            </w:p>
                          </w:txbxContent>
                        </wps:txbx>
                        <wps:bodyPr rot="0" vert="horz" wrap="square" lIns="108000" tIns="0" rIns="0" bIns="0" anchor="ctr" anchorCtr="0" upright="1">
                          <a:noAutofit/>
                        </wps:bodyPr>
                      </wps:wsp>
                      <wps:wsp>
                        <wps:cNvPr id="254" name="Line 2529"/>
                        <wps:cNvCnPr>
                          <a:cxnSpLocks noChangeShapeType="1"/>
                        </wps:cNvCnPr>
                        <wps:spPr bwMode="auto">
                          <a:xfrm>
                            <a:off x="2707" y="2883"/>
                            <a:ext cx="0" cy="379"/>
                          </a:xfrm>
                          <a:prstGeom prst="line">
                            <a:avLst/>
                          </a:prstGeom>
                          <a:noFill/>
                          <a:ln w="12700">
                            <a:solidFill>
                              <a:srgbClr val="0000C8"/>
                            </a:solidFill>
                            <a:round/>
                          </a:ln>
                        </wps:spPr>
                        <wps:bodyPr/>
                      </wps:wsp>
                      <wps:wsp>
                        <wps:cNvPr id="255" name="Line 2530"/>
                        <wps:cNvCnPr>
                          <a:cxnSpLocks noChangeShapeType="1"/>
                        </wps:cNvCnPr>
                        <wps:spPr bwMode="auto">
                          <a:xfrm>
                            <a:off x="2707" y="2883"/>
                            <a:ext cx="338" cy="0"/>
                          </a:xfrm>
                          <a:prstGeom prst="line">
                            <a:avLst/>
                          </a:prstGeom>
                          <a:noFill/>
                          <a:ln w="12700">
                            <a:solidFill>
                              <a:srgbClr val="0000C8"/>
                            </a:solidFill>
                            <a:round/>
                          </a:ln>
                        </wps:spPr>
                        <wps:bodyPr/>
                      </wps:wsp>
                      <wps:wsp>
                        <wps:cNvPr id="256" name="Line 2531"/>
                        <wps:cNvCnPr>
                          <a:cxnSpLocks noChangeShapeType="1"/>
                        </wps:cNvCnPr>
                        <wps:spPr bwMode="auto">
                          <a:xfrm>
                            <a:off x="1001" y="4125"/>
                            <a:ext cx="143" cy="0"/>
                          </a:xfrm>
                          <a:prstGeom prst="line">
                            <a:avLst/>
                          </a:prstGeom>
                          <a:noFill/>
                          <a:ln w="12700">
                            <a:solidFill>
                              <a:srgbClr val="0000C8"/>
                            </a:solidFill>
                            <a:round/>
                          </a:ln>
                        </wps:spPr>
                        <wps:bodyPr/>
                      </wps:wsp>
                      <wps:wsp>
                        <wps:cNvPr id="257" name="Text Box 2532"/>
                        <wps:cNvSpPr txBox="1">
                          <a:spLocks noChangeArrowheads="1"/>
                        </wps:cNvSpPr>
                        <wps:spPr bwMode="auto">
                          <a:xfrm>
                            <a:off x="1144" y="3973"/>
                            <a:ext cx="1352" cy="304"/>
                          </a:xfrm>
                          <a:prstGeom prst="rect">
                            <a:avLst/>
                          </a:prstGeom>
                          <a:solidFill>
                            <a:schemeClr val="accent6">
                              <a:lumMod val="40000"/>
                              <a:lumOff val="60000"/>
                            </a:schemeClr>
                          </a:solidFill>
                          <a:ln w="12700">
                            <a:solidFill>
                              <a:srgbClr val="0000C8"/>
                            </a:solidFill>
                            <a:miter lim="800000"/>
                          </a:ln>
                        </wps:spPr>
                        <wps:txbx>
                          <w:txbxContent>
                            <w:p w14:paraId="11BCFC70">
                              <w:pPr>
                                <w:pStyle w:val="56"/>
                              </w:pPr>
                              <w:r>
                                <w:rPr>
                                  <w:rFonts w:hint="eastAsia"/>
                                </w:rPr>
                                <w:t>施工保证</w:t>
                              </w:r>
                            </w:p>
                          </w:txbxContent>
                        </wps:txbx>
                        <wps:bodyPr rot="0" vert="horz" wrap="square" lIns="0" tIns="0" rIns="0" bIns="0" anchor="ctr" anchorCtr="0" upright="1">
                          <a:noAutofit/>
                        </wps:bodyPr>
                      </wps:wsp>
                      <wps:wsp>
                        <wps:cNvPr id="258" name="Line 2533"/>
                        <wps:cNvCnPr>
                          <a:cxnSpLocks noChangeShapeType="1"/>
                        </wps:cNvCnPr>
                        <wps:spPr bwMode="auto">
                          <a:xfrm>
                            <a:off x="2496" y="4125"/>
                            <a:ext cx="549" cy="0"/>
                          </a:xfrm>
                          <a:prstGeom prst="line">
                            <a:avLst/>
                          </a:prstGeom>
                          <a:noFill/>
                          <a:ln w="12700">
                            <a:solidFill>
                              <a:srgbClr val="0000C8"/>
                            </a:solidFill>
                            <a:round/>
                          </a:ln>
                        </wps:spPr>
                        <wps:bodyPr/>
                      </wps:wsp>
                      <wps:wsp>
                        <wps:cNvPr id="259" name="Text Box 2534"/>
                        <wps:cNvSpPr txBox="1">
                          <a:spLocks noChangeArrowheads="1"/>
                        </wps:cNvSpPr>
                        <wps:spPr bwMode="auto">
                          <a:xfrm>
                            <a:off x="3045" y="3973"/>
                            <a:ext cx="3040" cy="304"/>
                          </a:xfrm>
                          <a:prstGeom prst="rect">
                            <a:avLst/>
                          </a:prstGeom>
                          <a:solidFill>
                            <a:schemeClr val="accent6">
                              <a:lumMod val="40000"/>
                              <a:lumOff val="60000"/>
                            </a:schemeClr>
                          </a:solidFill>
                          <a:ln w="12700">
                            <a:solidFill>
                              <a:srgbClr val="0000C8"/>
                            </a:solidFill>
                            <a:miter lim="800000"/>
                          </a:ln>
                        </wps:spPr>
                        <wps:txbx>
                          <w:txbxContent>
                            <w:p w14:paraId="23B7BEF1">
                              <w:pPr>
                                <w:pStyle w:val="56"/>
                              </w:pPr>
                              <w:r>
                                <w:rPr>
                                  <w:rFonts w:hint="eastAsia"/>
                                  <w:lang w:val="en-US" w:eastAsia="zh-CN"/>
                                </w:rPr>
                                <w:t>文明</w:t>
                              </w:r>
                              <w:r>
                                <w:rPr>
                                  <w:rFonts w:hint="eastAsia"/>
                                </w:rPr>
                                <w:t>施工工艺保证</w:t>
                              </w:r>
                            </w:p>
                          </w:txbxContent>
                        </wps:txbx>
                        <wps:bodyPr rot="0" vert="horz" wrap="square" lIns="108000" tIns="0" rIns="0" bIns="0" anchor="ctr" anchorCtr="0" upright="1">
                          <a:noAutofit/>
                        </wps:bodyPr>
                      </wps:wsp>
                      <wps:wsp>
                        <wps:cNvPr id="260" name="Text Box 2535"/>
                        <wps:cNvSpPr txBox="1">
                          <a:spLocks noChangeArrowheads="1"/>
                        </wps:cNvSpPr>
                        <wps:spPr bwMode="auto">
                          <a:xfrm>
                            <a:off x="3045" y="3596"/>
                            <a:ext cx="3040" cy="303"/>
                          </a:xfrm>
                          <a:prstGeom prst="rect">
                            <a:avLst/>
                          </a:prstGeom>
                          <a:solidFill>
                            <a:schemeClr val="accent6">
                              <a:lumMod val="40000"/>
                              <a:lumOff val="60000"/>
                            </a:schemeClr>
                          </a:solidFill>
                          <a:ln w="12700">
                            <a:solidFill>
                              <a:srgbClr val="0000C8"/>
                            </a:solidFill>
                            <a:miter lim="800000"/>
                          </a:ln>
                        </wps:spPr>
                        <wps:txbx>
                          <w:txbxContent>
                            <w:p w14:paraId="4B672A37">
                              <w:pPr>
                                <w:pStyle w:val="56"/>
                              </w:pPr>
                              <w:r>
                                <w:rPr>
                                  <w:rFonts w:hint="eastAsia"/>
                                </w:rPr>
                                <w:t>落实岗位责任制</w:t>
                              </w:r>
                            </w:p>
                          </w:txbxContent>
                        </wps:txbx>
                        <wps:bodyPr rot="0" vert="horz" wrap="square" lIns="108000" tIns="0" rIns="0" bIns="0" anchor="ctr" anchorCtr="0" upright="1">
                          <a:noAutofit/>
                        </wps:bodyPr>
                      </wps:wsp>
                      <wps:wsp>
                        <wps:cNvPr id="261" name="Text Box 2536"/>
                        <wps:cNvSpPr txBox="1">
                          <a:spLocks noChangeArrowheads="1"/>
                        </wps:cNvSpPr>
                        <wps:spPr bwMode="auto">
                          <a:xfrm>
                            <a:off x="3045" y="4342"/>
                            <a:ext cx="3040" cy="302"/>
                          </a:xfrm>
                          <a:prstGeom prst="rect">
                            <a:avLst/>
                          </a:prstGeom>
                          <a:solidFill>
                            <a:schemeClr val="accent6">
                              <a:lumMod val="40000"/>
                              <a:lumOff val="60000"/>
                            </a:schemeClr>
                          </a:solidFill>
                          <a:ln w="12700">
                            <a:solidFill>
                              <a:srgbClr val="0000C8"/>
                            </a:solidFill>
                            <a:miter lim="800000"/>
                          </a:ln>
                        </wps:spPr>
                        <wps:txbx>
                          <w:txbxContent>
                            <w:p w14:paraId="12A57503">
                              <w:pPr>
                                <w:pStyle w:val="56"/>
                              </w:pPr>
                              <w:r>
                                <w:rPr>
                                  <w:rFonts w:hint="eastAsia"/>
                                </w:rPr>
                                <w:t>物资设备保证</w:t>
                              </w:r>
                            </w:p>
                          </w:txbxContent>
                        </wps:txbx>
                        <wps:bodyPr rot="0" vert="horz" wrap="square" lIns="108000" tIns="0" rIns="0" bIns="0" anchor="ctr" anchorCtr="0" upright="1">
                          <a:noAutofit/>
                        </wps:bodyPr>
                      </wps:wsp>
                      <wps:wsp>
                        <wps:cNvPr id="262" name="Line 2537"/>
                        <wps:cNvCnPr>
                          <a:cxnSpLocks noChangeShapeType="1"/>
                        </wps:cNvCnPr>
                        <wps:spPr bwMode="auto">
                          <a:xfrm>
                            <a:off x="2707" y="3747"/>
                            <a:ext cx="0" cy="1180"/>
                          </a:xfrm>
                          <a:prstGeom prst="line">
                            <a:avLst/>
                          </a:prstGeom>
                          <a:noFill/>
                          <a:ln w="12700">
                            <a:solidFill>
                              <a:srgbClr val="0000C8"/>
                            </a:solidFill>
                            <a:round/>
                          </a:ln>
                        </wps:spPr>
                        <wps:bodyPr/>
                      </wps:wsp>
                      <wps:wsp>
                        <wps:cNvPr id="263" name="Line 2538"/>
                        <wps:cNvCnPr>
                          <a:cxnSpLocks noChangeShapeType="1"/>
                        </wps:cNvCnPr>
                        <wps:spPr bwMode="auto">
                          <a:xfrm>
                            <a:off x="2707" y="3747"/>
                            <a:ext cx="338" cy="0"/>
                          </a:xfrm>
                          <a:prstGeom prst="line">
                            <a:avLst/>
                          </a:prstGeom>
                          <a:noFill/>
                          <a:ln w="12700">
                            <a:solidFill>
                              <a:srgbClr val="0000C8"/>
                            </a:solidFill>
                            <a:round/>
                          </a:ln>
                        </wps:spPr>
                        <wps:bodyPr/>
                      </wps:wsp>
                      <wps:wsp>
                        <wps:cNvPr id="264" name="Line 2539"/>
                        <wps:cNvCnPr>
                          <a:cxnSpLocks noChangeShapeType="1"/>
                        </wps:cNvCnPr>
                        <wps:spPr bwMode="auto">
                          <a:xfrm>
                            <a:off x="2707" y="4504"/>
                            <a:ext cx="338" cy="0"/>
                          </a:xfrm>
                          <a:prstGeom prst="line">
                            <a:avLst/>
                          </a:prstGeom>
                          <a:noFill/>
                          <a:ln w="12700">
                            <a:solidFill>
                              <a:srgbClr val="0000C8"/>
                            </a:solidFill>
                            <a:round/>
                          </a:ln>
                        </wps:spPr>
                        <wps:bodyPr/>
                      </wps:wsp>
                      <wps:wsp>
                        <wps:cNvPr id="265" name="Line 2540"/>
                        <wps:cNvCnPr>
                          <a:cxnSpLocks noChangeShapeType="1"/>
                        </wps:cNvCnPr>
                        <wps:spPr bwMode="auto">
                          <a:xfrm>
                            <a:off x="2566" y="358"/>
                            <a:ext cx="141" cy="0"/>
                          </a:xfrm>
                          <a:prstGeom prst="line">
                            <a:avLst/>
                          </a:prstGeom>
                          <a:noFill/>
                          <a:ln w="12700">
                            <a:solidFill>
                              <a:srgbClr val="0000C8"/>
                            </a:solidFill>
                            <a:round/>
                          </a:ln>
                        </wps:spPr>
                        <wps:bodyPr/>
                      </wps:wsp>
                      <wps:wsp>
                        <wps:cNvPr id="266" name="Text Box 2541"/>
                        <wps:cNvSpPr txBox="1">
                          <a:spLocks noChangeArrowheads="1"/>
                        </wps:cNvSpPr>
                        <wps:spPr bwMode="auto">
                          <a:xfrm>
                            <a:off x="3045" y="2276"/>
                            <a:ext cx="3390" cy="303"/>
                          </a:xfrm>
                          <a:prstGeom prst="rect">
                            <a:avLst/>
                          </a:prstGeom>
                          <a:solidFill>
                            <a:schemeClr val="accent6">
                              <a:lumMod val="40000"/>
                              <a:lumOff val="60000"/>
                            </a:schemeClr>
                          </a:solidFill>
                          <a:ln w="12700">
                            <a:solidFill>
                              <a:srgbClr val="0000C8"/>
                            </a:solidFill>
                            <a:miter lim="800000"/>
                          </a:ln>
                        </wps:spPr>
                        <wps:txbx>
                          <w:txbxContent>
                            <w:p w14:paraId="14E66A6F">
                              <w:pPr>
                                <w:pStyle w:val="56"/>
                              </w:pPr>
                              <w:r>
                                <w:rPr>
                                  <w:rFonts w:hint="eastAsia"/>
                                </w:rPr>
                                <w:t>制定</w:t>
                              </w:r>
                              <w:r>
                                <w:rPr>
                                  <w:rFonts w:hint="eastAsia"/>
                                  <w:lang w:val="en-US" w:eastAsia="zh-CN"/>
                                </w:rPr>
                                <w:t>文明施工</w:t>
                              </w:r>
                              <w:r>
                                <w:rPr>
                                  <w:rFonts w:hint="eastAsia"/>
                                </w:rPr>
                                <w:t>技术措施</w:t>
                              </w:r>
                            </w:p>
                          </w:txbxContent>
                        </wps:txbx>
                        <wps:bodyPr rot="0" vert="horz" wrap="square" lIns="108000" tIns="0" rIns="0" bIns="0" anchor="ctr" anchorCtr="0" upright="1">
                          <a:noAutofit/>
                        </wps:bodyPr>
                      </wps:wsp>
                      <wps:wsp>
                        <wps:cNvPr id="267" name="Line 2542"/>
                        <wps:cNvCnPr>
                          <a:cxnSpLocks noChangeShapeType="1"/>
                        </wps:cNvCnPr>
                        <wps:spPr bwMode="auto">
                          <a:xfrm>
                            <a:off x="2707" y="2426"/>
                            <a:ext cx="338" cy="0"/>
                          </a:xfrm>
                          <a:prstGeom prst="line">
                            <a:avLst/>
                          </a:prstGeom>
                          <a:noFill/>
                          <a:ln w="12700">
                            <a:solidFill>
                              <a:srgbClr val="0000C8"/>
                            </a:solidFill>
                            <a:round/>
                          </a:ln>
                        </wps:spPr>
                        <wps:bodyPr/>
                      </wps:wsp>
                      <wps:wsp>
                        <wps:cNvPr id="268" name="Text Box 2543"/>
                        <wps:cNvSpPr txBox="1">
                          <a:spLocks noChangeArrowheads="1"/>
                        </wps:cNvSpPr>
                        <wps:spPr bwMode="auto">
                          <a:xfrm>
                            <a:off x="3045" y="4776"/>
                            <a:ext cx="3040" cy="303"/>
                          </a:xfrm>
                          <a:prstGeom prst="rect">
                            <a:avLst/>
                          </a:prstGeom>
                          <a:solidFill>
                            <a:schemeClr val="accent6">
                              <a:lumMod val="40000"/>
                              <a:lumOff val="60000"/>
                            </a:schemeClr>
                          </a:solidFill>
                          <a:ln w="12700">
                            <a:solidFill>
                              <a:srgbClr val="0000C8"/>
                            </a:solidFill>
                            <a:miter lim="800000"/>
                          </a:ln>
                        </wps:spPr>
                        <wps:txbx>
                          <w:txbxContent>
                            <w:p w14:paraId="0E969163">
                              <w:pPr>
                                <w:pStyle w:val="56"/>
                              </w:pPr>
                              <w:r>
                                <w:rPr>
                                  <w:rFonts w:hint="eastAsia"/>
                                </w:rPr>
                                <w:t>监督、检查、改进</w:t>
                              </w:r>
                            </w:p>
                          </w:txbxContent>
                        </wps:txbx>
                        <wps:bodyPr rot="0" vert="horz" wrap="square" lIns="108000" tIns="0" rIns="0" bIns="0" anchor="ctr" anchorCtr="0" upright="1">
                          <a:noAutofit/>
                        </wps:bodyPr>
                      </wps:wsp>
                      <wps:wsp>
                        <wps:cNvPr id="269" name="Line 2544"/>
                        <wps:cNvCnPr>
                          <a:cxnSpLocks noChangeShapeType="1"/>
                        </wps:cNvCnPr>
                        <wps:spPr bwMode="auto">
                          <a:xfrm>
                            <a:off x="2707" y="4927"/>
                            <a:ext cx="338" cy="0"/>
                          </a:xfrm>
                          <a:prstGeom prst="line">
                            <a:avLst/>
                          </a:prstGeom>
                          <a:noFill/>
                          <a:ln w="12700">
                            <a:solidFill>
                              <a:srgbClr val="0000C8"/>
                            </a:solidFill>
                            <a:round/>
                          </a:ln>
                        </wps:spPr>
                        <wps:bodyPr/>
                      </wps:wsp>
                      <wps:wsp>
                        <wps:cNvPr id="270" name="Line 2545"/>
                        <wps:cNvCnPr>
                          <a:cxnSpLocks noChangeShapeType="1"/>
                        </wps:cNvCnPr>
                        <wps:spPr bwMode="auto">
                          <a:xfrm>
                            <a:off x="2707" y="3262"/>
                            <a:ext cx="338" cy="0"/>
                          </a:xfrm>
                          <a:prstGeom prst="line">
                            <a:avLst/>
                          </a:prstGeom>
                          <a:noFill/>
                          <a:ln w="12700">
                            <a:solidFill>
                              <a:srgbClr val="0000C8"/>
                            </a:solidFill>
                            <a:round/>
                          </a:ln>
                        </wps:spPr>
                        <wps:bodyPr/>
                      </wps:wsp>
                      <wps:wsp>
                        <wps:cNvPr id="271" name="Line 2546"/>
                        <wps:cNvCnPr>
                          <a:cxnSpLocks noChangeShapeType="1"/>
                        </wps:cNvCnPr>
                        <wps:spPr bwMode="auto">
                          <a:xfrm flipV="1">
                            <a:off x="2496" y="3111"/>
                            <a:ext cx="211" cy="0"/>
                          </a:xfrm>
                          <a:prstGeom prst="line">
                            <a:avLst/>
                          </a:prstGeom>
                          <a:noFill/>
                          <a:ln w="12700">
                            <a:solidFill>
                              <a:srgbClr val="0000C8"/>
                            </a:solidFill>
                            <a:round/>
                          </a:ln>
                        </wps:spPr>
                        <wps:bodyPr/>
                      </wps:wsp>
                      <wps:wsp>
                        <wps:cNvPr id="272" name="Line 2547"/>
                        <wps:cNvCnPr>
                          <a:cxnSpLocks noChangeShapeType="1"/>
                        </wps:cNvCnPr>
                        <wps:spPr bwMode="auto">
                          <a:xfrm flipV="1">
                            <a:off x="5578" y="171"/>
                            <a:ext cx="1200" cy="0"/>
                          </a:xfrm>
                          <a:prstGeom prst="line">
                            <a:avLst/>
                          </a:prstGeom>
                          <a:noFill/>
                          <a:ln w="12700">
                            <a:solidFill>
                              <a:srgbClr val="0000C8"/>
                            </a:solidFill>
                            <a:round/>
                          </a:ln>
                        </wps:spPr>
                        <wps:bodyPr/>
                      </wps:wsp>
                      <wps:wsp>
                        <wps:cNvPr id="273" name="Line 2548"/>
                        <wps:cNvCnPr>
                          <a:cxnSpLocks noChangeShapeType="1"/>
                        </wps:cNvCnPr>
                        <wps:spPr bwMode="auto">
                          <a:xfrm>
                            <a:off x="5578" y="605"/>
                            <a:ext cx="1205" cy="0"/>
                          </a:xfrm>
                          <a:prstGeom prst="line">
                            <a:avLst/>
                          </a:prstGeom>
                          <a:noFill/>
                          <a:ln w="12700">
                            <a:solidFill>
                              <a:srgbClr val="0000C8"/>
                            </a:solidFill>
                            <a:round/>
                          </a:ln>
                        </wps:spPr>
                        <wps:bodyPr/>
                      </wps:wsp>
                      <wps:wsp>
                        <wps:cNvPr id="274" name="Line 2549"/>
                        <wps:cNvCnPr>
                          <a:cxnSpLocks noChangeShapeType="1"/>
                        </wps:cNvCnPr>
                        <wps:spPr bwMode="auto">
                          <a:xfrm>
                            <a:off x="5573" y="1142"/>
                            <a:ext cx="1372" cy="0"/>
                          </a:xfrm>
                          <a:prstGeom prst="line">
                            <a:avLst/>
                          </a:prstGeom>
                          <a:noFill/>
                          <a:ln w="12700">
                            <a:solidFill>
                              <a:srgbClr val="0000C8"/>
                            </a:solidFill>
                            <a:round/>
                          </a:ln>
                        </wps:spPr>
                        <wps:bodyPr/>
                      </wps:wsp>
                      <wps:wsp>
                        <wps:cNvPr id="275" name="Line 2550"/>
                        <wps:cNvCnPr>
                          <a:cxnSpLocks noChangeShapeType="1"/>
                        </wps:cNvCnPr>
                        <wps:spPr bwMode="auto">
                          <a:xfrm>
                            <a:off x="6435" y="1659"/>
                            <a:ext cx="338" cy="0"/>
                          </a:xfrm>
                          <a:prstGeom prst="line">
                            <a:avLst/>
                          </a:prstGeom>
                          <a:noFill/>
                          <a:ln w="12700">
                            <a:solidFill>
                              <a:srgbClr val="0000C8"/>
                            </a:solidFill>
                            <a:round/>
                          </a:ln>
                        </wps:spPr>
                        <wps:bodyPr/>
                      </wps:wsp>
                      <wps:wsp>
                        <wps:cNvPr id="276" name="Line 2551"/>
                        <wps:cNvCnPr>
                          <a:cxnSpLocks noChangeShapeType="1"/>
                        </wps:cNvCnPr>
                        <wps:spPr bwMode="auto">
                          <a:xfrm>
                            <a:off x="6440" y="2039"/>
                            <a:ext cx="495" cy="0"/>
                          </a:xfrm>
                          <a:prstGeom prst="line">
                            <a:avLst/>
                          </a:prstGeom>
                          <a:noFill/>
                          <a:ln w="12700">
                            <a:solidFill>
                              <a:srgbClr val="0000C8"/>
                            </a:solidFill>
                            <a:round/>
                          </a:ln>
                        </wps:spPr>
                        <wps:bodyPr/>
                      </wps:wsp>
                      <wps:wsp>
                        <wps:cNvPr id="277" name="Line 2552"/>
                        <wps:cNvCnPr>
                          <a:cxnSpLocks noChangeShapeType="1"/>
                        </wps:cNvCnPr>
                        <wps:spPr bwMode="auto">
                          <a:xfrm>
                            <a:off x="6435" y="2438"/>
                            <a:ext cx="338" cy="0"/>
                          </a:xfrm>
                          <a:prstGeom prst="line">
                            <a:avLst/>
                          </a:prstGeom>
                          <a:noFill/>
                          <a:ln w="12700">
                            <a:solidFill>
                              <a:srgbClr val="0000C8"/>
                            </a:solidFill>
                            <a:round/>
                          </a:ln>
                        </wps:spPr>
                        <wps:bodyPr/>
                      </wps:wsp>
                      <wps:wsp>
                        <wps:cNvPr id="278" name="Line 2553"/>
                        <wps:cNvCnPr>
                          <a:cxnSpLocks noChangeShapeType="1"/>
                        </wps:cNvCnPr>
                        <wps:spPr bwMode="auto">
                          <a:xfrm>
                            <a:off x="6773" y="1659"/>
                            <a:ext cx="0" cy="779"/>
                          </a:xfrm>
                          <a:prstGeom prst="line">
                            <a:avLst/>
                          </a:prstGeom>
                          <a:noFill/>
                          <a:ln w="12700">
                            <a:solidFill>
                              <a:srgbClr val="0000C8"/>
                            </a:solidFill>
                            <a:round/>
                          </a:ln>
                        </wps:spPr>
                        <wps:bodyPr/>
                      </wps:wsp>
                      <wps:wsp>
                        <wps:cNvPr id="279" name="Line 2554"/>
                        <wps:cNvCnPr>
                          <a:cxnSpLocks noChangeShapeType="1"/>
                        </wps:cNvCnPr>
                        <wps:spPr bwMode="auto">
                          <a:xfrm>
                            <a:off x="6435" y="2883"/>
                            <a:ext cx="338" cy="0"/>
                          </a:xfrm>
                          <a:prstGeom prst="line">
                            <a:avLst/>
                          </a:prstGeom>
                          <a:noFill/>
                          <a:ln w="12700">
                            <a:solidFill>
                              <a:srgbClr val="0000C8"/>
                            </a:solidFill>
                            <a:round/>
                          </a:ln>
                        </wps:spPr>
                        <wps:bodyPr/>
                      </wps:wsp>
                      <wps:wsp>
                        <wps:cNvPr id="280" name="Line 2555"/>
                        <wps:cNvCnPr>
                          <a:cxnSpLocks noChangeShapeType="1"/>
                        </wps:cNvCnPr>
                        <wps:spPr bwMode="auto">
                          <a:xfrm>
                            <a:off x="6440" y="3262"/>
                            <a:ext cx="338" cy="0"/>
                          </a:xfrm>
                          <a:prstGeom prst="line">
                            <a:avLst/>
                          </a:prstGeom>
                          <a:noFill/>
                          <a:ln w="12700">
                            <a:solidFill>
                              <a:srgbClr val="0000C8"/>
                            </a:solidFill>
                            <a:round/>
                          </a:ln>
                        </wps:spPr>
                        <wps:bodyPr/>
                      </wps:wsp>
                      <wps:wsp>
                        <wps:cNvPr id="281" name="Line 2556"/>
                        <wps:cNvCnPr>
                          <a:cxnSpLocks noChangeShapeType="1"/>
                        </wps:cNvCnPr>
                        <wps:spPr bwMode="auto">
                          <a:xfrm>
                            <a:off x="6783" y="2883"/>
                            <a:ext cx="0" cy="379"/>
                          </a:xfrm>
                          <a:prstGeom prst="line">
                            <a:avLst/>
                          </a:prstGeom>
                          <a:noFill/>
                          <a:ln w="12700">
                            <a:solidFill>
                              <a:srgbClr val="0000C8"/>
                            </a:solidFill>
                            <a:round/>
                          </a:ln>
                        </wps:spPr>
                        <wps:bodyPr/>
                      </wps:wsp>
                      <wps:wsp>
                        <wps:cNvPr id="282" name="Line 2557"/>
                        <wps:cNvCnPr>
                          <a:cxnSpLocks noChangeShapeType="1"/>
                        </wps:cNvCnPr>
                        <wps:spPr bwMode="auto">
                          <a:xfrm>
                            <a:off x="6783" y="3057"/>
                            <a:ext cx="152" cy="0"/>
                          </a:xfrm>
                          <a:prstGeom prst="line">
                            <a:avLst/>
                          </a:prstGeom>
                          <a:noFill/>
                          <a:ln w="12700">
                            <a:solidFill>
                              <a:srgbClr val="0000C8"/>
                            </a:solidFill>
                            <a:round/>
                          </a:ln>
                        </wps:spPr>
                        <wps:bodyPr/>
                      </wps:wsp>
                      <wps:wsp>
                        <wps:cNvPr id="283" name="Line 2558"/>
                        <wps:cNvCnPr>
                          <a:cxnSpLocks noChangeShapeType="1"/>
                        </wps:cNvCnPr>
                        <wps:spPr bwMode="auto">
                          <a:xfrm>
                            <a:off x="6783" y="171"/>
                            <a:ext cx="0" cy="434"/>
                          </a:xfrm>
                          <a:prstGeom prst="line">
                            <a:avLst/>
                          </a:prstGeom>
                          <a:noFill/>
                          <a:ln w="12700">
                            <a:solidFill>
                              <a:srgbClr val="0000C8"/>
                            </a:solidFill>
                            <a:round/>
                          </a:ln>
                        </wps:spPr>
                        <wps:bodyPr/>
                      </wps:wsp>
                      <wps:wsp>
                        <wps:cNvPr id="284" name="Line 2559"/>
                        <wps:cNvCnPr>
                          <a:cxnSpLocks noChangeShapeType="1"/>
                        </wps:cNvCnPr>
                        <wps:spPr bwMode="auto">
                          <a:xfrm>
                            <a:off x="6783" y="407"/>
                            <a:ext cx="162" cy="0"/>
                          </a:xfrm>
                          <a:prstGeom prst="line">
                            <a:avLst/>
                          </a:prstGeom>
                          <a:noFill/>
                          <a:ln w="12700">
                            <a:solidFill>
                              <a:srgbClr val="0000C8"/>
                            </a:solidFill>
                            <a:round/>
                          </a:ln>
                        </wps:spPr>
                        <wps:bodyPr/>
                      </wps:wsp>
                      <wps:wsp>
                        <wps:cNvPr id="285" name="Line 2560"/>
                        <wps:cNvCnPr>
                          <a:cxnSpLocks noChangeShapeType="1"/>
                        </wps:cNvCnPr>
                        <wps:spPr bwMode="auto">
                          <a:xfrm>
                            <a:off x="6102" y="3747"/>
                            <a:ext cx="654" cy="0"/>
                          </a:xfrm>
                          <a:prstGeom prst="line">
                            <a:avLst/>
                          </a:prstGeom>
                          <a:noFill/>
                          <a:ln w="12700">
                            <a:solidFill>
                              <a:srgbClr val="0000C8"/>
                            </a:solidFill>
                            <a:round/>
                          </a:ln>
                        </wps:spPr>
                        <wps:bodyPr/>
                      </wps:wsp>
                      <wps:wsp>
                        <wps:cNvPr id="286" name="Line 2561"/>
                        <wps:cNvCnPr>
                          <a:cxnSpLocks noChangeShapeType="1"/>
                        </wps:cNvCnPr>
                        <wps:spPr bwMode="auto">
                          <a:xfrm>
                            <a:off x="6085" y="4125"/>
                            <a:ext cx="671" cy="0"/>
                          </a:xfrm>
                          <a:prstGeom prst="line">
                            <a:avLst/>
                          </a:prstGeom>
                          <a:noFill/>
                          <a:ln w="12700">
                            <a:solidFill>
                              <a:srgbClr val="0000C8"/>
                            </a:solidFill>
                            <a:round/>
                          </a:ln>
                        </wps:spPr>
                        <wps:bodyPr/>
                      </wps:wsp>
                      <wps:wsp>
                        <wps:cNvPr id="287" name="Line 2562"/>
                        <wps:cNvCnPr>
                          <a:cxnSpLocks noChangeShapeType="1"/>
                        </wps:cNvCnPr>
                        <wps:spPr bwMode="auto">
                          <a:xfrm>
                            <a:off x="6085" y="4504"/>
                            <a:ext cx="671" cy="0"/>
                          </a:xfrm>
                          <a:prstGeom prst="line">
                            <a:avLst/>
                          </a:prstGeom>
                          <a:noFill/>
                          <a:ln w="12700">
                            <a:solidFill>
                              <a:srgbClr val="0000C8"/>
                            </a:solidFill>
                            <a:round/>
                          </a:ln>
                        </wps:spPr>
                        <wps:bodyPr/>
                      </wps:wsp>
                      <wps:wsp>
                        <wps:cNvPr id="288" name="Line 2563"/>
                        <wps:cNvCnPr>
                          <a:cxnSpLocks noChangeShapeType="1"/>
                        </wps:cNvCnPr>
                        <wps:spPr bwMode="auto">
                          <a:xfrm>
                            <a:off x="6085" y="4927"/>
                            <a:ext cx="671" cy="0"/>
                          </a:xfrm>
                          <a:prstGeom prst="line">
                            <a:avLst/>
                          </a:prstGeom>
                          <a:noFill/>
                          <a:ln w="12700">
                            <a:solidFill>
                              <a:srgbClr val="0000C8"/>
                            </a:solidFill>
                            <a:round/>
                          </a:ln>
                        </wps:spPr>
                        <wps:bodyPr/>
                      </wps:wsp>
                      <wps:wsp>
                        <wps:cNvPr id="289" name="Line 2564"/>
                        <wps:cNvCnPr>
                          <a:cxnSpLocks noChangeShapeType="1"/>
                        </wps:cNvCnPr>
                        <wps:spPr bwMode="auto">
                          <a:xfrm>
                            <a:off x="6756" y="3747"/>
                            <a:ext cx="0" cy="1180"/>
                          </a:xfrm>
                          <a:prstGeom prst="line">
                            <a:avLst/>
                          </a:prstGeom>
                          <a:noFill/>
                          <a:ln w="12700">
                            <a:solidFill>
                              <a:srgbClr val="0000C8"/>
                            </a:solidFill>
                            <a:round/>
                          </a:ln>
                        </wps:spPr>
                        <wps:bodyPr/>
                      </wps:wsp>
                      <wps:wsp>
                        <wps:cNvPr id="290" name="Line 2565"/>
                        <wps:cNvCnPr>
                          <a:cxnSpLocks noChangeShapeType="1"/>
                        </wps:cNvCnPr>
                        <wps:spPr bwMode="auto">
                          <a:xfrm>
                            <a:off x="6756" y="4353"/>
                            <a:ext cx="189" cy="0"/>
                          </a:xfrm>
                          <a:prstGeom prst="line">
                            <a:avLst/>
                          </a:prstGeom>
                          <a:noFill/>
                          <a:ln w="12700">
                            <a:solidFill>
                              <a:srgbClr val="0000C8"/>
                            </a:solidFill>
                            <a:round/>
                          </a:ln>
                        </wps:spPr>
                        <wps:bodyPr/>
                      </wps:wsp>
                      <wps:wsp>
                        <wps:cNvPr id="291" name="Line 2566"/>
                        <wps:cNvCnPr>
                          <a:cxnSpLocks noChangeShapeType="1"/>
                        </wps:cNvCnPr>
                        <wps:spPr bwMode="auto">
                          <a:xfrm>
                            <a:off x="6945" y="407"/>
                            <a:ext cx="0" cy="3946"/>
                          </a:xfrm>
                          <a:prstGeom prst="line">
                            <a:avLst/>
                          </a:prstGeom>
                          <a:noFill/>
                          <a:ln w="12700">
                            <a:solidFill>
                              <a:srgbClr val="0000C8"/>
                            </a:solidFill>
                            <a:round/>
                          </a:ln>
                        </wps:spPr>
                        <wps:bodyPr/>
                      </wps:wsp>
                      <wps:wsp>
                        <wps:cNvPr id="292" name="Line 2567"/>
                        <wps:cNvCnPr>
                          <a:cxnSpLocks noChangeShapeType="1"/>
                        </wps:cNvCnPr>
                        <wps:spPr bwMode="auto">
                          <a:xfrm>
                            <a:off x="6945" y="2438"/>
                            <a:ext cx="152" cy="0"/>
                          </a:xfrm>
                          <a:prstGeom prst="line">
                            <a:avLst/>
                          </a:prstGeom>
                          <a:noFill/>
                          <a:ln w="12700">
                            <a:solidFill>
                              <a:srgbClr val="0000C8"/>
                            </a:solidFill>
                            <a:round/>
                          </a:ln>
                        </wps:spPr>
                        <wps:bodyPr/>
                      </wps:wsp>
                      <wps:wsp>
                        <wps:cNvPr id="293" name="Text Box 2568"/>
                        <wps:cNvSpPr txBox="1">
                          <a:spLocks noChangeArrowheads="1"/>
                        </wps:cNvSpPr>
                        <wps:spPr bwMode="auto">
                          <a:xfrm>
                            <a:off x="7097" y="1324"/>
                            <a:ext cx="804" cy="2272"/>
                          </a:xfrm>
                          <a:prstGeom prst="rect">
                            <a:avLst/>
                          </a:prstGeom>
                          <a:solidFill>
                            <a:schemeClr val="accent6">
                              <a:lumMod val="40000"/>
                              <a:lumOff val="60000"/>
                            </a:schemeClr>
                          </a:solidFill>
                          <a:ln w="12700">
                            <a:solidFill>
                              <a:srgbClr val="0000C8"/>
                            </a:solidFill>
                            <a:miter lim="800000"/>
                          </a:ln>
                        </wps:spPr>
                        <wps:txbx>
                          <w:txbxContent>
                            <w:p w14:paraId="07232B31">
                              <w:pPr>
                                <w:pStyle w:val="56"/>
                              </w:pPr>
                              <w:r>
                                <w:rPr>
                                  <w:rFonts w:hint="eastAsia"/>
                                </w:rPr>
                                <w:t>文明</w:t>
                              </w:r>
                            </w:p>
                            <w:p w14:paraId="468FF5FF">
                              <w:pPr>
                                <w:pStyle w:val="56"/>
                              </w:pPr>
                              <w:r>
                                <w:rPr>
                                  <w:rFonts w:hint="eastAsia"/>
                                </w:rPr>
                                <w:t>施工</w:t>
                              </w:r>
                            </w:p>
                            <w:p w14:paraId="111B8CBF">
                              <w:pPr>
                                <w:pStyle w:val="56"/>
                              </w:pPr>
                              <w:r>
                                <w:rPr>
                                  <w:rFonts w:hint="eastAsia"/>
                                </w:rPr>
                                <w:t>达标</w:t>
                              </w:r>
                            </w:p>
                          </w:txbxContent>
                        </wps:txbx>
                        <wps:bodyPr rot="0" vert="horz" wrap="square" lIns="0" tIns="0" rIns="0" bIns="0" anchor="ctr" anchorCtr="0" upright="1">
                          <a:noAutofit/>
                        </wps:bodyPr>
                      </wps:wsp>
                    </wpg:wgp>
                  </a:graphicData>
                </a:graphic>
              </wp:inline>
            </w:drawing>
          </mc:Choice>
          <mc:Fallback>
            <w:pict>
              <v:group id="Group 2503" o:spid="_x0000_s1026" o:spt="203" style="height:303.65pt;width:323.55pt;" coordsize="7901,5079" o:gfxdata="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">
                <o:lock v:ext="edit" aspectratio="f"/>
                <v:shape id="Text Box 2504" o:spid="_x0000_s1026" o:spt="202" type="#_x0000_t202" style="position:absolute;left:0;top:1142;height:2272;width:804;v-text-anchor:middle;" fillcolor="#C5E0B4 [1305]" filled="t" stroked="t" coordsize="21600,21600" o:gfxdata="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25o+8AAAA&#10;3AAAAA8AAAAAAAAAAQAgAAAAIgAAAGRycy9kb3ducmV2LnhtbFBLAQIUABQAAAAIAIdO4kAzLwWe&#10;OwAAADkAAAAQAAAAAAAAAAEAIAAAAAsBAABkcnMvc2hhcGV4bWwueG1sUEsFBgAAAAAGAAYAWwEA&#10;ALUDAAAAAA==&#10;">
                  <v:fill on="t" focussize="0,0"/>
                  <v:stroke weight="1pt" color="#0000C8" miterlimit="8" joinstyle="miter"/>
                  <v:imagedata o:title=""/>
                  <o:lock v:ext="edit" aspectratio="f"/>
                  <v:textbox inset="0mm,0mm,0mm,0mm">
                    <w:txbxContent>
                      <w:p w14:paraId="5B576CD4">
                        <w:pPr>
                          <w:pStyle w:val="56"/>
                        </w:pPr>
                        <w:r>
                          <w:rPr>
                            <w:rFonts w:hint="eastAsia"/>
                          </w:rPr>
                          <w:t>文明</w:t>
                        </w:r>
                      </w:p>
                      <w:p w14:paraId="39FB6D23">
                        <w:pPr>
                          <w:pStyle w:val="56"/>
                        </w:pPr>
                        <w:r>
                          <w:rPr>
                            <w:rFonts w:hint="eastAsia"/>
                          </w:rPr>
                          <w:t>施工</w:t>
                        </w:r>
                      </w:p>
                      <w:p w14:paraId="6DF2BCB6">
                        <w:pPr>
                          <w:pStyle w:val="56"/>
                        </w:pPr>
                        <w:r>
                          <w:rPr>
                            <w:rFonts w:hint="eastAsia"/>
                          </w:rPr>
                          <w:t>保证</w:t>
                        </w:r>
                      </w:p>
                      <w:p w14:paraId="5CFBF5F2">
                        <w:pPr>
                          <w:pStyle w:val="56"/>
                        </w:pPr>
                        <w:r>
                          <w:rPr>
                            <w:rFonts w:hint="eastAsia"/>
                          </w:rPr>
                          <w:t>体系</w:t>
                        </w:r>
                      </w:p>
                    </w:txbxContent>
                  </v:textbox>
                </v:shape>
                <v:line id="Line 2505" o:spid="_x0000_s1026" o:spt="20" style="position:absolute;left:806;top:2267;height:0;width:195;" filled="f" stroked="t" coordsize="21600,21600" o:gfxdata="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8HelO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06" o:spid="_x0000_s1026" o:spt="20" style="position:absolute;left:1001;top:385;height:3740;width:0;" filled="f" stroked="t" coordsize="21600,21600" o:gfxdata="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BL38i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07" o:spid="_x0000_s1026" o:spt="20" style="position:absolute;left:1001;top:385;height:0;width:214;" filled="f" stroked="t" coordsize="21600,21600" o:gfxdata="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CZQb+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shape id="Text Box 2508" o:spid="_x0000_s1026" o:spt="202" type="#_x0000_t202" style="position:absolute;left:1215;top:233;height:303;width:1351;v-text-anchor:middle;" fillcolor="#C5E0B4 [1305]" filled="t" stroked="t" coordsize="21600,21600" o:gfxdata="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R0e4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22869606">
                        <w:pPr>
                          <w:pStyle w:val="56"/>
                        </w:pPr>
                        <w:r>
                          <w:rPr>
                            <w:rFonts w:hint="eastAsia"/>
                          </w:rPr>
                          <w:t>思想保证</w:t>
                        </w:r>
                      </w:p>
                    </w:txbxContent>
                  </v:textbox>
                </v:shape>
                <v:line id="Line 2509" o:spid="_x0000_s1026" o:spt="20" style="position:absolute;left:1002;top:1142;height:0;width:214;" filled="f" stroked="t" coordsize="21600,21600" o:gfxdata="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HxQ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510" o:spid="_x0000_s1026" o:spt="202" type="#_x0000_t202" style="position:absolute;left:1215;top:990;height:303;width:1351;v-text-anchor:middle;" fillcolor="#C5E0B4 [1305]" filled="t" stroked="t" coordsize="21600,21600" o:gfxdata="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uJ6V7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62D39CEB">
                        <w:pPr>
                          <w:pStyle w:val="56"/>
                        </w:pPr>
                        <w:r>
                          <w:rPr>
                            <w:rFonts w:hint="eastAsia"/>
                          </w:rPr>
                          <w:t>组织保证</w:t>
                        </w:r>
                      </w:p>
                    </w:txbxContent>
                  </v:textbox>
                </v:shape>
                <v:line id="Line 2511" o:spid="_x0000_s1026" o:spt="20" style="position:absolute;left:2566;top:1142;height:0;width:479;" filled="f" stroked="t" coordsize="21600,21600" o:gfxdata="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iR7y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shape id="Text Box 2512" o:spid="_x0000_s1026" o:spt="202" type="#_x0000_t202" style="position:absolute;left:3045;top:990;height:303;width:2533;v-text-anchor:middle;" fillcolor="#C5E0B4 [1305]" filled="t" stroked="t" coordsize="21600,21600" o:gfxdata="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ZpWgS8AAAA&#10;3AAAAA8AAAAAAAAAAQAgAAAAIgAAAGRycy9kb3ducmV2LnhtbFBLAQIUABQAAAAIAIdO4kAzLwWe&#10;OwAAADkAAAAQAAAAAAAAAAEAIAAAAAsBAABkcnMvc2hhcGV4bWwueG1sUEsFBgAAAAAGAAYAWwEA&#10;ALUDAAAAAA==&#10;">
                  <v:fill on="t" focussize="0,0"/>
                  <v:stroke weight="1pt" color="#0000C8" miterlimit="8" joinstyle="miter"/>
                  <v:imagedata o:title=""/>
                  <o:lock v:ext="edit" aspectratio="f"/>
                  <v:textbox inset="3mm,0mm,0mm,0mm">
                    <w:txbxContent>
                      <w:p w14:paraId="1052051C">
                        <w:pPr>
                          <w:pStyle w:val="56"/>
                        </w:pPr>
                        <w:r>
                          <w:rPr>
                            <w:rFonts w:hint="eastAsia"/>
                          </w:rPr>
                          <w:t>成立</w:t>
                        </w:r>
                        <w:r>
                          <w:rPr>
                            <w:rFonts w:hint="eastAsia"/>
                            <w:lang w:val="en-US" w:eastAsia="zh-CN"/>
                          </w:rPr>
                          <w:t>文明施工</w:t>
                        </w:r>
                        <w:r>
                          <w:rPr>
                            <w:rFonts w:hint="eastAsia"/>
                          </w:rPr>
                          <w:t>领导小组</w:t>
                        </w:r>
                      </w:p>
                    </w:txbxContent>
                  </v:textbox>
                </v:shape>
                <v:shape id="Text Box 2513" o:spid="_x0000_s1026" o:spt="202" type="#_x0000_t202" style="position:absolute;left:3045;top:0;height:302;width:2533;v-text-anchor:middle;" fillcolor="#C5E0B4 [1305]" filled="t" stroked="t" coordsize="21600,21600" o:gfxdata="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9s52ugAAANwA&#10;AAAPAAAAAAAAAAEAIAAAACIAAABkcnMvZG93bnJldi54bWxQSwECFAAUAAAACACHTuJAMy8FnjsA&#10;AAA5AAAAEAAAAAAAAAABACAAAAAJAQAAZHJzL3NoYXBleG1sLnhtbFBLBQYAAAAABgAGAFsBAACz&#10;AwAAAAA=&#10;">
                  <v:fill on="t" focussize="0,0"/>
                  <v:stroke weight="1pt" color="#0000C8" miterlimit="8" joinstyle="miter"/>
                  <v:imagedata o:title=""/>
                  <o:lock v:ext="edit" aspectratio="f"/>
                  <v:textbox inset="3mm,0mm,0mm,0mm">
                    <w:txbxContent>
                      <w:p w14:paraId="51A98A28">
                        <w:pPr>
                          <w:pStyle w:val="56"/>
                        </w:pPr>
                        <w:r>
                          <w:rPr>
                            <w:rFonts w:hint="eastAsia"/>
                            <w:lang w:val="en-US" w:eastAsia="zh-CN"/>
                          </w:rPr>
                          <w:t>文明施工</w:t>
                        </w:r>
                        <w:r>
                          <w:rPr>
                            <w:rFonts w:hint="eastAsia"/>
                          </w:rPr>
                          <w:t>知识宣传教育</w:t>
                        </w:r>
                      </w:p>
                    </w:txbxContent>
                  </v:textbox>
                </v:shape>
                <v:shape id="Text Box 2514" o:spid="_x0000_s1026" o:spt="202" type="#_x0000_t202" style="position:absolute;left:3045;top:453;height:303;width:2533;v-text-anchor:middle;" fillcolor="#C5E0B4 [1305]" filled="t" stroked="t" coordsize="21600,21600" o:gfxdata="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i6a+28AAAA&#10;3AAAAA8AAAAAAAAAAQAgAAAAIgAAAGRycy9kb3ducmV2LnhtbFBLAQIUABQAAAAIAIdO4kAzLwWe&#10;OwAAADkAAAAQAAAAAAAAAAEAIAAAAAsBAABkcnMvc2hhcGV4bWwueG1sUEsFBgAAAAAGAAYAWwEA&#10;ALUDAAAAAA==&#10;">
                  <v:fill on="t" focussize="0,0"/>
                  <v:stroke weight="1pt" color="#0000C8" miterlimit="8" joinstyle="miter"/>
                  <v:imagedata o:title=""/>
                  <o:lock v:ext="edit" aspectratio="f"/>
                  <v:textbox inset="3mm,0mm,0mm,0mm">
                    <w:txbxContent>
                      <w:p w14:paraId="70FE8189">
                        <w:pPr>
                          <w:pStyle w:val="56"/>
                        </w:pPr>
                        <w:r>
                          <w:rPr>
                            <w:rFonts w:hint="eastAsia"/>
                          </w:rPr>
                          <w:t>制定目标责任制</w:t>
                        </w:r>
                      </w:p>
                      <w:p w14:paraId="4A516B26">
                        <w:pPr>
                          <w:pStyle w:val="56"/>
                        </w:pPr>
                      </w:p>
                    </w:txbxContent>
                  </v:textbox>
                </v:shape>
                <v:line id="Line 2515" o:spid="_x0000_s1026" o:spt="20" style="position:absolute;left:2707;top:158;height:447;width:0;" filled="f" stroked="t" coordsize="21600,21600" o:gfxdata="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cBCS6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16" o:spid="_x0000_s1026" o:spt="20" style="position:absolute;left:2707;top:158;height:0;width:338;" filled="f" stroked="t" coordsize="21600,21600" o:gfxdata="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hNrLW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17" o:spid="_x0000_s1026" o:spt="20" style="position:absolute;left:2707;top:605;height:0;width:338;" filled="f" stroked="t" coordsize="21600,21600" o:gfxdata="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ifMsK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18" o:spid="_x0000_s1026" o:spt="20" style="position:absolute;left:1001;top:2039;height:0;width:143;" filled="f" stroked="t" coordsize="21600,21600" o:gfxdata="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05dZ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519" o:spid="_x0000_s1026" o:spt="202" type="#_x0000_t202" style="position:absolute;left:1144;top:1887;height:303;width:1352;v-text-anchor:middle;" fillcolor="#C5E0B4 [1305]" filled="t" stroked="t" coordsize="21600,21600" o:gfxdata="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qKyx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06B13E63">
                        <w:pPr>
                          <w:pStyle w:val="56"/>
                        </w:pPr>
                        <w:r>
                          <w:rPr>
                            <w:rFonts w:hint="eastAsia"/>
                          </w:rPr>
                          <w:t>技术保证</w:t>
                        </w:r>
                      </w:p>
                    </w:txbxContent>
                  </v:textbox>
                </v:shape>
                <v:line id="Line 2520" o:spid="_x0000_s1026" o:spt="20" style="position:absolute;left:2496;top:2039;height:0;width:549;" filled="f" stroked="t" coordsize="21600,21600" o:gfxdata="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dqq2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shape id="Text Box 2521" o:spid="_x0000_s1026" o:spt="202" type="#_x0000_t202" style="position:absolute;left:3045;top:1887;height:303;width:3390;v-text-anchor:middle;" fillcolor="#C5E0B4 [1305]" filled="t" stroked="t" coordsize="21600,21600" o:gfxdata="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SOM4rsAAADc&#10;AAAADwAAAAAAAAABACAAAAAiAAAAZHJzL2Rvd25yZXYueG1sUEsBAhQAFAAAAAgAh07iQDMvBZ47&#10;AAAAOQAAABAAAAAAAAAAAQAgAAAACgEAAGRycy9zaGFwZXhtbC54bWxQSwUGAAAAAAYABgBbAQAA&#10;tAMAAAAA&#10;">
                  <v:fill on="t" focussize="0,0"/>
                  <v:stroke weight="1pt" color="#0000C8" miterlimit="8" joinstyle="miter"/>
                  <v:imagedata o:title=""/>
                  <o:lock v:ext="edit" aspectratio="f"/>
                  <v:textbox inset="3mm,0mm,0mm,0mm">
                    <w:txbxContent>
                      <w:p w14:paraId="11F86312">
                        <w:pPr>
                          <w:pStyle w:val="56"/>
                        </w:pPr>
                        <w:r>
                          <w:rPr>
                            <w:rFonts w:hint="eastAsia"/>
                          </w:rPr>
                          <w:t>制定</w:t>
                        </w:r>
                        <w:r>
                          <w:rPr>
                            <w:rFonts w:hint="eastAsia"/>
                            <w:lang w:val="en-US" w:eastAsia="zh-CN"/>
                          </w:rPr>
                          <w:t>文明施工</w:t>
                        </w:r>
                        <w:r>
                          <w:rPr>
                            <w:rFonts w:hint="eastAsia"/>
                          </w:rPr>
                          <w:t>实施方案</w:t>
                        </w:r>
                      </w:p>
                    </w:txbxContent>
                  </v:textbox>
                </v:shape>
                <v:shape id="Text Box 2522" o:spid="_x0000_s1026" o:spt="202" type="#_x0000_t202" style="position:absolute;left:3045;top:1510;height:303;width:3390;v-text-anchor:middle;" fillcolor="#C5E0B4 [1305]" filled="t" stroked="t" coordsize="21600,21600" o:gfxdata="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5vKXm8AAAA&#10;3AAAAA8AAAAAAAAAAQAgAAAAIgAAAGRycy9kb3ducmV2LnhtbFBLAQIUABQAAAAIAIdO4kAzLwWe&#10;OwAAADkAAAAQAAAAAAAAAAEAIAAAAAsBAABkcnMvc2hhcGV4bWwueG1sUEsFBgAAAAAGAAYAWwEA&#10;ALUDAAAAAA==&#10;">
                  <v:fill on="t" focussize="0,0"/>
                  <v:stroke weight="1pt" color="#0000C8" miterlimit="8" joinstyle="miter"/>
                  <v:imagedata o:title=""/>
                  <o:lock v:ext="edit" aspectratio="f"/>
                  <v:textbox inset="3mm,0mm,0mm,0mm">
                    <w:txbxContent>
                      <w:p w14:paraId="0B82F04F">
                        <w:pPr>
                          <w:pStyle w:val="56"/>
                        </w:pPr>
                        <w:r>
                          <w:rPr>
                            <w:rFonts w:hint="eastAsia"/>
                            <w:lang w:val="en-US" w:eastAsia="zh-CN"/>
                          </w:rPr>
                          <w:t>组织</w:t>
                        </w:r>
                        <w:r>
                          <w:rPr>
                            <w:rFonts w:hint="eastAsia"/>
                          </w:rPr>
                          <w:t>员工培训</w:t>
                        </w:r>
                      </w:p>
                    </w:txbxContent>
                  </v:textbox>
                </v:shape>
                <v:line id="Line 2523" o:spid="_x0000_s1026" o:spt="20" style="position:absolute;left:2707;top:1659;height:767;width:0;" filled="f" stroked="t" coordsize="21600,21600" o:gfxdata="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l3BSi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24" o:spid="_x0000_s1026" o:spt="20" style="position:absolute;left:2707;top:1659;height:0;width:338;" filled="f" stroked="t" coordsize="21600,21600" o:gfxdata="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O6Cz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25" o:spid="_x0000_s1026" o:spt="20" style="position:absolute;left:1001;top:3110;height:0;width:143;" filled="f" stroked="t" coordsize="21600,21600" o:gfxdata="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LYn/O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shape id="Text Box 2526" o:spid="_x0000_s1026" o:spt="202" type="#_x0000_t202" style="position:absolute;left:1144;top:2959;height:303;width:1352;v-text-anchor:middle;" fillcolor="#C5E0B4 [1305]" filled="t" stroked="t" coordsize="21600,21600" o:gfxdata="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Bpn0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442B0929">
                        <w:pPr>
                          <w:pStyle w:val="56"/>
                        </w:pPr>
                        <w:r>
                          <w:rPr>
                            <w:rFonts w:hint="eastAsia"/>
                          </w:rPr>
                          <w:t>制度保证</w:t>
                        </w:r>
                      </w:p>
                    </w:txbxContent>
                  </v:textbox>
                </v:shape>
                <v:shape id="Text Box 2527" o:spid="_x0000_s1026" o:spt="202" type="#_x0000_t202" style="position:absolute;left:3045;top:3111;height:303;width:3390;v-text-anchor:middle;" fillcolor="#C5E0B4 [1305]" filled="t" stroked="t" coordsize="21600,21600" o:gfxdata="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wRw8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3mm,0mm,0mm,0mm">
                    <w:txbxContent>
                      <w:p w14:paraId="5EFA750C">
                        <w:pPr>
                          <w:pStyle w:val="56"/>
                        </w:pPr>
                        <w:r>
                          <w:rPr>
                            <w:rFonts w:hint="eastAsia"/>
                          </w:rPr>
                          <w:t>公司、项目部相关规章制度</w:t>
                        </w:r>
                      </w:p>
                    </w:txbxContent>
                  </v:textbox>
                </v:shape>
                <v:shape id="Text Box 2528" o:spid="_x0000_s1026" o:spt="202" type="#_x0000_t202" style="position:absolute;left:3045;top:2734;height:303;width:3390;v-text-anchor:middle;" fillcolor="#C5E0B4 [1305]" filled="t" stroked="t" coordsize="21600,21600" o:gfxdata="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I25p7sAAADc&#10;AAAADwAAAAAAAAABACAAAAAiAAAAZHJzL2Rvd25yZXYueG1sUEsBAhQAFAAAAAgAh07iQDMvBZ47&#10;AAAAOQAAABAAAAAAAAAAAQAgAAAACgEAAGRycy9zaGFwZXhtbC54bWxQSwUGAAAAAAYABgBbAQAA&#10;tAMAAAAA&#10;">
                  <v:fill on="t" focussize="0,0"/>
                  <v:stroke weight="1pt" color="#0000C8" miterlimit="8" joinstyle="miter"/>
                  <v:imagedata o:title=""/>
                  <o:lock v:ext="edit" aspectratio="f"/>
                  <v:textbox inset="3mm,0mm,0mm,0mm">
                    <w:txbxContent>
                      <w:p w14:paraId="4CC6FF77">
                        <w:pPr>
                          <w:pStyle w:val="56"/>
                        </w:pPr>
                        <w:r>
                          <w:rPr>
                            <w:rFonts w:hint="eastAsia"/>
                          </w:rPr>
                          <w:t>国家、相关部委相关法律、法规</w:t>
                        </w:r>
                      </w:p>
                    </w:txbxContent>
                  </v:textbox>
                </v:shape>
                <v:line id="Line 2529" o:spid="_x0000_s1026" o:spt="20" style="position:absolute;left:2707;top:2883;height:379;width:0;" filled="f" stroked="t" coordsize="21600,21600" o:gfxdata="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45nw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30" o:spid="_x0000_s1026" o:spt="20" style="position:absolute;left:2707;top:2883;height:0;width:338;" filled="f" stroked="t" coordsize="21600,21600" o:gfxdata="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KvPGu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31" o:spid="_x0000_s1026" o:spt="20" style="position:absolute;left:1001;top:4125;height:0;width:143;" filled="f" stroked="t" coordsize="21600,21600" o:gfxdata="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9ohy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shape id="Text Box 2532" o:spid="_x0000_s1026" o:spt="202" type="#_x0000_t202" style="position:absolute;left:1144;top:3973;height:304;width:1352;v-text-anchor:middle;" fillcolor="#C5E0B4 [1305]" filled="t" stroked="t" coordsize="21600,21600" o:gfxdata="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KOkG74A&#10;AADcAAAADwAAAAAAAAABACAAAAAiAAAAZHJzL2Rvd25yZXYueG1sUEsBAhQAFAAAAAgAh07iQDMv&#10;BZ47AAAAOQAAABAAAAAAAAAAAQAgAAAADQEAAGRycy9zaGFwZXhtbC54bWxQSwUGAAAAAAYABgBb&#10;AQAAtwMAAAAA&#10;">
                  <v:fill on="t" focussize="0,0"/>
                  <v:stroke weight="1pt" color="#0000C8" miterlimit="8" joinstyle="miter"/>
                  <v:imagedata o:title=""/>
                  <o:lock v:ext="edit" aspectratio="f"/>
                  <v:textbox inset="0mm,0mm,0mm,0mm">
                    <w:txbxContent>
                      <w:p w14:paraId="11BCFC70">
                        <w:pPr>
                          <w:pStyle w:val="56"/>
                        </w:pPr>
                        <w:r>
                          <w:rPr>
                            <w:rFonts w:hint="eastAsia"/>
                          </w:rPr>
                          <w:t>施工保证</w:t>
                        </w:r>
                      </w:p>
                    </w:txbxContent>
                  </v:textbox>
                </v:shape>
                <v:line id="Line 2533" o:spid="_x0000_s1026" o:spt="20" style="position:absolute;left:2496;top:4125;height:0;width:549;" filled="f" stroked="t" coordsize="21600,21600" o:gfxdata="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yuk/W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shape id="Text Box 2534" o:spid="_x0000_s1026" o:spt="202" type="#_x0000_t202" style="position:absolute;left:3045;top:3973;height:304;width:3040;v-text-anchor:middle;" fillcolor="#C5E0B4 [1305]" filled="t" stroked="t" coordsize="21600,21600" o:gfxdata="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Vljk28AAAA&#10;3AAAAA8AAAAAAAAAAQAgAAAAIgAAAGRycy9kb3ducmV2LnhtbFBLAQIUABQAAAAIAIdO4kAzLwWe&#10;OwAAADkAAAAQAAAAAAAAAAEAIAAAAAsBAABkcnMvc2hhcGV4bWwueG1sUEsFBgAAAAAGAAYAWwEA&#10;ALUDAAAAAA==&#10;">
                  <v:fill on="t" focussize="0,0"/>
                  <v:stroke weight="1pt" color="#0000C8" miterlimit="8" joinstyle="miter"/>
                  <v:imagedata o:title=""/>
                  <o:lock v:ext="edit" aspectratio="f"/>
                  <v:textbox inset="3mm,0mm,0mm,0mm">
                    <w:txbxContent>
                      <w:p w14:paraId="23B7BEF1">
                        <w:pPr>
                          <w:pStyle w:val="56"/>
                        </w:pPr>
                        <w:r>
                          <w:rPr>
                            <w:rFonts w:hint="eastAsia"/>
                            <w:lang w:val="en-US" w:eastAsia="zh-CN"/>
                          </w:rPr>
                          <w:t>文明</w:t>
                        </w:r>
                        <w:r>
                          <w:rPr>
                            <w:rFonts w:hint="eastAsia"/>
                          </w:rPr>
                          <w:t>施工工艺保证</w:t>
                        </w:r>
                      </w:p>
                    </w:txbxContent>
                  </v:textbox>
                </v:shape>
                <v:shape id="Text Box 2535" o:spid="_x0000_s1026" o:spt="202" type="#_x0000_t202" style="position:absolute;left:3045;top:3596;height:303;width:3040;v-text-anchor:middle;" fillcolor="#C5E0B4 [1305]" filled="t" stroked="t" coordsize="21600,21600" o:gfxdata="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CjPtbbUAAADcAAAADwAA&#10;AAAAAAABACAAAAAiAAAAZHJzL2Rvd25yZXYueG1sUEsBAhQAFAAAAAgAh07iQDMvBZ47AAAAOQAA&#10;ABAAAAAAAAAAAQAgAAAABAEAAGRycy9zaGFwZXhtbC54bWxQSwUGAAAAAAYABgBbAQAArgMAAAAA&#10;">
                  <v:fill on="t" focussize="0,0"/>
                  <v:stroke weight="1pt" color="#0000C8" miterlimit="8" joinstyle="miter"/>
                  <v:imagedata o:title=""/>
                  <o:lock v:ext="edit" aspectratio="f"/>
                  <v:textbox inset="3mm,0mm,0mm,0mm">
                    <w:txbxContent>
                      <w:p w14:paraId="4B672A37">
                        <w:pPr>
                          <w:pStyle w:val="56"/>
                        </w:pPr>
                        <w:r>
                          <w:rPr>
                            <w:rFonts w:hint="eastAsia"/>
                          </w:rPr>
                          <w:t>落实岗位责任制</w:t>
                        </w:r>
                      </w:p>
                    </w:txbxContent>
                  </v:textbox>
                </v:shape>
                <v:shape id="Text Box 2536" o:spid="_x0000_s1026" o:spt="202" type="#_x0000_t202" style="position:absolute;left:3045;top:4342;height:302;width:3040;v-text-anchor:middle;" fillcolor="#C5E0B4 [1305]" filled="t" stroked="t" coordsize="21600,21600" o:gfxdata="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f0j2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3mm,0mm,0mm,0mm">
                    <w:txbxContent>
                      <w:p w14:paraId="12A57503">
                        <w:pPr>
                          <w:pStyle w:val="56"/>
                        </w:pPr>
                        <w:r>
                          <w:rPr>
                            <w:rFonts w:hint="eastAsia"/>
                          </w:rPr>
                          <w:t>物资设备保证</w:t>
                        </w:r>
                      </w:p>
                    </w:txbxContent>
                  </v:textbox>
                </v:shape>
                <v:line id="Line 2537" o:spid="_x0000_s1026" o:spt="20" style="position:absolute;left:2707;top:3747;height:1180;width:0;" filled="f" stroked="t" coordsize="21600,21600" o:gfxdata="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ypuor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38" o:spid="_x0000_s1026" o:spt="20" style="position:absolute;left:2707;top:3747;height:0;width:338;" filled="f" stroked="t" coordsize="21600,21600" o:gfxdata="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xmyzm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39" o:spid="_x0000_s1026" o:spt="20" style="position:absolute;left:2707;top:4504;height:0;width:338;" filled="f" stroked="t" coordsize="21600,21600" o:gfxdata="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OPU02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40" o:spid="_x0000_s1026" o:spt="20" style="position:absolute;left:2566;top:358;height:0;width:141;" filled="f" stroked="t" coordsize="21600,21600" o:gfxdata="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D9ta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shape id="Text Box 2541" o:spid="_x0000_s1026" o:spt="202" type="#_x0000_t202" style="position:absolute;left:3045;top:2276;height:303;width:3390;v-text-anchor:middle;" fillcolor="#C5E0B4 [1305]" filled="t" stroked="t" coordsize="21600,21600" o:gfxdata="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ltCC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3mm,0mm,0mm,0mm">
                    <w:txbxContent>
                      <w:p w14:paraId="14E66A6F">
                        <w:pPr>
                          <w:pStyle w:val="56"/>
                        </w:pPr>
                        <w:r>
                          <w:rPr>
                            <w:rFonts w:hint="eastAsia"/>
                          </w:rPr>
                          <w:t>制定</w:t>
                        </w:r>
                        <w:r>
                          <w:rPr>
                            <w:rFonts w:hint="eastAsia"/>
                            <w:lang w:val="en-US" w:eastAsia="zh-CN"/>
                          </w:rPr>
                          <w:t>文明施工</w:t>
                        </w:r>
                        <w:r>
                          <w:rPr>
                            <w:rFonts w:hint="eastAsia"/>
                          </w:rPr>
                          <w:t>技术措施</w:t>
                        </w:r>
                      </w:p>
                    </w:txbxContent>
                  </v:textbox>
                </v:shape>
                <v:line id="Line 2542" o:spid="_x0000_s1026" o:spt="20" style="position:absolute;left:2707;top:2426;height:0;width:338;" filled="f" stroked="t" coordsize="21600,21600" o:gfxdata="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dzTq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shape id="Text Box 2543" o:spid="_x0000_s1026" o:spt="202" type="#_x0000_t202" style="position:absolute;left:3045;top:4776;height:303;width:3040;v-text-anchor:middle;" fillcolor="#C5E0B4 [1305]" filled="t" stroked="t" coordsize="21600,21600" o:gfxdata="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9EXha7UAAADcAAAADwAA&#10;AAAAAAABACAAAAAiAAAAZHJzL2Rvd25yZXYueG1sUEsBAhQAFAAAAAgAh07iQDMvBZ47AAAAOQAA&#10;ABAAAAAAAAAAAQAgAAAABAEAAGRycy9zaGFwZXhtbC54bWxQSwUGAAAAAAYABgBbAQAArgMAAAAA&#10;">
                  <v:fill on="t" focussize="0,0"/>
                  <v:stroke weight="1pt" color="#0000C8" miterlimit="8" joinstyle="miter"/>
                  <v:imagedata o:title=""/>
                  <o:lock v:ext="edit" aspectratio="f"/>
                  <v:textbox inset="3mm,0mm,0mm,0mm">
                    <w:txbxContent>
                      <w:p w14:paraId="0E969163">
                        <w:pPr>
                          <w:pStyle w:val="56"/>
                        </w:pPr>
                        <w:r>
                          <w:rPr>
                            <w:rFonts w:hint="eastAsia"/>
                          </w:rPr>
                          <w:t>监督、检查、改进</w:t>
                        </w:r>
                      </w:p>
                    </w:txbxContent>
                  </v:textbox>
                </v:shape>
                <v:line id="Line 2544" o:spid="_x0000_s1026" o:spt="20" style="position:absolute;left:2707;top:4927;height:0;width:338;" filled="f" stroked="t" coordsize="21600,21600" o:gfxdata="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2O/NO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45" o:spid="_x0000_s1026" o:spt="20" style="position:absolute;left:2707;top:3262;height:0;width:338;" filled="f" stroked="t" coordsize="21600,21600" o:gfxdata="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ltw5O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46" o:spid="_x0000_s1026" o:spt="20" style="position:absolute;left:2496;top:3111;flip:y;height:0;width:211;" filled="f" stroked="t" coordsize="21600,21600" o:gfxdata="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8Lcq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47" o:spid="_x0000_s1026" o:spt="20" style="position:absolute;left:5578;top:171;flip:y;height:0;width:1200;" filled="f" stroked="t" coordsize="21600,21600" o:gfxdata="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Iild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48" o:spid="_x0000_s1026" o:spt="20" style="position:absolute;left:5578;top:605;height:0;width:1205;" filled="f" stroked="t" coordsize="21600,21600" o:gfxdata="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v13k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49" o:spid="_x0000_s1026" o:spt="20" style="position:absolute;left:5573;top:1142;height:0;width:1372;" filled="f" stroked="t" coordsize="21600,21600" o:gfxdata="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VsWQ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50" o:spid="_x0000_s1026" o:spt="20" style="position:absolute;left:6435;top:1659;height:0;width:338;" filled="f" stroked="t" coordsize="21600,21600" o:gfxdata="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GmAL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51" o:spid="_x0000_s1026" o:spt="20" style="position:absolute;left:6440;top:2039;height:0;width:495;" filled="f" stroked="t" coordsize="21600,21600" o:gfxdata="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nI/ny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52" o:spid="_x0000_s1026" o:spt="20" style="position:absolute;left:6435;top:2438;height:0;width:338;" filled="f" stroked="t" coordsize="21600,21600" o:gfxdata="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aEW+e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53" o:spid="_x0000_s1026" o:spt="20" style="position:absolute;left:6773;top:1659;height:779;width:0;" filled="f" stroked="t" coordsize="21600,21600" o:gfxdata="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cbz5W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54" o:spid="_x0000_s1026" o:spt="20" style="position:absolute;left:6435;top:2883;height:0;width:338;" filled="f" stroked="t" coordsize="21600,21600" o:gfxdata="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V2oOvQAA&#10;ANwAAAAPAAAAAAAAAAEAIAAAACIAAABkcnMvZG93bnJldi54bWxQSwECFAAUAAAACACHTuJAMy8F&#10;njsAAAA5AAAAEAAAAAAAAAABACAAAAAMAQAAZHJzL3NoYXBleG1sLnhtbFBLBQYAAAAABgAGAFsB&#10;AAC2AwAAAAA=&#10;">
                  <v:fill on="f" focussize="0,0"/>
                  <v:stroke weight="1pt" color="#0000C8" joinstyle="round"/>
                  <v:imagedata o:title=""/>
                  <o:lock v:ext="edit" aspectratio="f"/>
                </v:line>
                <v:line id="Line 2555" o:spid="_x0000_s1026" o:spt="20" style="position:absolute;left:6440;top:3262;height:0;width:338;" filled="f" stroked="t" coordsize="21600,21600" o:gfxdata="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4s7S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56" o:spid="_x0000_s1026" o:spt="20" style="position:absolute;left:6783;top:2883;height:379;width:0;" filled="f" stroked="t" coordsize="21600,21600" o:gfxdata="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QWL7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57" o:spid="_x0000_s1026" o:spt="20" style="position:absolute;left:6783;top:3057;height:0;width:152;" filled="f" stroked="t" coordsize="21600,21600" o:gfxdata="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yaIWLsAAADc&#10;AAAADwAAAAAAAAABACAAAAAiAAAAZHJzL2Rvd25yZXYueG1sUEsBAhQAFAAAAAgAh07iQDMvBZ47&#10;AAAAOQAAABAAAAAAAAAAAQAgAAAACgEAAGRycy9zaGFwZXhtbC54bWxQSwUGAAAAAAYABgBbAQAA&#10;tAMAAAAA&#10;">
                  <v:fill on="f" focussize="0,0"/>
                  <v:stroke weight="1pt" color="#0000C8" joinstyle="round"/>
                  <v:imagedata o:title=""/>
                  <o:lock v:ext="edit" aspectratio="f"/>
                </v:line>
                <v:line id="Line 2558" o:spid="_x0000_s1026" o:spt="20" style="position:absolute;left:6783;top:171;height:434;width:0;" filled="f" stroked="t" coordsize="21600,21600" o:gfxdata="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xqLcO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59" o:spid="_x0000_s1026" o:spt="20" style="position:absolute;left:6783;top:407;height:0;width:162;" filled="f" stroked="t" coordsize="21600,21600" o:gfxdata="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ODtbe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60" o:spid="_x0000_s1026" o:spt="20" style="position:absolute;left:6102;top:3747;height:0;width:654;" filled="f" stroked="t" coordsize="21600,21600" o:gfxdata="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zPECy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61" o:spid="_x0000_s1026" o:spt="20" style="position:absolute;left:6085;top:4125;height:0;width:671;" filled="f" stroked="t" coordsize="21600,21600" o:gfxdata="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djlu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62" o:spid="_x0000_s1026" o:spt="20" style="position:absolute;left:6085;top:4504;height:0;width:671;" filled="f" stroked="t" coordsize="21600,21600" o:gfxdata="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NRK8C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63" o:spid="_x0000_s1026" o:spt="20" style="position:absolute;left:6085;top:4927;height:0;width:671;" filled="f" stroked="t" coordsize="21600,21600" o:gfxdata="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LOv7K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64" o:spid="_x0000_s1026" o:spt="20" style="position:absolute;left:6756;top:3747;height:1180;width:0;" filled="f" stroked="t" coordsize="21600,21600" o:gfxdata="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2CGim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65" o:spid="_x0000_s1026" o:spt="20" style="position:absolute;left:6756;top:4353;height:0;width:189;" filled="f" stroked="t" coordsize="21600,21600" o:gfxdata="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lhJWm5AAAA3AAA&#10;AA8AAAAAAAAAAQAgAAAAIgAAAGRycy9kb3ducmV2LnhtbFBLAQIUABQAAAAIAIdO4kAzLwWeOwAA&#10;ADkAAAAQAAAAAAAAAAEAIAAAAAgBAABkcnMvc2hhcGV4bWwueG1sUEsFBgAAAAAGAAYAWwEAALID&#10;AAAAAA==&#10;">
                  <v:fill on="f" focussize="0,0"/>
                  <v:stroke weight="1pt" color="#0000C8" joinstyle="round"/>
                  <v:imagedata o:title=""/>
                  <o:lock v:ext="edit" aspectratio="f"/>
                </v:line>
                <v:line id="Line 2566" o:spid="_x0000_s1026" o:spt="20" style="position:absolute;left:6945;top:407;height:3946;width:0;" filled="f" stroked="t" coordsize="21600,21600" o:gfxdata="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tgPK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line id="Line 2567" o:spid="_x0000_s1026" o:spt="20" style="position:absolute;left:6945;top:2438;height:0;width:152;" filled="f" stroked="t" coordsize="21600,21600" o:gfxdata="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HoW8AAAA&#10;3AAAAA8AAAAAAAAAAQAgAAAAIgAAAGRycy9kb3ducmV2LnhtbFBLAQIUABQAAAAIAIdO4kAzLwWe&#10;OwAAADkAAAAQAAAAAAAAAAEAIAAAAAsBAABkcnMvc2hhcGV4bWwueG1sUEsFBgAAAAAGAAYAWwEA&#10;ALUDAAAAAA==&#10;">
                  <v:fill on="f" focussize="0,0"/>
                  <v:stroke weight="1pt" color="#0000C8" joinstyle="round"/>
                  <v:imagedata o:title=""/>
                  <o:lock v:ext="edit" aspectratio="f"/>
                </v:line>
                <v:shape id="Text Box 2568" o:spid="_x0000_s1026" o:spt="202" type="#_x0000_t202" style="position:absolute;left:7097;top:1324;height:2272;width:804;v-text-anchor:middle;" fillcolor="#C5E0B4 [1305]" filled="t" stroked="t" coordsize="21600,21600" o:gfxdata="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IRiCvQAA&#10;ANwAAAAPAAAAAAAAAAEAIAAAACIAAABkcnMvZG93bnJldi54bWxQSwECFAAUAAAACACHTuJAMy8F&#10;njsAAAA5AAAAEAAAAAAAAAABACAAAAAMAQAAZHJzL3NoYXBleG1sLnhtbFBLBQYAAAAABgAGAFsB&#10;AAC2AwAAAAA=&#10;">
                  <v:fill on="t" focussize="0,0"/>
                  <v:stroke weight="1pt" color="#0000C8" miterlimit="8" joinstyle="miter"/>
                  <v:imagedata o:title=""/>
                  <o:lock v:ext="edit" aspectratio="f"/>
                  <v:textbox inset="0mm,0mm,0mm,0mm">
                    <w:txbxContent>
                      <w:p w14:paraId="07232B31">
                        <w:pPr>
                          <w:pStyle w:val="56"/>
                        </w:pPr>
                        <w:r>
                          <w:rPr>
                            <w:rFonts w:hint="eastAsia"/>
                          </w:rPr>
                          <w:t>文明</w:t>
                        </w:r>
                      </w:p>
                      <w:p w14:paraId="468FF5FF">
                        <w:pPr>
                          <w:pStyle w:val="56"/>
                        </w:pPr>
                        <w:r>
                          <w:rPr>
                            <w:rFonts w:hint="eastAsia"/>
                          </w:rPr>
                          <w:t>施工</w:t>
                        </w:r>
                      </w:p>
                      <w:p w14:paraId="111B8CBF">
                        <w:pPr>
                          <w:pStyle w:val="56"/>
                        </w:pPr>
                        <w:r>
                          <w:rPr>
                            <w:rFonts w:hint="eastAsia"/>
                          </w:rPr>
                          <w:t>达标</w:t>
                        </w:r>
                      </w:p>
                    </w:txbxContent>
                  </v:textbox>
                </v:shape>
                <w10:wrap type="none"/>
                <w10:anchorlock/>
              </v:group>
            </w:pict>
          </mc:Fallback>
        </mc:AlternateContent>
      </w:r>
    </w:p>
    <w:p w14:paraId="6B3591C8">
      <w:pPr>
        <w:pStyle w:val="42"/>
        <w:bidi w:val="0"/>
        <w:rPr>
          <w:rFonts w:hint="eastAsia" w:ascii="宋体" w:hAnsi="宋体" w:eastAsia="宋体" w:cs="宋体"/>
          <w:highlight w:val="none"/>
        </w:rPr>
      </w:pPr>
      <w:r>
        <w:rPr>
          <w:rFonts w:hint="eastAsia" w:ascii="宋体" w:hAnsi="宋体" w:eastAsia="宋体" w:cs="宋体"/>
          <w:highlight w:val="none"/>
        </w:rPr>
        <w:t>图</w:t>
      </w:r>
      <w:r>
        <w:rPr>
          <w:rFonts w:hint="eastAsia" w:ascii="宋体" w:hAnsi="宋体" w:eastAsia="宋体" w:cs="宋体"/>
          <w:highlight w:val="none"/>
          <w:lang w:val="en-US" w:eastAsia="zh-CN"/>
        </w:rPr>
        <w:t>7</w:t>
      </w:r>
      <w:r>
        <w:rPr>
          <w:rFonts w:hint="eastAsia" w:ascii="宋体" w:hAnsi="宋体" w:eastAsia="宋体" w:cs="宋体"/>
          <w:highlight w:val="none"/>
        </w:rPr>
        <w:t>.</w:t>
      </w:r>
      <w:r>
        <w:rPr>
          <w:rFonts w:hint="eastAsia" w:ascii="宋体" w:hAnsi="宋体" w:eastAsia="宋体" w:cs="宋体"/>
          <w:highlight w:val="none"/>
          <w:lang w:val="en-US" w:eastAsia="zh-CN"/>
        </w:rPr>
        <w:t>2.</w:t>
      </w:r>
      <w:r>
        <w:rPr>
          <w:rFonts w:hint="eastAsia" w:ascii="宋体" w:hAnsi="宋体" w:eastAsia="宋体" w:cs="宋体"/>
          <w:highlight w:val="none"/>
        </w:rPr>
        <w:t>2-1文明施工保证体系框图</w:t>
      </w:r>
    </w:p>
    <w:p w14:paraId="2F508A37">
      <w:pPr>
        <w:pStyle w:val="4"/>
        <w:tabs>
          <w:tab w:val="left" w:pos="0"/>
          <w:tab w:val="left" w:pos="630"/>
        </w:tabs>
        <w:bidi w:val="0"/>
        <w:rPr>
          <w:rFonts w:hint="eastAsia" w:ascii="宋体" w:hAnsi="宋体" w:eastAsia="宋体" w:cs="宋体"/>
          <w:lang w:val="en-US" w:eastAsia="zh-CN"/>
        </w:rPr>
      </w:pPr>
      <w:r>
        <w:rPr>
          <w:rFonts w:hint="eastAsia" w:ascii="宋体" w:hAnsi="宋体" w:eastAsia="宋体" w:cs="宋体"/>
          <w:lang w:val="en-US" w:eastAsia="zh-CN"/>
        </w:rPr>
        <w:t>文明施工保证措施</w:t>
      </w:r>
    </w:p>
    <w:p w14:paraId="12FE3FB8">
      <w:pPr>
        <w:pStyle w:val="5"/>
        <w:bidi w:val="0"/>
        <w:rPr>
          <w:rFonts w:hint="eastAsia" w:ascii="宋体" w:hAnsi="宋体" w:eastAsia="宋体" w:cs="宋体"/>
          <w:highlight w:val="none"/>
        </w:rPr>
      </w:pPr>
      <w:r>
        <w:rPr>
          <w:rFonts w:hint="eastAsia" w:ascii="宋体" w:hAnsi="宋体" w:eastAsia="宋体" w:cs="宋体"/>
          <w:highlight w:val="none"/>
        </w:rPr>
        <w:t>施工驻地文明施工保证措施</w:t>
      </w:r>
    </w:p>
    <w:p w14:paraId="20A0A161">
      <w:pPr>
        <w:pStyle w:val="43"/>
        <w:bidi w:val="0"/>
        <w:rPr>
          <w:rFonts w:hint="eastAsia" w:ascii="宋体" w:hAnsi="宋体" w:eastAsia="宋体" w:cs="宋体"/>
          <w:highlight w:val="none"/>
          <w:lang w:val="en-US" w:eastAsia="zh-CN"/>
        </w:rPr>
      </w:pPr>
      <w:r>
        <w:rPr>
          <w:rFonts w:hint="eastAsia" w:ascii="宋体" w:hAnsi="宋体" w:eastAsia="宋体" w:cs="宋体"/>
          <w:highlight w:val="none"/>
        </w:rPr>
        <w:t>表</w:t>
      </w:r>
      <w:r>
        <w:rPr>
          <w:rFonts w:hint="eastAsia" w:ascii="宋体" w:hAnsi="宋体" w:eastAsia="宋体" w:cs="宋体"/>
          <w:highlight w:val="none"/>
          <w:lang w:val="en-US" w:eastAsia="zh-CN"/>
        </w:rPr>
        <w:t>7</w:t>
      </w:r>
      <w:r>
        <w:rPr>
          <w:rFonts w:hint="eastAsia" w:ascii="宋体" w:hAnsi="宋体" w:eastAsia="宋体" w:cs="宋体"/>
          <w:highlight w:val="none"/>
        </w:rPr>
        <w:t>.</w:t>
      </w:r>
      <w:r>
        <w:rPr>
          <w:rFonts w:hint="eastAsia" w:ascii="宋体" w:hAnsi="宋体" w:eastAsia="宋体" w:cs="宋体"/>
          <w:highlight w:val="none"/>
          <w:lang w:val="en-US" w:eastAsia="zh-CN"/>
        </w:rPr>
        <w:t>2.3</w:t>
      </w:r>
      <w:r>
        <w:rPr>
          <w:rFonts w:hint="eastAsia" w:ascii="宋体" w:hAnsi="宋体" w:eastAsia="宋体" w:cs="宋体"/>
          <w:highlight w:val="none"/>
        </w:rPr>
        <w:t>-1施工驻地文明施工保证措施</w:t>
      </w:r>
    </w:p>
    <w:tbl>
      <w:tblPr>
        <w:tblStyle w:val="137"/>
        <w:tblpPr w:leftFromText="180" w:rightFromText="180" w:vertAnchor="text" w:tblpXSpec="center" w:tblpY="1"/>
        <w:tblW w:w="8369" w:type="dxa"/>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Layout w:type="fixed"/>
        <w:tblCellMar>
          <w:top w:w="0" w:type="dxa"/>
          <w:left w:w="108" w:type="dxa"/>
          <w:bottom w:w="0" w:type="dxa"/>
          <w:right w:w="108" w:type="dxa"/>
        </w:tblCellMar>
      </w:tblPr>
      <w:tblGrid>
        <w:gridCol w:w="570"/>
        <w:gridCol w:w="945"/>
        <w:gridCol w:w="6854"/>
      </w:tblGrid>
      <w:tr w14:paraId="6FA947C7">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CellMar>
            <w:top w:w="0" w:type="dxa"/>
            <w:left w:w="108" w:type="dxa"/>
            <w:bottom w:w="0" w:type="dxa"/>
            <w:right w:w="108" w:type="dxa"/>
          </w:tblCellMar>
        </w:tblPrEx>
        <w:trPr>
          <w:trHeight w:val="454" w:hRule="atLeast"/>
          <w:tblHeader/>
          <w:jc w:val="center"/>
        </w:trPr>
        <w:tc>
          <w:tcPr>
            <w:tcW w:w="570" w:type="dxa"/>
            <w:shd w:val="clear" w:color="auto" w:fill="auto"/>
            <w:vAlign w:val="center"/>
          </w:tcPr>
          <w:p w14:paraId="290EAD42">
            <w:pPr>
              <w:pStyle w:val="56"/>
              <w:keepNext w:val="0"/>
              <w:keepLines w:val="0"/>
              <w:suppressLineNumbers w:val="0"/>
              <w:spacing w:before="0" w:beforeAutospacing="0" w:after="0" w:afterAutospacing="0" w:line="240" w:lineRule="auto"/>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序号</w:t>
            </w:r>
          </w:p>
        </w:tc>
        <w:tc>
          <w:tcPr>
            <w:tcW w:w="945" w:type="dxa"/>
            <w:shd w:val="clear" w:color="auto" w:fill="auto"/>
            <w:vAlign w:val="center"/>
          </w:tcPr>
          <w:p w14:paraId="7CB5CA05">
            <w:pPr>
              <w:pStyle w:val="56"/>
              <w:keepNext w:val="0"/>
              <w:keepLines w:val="0"/>
              <w:suppressLineNumbers w:val="0"/>
              <w:spacing w:before="0" w:beforeAutospacing="0" w:after="0" w:afterAutospacing="0" w:line="240" w:lineRule="auto"/>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项目</w:t>
            </w:r>
          </w:p>
          <w:p w14:paraId="1B14CA24">
            <w:pPr>
              <w:pStyle w:val="56"/>
              <w:keepNext w:val="0"/>
              <w:keepLines w:val="0"/>
              <w:suppressLineNumbers w:val="0"/>
              <w:spacing w:before="0" w:beforeAutospacing="0" w:after="0" w:afterAutospacing="0" w:line="240" w:lineRule="auto"/>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区域</w:t>
            </w:r>
          </w:p>
        </w:tc>
        <w:tc>
          <w:tcPr>
            <w:tcW w:w="6854" w:type="dxa"/>
            <w:shd w:val="clear" w:color="auto" w:fill="auto"/>
            <w:vAlign w:val="center"/>
          </w:tcPr>
          <w:p w14:paraId="634C5578">
            <w:pPr>
              <w:pStyle w:val="56"/>
              <w:keepNext w:val="0"/>
              <w:keepLines w:val="0"/>
              <w:suppressLineNumbers w:val="0"/>
              <w:spacing w:before="0" w:beforeAutospacing="0" w:after="0" w:afterAutospacing="0" w:line="240" w:lineRule="auto"/>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主要保证措施</w:t>
            </w:r>
          </w:p>
        </w:tc>
      </w:tr>
      <w:tr w14:paraId="6E4214A9">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CellMar>
            <w:top w:w="0" w:type="dxa"/>
            <w:left w:w="108" w:type="dxa"/>
            <w:bottom w:w="0" w:type="dxa"/>
            <w:right w:w="108" w:type="dxa"/>
          </w:tblCellMar>
        </w:tblPrEx>
        <w:trPr>
          <w:trHeight w:val="454" w:hRule="atLeast"/>
          <w:jc w:val="center"/>
        </w:trPr>
        <w:tc>
          <w:tcPr>
            <w:tcW w:w="570" w:type="dxa"/>
            <w:shd w:val="clear" w:color="auto" w:fill="auto"/>
            <w:vAlign w:val="center"/>
          </w:tcPr>
          <w:p w14:paraId="16BCCFC3">
            <w:pPr>
              <w:pStyle w:val="56"/>
              <w:keepNext w:val="0"/>
              <w:keepLines w:val="0"/>
              <w:suppressLineNumbers w:val="0"/>
              <w:spacing w:before="0" w:beforeAutospacing="0" w:after="0" w:afterAutospacing="0" w:line="240" w:lineRule="auto"/>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1</w:t>
            </w:r>
          </w:p>
        </w:tc>
        <w:tc>
          <w:tcPr>
            <w:tcW w:w="945" w:type="dxa"/>
            <w:shd w:val="clear" w:color="auto" w:fill="auto"/>
            <w:vAlign w:val="center"/>
          </w:tcPr>
          <w:p w14:paraId="55BA4427">
            <w:pPr>
              <w:pStyle w:val="56"/>
              <w:keepNext w:val="0"/>
              <w:keepLines w:val="0"/>
              <w:suppressLineNumbers w:val="0"/>
              <w:spacing w:before="0" w:beforeAutospacing="0" w:after="0" w:afterAutospacing="0" w:line="240" w:lineRule="auto"/>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生活区</w:t>
            </w:r>
          </w:p>
        </w:tc>
        <w:tc>
          <w:tcPr>
            <w:tcW w:w="6854" w:type="dxa"/>
            <w:shd w:val="clear" w:color="auto" w:fill="auto"/>
            <w:vAlign w:val="center"/>
          </w:tcPr>
          <w:p w14:paraId="41C2FF25">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按批准的施工组织设计平面布置图，修建宿舍、食堂、开水房、淋浴间、厕所、卫生室、文体活动场所、封闭式垃圾站、污水处理站、消防通道等生活区临建设施，合理布局，做到生活设施规范化、标准化、人性化。</w:t>
            </w:r>
          </w:p>
          <w:p w14:paraId="58A59C5B">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在生活区入口处设置门楼，并设置生活区指示牌、路牌指示牌；宿舍区设宣传教育栏、住宿人员一览表，切实起到教育、表扬先进、促进后进的作用；在生活区临建设施处设相对应的规章制度及标识标牌；在生活区周围插设宣传旗。</w:t>
            </w:r>
          </w:p>
          <w:p w14:paraId="2593F3A2">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做好生活区场地硬化、绿化；按规范要求建设专项生活办公区水电供应设施及排水设施，严禁电线私拉乱接、使用大功率用电设备，严禁乱排污水；做好安全消防设施。</w:t>
            </w:r>
          </w:p>
          <w:p w14:paraId="4B2718AC">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生活区设施设专人维护，生活区（宿舍、食堂、厕所等）由专人清洁。宿舍整洁、物品有序；保持食堂通风、卫生、清洁；室外环境清洁，无污物、污水；垃圾密封存放，及时清运；厕所定期喷药，无异味，清洁卫生等。</w:t>
            </w:r>
          </w:p>
          <w:p w14:paraId="08571AD5">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定期进行生活区文明施工检查，开展文明施工宣传。在宣传教育栏中对生活区文明情况进行奖罚公告、督促整改，创造一个和谐、有序、文明的生活环境。</w:t>
            </w:r>
          </w:p>
        </w:tc>
      </w:tr>
      <w:tr w14:paraId="0611F465">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CellMar>
            <w:top w:w="0" w:type="dxa"/>
            <w:left w:w="108" w:type="dxa"/>
            <w:bottom w:w="0" w:type="dxa"/>
            <w:right w:w="108" w:type="dxa"/>
          </w:tblCellMar>
        </w:tblPrEx>
        <w:trPr>
          <w:trHeight w:val="454" w:hRule="atLeast"/>
          <w:jc w:val="center"/>
        </w:trPr>
        <w:tc>
          <w:tcPr>
            <w:tcW w:w="570" w:type="dxa"/>
            <w:shd w:val="clear" w:color="auto" w:fill="auto"/>
            <w:vAlign w:val="center"/>
          </w:tcPr>
          <w:p w14:paraId="79CB420E">
            <w:pPr>
              <w:pStyle w:val="56"/>
              <w:keepNext w:val="0"/>
              <w:keepLines w:val="0"/>
              <w:suppressLineNumbers w:val="0"/>
              <w:spacing w:before="0" w:beforeAutospacing="0" w:after="0" w:afterAutospacing="0" w:line="240" w:lineRule="auto"/>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2</w:t>
            </w:r>
          </w:p>
        </w:tc>
        <w:tc>
          <w:tcPr>
            <w:tcW w:w="945" w:type="dxa"/>
            <w:shd w:val="clear" w:color="auto" w:fill="auto"/>
            <w:vAlign w:val="center"/>
          </w:tcPr>
          <w:p w14:paraId="67F9CD4B">
            <w:pPr>
              <w:pStyle w:val="56"/>
              <w:keepNext w:val="0"/>
              <w:keepLines w:val="0"/>
              <w:suppressLineNumbers w:val="0"/>
              <w:spacing w:before="0" w:beforeAutospacing="0" w:after="0" w:afterAutospacing="0" w:line="240" w:lineRule="auto"/>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办公区</w:t>
            </w:r>
          </w:p>
        </w:tc>
        <w:tc>
          <w:tcPr>
            <w:tcW w:w="6854" w:type="dxa"/>
            <w:shd w:val="clear" w:color="auto" w:fill="auto"/>
            <w:vAlign w:val="center"/>
          </w:tcPr>
          <w:p w14:paraId="4FD2D2AA">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按批准的施工组织设计平面布置图，建设规范化、标准化的项目部大门、门卫、围墙、围挡、旗杆、旗帜、宣传教育栏、洗车台、停车场、门厅、会议室、办公室等办公区临建设施。</w:t>
            </w:r>
          </w:p>
          <w:p w14:paraId="723FDBC0">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在大门入口处，设置周正醒目的“七牌一图”，即工程概况牌、工程责任人牌、安全制度牌、消防保卫制度牌、环境保护制度牌、文明施工牌、工程创优牌、施工总平面布置图。</w:t>
            </w:r>
          </w:p>
          <w:p w14:paraId="2E6384E5">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在门厅设立宣传教育栏、办公区平面布置图及其它标识标牌，在办公区周围插设宣传旗，切实起到教育、宣传作用。</w:t>
            </w:r>
          </w:p>
          <w:p w14:paraId="6D47F49B">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办公室或值班室，墙面悬挂现场总平面布置图、施工形象进度图、组织机构、工作职责、工作制度。</w:t>
            </w:r>
          </w:p>
          <w:p w14:paraId="224981A8">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办公区设施设专人维护，办公区（办公室、会议室、门厅等）由专人清洁，做到办公室整洁、物品有序，给员工提供一个良好的办公环境。</w:t>
            </w:r>
          </w:p>
          <w:p w14:paraId="637C96B6">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门卫室做好外来人员、车辆登记，并做到车辆停放规范。</w:t>
            </w:r>
          </w:p>
          <w:p w14:paraId="1F10C35C">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文明施工管理员每天对办公区进行检查，并在宣传教育栏中进行奖罚公告、督促整改，创造一个和谐、有序办公环境。</w:t>
            </w:r>
          </w:p>
          <w:p w14:paraId="662AA187">
            <w:pPr>
              <w:pStyle w:val="56"/>
              <w:keepNext w:val="0"/>
              <w:keepLines w:val="0"/>
              <w:suppressLineNumbers w:val="0"/>
              <w:spacing w:before="0" w:beforeAutospacing="0" w:after="0" w:afterAutospacing="0" w:line="240" w:lineRule="auto"/>
              <w:ind w:left="0" w:right="0"/>
              <w:jc w:val="left"/>
              <w:rPr>
                <w:rFonts w:hint="eastAsia" w:ascii="宋体" w:hAnsi="宋体" w:eastAsia="宋体" w:cs="宋体"/>
                <w:b w:val="0"/>
                <w:bCs/>
                <w:spacing w:val="-6"/>
                <w:kern w:val="0"/>
                <w:sz w:val="20"/>
                <w:szCs w:val="20"/>
                <w:highlight w:val="none"/>
              </w:rPr>
            </w:pPr>
            <w:r>
              <w:rPr>
                <w:rFonts w:hint="eastAsia" w:ascii="宋体" w:hAnsi="宋体" w:eastAsia="宋体" w:cs="宋体"/>
                <w:b w:val="0"/>
                <w:bCs/>
                <w:kern w:val="0"/>
                <w:sz w:val="20"/>
                <w:szCs w:val="20"/>
                <w:highlight w:val="none"/>
              </w:rPr>
              <w:t>做好办公区场地硬化、绿化，按规范要求建设专项生活办公区水电供应设施及排水设施，严禁电线私拉乱接、使用大功率用电设备，严禁乱排污水；做好安全消防设施。</w:t>
            </w:r>
          </w:p>
        </w:tc>
      </w:tr>
    </w:tbl>
    <w:p w14:paraId="1EB3DF3E">
      <w:pPr>
        <w:pStyle w:val="5"/>
        <w:bidi w:val="0"/>
        <w:rPr>
          <w:rFonts w:hint="eastAsia" w:ascii="宋体" w:hAnsi="宋体" w:eastAsia="宋体" w:cs="宋体"/>
          <w:highlight w:val="none"/>
          <w:lang w:val="en-US" w:eastAsia="zh-CN"/>
        </w:rPr>
      </w:pPr>
      <w:r>
        <w:rPr>
          <w:rFonts w:hint="eastAsia" w:ascii="宋体" w:hAnsi="宋体" w:eastAsia="宋体" w:cs="宋体"/>
          <w:highlight w:val="none"/>
        </w:rPr>
        <w:t>施工现场文明施工措施</w:t>
      </w:r>
    </w:p>
    <w:p w14:paraId="7F017ED8">
      <w:pPr>
        <w:pStyle w:val="43"/>
        <w:bidi w:val="0"/>
        <w:rPr>
          <w:rFonts w:hint="eastAsia" w:ascii="宋体" w:hAnsi="宋体" w:eastAsia="宋体" w:cs="宋体"/>
          <w:highlight w:val="none"/>
        </w:rPr>
      </w:pPr>
      <w:r>
        <w:rPr>
          <w:rFonts w:hint="eastAsia" w:ascii="宋体" w:hAnsi="宋体" w:eastAsia="宋体" w:cs="宋体"/>
          <w:highlight w:val="none"/>
        </w:rPr>
        <w:t>表</w:t>
      </w:r>
      <w:r>
        <w:rPr>
          <w:rFonts w:hint="eastAsia" w:ascii="宋体" w:hAnsi="宋体" w:eastAsia="宋体" w:cs="宋体"/>
          <w:highlight w:val="none"/>
          <w:lang w:val="en-US" w:eastAsia="zh-CN"/>
        </w:rPr>
        <w:t>7</w:t>
      </w:r>
      <w:r>
        <w:rPr>
          <w:rFonts w:hint="eastAsia" w:ascii="宋体" w:hAnsi="宋体" w:eastAsia="宋体" w:cs="宋体"/>
          <w:highlight w:val="none"/>
        </w:rPr>
        <w:t>.</w:t>
      </w:r>
      <w:r>
        <w:rPr>
          <w:rFonts w:hint="eastAsia" w:ascii="宋体" w:hAnsi="宋体" w:eastAsia="宋体" w:cs="宋体"/>
          <w:highlight w:val="none"/>
          <w:lang w:val="en-US" w:eastAsia="zh-CN"/>
        </w:rPr>
        <w:t>2.3</w:t>
      </w:r>
      <w:r>
        <w:rPr>
          <w:rFonts w:hint="eastAsia" w:ascii="宋体" w:hAnsi="宋体" w:eastAsia="宋体" w:cs="宋体"/>
          <w:highlight w:val="none"/>
        </w:rPr>
        <w:t>-</w:t>
      </w:r>
      <w:r>
        <w:rPr>
          <w:rFonts w:hint="eastAsia" w:ascii="宋体" w:hAnsi="宋体" w:eastAsia="宋体" w:cs="宋体"/>
          <w:highlight w:val="none"/>
          <w:lang w:val="en-US" w:eastAsia="zh-CN"/>
        </w:rPr>
        <w:t>2</w:t>
      </w:r>
      <w:r>
        <w:rPr>
          <w:rFonts w:hint="eastAsia" w:ascii="宋体" w:hAnsi="宋体" w:eastAsia="宋体" w:cs="宋体"/>
          <w:highlight w:val="none"/>
        </w:rPr>
        <w:t>施工现场文明施工保证措施</w:t>
      </w:r>
    </w:p>
    <w:tbl>
      <w:tblPr>
        <w:tblStyle w:val="137"/>
        <w:tblpPr w:leftFromText="180" w:rightFromText="180" w:vertAnchor="text" w:tblpXSpec="center" w:tblpY="1"/>
        <w:tblW w:w="8590" w:type="dxa"/>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Layout w:type="fixed"/>
        <w:tblCellMar>
          <w:top w:w="0" w:type="dxa"/>
          <w:left w:w="108" w:type="dxa"/>
          <w:bottom w:w="0" w:type="dxa"/>
          <w:right w:w="108" w:type="dxa"/>
        </w:tblCellMar>
      </w:tblPr>
      <w:tblGrid>
        <w:gridCol w:w="643"/>
        <w:gridCol w:w="872"/>
        <w:gridCol w:w="7075"/>
      </w:tblGrid>
      <w:tr w14:paraId="6CDADE30">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CellMar>
            <w:top w:w="0" w:type="dxa"/>
            <w:left w:w="108" w:type="dxa"/>
            <w:bottom w:w="0" w:type="dxa"/>
            <w:right w:w="108" w:type="dxa"/>
          </w:tblCellMar>
        </w:tblPrEx>
        <w:trPr>
          <w:trHeight w:val="360" w:hRule="atLeast"/>
          <w:tblHeader/>
          <w:jc w:val="center"/>
        </w:trPr>
        <w:tc>
          <w:tcPr>
            <w:tcW w:w="643" w:type="dxa"/>
            <w:shd w:val="clear" w:color="auto" w:fill="auto"/>
            <w:vAlign w:val="center"/>
          </w:tcPr>
          <w:p w14:paraId="0DEA336F">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序号</w:t>
            </w:r>
          </w:p>
        </w:tc>
        <w:tc>
          <w:tcPr>
            <w:tcW w:w="872" w:type="dxa"/>
            <w:shd w:val="clear" w:color="auto" w:fill="auto"/>
            <w:vAlign w:val="center"/>
          </w:tcPr>
          <w:p w14:paraId="2D99A4E3">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项目</w:t>
            </w:r>
          </w:p>
          <w:p w14:paraId="05ACBAC4">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区域</w:t>
            </w:r>
          </w:p>
        </w:tc>
        <w:tc>
          <w:tcPr>
            <w:tcW w:w="7075" w:type="dxa"/>
            <w:shd w:val="clear" w:color="auto" w:fill="auto"/>
            <w:vAlign w:val="center"/>
          </w:tcPr>
          <w:p w14:paraId="7F79047F">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主要保证措施</w:t>
            </w:r>
          </w:p>
        </w:tc>
      </w:tr>
      <w:tr w14:paraId="30C95406">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CellMar>
            <w:top w:w="0" w:type="dxa"/>
            <w:left w:w="108" w:type="dxa"/>
            <w:bottom w:w="0" w:type="dxa"/>
            <w:right w:w="108" w:type="dxa"/>
          </w:tblCellMar>
        </w:tblPrEx>
        <w:trPr>
          <w:trHeight w:val="454" w:hRule="atLeast"/>
          <w:jc w:val="center"/>
        </w:trPr>
        <w:tc>
          <w:tcPr>
            <w:tcW w:w="643" w:type="dxa"/>
            <w:shd w:val="clear" w:color="auto" w:fill="auto"/>
            <w:vAlign w:val="center"/>
          </w:tcPr>
          <w:p w14:paraId="7C69D1C7">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1</w:t>
            </w:r>
          </w:p>
        </w:tc>
        <w:tc>
          <w:tcPr>
            <w:tcW w:w="872" w:type="dxa"/>
            <w:shd w:val="clear" w:color="auto" w:fill="auto"/>
            <w:vAlign w:val="center"/>
          </w:tcPr>
          <w:p w14:paraId="55A8936E">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生产区</w:t>
            </w:r>
          </w:p>
        </w:tc>
        <w:tc>
          <w:tcPr>
            <w:tcW w:w="7075" w:type="dxa"/>
            <w:shd w:val="clear" w:color="auto" w:fill="auto"/>
            <w:vAlign w:val="center"/>
          </w:tcPr>
          <w:p w14:paraId="46FC4900">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按批准的施工组织设计平面布置图，建设规范化、标准化的生产区工地大门、洗车台、钢筋加工区、混凝土生产区、仓库、钢结构及模板加工区、材料堆放区、设备维修车间、试验室、消防通道等临建设施，合理规划设置垃圾箱、废料分类区、吸烟区、流动厕所、饮水休息区。</w:t>
            </w:r>
          </w:p>
          <w:p w14:paraId="2E0D3A8D">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在大门入口处，设置周正醒目的“七牌一图”，即工程概况牌、工程责任人牌、安全制度牌、消防保卫制度牌、环境保护制度牌、文明施工牌、工程创优牌、施工总平面布置图。</w:t>
            </w:r>
          </w:p>
          <w:p w14:paraId="2005EEA2">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建立文明施工责任区，划分区域明确责任人，挂牌监督。</w:t>
            </w:r>
          </w:p>
          <w:p w14:paraId="58342581">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每天设专职文明施工管理员进行巡逻检查，督促日常文明施工工作。</w:t>
            </w:r>
          </w:p>
          <w:p w14:paraId="4908AED7">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每月组织开展各项文明施工活动，并进行文明施工检查、考核，督促整改，落实文明施工各项规章制度及各项措施。</w:t>
            </w:r>
          </w:p>
          <w:p w14:paraId="2120756C">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每月召开文明施工例会，对现场文明施工问题及整改落实情况进行通报，并进行各区域的奖罚通告，同时讨论研究下个月文明施工改进措施、实施细则等。</w:t>
            </w:r>
          </w:p>
          <w:p w14:paraId="6EFBE001">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生产区现场做好文明施工宣传标识牌、安全警示标志标语布置，所有标识标牌要按照规定的材料、式样、颜色、内容等标准格式统一加工制作。</w:t>
            </w:r>
          </w:p>
          <w:p w14:paraId="22395DBB">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对进场的材料、机具、标识标牌、配电箱、消防器材等严格按布置图位置进行堆放、设置，堆放设置要做到整齐有序。</w:t>
            </w:r>
          </w:p>
          <w:p w14:paraId="1180F1BF">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材料挂设标识牌，注明名称、品种、规格、检验状态，检验合格与不合格材料分别堆放，不合格不入库；半成品、成品要整齐堆放，分别挂设标识牌，注明名称、品种、规格、使用部位、图形等，做好防雨防潮。每天由专职文明施工管理员负责检查。</w:t>
            </w:r>
          </w:p>
          <w:p w14:paraId="7BCE6A74">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装运建筑材料、土石方、建筑垃圾过程中，采取覆盖措施，以免发生洒漏；混凝土、砂浆运输车辆要做好封闭工作，以免发生洒漏。</w:t>
            </w:r>
          </w:p>
          <w:p w14:paraId="3CFE3C8E">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生产加工产生的废物材料、建筑垃圾要分类堆放，及时清运到指定地点，不随意倾倒，工具杂物要做到“人走场清”。</w:t>
            </w:r>
          </w:p>
          <w:p w14:paraId="3D6E53A8">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按规范要求建设生产区水电供应设施及排水设施：做到管线统一规划、合理布设、整齐美观、做到管线平、顺、直、牢；配电房封闭管理，一机一闸，严禁电线私拉乱接、使用不规范的用电设备；电缆、通讯线路埋地或架空敷设，规范统一，不随意敷设；照明线路等严禁设在钢构件和易燃易爆、化学物件上；供水排水管路布置合理，严禁乱排污水；完善安全消防设施；设专人进行管线设施维护。</w:t>
            </w:r>
          </w:p>
          <w:p w14:paraId="4BA5493D">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做好生产区场地硬化、绿化；作业场地内无积水，废水处理须规范，油、污水未经处理不排放；设专人清洁生产区，保证道路晴天不扬尘，雨天不泥泞。</w:t>
            </w:r>
          </w:p>
          <w:p w14:paraId="3DF08554">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浇筑混凝土、钻孔桩施工、锚碇施工等过程中，采取相应的措施，减少</w:t>
            </w:r>
            <w:r>
              <w:rPr>
                <w:rFonts w:hint="eastAsia" w:ascii="宋体" w:hAnsi="宋体" w:eastAsia="宋体" w:cs="宋体"/>
                <w:b w:val="0"/>
                <w:bCs/>
                <w:kern w:val="0"/>
                <w:sz w:val="20"/>
                <w:szCs w:val="20"/>
                <w:highlight w:val="none"/>
                <w:lang w:eastAsia="zh-CN"/>
              </w:rPr>
              <w:t>噪声</w:t>
            </w:r>
            <w:r>
              <w:rPr>
                <w:rFonts w:hint="eastAsia" w:ascii="宋体" w:hAnsi="宋体" w:eastAsia="宋体" w:cs="宋体"/>
                <w:b w:val="0"/>
                <w:bCs/>
                <w:kern w:val="0"/>
                <w:sz w:val="20"/>
                <w:szCs w:val="20"/>
                <w:highlight w:val="none"/>
              </w:rPr>
              <w:t>、扬尘，减少对周边居民及生态环境的影响。</w:t>
            </w:r>
          </w:p>
          <w:p w14:paraId="06E3DDE2">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按国家现行有关规定合理规划化学物品库和易燃易爆物品库，保证化学物品和易燃易爆物品合理存放，严格管理，以免污染环境；化学物品和易燃易爆物品领用时做好登记手续，搬运、装卸、使用时必须符合国家现行有关规定的要求。</w:t>
            </w:r>
          </w:p>
        </w:tc>
      </w:tr>
      <w:tr w14:paraId="2DACCA9A">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CellMar>
            <w:top w:w="0" w:type="dxa"/>
            <w:left w:w="108" w:type="dxa"/>
            <w:bottom w:w="0" w:type="dxa"/>
            <w:right w:w="108" w:type="dxa"/>
          </w:tblCellMar>
        </w:tblPrEx>
        <w:trPr>
          <w:trHeight w:val="454" w:hRule="atLeast"/>
          <w:jc w:val="center"/>
        </w:trPr>
        <w:tc>
          <w:tcPr>
            <w:tcW w:w="643" w:type="dxa"/>
            <w:shd w:val="clear" w:color="auto" w:fill="auto"/>
            <w:vAlign w:val="center"/>
          </w:tcPr>
          <w:p w14:paraId="71850777">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2</w:t>
            </w:r>
          </w:p>
        </w:tc>
        <w:tc>
          <w:tcPr>
            <w:tcW w:w="872" w:type="dxa"/>
            <w:shd w:val="clear" w:color="auto" w:fill="auto"/>
            <w:vAlign w:val="center"/>
          </w:tcPr>
          <w:p w14:paraId="4DD4B194">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施工区</w:t>
            </w:r>
          </w:p>
        </w:tc>
        <w:tc>
          <w:tcPr>
            <w:tcW w:w="7075" w:type="dxa"/>
            <w:shd w:val="clear" w:color="auto" w:fill="auto"/>
            <w:vAlign w:val="center"/>
          </w:tcPr>
          <w:p w14:paraId="7AEEAF0B">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按批准的施工组织设计平面布置图，建设施工便桥、操作平台，合理规划设置垃圾箱、废料堆积区、吸烟区、流动厕所、饮水休息区。</w:t>
            </w:r>
          </w:p>
          <w:p w14:paraId="5409C864">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在施工现场设置周正醒目标牌，即工程概况牌、工程责任人牌、安全制度牌、消防保卫制度牌、环境保护制度牌、文明施工牌、工艺流程图。</w:t>
            </w:r>
          </w:p>
          <w:p w14:paraId="382FED2D">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施工便桥、周围安装安全警示灯，布置安全警示标识；</w:t>
            </w:r>
          </w:p>
          <w:p w14:paraId="4C6AC675">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生产加工产生的废物材料要分类堆放处理，泥浆、混凝土、土石方等建筑垃圾要及时清运到指定地点，不随意倾倒，工具杂物要做到“人走场清”。</w:t>
            </w:r>
          </w:p>
          <w:p w14:paraId="5D4EA2D3">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装运建筑垃圾过程中，采取覆盖措施，以免发生洒漏；混凝土、砂浆、泥浆运输车辆要做好封闭工作，以免发生洒漏。</w:t>
            </w:r>
          </w:p>
          <w:p w14:paraId="4CA31313">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施工便桥设置专人维护、洒水、清洁，确保便桥整洁、不扬尘；采取相应的措施，减少</w:t>
            </w:r>
            <w:r>
              <w:rPr>
                <w:rFonts w:hint="eastAsia" w:ascii="宋体" w:hAnsi="宋体" w:eastAsia="宋体" w:cs="宋体"/>
                <w:b w:val="0"/>
                <w:bCs/>
                <w:kern w:val="0"/>
                <w:sz w:val="20"/>
                <w:szCs w:val="20"/>
                <w:highlight w:val="none"/>
                <w:lang w:eastAsia="zh-CN"/>
              </w:rPr>
              <w:t>噪声</w:t>
            </w:r>
            <w:r>
              <w:rPr>
                <w:rFonts w:hint="eastAsia" w:ascii="宋体" w:hAnsi="宋体" w:eastAsia="宋体" w:cs="宋体"/>
                <w:b w:val="0"/>
                <w:bCs/>
                <w:kern w:val="0"/>
                <w:sz w:val="20"/>
                <w:szCs w:val="20"/>
                <w:highlight w:val="none"/>
              </w:rPr>
              <w:t>污染，减少对周边生态环境的影响。</w:t>
            </w:r>
          </w:p>
          <w:p w14:paraId="684DC114">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现场做好文明施工宣传标识牌、安全警示标志标语布置，标识牌布置要齐全、美观、整齐，所有标识标牌要按照规定的材料、式样、颜色、内容等标准格式统一加工制作。</w:t>
            </w:r>
          </w:p>
          <w:p w14:paraId="3E2544DC">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按国家现行有关规定做好现场化学物品和易燃易爆物品的存放、管理工作，以免污染环境；化学物品和易燃易爆物品领用时做好登记手续，搬运、装卸、使用时必须符合国家现行有关规定的要求。</w:t>
            </w:r>
          </w:p>
          <w:p w14:paraId="23E96D73">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明确该区域文明施工责任人，挂牌监督；每天设专职文明施工管理员进行巡逻检查，督促日常文明施工工作。</w:t>
            </w:r>
          </w:p>
          <w:p w14:paraId="7C6945E6">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每月组织开展各项文明施工活动，并进行文明施工检查、考核，督促整改，落实文明施工各项规章制度及各项措施。</w:t>
            </w:r>
          </w:p>
          <w:p w14:paraId="3B0198D8">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每月召开文明施工例会，对现场文明施工问题及整改落实情况进行通报，并进行各区域的奖罚通告，同时讨论研究下个月文明施工工作细则、实施细则等。</w:t>
            </w:r>
          </w:p>
          <w:p w14:paraId="460ECDF7">
            <w:pPr>
              <w:pStyle w:val="161"/>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按规范要求建设水电供应设施及排水设施：做到管线统一规划、合理布设、整齐美观、做到管线平、顺、直、牢；配电房封闭管理，一机一闸，严禁电线私拉乱接、使用不规范的用电设备；电缆、通讯线路埋地或架空敷设，规范统一，不随意敷设；照明线路等严禁设在钢构件和易燃易爆、化学物件上；供水排水管路布置合理，做到给水不漏，排水顺畅，严禁乱排污水；完善安全消防设施；设专人进行管线设施维护。</w:t>
            </w:r>
          </w:p>
        </w:tc>
      </w:tr>
    </w:tbl>
    <w:p w14:paraId="6CBDCDCE">
      <w:pPr>
        <w:pStyle w:val="5"/>
        <w:bidi w:val="0"/>
        <w:rPr>
          <w:rFonts w:hint="eastAsia" w:ascii="宋体" w:hAnsi="宋体" w:eastAsia="宋体" w:cs="宋体"/>
          <w:highlight w:val="none"/>
          <w:lang w:val="en-US" w:eastAsia="zh-CN"/>
        </w:rPr>
      </w:pPr>
      <w:r>
        <w:rPr>
          <w:rFonts w:hint="eastAsia" w:ascii="宋体" w:hAnsi="宋体" w:eastAsia="宋体" w:cs="宋体"/>
          <w:highlight w:val="none"/>
        </w:rPr>
        <w:t>现场机械文明施工措施</w:t>
      </w:r>
    </w:p>
    <w:p w14:paraId="047002D2">
      <w:pPr>
        <w:pStyle w:val="43"/>
        <w:bidi w:val="0"/>
        <w:rPr>
          <w:rFonts w:hint="eastAsia" w:ascii="宋体" w:hAnsi="宋体" w:eastAsia="宋体" w:cs="宋体"/>
          <w:highlight w:val="none"/>
        </w:rPr>
      </w:pPr>
      <w:r>
        <w:rPr>
          <w:rFonts w:hint="eastAsia" w:ascii="宋体" w:hAnsi="宋体" w:eastAsia="宋体" w:cs="宋体"/>
          <w:highlight w:val="none"/>
        </w:rPr>
        <w:t>表</w:t>
      </w:r>
      <w:r>
        <w:rPr>
          <w:rFonts w:hint="eastAsia" w:ascii="宋体" w:hAnsi="宋体" w:eastAsia="宋体" w:cs="宋体"/>
          <w:highlight w:val="none"/>
          <w:lang w:val="en-US" w:eastAsia="zh-CN"/>
        </w:rPr>
        <w:t>7</w:t>
      </w:r>
      <w:r>
        <w:rPr>
          <w:rFonts w:hint="eastAsia" w:ascii="宋体" w:hAnsi="宋体" w:eastAsia="宋体" w:cs="宋体"/>
          <w:highlight w:val="none"/>
        </w:rPr>
        <w:t>.</w:t>
      </w:r>
      <w:r>
        <w:rPr>
          <w:rFonts w:hint="eastAsia" w:ascii="宋体" w:hAnsi="宋体" w:eastAsia="宋体" w:cs="宋体"/>
          <w:highlight w:val="none"/>
          <w:lang w:val="en-US" w:eastAsia="zh-CN"/>
        </w:rPr>
        <w:t>2.3</w:t>
      </w:r>
      <w:r>
        <w:rPr>
          <w:rFonts w:hint="eastAsia" w:ascii="宋体" w:hAnsi="宋体" w:eastAsia="宋体" w:cs="宋体"/>
          <w:highlight w:val="none"/>
        </w:rPr>
        <w:t>-</w:t>
      </w:r>
      <w:r>
        <w:rPr>
          <w:rFonts w:hint="eastAsia" w:ascii="宋体" w:hAnsi="宋体" w:eastAsia="宋体" w:cs="宋体"/>
          <w:highlight w:val="none"/>
          <w:lang w:val="en-US" w:eastAsia="zh-CN"/>
        </w:rPr>
        <w:t>3</w:t>
      </w:r>
      <w:r>
        <w:rPr>
          <w:rFonts w:hint="eastAsia" w:ascii="宋体" w:hAnsi="宋体" w:eastAsia="宋体" w:cs="宋体"/>
          <w:highlight w:val="none"/>
        </w:rPr>
        <w:t>现场机械文明施工保证措施</w:t>
      </w:r>
    </w:p>
    <w:tbl>
      <w:tblPr>
        <w:tblStyle w:val="137"/>
        <w:tblpPr w:leftFromText="180" w:rightFromText="180" w:vertAnchor="text" w:tblpXSpec="center" w:tblpY="1"/>
        <w:tblW w:w="8469" w:type="dxa"/>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Layout w:type="fixed"/>
        <w:tblCellMar>
          <w:top w:w="0" w:type="dxa"/>
          <w:left w:w="108" w:type="dxa"/>
          <w:bottom w:w="0" w:type="dxa"/>
          <w:right w:w="108" w:type="dxa"/>
        </w:tblCellMar>
      </w:tblPr>
      <w:tblGrid>
        <w:gridCol w:w="645"/>
        <w:gridCol w:w="7824"/>
      </w:tblGrid>
      <w:tr w14:paraId="481A0EFE">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CellMar>
            <w:top w:w="0" w:type="dxa"/>
            <w:left w:w="108" w:type="dxa"/>
            <w:bottom w:w="0" w:type="dxa"/>
            <w:right w:w="108" w:type="dxa"/>
          </w:tblCellMar>
        </w:tblPrEx>
        <w:trPr>
          <w:trHeight w:val="408" w:hRule="atLeast"/>
          <w:jc w:val="center"/>
        </w:trPr>
        <w:tc>
          <w:tcPr>
            <w:tcW w:w="645" w:type="dxa"/>
            <w:shd w:val="clear" w:color="auto" w:fill="auto"/>
            <w:vAlign w:val="center"/>
          </w:tcPr>
          <w:p w14:paraId="62BA1C8C">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序号</w:t>
            </w:r>
          </w:p>
        </w:tc>
        <w:tc>
          <w:tcPr>
            <w:tcW w:w="7824" w:type="dxa"/>
            <w:shd w:val="clear" w:color="auto" w:fill="auto"/>
            <w:vAlign w:val="center"/>
          </w:tcPr>
          <w:p w14:paraId="0BAA6263">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主要保证措施</w:t>
            </w:r>
          </w:p>
        </w:tc>
      </w:tr>
      <w:tr w14:paraId="4CE81B59">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796" w:hRule="atLeast"/>
          <w:jc w:val="center"/>
        </w:trPr>
        <w:tc>
          <w:tcPr>
            <w:tcW w:w="645" w:type="dxa"/>
            <w:shd w:val="clear" w:color="auto" w:fill="auto"/>
            <w:vAlign w:val="center"/>
          </w:tcPr>
          <w:p w14:paraId="60239318">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1</w:t>
            </w:r>
          </w:p>
        </w:tc>
        <w:tc>
          <w:tcPr>
            <w:tcW w:w="7824" w:type="dxa"/>
            <w:shd w:val="clear" w:color="auto" w:fill="auto"/>
            <w:vAlign w:val="center"/>
          </w:tcPr>
          <w:p w14:paraId="62913715">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配备专职的车辆、机械管理员，负责现场的车辆、机械的管理及调度；</w:t>
            </w:r>
          </w:p>
          <w:p w14:paraId="3CA74822">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配备专业人员，负责现场的车辆、机械的维修、保养，使车辆、机械保持良好的状况。</w:t>
            </w:r>
          </w:p>
        </w:tc>
      </w:tr>
      <w:tr w14:paraId="4DE904CB">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796" w:hRule="atLeast"/>
          <w:jc w:val="center"/>
        </w:trPr>
        <w:tc>
          <w:tcPr>
            <w:tcW w:w="645" w:type="dxa"/>
            <w:shd w:val="clear" w:color="auto" w:fill="auto"/>
            <w:vAlign w:val="center"/>
          </w:tcPr>
          <w:p w14:paraId="1833D662">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2</w:t>
            </w:r>
          </w:p>
        </w:tc>
        <w:tc>
          <w:tcPr>
            <w:tcW w:w="7824" w:type="dxa"/>
            <w:shd w:val="clear" w:color="auto" w:fill="auto"/>
            <w:vAlign w:val="center"/>
          </w:tcPr>
          <w:p w14:paraId="494F1186">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统一车辆、机械的颜色、标记、标识，并制定相应的机械操作规程。</w:t>
            </w:r>
          </w:p>
        </w:tc>
      </w:tr>
      <w:tr w14:paraId="4AE03E2B">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796" w:hRule="atLeast"/>
          <w:jc w:val="center"/>
        </w:trPr>
        <w:tc>
          <w:tcPr>
            <w:tcW w:w="645" w:type="dxa"/>
            <w:shd w:val="clear" w:color="auto" w:fill="auto"/>
            <w:vAlign w:val="center"/>
          </w:tcPr>
          <w:p w14:paraId="2E2332C5">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3</w:t>
            </w:r>
          </w:p>
        </w:tc>
        <w:tc>
          <w:tcPr>
            <w:tcW w:w="7824" w:type="dxa"/>
            <w:shd w:val="clear" w:color="auto" w:fill="auto"/>
            <w:vAlign w:val="center"/>
          </w:tcPr>
          <w:p w14:paraId="792A1AB4">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车辆、机械经常清洗，停放有序；</w:t>
            </w:r>
          </w:p>
          <w:p w14:paraId="7AE0879F">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定期对驾驶人员进行遵章守纪、交通法规、文明施工教育，保证文明行驶，礼让三先，确保交通安全。</w:t>
            </w:r>
          </w:p>
        </w:tc>
      </w:tr>
      <w:tr w14:paraId="35FE0E04">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796" w:hRule="atLeast"/>
          <w:jc w:val="center"/>
        </w:trPr>
        <w:tc>
          <w:tcPr>
            <w:tcW w:w="645" w:type="dxa"/>
            <w:shd w:val="clear" w:color="auto" w:fill="auto"/>
            <w:vAlign w:val="center"/>
          </w:tcPr>
          <w:p w14:paraId="2206BAF3">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4</w:t>
            </w:r>
          </w:p>
        </w:tc>
        <w:tc>
          <w:tcPr>
            <w:tcW w:w="7824" w:type="dxa"/>
            <w:shd w:val="clear" w:color="auto" w:fill="auto"/>
            <w:vAlign w:val="center"/>
          </w:tcPr>
          <w:p w14:paraId="6AC000A0">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清洗车辆机械排出的污水有排放措施，不随地流淌；</w:t>
            </w:r>
          </w:p>
          <w:p w14:paraId="5A10B9E6">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机械应防止严重漏油，运行中产生的油污水不随意污染道路及水源。</w:t>
            </w:r>
          </w:p>
        </w:tc>
      </w:tr>
      <w:tr w14:paraId="1F5F146D">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796" w:hRule="atLeast"/>
          <w:jc w:val="center"/>
        </w:trPr>
        <w:tc>
          <w:tcPr>
            <w:tcW w:w="645" w:type="dxa"/>
            <w:shd w:val="clear" w:color="auto" w:fill="auto"/>
            <w:vAlign w:val="center"/>
          </w:tcPr>
          <w:p w14:paraId="4248B661">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5</w:t>
            </w:r>
          </w:p>
        </w:tc>
        <w:tc>
          <w:tcPr>
            <w:tcW w:w="7824" w:type="dxa"/>
            <w:shd w:val="clear" w:color="auto" w:fill="auto"/>
            <w:vAlign w:val="center"/>
          </w:tcPr>
          <w:p w14:paraId="45FFB0D6">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拌和站、砂浆机等机械须配备防尘装置，在拌和站旁设置沉淀池，不将污水直接排放。</w:t>
            </w:r>
          </w:p>
        </w:tc>
      </w:tr>
      <w:tr w14:paraId="4184B3FE">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796" w:hRule="atLeast"/>
          <w:jc w:val="center"/>
        </w:trPr>
        <w:tc>
          <w:tcPr>
            <w:tcW w:w="645" w:type="dxa"/>
            <w:shd w:val="clear" w:color="auto" w:fill="auto"/>
            <w:vAlign w:val="center"/>
          </w:tcPr>
          <w:p w14:paraId="5C4DB9CD">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6</w:t>
            </w:r>
          </w:p>
        </w:tc>
        <w:tc>
          <w:tcPr>
            <w:tcW w:w="7824" w:type="dxa"/>
            <w:shd w:val="clear" w:color="auto" w:fill="auto"/>
            <w:vAlign w:val="center"/>
          </w:tcPr>
          <w:p w14:paraId="24A5A38C">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合理规划使用施工场地内各种车辆、机械、设备，减少噪音累加，尽量采用</w:t>
            </w:r>
            <w:r>
              <w:rPr>
                <w:rFonts w:hint="eastAsia" w:ascii="宋体" w:hAnsi="宋体" w:eastAsia="宋体" w:cs="宋体"/>
                <w:b w:val="0"/>
                <w:bCs/>
                <w:kern w:val="0"/>
                <w:sz w:val="20"/>
                <w:szCs w:val="20"/>
                <w:highlight w:val="none"/>
                <w:lang w:eastAsia="zh-CN"/>
              </w:rPr>
              <w:t>低噪音</w:t>
            </w:r>
            <w:r>
              <w:rPr>
                <w:rFonts w:hint="eastAsia" w:ascii="宋体" w:hAnsi="宋体" w:eastAsia="宋体" w:cs="宋体"/>
                <w:b w:val="0"/>
                <w:bCs/>
                <w:kern w:val="0"/>
                <w:sz w:val="20"/>
                <w:szCs w:val="20"/>
                <w:highlight w:val="none"/>
              </w:rPr>
              <w:t>设备，控制噪音污染。</w:t>
            </w:r>
          </w:p>
        </w:tc>
      </w:tr>
      <w:tr w14:paraId="72114F32">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796" w:hRule="atLeast"/>
          <w:jc w:val="center"/>
        </w:trPr>
        <w:tc>
          <w:tcPr>
            <w:tcW w:w="645" w:type="dxa"/>
            <w:shd w:val="clear" w:color="auto" w:fill="auto"/>
            <w:vAlign w:val="center"/>
          </w:tcPr>
          <w:p w14:paraId="6A139991">
            <w:pPr>
              <w:pStyle w:val="56"/>
              <w:keepNext w:val="0"/>
              <w:keepLines w:val="0"/>
              <w:suppressLineNumbers w:val="0"/>
              <w:spacing w:before="0" w:beforeAutospacing="0" w:after="0" w:afterAutospacing="0"/>
              <w:ind w:left="0" w:right="0"/>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7</w:t>
            </w:r>
          </w:p>
        </w:tc>
        <w:tc>
          <w:tcPr>
            <w:tcW w:w="7824" w:type="dxa"/>
            <w:shd w:val="clear" w:color="auto" w:fill="auto"/>
            <w:vAlign w:val="center"/>
          </w:tcPr>
          <w:p w14:paraId="68CCF143">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装运材料、土石方、垃圾等车辆，采取覆盖措施，确保行驶途中不污染道路和环境；</w:t>
            </w:r>
          </w:p>
          <w:p w14:paraId="602F4CF9">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混凝土、砂浆运输车辆要做好封闭工作，以免发生洒漏；</w:t>
            </w:r>
          </w:p>
          <w:p w14:paraId="6D792E73">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sz w:val="20"/>
                <w:szCs w:val="20"/>
                <w:highlight w:val="none"/>
              </w:rPr>
            </w:pPr>
            <w:r>
              <w:rPr>
                <w:rFonts w:hint="eastAsia" w:ascii="宋体" w:hAnsi="宋体" w:eastAsia="宋体" w:cs="宋体"/>
                <w:b w:val="0"/>
                <w:bCs/>
                <w:kern w:val="0"/>
                <w:sz w:val="20"/>
                <w:szCs w:val="20"/>
                <w:highlight w:val="none"/>
              </w:rPr>
              <w:t>装运材料、垃圾时，应做好覆盖或封闭工作，确保不污染防城港市地域环境。</w:t>
            </w:r>
          </w:p>
        </w:tc>
      </w:tr>
    </w:tbl>
    <w:p w14:paraId="4AE37A3D">
      <w:pPr>
        <w:pStyle w:val="5"/>
        <w:bidi w:val="0"/>
        <w:rPr>
          <w:rFonts w:hint="eastAsia" w:ascii="宋体" w:hAnsi="宋体" w:eastAsia="宋体" w:cs="宋体"/>
          <w:highlight w:val="none"/>
          <w:lang w:val="en-US" w:eastAsia="zh-CN"/>
        </w:rPr>
      </w:pPr>
      <w:r>
        <w:rPr>
          <w:rFonts w:hint="eastAsia" w:ascii="宋体" w:hAnsi="宋体" w:eastAsia="宋体" w:cs="宋体"/>
          <w:highlight w:val="none"/>
        </w:rPr>
        <w:t>施工人员文明施工措施</w:t>
      </w:r>
    </w:p>
    <w:p w14:paraId="6D4153A2">
      <w:pPr>
        <w:pStyle w:val="43"/>
        <w:bidi w:val="0"/>
        <w:rPr>
          <w:rFonts w:hint="eastAsia" w:ascii="宋体" w:hAnsi="宋体" w:eastAsia="宋体" w:cs="宋体"/>
          <w:highlight w:val="none"/>
        </w:rPr>
      </w:pPr>
      <w:r>
        <w:rPr>
          <w:rFonts w:hint="eastAsia" w:ascii="宋体" w:hAnsi="宋体" w:eastAsia="宋体" w:cs="宋体"/>
          <w:highlight w:val="none"/>
        </w:rPr>
        <w:t>表</w:t>
      </w:r>
      <w:r>
        <w:rPr>
          <w:rFonts w:hint="eastAsia" w:ascii="宋体" w:hAnsi="宋体" w:eastAsia="宋体" w:cs="宋体"/>
          <w:highlight w:val="none"/>
          <w:lang w:val="en-US" w:eastAsia="zh-CN"/>
        </w:rPr>
        <w:t xml:space="preserve">7.2.3-4 </w:t>
      </w:r>
      <w:r>
        <w:rPr>
          <w:rFonts w:hint="eastAsia" w:ascii="宋体" w:hAnsi="宋体" w:eastAsia="宋体" w:cs="宋体"/>
          <w:highlight w:val="none"/>
        </w:rPr>
        <w:t>施工人员文明施工保证措施</w:t>
      </w:r>
    </w:p>
    <w:tbl>
      <w:tblPr>
        <w:tblStyle w:val="137"/>
        <w:tblpPr w:leftFromText="180" w:rightFromText="180" w:vertAnchor="text" w:tblpXSpec="center" w:tblpY="1"/>
        <w:tblW w:w="4999" w:type="pct"/>
        <w:jc w:val="cente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Layout w:type="autofit"/>
        <w:tblCellMar>
          <w:top w:w="0" w:type="dxa"/>
          <w:left w:w="108" w:type="dxa"/>
          <w:bottom w:w="0" w:type="dxa"/>
          <w:right w:w="108" w:type="dxa"/>
        </w:tblCellMar>
      </w:tblPr>
      <w:tblGrid>
        <w:gridCol w:w="634"/>
        <w:gridCol w:w="7886"/>
      </w:tblGrid>
      <w:tr w14:paraId="5AA6B308">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CellMar>
            <w:top w:w="0" w:type="dxa"/>
            <w:left w:w="108" w:type="dxa"/>
            <w:bottom w:w="0" w:type="dxa"/>
            <w:right w:w="108" w:type="dxa"/>
          </w:tblCellMar>
        </w:tblPrEx>
        <w:trPr>
          <w:trHeight w:val="470" w:hRule="atLeast"/>
          <w:jc w:val="center"/>
        </w:trPr>
        <w:tc>
          <w:tcPr>
            <w:tcW w:w="372" w:type="pct"/>
            <w:shd w:val="clear" w:color="auto" w:fill="auto"/>
            <w:vAlign w:val="center"/>
          </w:tcPr>
          <w:p w14:paraId="353CC0C4">
            <w:pPr>
              <w:pStyle w:val="56"/>
              <w:keepNext w:val="0"/>
              <w:keepLines w:val="0"/>
              <w:suppressLineNumbers w:val="0"/>
              <w:spacing w:before="0" w:beforeAutospacing="0" w:after="0" w:afterAutospacing="0"/>
              <w:ind w:left="0" w:right="0"/>
              <w:rPr>
                <w:rFonts w:hint="eastAsia" w:ascii="宋体" w:hAnsi="宋体" w:eastAsia="宋体" w:cs="宋体"/>
                <w:b w:val="0"/>
                <w:bCs/>
                <w:kern w:val="0"/>
                <w:highlight w:val="none"/>
              </w:rPr>
            </w:pPr>
            <w:r>
              <w:rPr>
                <w:rFonts w:hint="eastAsia" w:ascii="宋体" w:hAnsi="宋体" w:eastAsia="宋体" w:cs="宋体"/>
                <w:b w:val="0"/>
                <w:bCs/>
                <w:kern w:val="0"/>
                <w:highlight w:val="none"/>
              </w:rPr>
              <w:t>序号</w:t>
            </w:r>
          </w:p>
        </w:tc>
        <w:tc>
          <w:tcPr>
            <w:tcW w:w="4627" w:type="pct"/>
            <w:shd w:val="clear" w:color="auto" w:fill="auto"/>
            <w:vAlign w:val="center"/>
          </w:tcPr>
          <w:p w14:paraId="0168D826">
            <w:pPr>
              <w:pStyle w:val="56"/>
              <w:keepNext w:val="0"/>
              <w:keepLines w:val="0"/>
              <w:suppressLineNumbers w:val="0"/>
              <w:spacing w:before="0" w:beforeAutospacing="0" w:after="0" w:afterAutospacing="0"/>
              <w:ind w:left="0" w:right="0"/>
              <w:rPr>
                <w:rFonts w:hint="eastAsia" w:ascii="宋体" w:hAnsi="宋体" w:eastAsia="宋体" w:cs="宋体"/>
                <w:b w:val="0"/>
                <w:bCs/>
                <w:kern w:val="0"/>
                <w:highlight w:val="none"/>
              </w:rPr>
            </w:pPr>
            <w:r>
              <w:rPr>
                <w:rFonts w:hint="eastAsia" w:ascii="宋体" w:hAnsi="宋体" w:eastAsia="宋体" w:cs="宋体"/>
                <w:b w:val="0"/>
                <w:bCs/>
                <w:kern w:val="0"/>
                <w:highlight w:val="none"/>
              </w:rPr>
              <w:t>主要保证措施</w:t>
            </w:r>
          </w:p>
        </w:tc>
      </w:tr>
      <w:tr w14:paraId="3CEF790D">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971" w:hRule="atLeast"/>
          <w:jc w:val="center"/>
        </w:trPr>
        <w:tc>
          <w:tcPr>
            <w:tcW w:w="372" w:type="pct"/>
            <w:shd w:val="clear" w:color="auto" w:fill="auto"/>
            <w:vAlign w:val="center"/>
          </w:tcPr>
          <w:p w14:paraId="3F18A602">
            <w:pPr>
              <w:pStyle w:val="56"/>
              <w:keepNext w:val="0"/>
              <w:keepLines w:val="0"/>
              <w:suppressLineNumbers w:val="0"/>
              <w:spacing w:before="0" w:beforeAutospacing="0" w:after="0" w:afterAutospacing="0"/>
              <w:ind w:left="0" w:right="0"/>
              <w:rPr>
                <w:rFonts w:hint="eastAsia" w:ascii="宋体" w:hAnsi="宋体" w:eastAsia="宋体" w:cs="宋体"/>
                <w:b w:val="0"/>
                <w:bCs/>
                <w:kern w:val="0"/>
                <w:highlight w:val="none"/>
              </w:rPr>
            </w:pPr>
            <w:r>
              <w:rPr>
                <w:rFonts w:hint="eastAsia" w:ascii="宋体" w:hAnsi="宋体" w:eastAsia="宋体" w:cs="宋体"/>
                <w:b w:val="0"/>
                <w:bCs/>
                <w:kern w:val="0"/>
                <w:highlight w:val="none"/>
              </w:rPr>
              <w:t>1</w:t>
            </w:r>
          </w:p>
        </w:tc>
        <w:tc>
          <w:tcPr>
            <w:tcW w:w="4627" w:type="pct"/>
            <w:shd w:val="clear" w:color="auto" w:fill="auto"/>
            <w:vAlign w:val="center"/>
          </w:tcPr>
          <w:p w14:paraId="25C1F334">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施工人员应按要求分类着装，佩戴安全帽；</w:t>
            </w:r>
          </w:p>
          <w:p w14:paraId="1D408A15">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各种岗位人员佩戴胸卡，质量检查人员、安全监督人员佩戴红色袖标；</w:t>
            </w:r>
          </w:p>
          <w:p w14:paraId="1F696E27">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坚守岗位，职责清楚。</w:t>
            </w:r>
          </w:p>
        </w:tc>
      </w:tr>
      <w:tr w14:paraId="2BB885E7">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971" w:hRule="atLeast"/>
          <w:jc w:val="center"/>
        </w:trPr>
        <w:tc>
          <w:tcPr>
            <w:tcW w:w="372" w:type="pct"/>
            <w:shd w:val="clear" w:color="auto" w:fill="auto"/>
            <w:vAlign w:val="center"/>
          </w:tcPr>
          <w:p w14:paraId="282FE2D3">
            <w:pPr>
              <w:pStyle w:val="56"/>
              <w:keepNext w:val="0"/>
              <w:keepLines w:val="0"/>
              <w:suppressLineNumbers w:val="0"/>
              <w:spacing w:before="0" w:beforeAutospacing="0" w:after="0" w:afterAutospacing="0"/>
              <w:ind w:left="0" w:right="0"/>
              <w:rPr>
                <w:rFonts w:hint="eastAsia" w:ascii="宋体" w:hAnsi="宋体" w:eastAsia="宋体" w:cs="宋体"/>
                <w:b w:val="0"/>
                <w:bCs/>
                <w:kern w:val="0"/>
                <w:highlight w:val="none"/>
              </w:rPr>
            </w:pPr>
            <w:r>
              <w:rPr>
                <w:rFonts w:hint="eastAsia" w:ascii="宋体" w:hAnsi="宋体" w:eastAsia="宋体" w:cs="宋体"/>
                <w:b w:val="0"/>
                <w:bCs/>
                <w:kern w:val="0"/>
                <w:highlight w:val="none"/>
              </w:rPr>
              <w:t>2</w:t>
            </w:r>
          </w:p>
        </w:tc>
        <w:tc>
          <w:tcPr>
            <w:tcW w:w="4627" w:type="pct"/>
            <w:shd w:val="clear" w:color="auto" w:fill="auto"/>
            <w:vAlign w:val="center"/>
          </w:tcPr>
          <w:p w14:paraId="352A6940">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进入场区人员在区域内活动要举止大方、</w:t>
            </w:r>
            <w:r>
              <w:rPr>
                <w:rFonts w:hint="eastAsia" w:ascii="宋体" w:hAnsi="宋体" w:eastAsia="宋体" w:cs="宋体"/>
                <w:b w:val="0"/>
                <w:bCs/>
                <w:kern w:val="0"/>
                <w:highlight w:val="none"/>
                <w:lang w:eastAsia="zh-CN"/>
              </w:rPr>
              <w:t>仪容</w:t>
            </w:r>
            <w:r>
              <w:rPr>
                <w:rFonts w:hint="eastAsia" w:ascii="宋体" w:hAnsi="宋体" w:eastAsia="宋体" w:cs="宋体"/>
                <w:b w:val="0"/>
                <w:bCs/>
                <w:kern w:val="0"/>
                <w:highlight w:val="none"/>
              </w:rPr>
              <w:t>整洁、文明礼貌；</w:t>
            </w:r>
          </w:p>
          <w:p w14:paraId="7869D671">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定期对全体施工人员进行法律、法规教育，严格遵守社会公德、职业道德、职业纪律；</w:t>
            </w:r>
          </w:p>
          <w:p w14:paraId="72C4D59E">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设专人协调处理好周边的公共关系，发生纠纷按程序逐级追究解决，杜绝打架斗殴。</w:t>
            </w:r>
          </w:p>
        </w:tc>
      </w:tr>
      <w:tr w14:paraId="78D60079">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CellMar>
            <w:top w:w="0" w:type="dxa"/>
            <w:left w:w="108" w:type="dxa"/>
            <w:bottom w:w="0" w:type="dxa"/>
            <w:right w:w="108" w:type="dxa"/>
          </w:tblCellMar>
        </w:tblPrEx>
        <w:trPr>
          <w:trHeight w:val="971" w:hRule="atLeast"/>
          <w:jc w:val="center"/>
        </w:trPr>
        <w:tc>
          <w:tcPr>
            <w:tcW w:w="372" w:type="pct"/>
            <w:shd w:val="clear" w:color="auto" w:fill="auto"/>
            <w:vAlign w:val="center"/>
          </w:tcPr>
          <w:p w14:paraId="38A53D4E">
            <w:pPr>
              <w:pStyle w:val="56"/>
              <w:keepNext w:val="0"/>
              <w:keepLines w:val="0"/>
              <w:suppressLineNumbers w:val="0"/>
              <w:spacing w:before="0" w:beforeAutospacing="0" w:after="0" w:afterAutospacing="0"/>
              <w:ind w:left="0" w:right="0"/>
              <w:rPr>
                <w:rFonts w:hint="eastAsia" w:ascii="宋体" w:hAnsi="宋体" w:eastAsia="宋体" w:cs="宋体"/>
                <w:b w:val="0"/>
                <w:bCs/>
                <w:kern w:val="0"/>
                <w:highlight w:val="none"/>
              </w:rPr>
            </w:pPr>
            <w:r>
              <w:rPr>
                <w:rFonts w:hint="eastAsia" w:ascii="宋体" w:hAnsi="宋体" w:eastAsia="宋体" w:cs="宋体"/>
                <w:b w:val="0"/>
                <w:bCs/>
                <w:kern w:val="0"/>
                <w:highlight w:val="none"/>
              </w:rPr>
              <w:t>3</w:t>
            </w:r>
          </w:p>
        </w:tc>
        <w:tc>
          <w:tcPr>
            <w:tcW w:w="4627" w:type="pct"/>
            <w:shd w:val="clear" w:color="auto" w:fill="auto"/>
            <w:vAlign w:val="center"/>
          </w:tcPr>
          <w:p w14:paraId="2D2FEC4A">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工人在上岗前必须经过文明施工教育培训，未经培训的工人，不得使用；</w:t>
            </w:r>
          </w:p>
          <w:p w14:paraId="130E6567">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所有施工人员每月需要进行施工安全、法纪和文明施工教育，增强文明施工意识，养成良好的作业习惯，如不在吸烟室以外场所吸烟，严禁穿拖鞋、短袖，不酒后作业等。</w:t>
            </w:r>
          </w:p>
        </w:tc>
      </w:tr>
      <w:tr w14:paraId="07CD13FC">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CellMar>
            <w:top w:w="0" w:type="dxa"/>
            <w:left w:w="108" w:type="dxa"/>
            <w:bottom w:w="0" w:type="dxa"/>
            <w:right w:w="108" w:type="dxa"/>
          </w:tblCellMar>
        </w:tblPrEx>
        <w:trPr>
          <w:trHeight w:val="971" w:hRule="atLeast"/>
          <w:jc w:val="center"/>
        </w:trPr>
        <w:tc>
          <w:tcPr>
            <w:tcW w:w="372" w:type="pct"/>
            <w:shd w:val="clear" w:color="auto" w:fill="auto"/>
            <w:vAlign w:val="center"/>
          </w:tcPr>
          <w:p w14:paraId="6B785748">
            <w:pPr>
              <w:pStyle w:val="56"/>
              <w:keepNext w:val="0"/>
              <w:keepLines w:val="0"/>
              <w:suppressLineNumbers w:val="0"/>
              <w:spacing w:before="0" w:beforeAutospacing="0" w:after="0" w:afterAutospacing="0"/>
              <w:ind w:left="0" w:right="0"/>
              <w:rPr>
                <w:rFonts w:hint="eastAsia" w:ascii="宋体" w:hAnsi="宋体" w:eastAsia="宋体" w:cs="宋体"/>
                <w:b w:val="0"/>
                <w:bCs/>
                <w:kern w:val="0"/>
                <w:highlight w:val="none"/>
              </w:rPr>
            </w:pPr>
            <w:r>
              <w:rPr>
                <w:rFonts w:hint="eastAsia" w:ascii="宋体" w:hAnsi="宋体" w:eastAsia="宋体" w:cs="宋体"/>
                <w:b w:val="0"/>
                <w:bCs/>
                <w:kern w:val="0"/>
                <w:highlight w:val="none"/>
              </w:rPr>
              <w:t>4</w:t>
            </w:r>
          </w:p>
        </w:tc>
        <w:tc>
          <w:tcPr>
            <w:tcW w:w="4627" w:type="pct"/>
            <w:shd w:val="clear" w:color="auto" w:fill="auto"/>
            <w:vAlign w:val="center"/>
          </w:tcPr>
          <w:p w14:paraId="5C4672D2">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施工中有计划组织职工学习有关文明施工的规定，争做文明人民；</w:t>
            </w:r>
          </w:p>
          <w:p w14:paraId="1030646A">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加强员工文明施工行为考评，并将考评结果纳为月度绩效考核指标。</w:t>
            </w:r>
          </w:p>
        </w:tc>
      </w:tr>
      <w:tr w14:paraId="2BD62DFF">
        <w:tblPrEx>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shd w:val="clear" w:color="auto" w:fill="auto"/>
          <w:tblCellMar>
            <w:top w:w="0" w:type="dxa"/>
            <w:left w:w="108" w:type="dxa"/>
            <w:bottom w:w="0" w:type="dxa"/>
            <w:right w:w="108" w:type="dxa"/>
          </w:tblCellMar>
        </w:tblPrEx>
        <w:trPr>
          <w:trHeight w:val="971" w:hRule="atLeast"/>
          <w:jc w:val="center"/>
        </w:trPr>
        <w:tc>
          <w:tcPr>
            <w:tcW w:w="372" w:type="pct"/>
            <w:shd w:val="clear" w:color="auto" w:fill="auto"/>
            <w:vAlign w:val="center"/>
          </w:tcPr>
          <w:p w14:paraId="437F0C91">
            <w:pPr>
              <w:pStyle w:val="56"/>
              <w:keepNext w:val="0"/>
              <w:keepLines w:val="0"/>
              <w:suppressLineNumbers w:val="0"/>
              <w:spacing w:before="0" w:beforeAutospacing="0" w:after="0" w:afterAutospacing="0"/>
              <w:ind w:left="0" w:right="0"/>
              <w:rPr>
                <w:rFonts w:hint="eastAsia" w:ascii="宋体" w:hAnsi="宋体" w:eastAsia="宋体" w:cs="宋体"/>
                <w:b w:val="0"/>
                <w:bCs/>
                <w:kern w:val="0"/>
                <w:highlight w:val="none"/>
              </w:rPr>
            </w:pPr>
            <w:r>
              <w:rPr>
                <w:rFonts w:hint="eastAsia" w:ascii="宋体" w:hAnsi="宋体" w:eastAsia="宋体" w:cs="宋体"/>
                <w:b w:val="0"/>
                <w:bCs/>
                <w:kern w:val="0"/>
                <w:highlight w:val="none"/>
              </w:rPr>
              <w:t>5</w:t>
            </w:r>
          </w:p>
        </w:tc>
        <w:tc>
          <w:tcPr>
            <w:tcW w:w="4627" w:type="pct"/>
            <w:shd w:val="clear" w:color="auto" w:fill="auto"/>
            <w:vAlign w:val="center"/>
          </w:tcPr>
          <w:p w14:paraId="3F710FCA">
            <w:pPr>
              <w:pStyle w:val="56"/>
              <w:keepNext w:val="0"/>
              <w:keepLines w:val="0"/>
              <w:suppressLineNumbers w:val="0"/>
              <w:spacing w:before="0" w:beforeAutospacing="0" w:after="0" w:afterAutospacing="0"/>
              <w:ind w:left="0" w:right="0"/>
              <w:jc w:val="left"/>
              <w:rPr>
                <w:rFonts w:hint="eastAsia" w:ascii="宋体" w:hAnsi="宋体" w:eastAsia="宋体" w:cs="宋体"/>
                <w:b w:val="0"/>
                <w:bCs/>
                <w:kern w:val="0"/>
                <w:highlight w:val="none"/>
              </w:rPr>
            </w:pPr>
            <w:r>
              <w:rPr>
                <w:rFonts w:hint="eastAsia" w:ascii="宋体" w:hAnsi="宋体" w:eastAsia="宋体" w:cs="宋体"/>
                <w:b w:val="0"/>
                <w:bCs/>
                <w:kern w:val="0"/>
                <w:highlight w:val="none"/>
              </w:rPr>
              <w:t>建立文明施工档案，做好文明施工宣传，对违反文明施工人员进行教育、纠偏、处罚，严重者清除出场；在文明施工中表现优秀的给予褒奖。</w:t>
            </w:r>
          </w:p>
        </w:tc>
      </w:tr>
    </w:tbl>
    <w:p w14:paraId="6117F6EF">
      <w:pPr>
        <w:pStyle w:val="5"/>
        <w:bidi w:val="0"/>
        <w:rPr>
          <w:rFonts w:hint="eastAsia" w:ascii="宋体" w:hAnsi="宋体" w:eastAsia="宋体" w:cs="宋体"/>
          <w:highlight w:val="none"/>
          <w:lang w:val="en-US" w:eastAsia="zh-CN"/>
        </w:rPr>
      </w:pPr>
      <w:r>
        <w:rPr>
          <w:rFonts w:hint="eastAsia" w:ascii="宋体" w:hAnsi="宋体" w:eastAsia="宋体" w:cs="宋体"/>
          <w:highlight w:val="none"/>
        </w:rPr>
        <w:t>卫生保洁文明施工措施</w:t>
      </w:r>
    </w:p>
    <w:p w14:paraId="68FF446F">
      <w:pPr>
        <w:bidi w:val="0"/>
        <w:ind w:firstLine="480" w:firstLineChars="20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eastAsia="zh-CN"/>
        </w:rPr>
        <w:t>、</w:t>
      </w:r>
      <w:r>
        <w:rPr>
          <w:rFonts w:hint="eastAsia" w:ascii="宋体" w:hAnsi="宋体" w:eastAsia="宋体" w:cs="宋体"/>
          <w:highlight w:val="none"/>
        </w:rPr>
        <w:t>保洁人员配置及职责</w:t>
      </w:r>
    </w:p>
    <w:p w14:paraId="3BB48293">
      <w:pPr>
        <w:ind w:firstLine="480"/>
        <w:rPr>
          <w:rFonts w:hint="eastAsia" w:ascii="宋体" w:hAnsi="宋体" w:eastAsia="宋体" w:cs="宋体"/>
          <w:highlight w:val="none"/>
        </w:rPr>
      </w:pPr>
      <w:r>
        <w:rPr>
          <w:rFonts w:hint="eastAsia" w:ascii="宋体" w:hAnsi="宋体" w:eastAsia="宋体" w:cs="宋体"/>
          <w:highlight w:val="none"/>
        </w:rPr>
        <w:t>（1）人员配置：建筑施工现场统一配备专职保洁员，明确卫生职责、健全卫生奖惩体系，实现建筑施工现场“制度健全、设施完备、人员到位、清扫及时”的目标</w:t>
      </w:r>
    </w:p>
    <w:p w14:paraId="7BB70EEC">
      <w:pPr>
        <w:ind w:firstLine="480"/>
        <w:rPr>
          <w:rFonts w:hint="eastAsia" w:ascii="宋体" w:hAnsi="宋体" w:eastAsia="宋体" w:cs="宋体"/>
          <w:highlight w:val="none"/>
        </w:rPr>
      </w:pPr>
      <w:r>
        <w:rPr>
          <w:rFonts w:hint="eastAsia" w:ascii="宋体" w:hAnsi="宋体" w:eastAsia="宋体" w:cs="宋体"/>
          <w:highlight w:val="none"/>
        </w:rPr>
        <w:t>（2）主要职责：</w:t>
      </w:r>
    </w:p>
    <w:p w14:paraId="7ED9124E">
      <w:pPr>
        <w:ind w:firstLine="480"/>
        <w:rPr>
          <w:rFonts w:hint="eastAsia" w:ascii="宋体" w:hAnsi="宋体" w:eastAsia="宋体" w:cs="宋体"/>
          <w:highlight w:val="none"/>
        </w:rPr>
      </w:pPr>
      <w:r>
        <w:rPr>
          <w:rFonts w:hint="eastAsia" w:ascii="宋体" w:hAnsi="宋体" w:eastAsia="宋体" w:cs="宋体"/>
          <w:highlight w:val="none"/>
        </w:rPr>
        <w:t>①确保施工现场围墙外5米内以及围墙内场地平整，无积水、无生活垃圾、杂草，废弃物；</w:t>
      </w:r>
    </w:p>
    <w:p w14:paraId="143BA7D4">
      <w:pPr>
        <w:ind w:firstLine="480"/>
        <w:rPr>
          <w:rFonts w:hint="eastAsia" w:ascii="宋体" w:hAnsi="宋体" w:eastAsia="宋体" w:cs="宋体"/>
          <w:highlight w:val="none"/>
        </w:rPr>
      </w:pPr>
      <w:r>
        <w:rPr>
          <w:rFonts w:hint="eastAsia" w:ascii="宋体" w:hAnsi="宋体" w:eastAsia="宋体" w:cs="宋体"/>
          <w:highlight w:val="none"/>
        </w:rPr>
        <w:t>②确保办公区走廊、楼梯、栏杆、楼道、痰盂、垃圾桶清洁，无灰尘、烟头、痰迹、无卫生死角；</w:t>
      </w:r>
    </w:p>
    <w:p w14:paraId="0AB14D9C">
      <w:pPr>
        <w:ind w:firstLine="480"/>
        <w:rPr>
          <w:rFonts w:hint="eastAsia" w:ascii="宋体" w:hAnsi="宋体" w:eastAsia="宋体" w:cs="宋体"/>
          <w:highlight w:val="none"/>
        </w:rPr>
      </w:pPr>
      <w:r>
        <w:rPr>
          <w:rFonts w:hint="eastAsia" w:ascii="宋体" w:hAnsi="宋体" w:eastAsia="宋体" w:cs="宋体"/>
          <w:highlight w:val="none"/>
        </w:rPr>
        <w:t>③确保生活区清洁卫生，生活垃圾日产日清；</w:t>
      </w:r>
    </w:p>
    <w:p w14:paraId="15098BEF">
      <w:pPr>
        <w:ind w:firstLine="480"/>
        <w:rPr>
          <w:rFonts w:hint="eastAsia" w:ascii="宋体" w:hAnsi="宋体" w:eastAsia="宋体" w:cs="宋体"/>
          <w:highlight w:val="none"/>
        </w:rPr>
      </w:pPr>
      <w:r>
        <w:rPr>
          <w:rFonts w:hint="eastAsia" w:ascii="宋体" w:hAnsi="宋体" w:eastAsia="宋体" w:cs="宋体"/>
          <w:highlight w:val="none"/>
        </w:rPr>
        <w:t>④确保施工区材料堆放整齐、粉状材料覆盖、建筑垃圾及时清理，无卫生死角；</w:t>
      </w:r>
    </w:p>
    <w:p w14:paraId="04ABD126">
      <w:pPr>
        <w:ind w:firstLine="480"/>
        <w:rPr>
          <w:rFonts w:hint="eastAsia" w:ascii="宋体" w:hAnsi="宋体" w:eastAsia="宋体" w:cs="宋体"/>
          <w:highlight w:val="none"/>
        </w:rPr>
      </w:pPr>
      <w:r>
        <w:rPr>
          <w:rFonts w:hint="eastAsia" w:ascii="宋体" w:hAnsi="宋体" w:eastAsia="宋体" w:cs="宋体"/>
          <w:highlight w:val="none"/>
        </w:rPr>
        <w:t>⑤确保宿舍周围干净整洁，无污水、生活垃圾、杂物、无卫生死角。宿舍内物品摆放整齐有序、干净整洁；</w:t>
      </w:r>
    </w:p>
    <w:p w14:paraId="39FC59C1">
      <w:pPr>
        <w:ind w:firstLine="480"/>
        <w:rPr>
          <w:rFonts w:hint="eastAsia" w:ascii="宋体" w:hAnsi="宋体" w:eastAsia="宋体" w:cs="宋体"/>
          <w:highlight w:val="none"/>
        </w:rPr>
      </w:pPr>
      <w:r>
        <w:rPr>
          <w:rFonts w:hint="eastAsia" w:ascii="宋体" w:hAnsi="宋体" w:eastAsia="宋体" w:cs="宋体"/>
          <w:highlight w:val="none"/>
        </w:rPr>
        <w:t>⑥确保食堂灶台、室内</w:t>
      </w:r>
      <w:r>
        <w:rPr>
          <w:rFonts w:hint="eastAsia" w:ascii="宋体" w:hAnsi="宋体" w:eastAsia="宋体" w:cs="宋体"/>
          <w:highlight w:val="none"/>
          <w:lang w:eastAsia="zh-CN"/>
        </w:rPr>
        <w:t>墙面</w:t>
      </w:r>
      <w:r>
        <w:rPr>
          <w:rFonts w:hint="eastAsia" w:ascii="宋体" w:hAnsi="宋体" w:eastAsia="宋体" w:cs="宋体"/>
          <w:highlight w:val="none"/>
        </w:rPr>
        <w:t>瓷砖无油垢，通风口、泔水桶加盖、密闭，泔水桶内外清洁，周边无杂物、积水，餐桌、椅保持整洁，地面保持清洁；</w:t>
      </w:r>
    </w:p>
    <w:p w14:paraId="7E9813C3">
      <w:pPr>
        <w:bidi w:val="0"/>
        <w:ind w:firstLine="480" w:firstLineChars="200"/>
        <w:rPr>
          <w:rFonts w:hint="eastAsia" w:ascii="宋体" w:hAnsi="宋体" w:eastAsia="宋体" w:cs="宋体"/>
          <w:highlight w:val="none"/>
        </w:rPr>
      </w:pPr>
      <w:r>
        <w:rPr>
          <w:rFonts w:hint="eastAsia" w:ascii="宋体" w:hAnsi="宋体" w:eastAsia="宋体" w:cs="宋体"/>
          <w:highlight w:val="none"/>
        </w:rPr>
        <w:t>⑦确保厕所洗手池、地面、便池清洁干净，定期消毒，喷洒药物，厕所内无积水、无尿碱、无污垢、无异味，无蚊蝇、无卫生死角。</w:t>
      </w:r>
    </w:p>
    <w:p w14:paraId="4671482E">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r>
        <w:rPr>
          <w:rFonts w:hint="eastAsia" w:ascii="宋体" w:hAnsi="宋体" w:eastAsia="宋体" w:cs="宋体"/>
          <w:highlight w:val="none"/>
        </w:rPr>
        <w:t>饮食卫生保障措施</w:t>
      </w:r>
    </w:p>
    <w:p w14:paraId="04A5512C">
      <w:pPr>
        <w:ind w:firstLine="480"/>
        <w:rPr>
          <w:rFonts w:hint="eastAsia" w:ascii="宋体" w:hAnsi="宋体" w:eastAsia="宋体" w:cs="宋体"/>
          <w:highlight w:val="none"/>
        </w:rPr>
      </w:pPr>
      <w:r>
        <w:rPr>
          <w:rFonts w:hint="eastAsia" w:ascii="宋体" w:hAnsi="宋体" w:eastAsia="宋体" w:cs="宋体"/>
          <w:highlight w:val="none"/>
        </w:rPr>
        <w:t>1）采购运输</w:t>
      </w:r>
    </w:p>
    <w:p w14:paraId="03A699AE">
      <w:pPr>
        <w:ind w:firstLine="480"/>
        <w:rPr>
          <w:rFonts w:hint="eastAsia" w:ascii="宋体" w:hAnsi="宋体" w:eastAsia="宋体" w:cs="宋体"/>
          <w:highlight w:val="none"/>
        </w:rPr>
      </w:pPr>
      <w:r>
        <w:rPr>
          <w:rFonts w:hint="eastAsia" w:ascii="宋体" w:hAnsi="宋体" w:eastAsia="宋体" w:cs="宋体"/>
          <w:highlight w:val="none"/>
        </w:rPr>
        <w:t>①采购外地食品应向供货单位索取县以上食品卫生监督机构开具的检验合格证或检验单。认为必要时，请当地食品卫生监督机构进行复验。</w:t>
      </w:r>
    </w:p>
    <w:p w14:paraId="49967986">
      <w:pPr>
        <w:ind w:firstLine="480"/>
        <w:rPr>
          <w:rFonts w:hint="eastAsia" w:ascii="宋体" w:hAnsi="宋体" w:eastAsia="宋体" w:cs="宋体"/>
          <w:highlight w:val="none"/>
        </w:rPr>
      </w:pPr>
      <w:r>
        <w:rPr>
          <w:rFonts w:hint="eastAsia" w:ascii="宋体" w:hAnsi="宋体" w:eastAsia="宋体" w:cs="宋体"/>
          <w:highlight w:val="none"/>
        </w:rPr>
        <w:t>②采购食品用的车辆，容器要清洁卫生，做到生熟分开，防尘、防蝇、防潮。</w:t>
      </w:r>
    </w:p>
    <w:p w14:paraId="70392C62">
      <w:pPr>
        <w:ind w:firstLine="480"/>
        <w:rPr>
          <w:rFonts w:hint="eastAsia" w:ascii="宋体" w:hAnsi="宋体" w:eastAsia="宋体" w:cs="宋体"/>
          <w:highlight w:val="none"/>
        </w:rPr>
      </w:pPr>
      <w:r>
        <w:rPr>
          <w:rFonts w:hint="eastAsia" w:ascii="宋体" w:hAnsi="宋体" w:eastAsia="宋体" w:cs="宋体"/>
          <w:highlight w:val="none"/>
        </w:rPr>
        <w:t>③不得采购制售腐败变质、霉变、生虫、有异味或《食品卫生法》规定禁止生产经营的食品。</w:t>
      </w:r>
    </w:p>
    <w:p w14:paraId="7A9AB432">
      <w:pPr>
        <w:ind w:firstLine="480"/>
        <w:rPr>
          <w:rFonts w:hint="eastAsia" w:ascii="宋体" w:hAnsi="宋体" w:eastAsia="宋体" w:cs="宋体"/>
          <w:highlight w:val="none"/>
        </w:rPr>
      </w:pPr>
      <w:r>
        <w:rPr>
          <w:rFonts w:hint="eastAsia" w:ascii="宋体" w:hAnsi="宋体" w:eastAsia="宋体" w:cs="宋体"/>
          <w:highlight w:val="none"/>
        </w:rPr>
        <w:t>2）储存、保管</w:t>
      </w:r>
    </w:p>
    <w:p w14:paraId="4F0E62E3">
      <w:pPr>
        <w:ind w:firstLine="480"/>
        <w:rPr>
          <w:rFonts w:hint="eastAsia" w:ascii="宋体" w:hAnsi="宋体" w:eastAsia="宋体" w:cs="宋体"/>
          <w:highlight w:val="none"/>
        </w:rPr>
      </w:pPr>
      <w:r>
        <w:rPr>
          <w:rFonts w:hint="eastAsia" w:ascii="宋体" w:hAnsi="宋体" w:eastAsia="宋体" w:cs="宋体"/>
          <w:highlight w:val="none"/>
        </w:rPr>
        <w:t>①根据《食品卫生法》的规定，食品不得接触有毒物，不洁物。建筑上用的防冻盐等有害物质，个施工单位要设专人专库存放，严禁防冻盐和食用盐同仓共贮，要建立健全管理制度。</w:t>
      </w:r>
    </w:p>
    <w:p w14:paraId="5F54CB46">
      <w:pPr>
        <w:ind w:firstLine="480"/>
        <w:rPr>
          <w:rFonts w:hint="eastAsia" w:ascii="宋体" w:hAnsi="宋体" w:eastAsia="宋体" w:cs="宋体"/>
          <w:highlight w:val="none"/>
        </w:rPr>
      </w:pPr>
      <w:r>
        <w:rPr>
          <w:rFonts w:hint="eastAsia" w:ascii="宋体" w:hAnsi="宋体" w:eastAsia="宋体" w:cs="宋体"/>
          <w:highlight w:val="none"/>
        </w:rPr>
        <w:t>②贮存食品要隔墙、离地，注意做到通风、防潮、防虫、防鼠，有条件的单位应设冷藏设备。主副食品、原料、半成品、成品要分开存放。</w:t>
      </w:r>
    </w:p>
    <w:p w14:paraId="39B0F2DF">
      <w:pPr>
        <w:ind w:firstLine="480"/>
        <w:rPr>
          <w:rFonts w:hint="eastAsia" w:ascii="宋体" w:hAnsi="宋体" w:eastAsia="宋体" w:cs="宋体"/>
          <w:highlight w:val="none"/>
        </w:rPr>
      </w:pPr>
      <w:r>
        <w:rPr>
          <w:rFonts w:hint="eastAsia" w:ascii="宋体" w:hAnsi="宋体" w:eastAsia="宋体" w:cs="宋体"/>
          <w:highlight w:val="none"/>
        </w:rPr>
        <w:t>③盛放酱油、盐等副食调料要做到容器物见本色，加盖存放，清洁卫生。</w:t>
      </w:r>
    </w:p>
    <w:p w14:paraId="69A3B0FE">
      <w:pPr>
        <w:ind w:firstLine="480"/>
        <w:rPr>
          <w:rFonts w:hint="eastAsia" w:ascii="宋体" w:hAnsi="宋体" w:eastAsia="宋体" w:cs="宋体"/>
          <w:highlight w:val="none"/>
        </w:rPr>
      </w:pPr>
      <w:r>
        <w:rPr>
          <w:rFonts w:hint="eastAsia" w:ascii="宋体" w:hAnsi="宋体" w:eastAsia="宋体" w:cs="宋体"/>
          <w:highlight w:val="none"/>
        </w:rPr>
        <w:t>3）制售过程卫生</w:t>
      </w:r>
    </w:p>
    <w:p w14:paraId="00CE1718">
      <w:pPr>
        <w:ind w:firstLine="480"/>
        <w:rPr>
          <w:rFonts w:hint="eastAsia" w:ascii="宋体" w:hAnsi="宋体" w:eastAsia="宋体" w:cs="宋体"/>
          <w:highlight w:val="none"/>
        </w:rPr>
      </w:pPr>
      <w:r>
        <w:rPr>
          <w:rFonts w:hint="eastAsia" w:ascii="宋体" w:hAnsi="宋体" w:eastAsia="宋体" w:cs="宋体"/>
          <w:highlight w:val="none"/>
        </w:rPr>
        <w:t>①制作食品的原料要新鲜卫生，认真做到不用、不卖腐败变质的食品，各种食品要烧熟煮透，以免食物中毒的发生。</w:t>
      </w:r>
    </w:p>
    <w:p w14:paraId="7B874DD4">
      <w:pPr>
        <w:ind w:firstLine="480"/>
        <w:rPr>
          <w:rFonts w:hint="eastAsia" w:ascii="宋体" w:hAnsi="宋体" w:eastAsia="宋体" w:cs="宋体"/>
          <w:highlight w:val="none"/>
        </w:rPr>
      </w:pPr>
      <w:r>
        <w:rPr>
          <w:rFonts w:hint="eastAsia" w:ascii="宋体" w:hAnsi="宋体" w:eastAsia="宋体" w:cs="宋体"/>
          <w:highlight w:val="none"/>
        </w:rPr>
        <w:t>②制售过程及刀、墩、案板、盆、筐、水池子、抹布和冰箱等工具要严格做到生熟分开，售饭时要用工具销售直接入口食品，饭票要消毒。</w:t>
      </w:r>
    </w:p>
    <w:p w14:paraId="0B1D9701">
      <w:pPr>
        <w:ind w:firstLine="480"/>
        <w:rPr>
          <w:rFonts w:hint="eastAsia" w:ascii="宋体" w:hAnsi="宋体" w:eastAsia="宋体" w:cs="宋体"/>
          <w:highlight w:val="none"/>
        </w:rPr>
      </w:pPr>
      <w:r>
        <w:rPr>
          <w:rFonts w:hint="eastAsia" w:ascii="宋体" w:hAnsi="宋体" w:eastAsia="宋体" w:cs="宋体"/>
          <w:highlight w:val="none"/>
        </w:rPr>
        <w:t>③生吃凉拌菜必须洗净消毒，剩饭、菜要回锅彻底加热再食用，一旦发现变质，不得食用。</w:t>
      </w:r>
    </w:p>
    <w:p w14:paraId="66433573">
      <w:pPr>
        <w:ind w:firstLine="480"/>
        <w:rPr>
          <w:rFonts w:hint="eastAsia" w:ascii="宋体" w:hAnsi="宋体" w:eastAsia="宋体" w:cs="宋体"/>
          <w:highlight w:val="none"/>
        </w:rPr>
      </w:pPr>
      <w:r>
        <w:rPr>
          <w:rFonts w:hint="eastAsia" w:ascii="宋体" w:hAnsi="宋体" w:eastAsia="宋体" w:cs="宋体"/>
          <w:highlight w:val="none"/>
        </w:rPr>
        <w:t>④公共</w:t>
      </w:r>
      <w:r>
        <w:rPr>
          <w:rFonts w:hint="eastAsia" w:ascii="宋体" w:hAnsi="宋体" w:eastAsia="宋体" w:cs="宋体"/>
          <w:highlight w:val="none"/>
          <w:lang w:eastAsia="zh-CN"/>
        </w:rPr>
        <w:t>餐具</w:t>
      </w:r>
      <w:r>
        <w:rPr>
          <w:rFonts w:hint="eastAsia" w:ascii="宋体" w:hAnsi="宋体" w:eastAsia="宋体" w:cs="宋体"/>
          <w:highlight w:val="none"/>
        </w:rPr>
        <w:t>要消毒洗净，应有上下水洗手和餐具洗涤设备。</w:t>
      </w:r>
    </w:p>
    <w:p w14:paraId="48A30EC2">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rPr>
        <w:t>个人卫生</w:t>
      </w:r>
    </w:p>
    <w:p w14:paraId="25F6F840">
      <w:pPr>
        <w:ind w:firstLine="480"/>
        <w:rPr>
          <w:rFonts w:hint="eastAsia" w:ascii="宋体" w:hAnsi="宋体" w:eastAsia="宋体" w:cs="宋体"/>
          <w:highlight w:val="none"/>
        </w:rPr>
      </w:pPr>
      <w:r>
        <w:rPr>
          <w:rFonts w:hint="eastAsia" w:ascii="宋体" w:hAnsi="宋体" w:eastAsia="宋体" w:cs="宋体"/>
          <w:highlight w:val="none"/>
        </w:rPr>
        <w:t>①炊管人员每年要进行一次健康检查，持有健康合格证及卫生知识培训后，方可上岗。凡患有痢疾、肝炎、伤寒、活动性肺结核、渗出性皮肤病及其它有碍食品卫生的疾病，不得参加接触直接入口食品的制售及食品洗涤工作。</w:t>
      </w:r>
    </w:p>
    <w:p w14:paraId="533CFE22">
      <w:pPr>
        <w:ind w:firstLine="480"/>
        <w:rPr>
          <w:rFonts w:hint="eastAsia" w:ascii="宋体" w:hAnsi="宋体" w:eastAsia="宋体" w:cs="宋体"/>
          <w:highlight w:val="none"/>
        </w:rPr>
      </w:pPr>
      <w:r>
        <w:rPr>
          <w:rFonts w:hint="eastAsia" w:ascii="宋体" w:hAnsi="宋体" w:eastAsia="宋体" w:cs="宋体"/>
          <w:highlight w:val="none"/>
        </w:rPr>
        <w:t>②炊管人员操作时必须穿戴好工作服、发帽，并保持清洁整齐，做到文明生产，不赤背，不光脚，禁止随地吐痰。</w:t>
      </w:r>
    </w:p>
    <w:p w14:paraId="2A98066F">
      <w:pPr>
        <w:ind w:firstLine="480"/>
        <w:rPr>
          <w:rFonts w:hint="eastAsia" w:ascii="宋体" w:hAnsi="宋体" w:eastAsia="宋体" w:cs="宋体"/>
          <w:highlight w:val="none"/>
        </w:rPr>
      </w:pPr>
      <w:r>
        <w:rPr>
          <w:rFonts w:hint="eastAsia" w:ascii="宋体" w:hAnsi="宋体" w:eastAsia="宋体" w:cs="宋体"/>
          <w:highlight w:val="none"/>
        </w:rPr>
        <w:t>③炊管人员必须做好个人卫生，要坚持做到四勤（勤理发、勤洗澡、勤换衣、勤剪指甲）。</w:t>
      </w:r>
    </w:p>
    <w:p w14:paraId="687FF1FB">
      <w:pPr>
        <w:pStyle w:val="5"/>
        <w:bidi w:val="0"/>
        <w:rPr>
          <w:rFonts w:hint="eastAsia" w:ascii="宋体" w:hAnsi="宋体" w:eastAsia="宋体" w:cs="宋体"/>
          <w:highlight w:val="none"/>
          <w:lang w:val="en-US" w:eastAsia="zh-CN"/>
        </w:rPr>
      </w:pPr>
      <w:r>
        <w:rPr>
          <w:rFonts w:hint="eastAsia" w:ascii="宋体" w:hAnsi="宋体" w:eastAsia="宋体" w:cs="宋体"/>
          <w:highlight w:val="none"/>
        </w:rPr>
        <w:t>便民措施</w:t>
      </w:r>
    </w:p>
    <w:p w14:paraId="22553152">
      <w:pPr>
        <w:pStyle w:val="12"/>
        <w:rPr>
          <w:rFonts w:hint="eastAsia" w:ascii="宋体" w:hAnsi="宋体" w:eastAsia="宋体" w:cs="宋体"/>
          <w:highlight w:val="none"/>
          <w:lang w:val="en-US" w:eastAsia="zh-CN"/>
        </w:rPr>
      </w:pPr>
      <w:r>
        <w:rPr>
          <w:rFonts w:hint="eastAsia" w:ascii="宋体" w:hAnsi="宋体" w:eastAsia="宋体" w:cs="宋体"/>
          <w:highlight w:val="none"/>
        </w:rPr>
        <w:t>在本工程的建设中我</w:t>
      </w:r>
      <w:r>
        <w:rPr>
          <w:rFonts w:hint="eastAsia" w:ascii="宋体" w:hAnsi="宋体" w:eastAsia="宋体" w:cs="宋体"/>
          <w:highlight w:val="none"/>
          <w:lang w:val="en-US" w:eastAsia="zh-CN"/>
        </w:rPr>
        <w:t>部</w:t>
      </w:r>
      <w:r>
        <w:rPr>
          <w:rFonts w:hint="eastAsia" w:ascii="宋体" w:hAnsi="宋体" w:eastAsia="宋体" w:cs="宋体"/>
          <w:highlight w:val="none"/>
        </w:rPr>
        <w:t>将自觉遵守百姓的监督</w:t>
      </w:r>
      <w:r>
        <w:rPr>
          <w:rFonts w:hint="eastAsia" w:ascii="宋体" w:hAnsi="宋体" w:eastAsia="宋体" w:cs="宋体"/>
          <w:highlight w:val="none"/>
          <w:lang w:eastAsia="zh-CN"/>
        </w:rPr>
        <w:t>，</w:t>
      </w:r>
      <w:r>
        <w:rPr>
          <w:rFonts w:hint="eastAsia" w:ascii="宋体" w:hAnsi="宋体" w:eastAsia="宋体" w:cs="宋体"/>
          <w:highlight w:val="none"/>
        </w:rPr>
        <w:t>加强与百姓的联系是确保工程施工顺利进行的关键因素；同时也是文明施工，提升</w:t>
      </w:r>
      <w:r>
        <w:rPr>
          <w:rFonts w:hint="eastAsia" w:ascii="宋体" w:hAnsi="宋体" w:eastAsia="宋体" w:cs="宋体"/>
          <w:highlight w:val="none"/>
          <w:lang w:val="en-US" w:eastAsia="zh-CN"/>
        </w:rPr>
        <w:t>项目</w:t>
      </w:r>
      <w:r>
        <w:rPr>
          <w:rFonts w:hint="eastAsia" w:ascii="宋体" w:hAnsi="宋体" w:eastAsia="宋体" w:cs="宋体"/>
          <w:highlight w:val="none"/>
        </w:rPr>
        <w:t>形象的关键。</w:t>
      </w:r>
    </w:p>
    <w:p w14:paraId="52F040A1">
      <w:pPr>
        <w:bidi w:val="0"/>
        <w:ind w:firstLine="480" w:firstLineChars="20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eastAsia="zh-CN"/>
        </w:rPr>
        <w:t>、</w:t>
      </w:r>
      <w:r>
        <w:rPr>
          <w:rFonts w:hint="eastAsia" w:ascii="宋体" w:hAnsi="宋体" w:eastAsia="宋体" w:cs="宋体"/>
          <w:highlight w:val="none"/>
        </w:rPr>
        <w:t>与周边单位、群众的协调措施</w:t>
      </w:r>
    </w:p>
    <w:p w14:paraId="37CE0761">
      <w:pPr>
        <w:ind w:firstLine="480"/>
        <w:rPr>
          <w:rFonts w:hint="eastAsia" w:ascii="宋体" w:hAnsi="宋体" w:eastAsia="宋体" w:cs="宋体"/>
          <w:highlight w:val="none"/>
        </w:rPr>
      </w:pPr>
      <w:r>
        <w:rPr>
          <w:rFonts w:hint="eastAsia" w:ascii="宋体" w:hAnsi="宋体" w:eastAsia="宋体" w:cs="宋体"/>
          <w:highlight w:val="none"/>
        </w:rPr>
        <w:t>（1）客观正确对待地方政府和群众的要求；</w:t>
      </w:r>
    </w:p>
    <w:p w14:paraId="3FD0E0F9">
      <w:pPr>
        <w:ind w:firstLine="480"/>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2</w:t>
      </w:r>
      <w:r>
        <w:rPr>
          <w:rFonts w:hint="eastAsia" w:ascii="宋体" w:hAnsi="宋体" w:eastAsia="宋体" w:cs="宋体"/>
          <w:highlight w:val="none"/>
        </w:rPr>
        <w:t>）尊重当地风俗习惯。要入乡随俗，在施工前要派人搞好社情、乡俗调查，主动搞好与地方的关系，增进团结。</w:t>
      </w:r>
    </w:p>
    <w:p w14:paraId="63380D21">
      <w:pPr>
        <w:ind w:firstLine="480"/>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3</w:t>
      </w:r>
      <w:r>
        <w:rPr>
          <w:rFonts w:hint="eastAsia" w:ascii="宋体" w:hAnsi="宋体" w:eastAsia="宋体" w:cs="宋体"/>
          <w:highlight w:val="none"/>
        </w:rPr>
        <w:t>）关心当地群众利益。关心体谅当地群众，我</w:t>
      </w:r>
      <w:r>
        <w:rPr>
          <w:rFonts w:hint="eastAsia" w:ascii="宋体" w:hAnsi="宋体" w:eastAsia="宋体" w:cs="宋体"/>
          <w:highlight w:val="none"/>
          <w:lang w:val="en-US" w:eastAsia="zh-CN"/>
        </w:rPr>
        <w:t>部</w:t>
      </w:r>
      <w:r>
        <w:rPr>
          <w:rFonts w:hint="eastAsia" w:ascii="宋体" w:hAnsi="宋体" w:eastAsia="宋体" w:cs="宋体"/>
          <w:highlight w:val="none"/>
        </w:rPr>
        <w:t>能办到的尽量办；对办不到的事情和无法满足的要求在说明情况的同时，要通过一些必要的形式，利用乡镇、村委和执法人员，沟通和当地群众的关系，创造相互理解的气氛。</w:t>
      </w:r>
    </w:p>
    <w:p w14:paraId="51316976">
      <w:pPr>
        <w:ind w:firstLine="480"/>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4</w:t>
      </w:r>
      <w:r>
        <w:rPr>
          <w:rFonts w:hint="eastAsia" w:ascii="宋体" w:hAnsi="宋体" w:eastAsia="宋体" w:cs="宋体"/>
          <w:highlight w:val="none"/>
        </w:rPr>
        <w:t>）尽量减少施工扰民。在项目</w:t>
      </w:r>
      <w:r>
        <w:rPr>
          <w:rFonts w:hint="eastAsia" w:ascii="宋体" w:hAnsi="宋体" w:eastAsia="宋体" w:cs="宋体"/>
          <w:highlight w:val="none"/>
          <w:lang w:val="en-US" w:eastAsia="zh-CN"/>
        </w:rPr>
        <w:t>施工</w:t>
      </w:r>
      <w:r>
        <w:rPr>
          <w:rFonts w:hint="eastAsia" w:ascii="宋体" w:hAnsi="宋体" w:eastAsia="宋体" w:cs="宋体"/>
          <w:highlight w:val="none"/>
        </w:rPr>
        <w:t>中，要充分考虑到扰民问题，从源头上减少施工扰民。</w:t>
      </w:r>
    </w:p>
    <w:p w14:paraId="26E0F744">
      <w:pPr>
        <w:ind w:firstLine="480"/>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5</w:t>
      </w:r>
      <w:r>
        <w:rPr>
          <w:rFonts w:hint="eastAsia" w:ascii="宋体" w:hAnsi="宋体" w:eastAsia="宋体" w:cs="宋体"/>
          <w:highlight w:val="none"/>
        </w:rPr>
        <w:t>）尊重、相信、依靠政府。要掌握当地政策规定，主动服从各级政府的指导，理解地方政府工作，坚持经常性的走访，建立良好的往来关系；遇事多同政府联系协商，相信和依靠政府帮助，协调解决矛盾；多提建议，多反映情况，促使政府部门、当地村委主动介入其中，针对难点解决问题，促其目标一致，才能顺利实现施工单位计划。</w:t>
      </w:r>
    </w:p>
    <w:p w14:paraId="27FA168A">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方便居民措施</w:t>
      </w:r>
    </w:p>
    <w:p w14:paraId="1D032DF1">
      <w:pPr>
        <w:ind w:firstLine="480"/>
        <w:rPr>
          <w:rFonts w:hint="eastAsia" w:ascii="宋体" w:hAnsi="宋体" w:eastAsia="宋体" w:cs="宋体"/>
          <w:highlight w:val="none"/>
        </w:rPr>
      </w:pPr>
      <w:r>
        <w:rPr>
          <w:rFonts w:hint="eastAsia" w:ascii="宋体" w:hAnsi="宋体" w:eastAsia="宋体" w:cs="宋体"/>
          <w:highlight w:val="none"/>
        </w:rPr>
        <w:t>（1）安民宣传。施工前3至5天搞好安民宣传：公布工程性质、施工工期、安全措施，发放宣传材料，向周围的居民做好解释工作。</w:t>
      </w:r>
    </w:p>
    <w:p w14:paraId="21C2AAFF">
      <w:pPr>
        <w:ind w:firstLine="480"/>
        <w:rPr>
          <w:rFonts w:hint="eastAsia" w:ascii="宋体" w:hAnsi="宋体" w:eastAsia="宋体" w:cs="宋体"/>
          <w:highlight w:val="none"/>
        </w:rPr>
      </w:pPr>
      <w:r>
        <w:rPr>
          <w:rFonts w:hint="eastAsia" w:ascii="宋体" w:hAnsi="宋体" w:eastAsia="宋体" w:cs="宋体"/>
          <w:highlight w:val="none"/>
        </w:rPr>
        <w:t>（2）亮牌施工。进行施工位置要设宣传牌，公示本项目部工地负责人、开工竣工日期、联系电话等，方便群众有扰民现象便于联系。</w:t>
      </w:r>
    </w:p>
    <w:p w14:paraId="3BA80CD9">
      <w:pPr>
        <w:ind w:firstLine="480"/>
        <w:rPr>
          <w:rFonts w:hint="eastAsia" w:ascii="宋体" w:hAnsi="宋体" w:eastAsia="宋体" w:cs="宋体"/>
          <w:highlight w:val="none"/>
        </w:rPr>
      </w:pPr>
      <w:r>
        <w:rPr>
          <w:rFonts w:hint="eastAsia" w:ascii="宋体" w:hAnsi="宋体" w:eastAsia="宋体" w:cs="宋体"/>
          <w:highlight w:val="none"/>
        </w:rPr>
        <w:t>（3）净场作业。工地渣土、淤泥随挖随运，现场用料随用随进，不得在施工现场搅拌灰土、水泥，以减少扬尘。</w:t>
      </w:r>
    </w:p>
    <w:p w14:paraId="127B5D5D">
      <w:pPr>
        <w:ind w:firstLine="480"/>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4</w:t>
      </w:r>
      <w:r>
        <w:rPr>
          <w:rFonts w:hint="eastAsia" w:ascii="宋体" w:hAnsi="宋体" w:eastAsia="宋体" w:cs="宋体"/>
          <w:highlight w:val="none"/>
        </w:rPr>
        <w:t>）规范占用。施工现场临时占用及临时驻处设活动板房和简易卫生设施，现场堆放做到条块状物料成垛、粉屑状物料成方、机具整齐有序。</w:t>
      </w:r>
    </w:p>
    <w:p w14:paraId="2DA9BCEC">
      <w:pPr>
        <w:ind w:firstLine="480"/>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5</w:t>
      </w:r>
      <w:r>
        <w:rPr>
          <w:rFonts w:hint="eastAsia" w:ascii="宋体" w:hAnsi="宋体" w:eastAsia="宋体" w:cs="宋体"/>
          <w:highlight w:val="none"/>
        </w:rPr>
        <w:t>）准时竣工。严格按审批时限完工，竣工后3天内清理完现场。</w:t>
      </w:r>
    </w:p>
    <w:p w14:paraId="2A52C4C7">
      <w:pPr>
        <w:ind w:firstLine="480"/>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6</w:t>
      </w:r>
      <w:r>
        <w:rPr>
          <w:rFonts w:hint="eastAsia" w:ascii="宋体" w:hAnsi="宋体" w:eastAsia="宋体" w:cs="宋体"/>
          <w:highlight w:val="none"/>
        </w:rPr>
        <w:t>）当工程施工可能会对道路交通产生干扰时，在醒目位置设警告信号。</w:t>
      </w:r>
    </w:p>
    <w:p w14:paraId="7749730F">
      <w:pPr>
        <w:ind w:firstLine="480"/>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7</w:t>
      </w:r>
      <w:r>
        <w:rPr>
          <w:rFonts w:hint="eastAsia" w:ascii="宋体" w:hAnsi="宋体" w:eastAsia="宋体" w:cs="宋体"/>
          <w:highlight w:val="none"/>
        </w:rPr>
        <w:t>）施工区域架设临时照明线路，照明灯具使用磨砂玻璃罩，沟槽基坑旁边设置警示标志，保证居民出行安全。</w:t>
      </w:r>
    </w:p>
    <w:p w14:paraId="0A8AC29F">
      <w:pPr>
        <w:bidi w:val="0"/>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减少扰民措施</w:t>
      </w:r>
    </w:p>
    <w:p w14:paraId="49CC8836">
      <w:pPr>
        <w:ind w:firstLine="480"/>
        <w:rPr>
          <w:rFonts w:hint="eastAsia" w:ascii="宋体" w:hAnsi="宋体" w:eastAsia="宋体" w:cs="宋体"/>
          <w:highlight w:val="none"/>
        </w:rPr>
      </w:pPr>
      <w:r>
        <w:rPr>
          <w:rFonts w:hint="eastAsia" w:ascii="宋体" w:hAnsi="宋体" w:eastAsia="宋体" w:cs="宋体"/>
          <w:highlight w:val="none"/>
        </w:rPr>
        <w:t>（1）从声源上控制噪声是防止噪声扰民的最根本的措施。控制使用强噪声、强振动的施工机具，尽量采用低噪声的设备和工艺代替高噪声的设备和工艺，如低噪声振捣器、风机、电动空压机等。</w:t>
      </w:r>
    </w:p>
    <w:p w14:paraId="055BE82B">
      <w:pPr>
        <w:ind w:firstLine="480"/>
        <w:rPr>
          <w:rFonts w:hint="eastAsia" w:ascii="宋体" w:hAnsi="宋体" w:eastAsia="宋体" w:cs="宋体"/>
          <w:highlight w:val="none"/>
        </w:rPr>
      </w:pPr>
      <w:r>
        <w:rPr>
          <w:rFonts w:hint="eastAsia" w:ascii="宋体" w:hAnsi="宋体" w:eastAsia="宋体" w:cs="宋体"/>
          <w:highlight w:val="none"/>
        </w:rPr>
        <w:t>（2）严格控制人为噪声：进入施工现场不得高声喊叫、无故甩打模板、乱吹哨，最大限度地减少扰民噪音。</w:t>
      </w:r>
    </w:p>
    <w:p w14:paraId="314AB0B4">
      <w:pPr>
        <w:ind w:firstLine="480"/>
        <w:rPr>
          <w:rFonts w:hint="eastAsia" w:ascii="宋体" w:hAnsi="宋体" w:eastAsia="宋体" w:cs="宋体"/>
          <w:highlight w:val="none"/>
        </w:rPr>
      </w:pPr>
      <w:r>
        <w:rPr>
          <w:rFonts w:hint="eastAsia" w:ascii="宋体" w:hAnsi="宋体" w:eastAsia="宋体" w:cs="宋体"/>
          <w:highlight w:val="none"/>
        </w:rPr>
        <w:t>（3）施工中尽可能避免晚10点到次日早6点之间施工，确系特殊情况必须昼夜施工时将尽量采取降低噪声措施，如确因工期或施工技术要求需要夜间施工的，会同建设单位办理有关许可手续，并告知周边单位、居民，求得群众谅解，并建立友好的睦邻关系。</w:t>
      </w:r>
    </w:p>
    <w:p w14:paraId="6EEF02FA">
      <w:pPr>
        <w:ind w:firstLine="480"/>
        <w:rPr>
          <w:rFonts w:hint="eastAsia" w:ascii="宋体" w:hAnsi="宋体" w:eastAsia="宋体" w:cs="宋体"/>
          <w:highlight w:val="none"/>
        </w:rPr>
      </w:pPr>
      <w:r>
        <w:rPr>
          <w:rFonts w:hint="eastAsia" w:ascii="宋体" w:hAnsi="宋体" w:eastAsia="宋体" w:cs="宋体"/>
          <w:highlight w:val="none"/>
        </w:rPr>
        <w:t>（4）施工作业中环保小组有专人负责对沿线进行保洁，运输车辆必须按规定的行驶路线运输作业，路过居民区时应慢速行驶，尽可能的避免震动和噪声，车辆上面要进行覆盖，保持清洁上路，符合不撒、不漏标准，轮胎要清扫冲洗干净。对沿线道路进行洒水，防止尘土飞扬造成对周围环境的污染。</w:t>
      </w:r>
    </w:p>
    <w:p w14:paraId="11B5412A">
      <w:pPr>
        <w:ind w:firstLine="480" w:firstLineChars="200"/>
        <w:rPr>
          <w:rFonts w:hint="eastAsia" w:ascii="宋体" w:hAnsi="宋体" w:eastAsia="宋体" w:cs="宋体"/>
          <w:highlight w:val="none"/>
        </w:rPr>
      </w:pPr>
      <w:r>
        <w:rPr>
          <w:rFonts w:hint="eastAsia" w:ascii="宋体" w:hAnsi="宋体" w:eastAsia="宋体" w:cs="宋体"/>
          <w:highlight w:val="none"/>
        </w:rPr>
        <w:t>（5）对发电机等机械要采取简易的防噪措施。机动车在工地行驶通过限速等措施避免产生灰尘，通过经常洒水减少扬尘。现场易生粉尘的细料存放及运输要加以遮盖。</w:t>
      </w:r>
    </w:p>
    <w:p w14:paraId="6EF3FD1A">
      <w:pPr>
        <w:pStyle w:val="4"/>
        <w:tabs>
          <w:tab w:val="left" w:pos="0"/>
          <w:tab w:val="left" w:pos="630"/>
        </w:tabs>
        <w:bidi w:val="0"/>
        <w:rPr>
          <w:rFonts w:hint="eastAsia" w:ascii="宋体" w:hAnsi="宋体" w:eastAsia="宋体" w:cs="宋体"/>
          <w:lang w:val="en-US" w:eastAsia="zh-CN"/>
        </w:rPr>
      </w:pPr>
      <w:r>
        <w:rPr>
          <w:rFonts w:hint="eastAsia" w:ascii="宋体" w:hAnsi="宋体" w:eastAsia="宋体" w:cs="宋体"/>
          <w:lang w:val="en-US" w:eastAsia="zh-CN"/>
        </w:rPr>
        <w:t>7S管理</w:t>
      </w:r>
    </w:p>
    <w:p w14:paraId="4F34A68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开展“7S”管理活动进行项目质量、安全文明施工的有效控制，总结实践经验，提出创新思路，为项目质量、安全文明施工系统化、标准化的管理服务，提升企业形象与社会效益。</w:t>
      </w:r>
    </w:p>
    <w:p w14:paraId="3EF2EC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7S管理要素的实施要求：</w:t>
      </w:r>
    </w:p>
    <w:p w14:paraId="42C9024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整理</w:t>
      </w:r>
    </w:p>
    <w:p w14:paraId="0AD9242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整理规则：对施工现场摆放的物品、材料及机械进行分类，从而区分出使用等级。不常用的物品、材料及机械应及时清理出现场或划定区域临时放置。</w:t>
      </w:r>
    </w:p>
    <w:p w14:paraId="06C108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整顿</w:t>
      </w:r>
    </w:p>
    <w:p w14:paraId="27A4B6E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整顿规则：将施工现场要保留下的物品、材料及机械按照“三定原则”进行科学合理的布置和摆放，并设置明确、有效的标识。（三定原则。定物：就是选择需要的物品、材料保留下来，而将大部分不需要的物品、材料转入库房或进行废弃处理。定位：根据物品、材料的使用频率和使用便利性，决定物品、材料所放置的场地。定量：确定保留在施工场地或其附近的物品、材料的数量。）</w:t>
      </w:r>
    </w:p>
    <w:p w14:paraId="412426A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3、清扫</w:t>
      </w:r>
    </w:p>
    <w:p w14:paraId="7A2800A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清扫规则：对施工现场进行彻底的清扫，杜绝污染源，及时维修异常的设备将不需要的物品、材料清除掉，或者标识出来放在仓库中。每日清扫时间不少于5~15分钟，每2周至少安排一个清扫日，清扫1小时。</w:t>
      </w:r>
    </w:p>
    <w:p w14:paraId="50E50C5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4、清洁</w:t>
      </w:r>
    </w:p>
    <w:p w14:paraId="43452AE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清洁规则：在整理、整顿、清扫之后进行认真的维护，重复不间断地保持整理、整顿和清扫，使其制度化。</w:t>
      </w:r>
    </w:p>
    <w:p w14:paraId="4C279FF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5、安全</w:t>
      </w:r>
    </w:p>
    <w:p w14:paraId="7563E5F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安全规则：将工作目标充分分解到各部门、各班组、各个人，加强施工组织设计、文明施工、定期安全检查、抽查、安全教育、生产安全施工应急预案的演练、严格落实红袖章三级管控制度和班前五分钟教育培训。</w:t>
      </w:r>
    </w:p>
    <w:p w14:paraId="5020933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6、节约</w:t>
      </w:r>
    </w:p>
    <w:p w14:paraId="03BD7FB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节约规则：提倡节能减排，绿色建筑，推广使用节能材料、设备设施与有利于节能的新工艺、新技术的应用。</w:t>
      </w:r>
    </w:p>
    <w:p w14:paraId="4AC37BE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7、素养</w:t>
      </w:r>
    </w:p>
    <w:p w14:paraId="573921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素养规则：通过持续开展以上6S的活动，让每个员工都自觉遵守现场文明施工相关管理要求，养成良好的工作习惯、安全意识和爱岗敬业的职业道德。</w:t>
      </w:r>
    </w:p>
    <w:p w14:paraId="1A78E0BA">
      <w:pPr>
        <w:bidi w:val="0"/>
        <w:rPr>
          <w:rFonts w:hint="eastAsia"/>
          <w:lang w:val="en-US" w:eastAsia="zh-CN"/>
        </w:rPr>
      </w:pPr>
      <w:r>
        <w:rPr>
          <w:rFonts w:hint="eastAsia"/>
          <w:lang w:val="en-US" w:eastAsia="zh-CN"/>
        </w:rPr>
        <w:br w:type="page"/>
      </w:r>
    </w:p>
    <w:p w14:paraId="1D89DB5C">
      <w:pPr>
        <w:pStyle w:val="2"/>
        <w:tabs>
          <w:tab w:val="left" w:pos="0"/>
        </w:tabs>
        <w:bidi w:val="0"/>
        <w:ind w:left="432" w:leftChars="0" w:hanging="432" w:firstLineChars="0"/>
        <w:rPr>
          <w:rFonts w:hint="eastAsia" w:ascii="Times New Roman" w:hAnsi="Times New Roman" w:eastAsia="宋体" w:cs="Times New Roman"/>
          <w:b/>
          <w:caps w:val="0"/>
          <w:smallCaps w:val="0"/>
          <w:color w:val="000000" w:themeColor="text1"/>
          <w:kern w:val="44"/>
          <w:sz w:val="30"/>
          <w:szCs w:val="22"/>
          <w:highlight w:val="none"/>
          <w:lang w:val="en-US" w:eastAsia="zh-CN" w:bidi="ar-SA"/>
          <w14:textFill>
            <w14:solidFill>
              <w14:schemeClr w14:val="tx1"/>
            </w14:solidFill>
          </w14:textFill>
        </w:rPr>
      </w:pPr>
      <w:bookmarkStart w:id="280" w:name="_Toc8580"/>
      <w:r>
        <w:rPr>
          <w:rFonts w:hint="eastAsia" w:ascii="Times New Roman" w:hAnsi="Times New Roman" w:cs="Times New Roman"/>
          <w:b/>
          <w:caps w:val="0"/>
          <w:smallCaps w:val="0"/>
          <w:color w:val="000000" w:themeColor="text1"/>
          <w:kern w:val="44"/>
          <w:sz w:val="30"/>
          <w:szCs w:val="22"/>
          <w:highlight w:val="none"/>
          <w:lang w:val="en-US" w:eastAsia="zh-CN" w:bidi="ar-SA"/>
          <w14:textFill>
            <w14:solidFill>
              <w14:schemeClr w14:val="tx1"/>
            </w14:solidFill>
          </w14:textFill>
        </w:rPr>
        <w:t>施工管理及作业人员配备和分工</w:t>
      </w:r>
      <w:bookmarkEnd w:id="280"/>
    </w:p>
    <w:p w14:paraId="2B112703">
      <w:pPr>
        <w:pStyle w:val="3"/>
        <w:tabs>
          <w:tab w:val="left" w:pos="240"/>
        </w:tabs>
        <w:bidi w:val="0"/>
        <w:rPr>
          <w:rFonts w:hint="eastAsia" w:ascii="宋体" w:hAnsi="宋体" w:eastAsia="宋体" w:cs="宋体"/>
          <w:highlight w:val="none"/>
          <w:lang w:val="en-US" w:eastAsia="zh-CN"/>
        </w:rPr>
      </w:pPr>
      <w:bookmarkStart w:id="281" w:name="_Toc31469"/>
      <w:bookmarkStart w:id="282" w:name="_Toc11483"/>
      <w:r>
        <w:rPr>
          <w:rFonts w:hint="eastAsia" w:ascii="宋体" w:hAnsi="宋体" w:eastAsia="宋体" w:cs="宋体"/>
          <w:highlight w:val="none"/>
          <w:lang w:val="en-US" w:eastAsia="zh-CN"/>
        </w:rPr>
        <w:t>施工组织机构</w:t>
      </w:r>
      <w:bookmarkEnd w:id="281"/>
      <w:bookmarkEnd w:id="282"/>
    </w:p>
    <w:p w14:paraId="694F7DC2">
      <w:pPr>
        <w:pStyle w:val="67"/>
        <w:spacing w:before="156"/>
        <w:ind w:left="0" w:leftChars="0" w:firstLine="0" w:firstLineChars="0"/>
        <w:jc w:val="both"/>
        <w:rPr>
          <w:rFonts w:hint="eastAsia" w:ascii="宋体" w:hAnsi="宋体" w:eastAsia="宋体" w:cs="宋体"/>
          <w:highlight w:val="none"/>
        </w:rPr>
      </w:pPr>
      <w:r>
        <w:rPr>
          <w:rFonts w:hint="eastAsia" w:ascii="宋体" w:hAnsi="宋体" w:eastAsia="宋体" w:cs="宋体"/>
          <w:highlight w:val="none"/>
        </w:rPr>
        <w:drawing>
          <wp:inline distT="0" distB="0" distL="0" distR="0">
            <wp:extent cx="5168900" cy="2413635"/>
            <wp:effectExtent l="0" t="0" r="12700" b="5715"/>
            <wp:docPr id="294" name="图片 1124"/>
            <wp:cNvGraphicFramePr/>
            <a:graphic xmlns:a="http://schemas.openxmlformats.org/drawingml/2006/main">
              <a:graphicData uri="http://schemas.openxmlformats.org/drawingml/2006/picture">
                <pic:pic xmlns:pic="http://schemas.openxmlformats.org/drawingml/2006/picture">
                  <pic:nvPicPr>
                    <pic:cNvPr id="294" name="图片 1124"/>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168900" cy="2413635"/>
                    </a:xfrm>
                    <a:prstGeom prst="rect">
                      <a:avLst/>
                    </a:prstGeom>
                    <a:noFill/>
                    <a:ln>
                      <a:noFill/>
                    </a:ln>
                  </pic:spPr>
                </pic:pic>
              </a:graphicData>
            </a:graphic>
          </wp:inline>
        </w:drawing>
      </w:r>
    </w:p>
    <w:p w14:paraId="53B003E7">
      <w:pPr>
        <w:pStyle w:val="14"/>
        <w:bidi w:val="0"/>
        <w:rPr>
          <w:rFonts w:hint="eastAsia" w:ascii="宋体" w:hAnsi="宋体" w:eastAsia="宋体" w:cs="宋体"/>
          <w:b/>
          <w:bCs/>
          <w:color w:val="C00000"/>
          <w:kern w:val="2"/>
          <w:szCs w:val="24"/>
          <w:highlight w:val="none"/>
          <w:lang w:val="en-US" w:eastAsia="zh-CN" w:bidi="ar-SA"/>
        </w:rPr>
      </w:pPr>
      <w:r>
        <w:rPr>
          <w:rFonts w:hint="eastAsia" w:ascii="宋体" w:hAnsi="宋体" w:eastAsia="宋体" w:cs="宋体"/>
          <w:highlight w:val="none"/>
          <w:lang w:val="en-US" w:eastAsia="zh-CN"/>
        </w:rPr>
        <w:t>图8.1-1 施工组织机构图</w:t>
      </w:r>
    </w:p>
    <w:p w14:paraId="1E1FDDB3">
      <w:pPr>
        <w:pStyle w:val="3"/>
        <w:tabs>
          <w:tab w:val="left" w:pos="240"/>
        </w:tabs>
        <w:bidi w:val="0"/>
        <w:rPr>
          <w:rFonts w:hint="eastAsia" w:ascii="宋体" w:hAnsi="宋体" w:eastAsia="宋体" w:cs="宋体"/>
          <w:highlight w:val="none"/>
          <w:lang w:val="en-US" w:eastAsia="zh-CN"/>
        </w:rPr>
      </w:pPr>
      <w:bookmarkStart w:id="283" w:name="_Toc28957"/>
      <w:bookmarkStart w:id="284" w:name="_Toc5664"/>
      <w:r>
        <w:rPr>
          <w:rFonts w:hint="eastAsia" w:ascii="宋体" w:hAnsi="宋体" w:eastAsia="宋体" w:cs="宋体"/>
          <w:highlight w:val="none"/>
          <w:lang w:val="en-US" w:eastAsia="zh-CN"/>
        </w:rPr>
        <w:t>人员配置</w:t>
      </w:r>
      <w:bookmarkEnd w:id="283"/>
      <w:bookmarkEnd w:id="284"/>
    </w:p>
    <w:p w14:paraId="5A2CF768">
      <w:pPr>
        <w:bidi w:val="0"/>
        <w:ind w:firstLine="480" w:firstLineChars="200"/>
        <w:rPr>
          <w:rFonts w:hint="eastAsia" w:ascii="宋体" w:hAnsi="宋体" w:eastAsia="宋体" w:cs="宋体"/>
          <w:highlight w:val="none"/>
          <w:lang w:val="en-US"/>
        </w:rPr>
      </w:pPr>
      <w:r>
        <w:rPr>
          <w:rFonts w:hint="eastAsia" w:ascii="宋体" w:hAnsi="宋体" w:eastAsia="宋体" w:cs="宋体"/>
          <w:highlight w:val="none"/>
          <w:lang w:val="en-US" w:eastAsia="zh-CN"/>
        </w:rPr>
        <w:t>1、塔机拆除现场施工管理人员配置如下表所示。</w:t>
      </w:r>
    </w:p>
    <w:p w14:paraId="2E26E335">
      <w:pPr>
        <w:pStyle w:val="14"/>
        <w:bidi w:val="0"/>
        <w:rPr>
          <w:rFonts w:hint="eastAsia" w:ascii="宋体" w:hAnsi="宋体" w:eastAsia="宋体" w:cs="宋体"/>
          <w:b/>
          <w:bCs/>
          <w:color w:val="C00000"/>
          <w:kern w:val="2"/>
          <w:szCs w:val="24"/>
          <w:highlight w:val="none"/>
          <w:lang w:val="en-US" w:eastAsia="zh-CN" w:bidi="ar-SA"/>
        </w:rPr>
      </w:pPr>
      <w:r>
        <w:rPr>
          <w:rFonts w:hint="eastAsia" w:ascii="宋体" w:hAnsi="宋体" w:eastAsia="宋体" w:cs="宋体"/>
          <w:highlight w:val="none"/>
          <w:lang w:val="en-US" w:eastAsia="zh-CN"/>
        </w:rPr>
        <w:t>表8.2-</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SEQ 表5- \* ARABIC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lang w:val="en-US" w:eastAsia="zh-CN"/>
        </w:rPr>
        <w:t>1</w:t>
      </w:r>
      <w:r>
        <w:rPr>
          <w:rFonts w:hint="eastAsia" w:ascii="宋体" w:hAnsi="宋体" w:eastAsia="宋体" w:cs="宋体"/>
          <w:highlight w:val="none"/>
          <w:lang w:val="en-US" w:eastAsia="zh-CN"/>
        </w:rPr>
        <w:fldChar w:fldCharType="end"/>
      </w:r>
      <w:r>
        <w:rPr>
          <w:rFonts w:hint="eastAsia" w:ascii="宋体" w:hAnsi="宋体" w:eastAsia="宋体" w:cs="宋体"/>
          <w:highlight w:val="none"/>
          <w:lang w:val="en-US" w:eastAsia="zh-CN"/>
        </w:rPr>
        <w:t>塔机拆除施工管理人员配置计划表</w:t>
      </w:r>
    </w:p>
    <w:tbl>
      <w:tblPr>
        <w:tblStyle w:val="29"/>
        <w:tblW w:w="8554" w:type="dxa"/>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fixed"/>
        <w:tblCellMar>
          <w:top w:w="0" w:type="dxa"/>
          <w:left w:w="108" w:type="dxa"/>
          <w:bottom w:w="0" w:type="dxa"/>
          <w:right w:w="108" w:type="dxa"/>
        </w:tblCellMar>
      </w:tblPr>
      <w:tblGrid>
        <w:gridCol w:w="1009"/>
        <w:gridCol w:w="1365"/>
        <w:gridCol w:w="2268"/>
        <w:gridCol w:w="3912"/>
      </w:tblGrid>
      <w:tr w14:paraId="3F4A3A3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tblHeader/>
          <w:jc w:val="center"/>
        </w:trPr>
        <w:tc>
          <w:tcPr>
            <w:tcW w:w="1009" w:type="dxa"/>
            <w:tcBorders>
              <w:tl2br w:val="nil"/>
              <w:tr2bl w:val="nil"/>
            </w:tcBorders>
            <w:shd w:val="clear" w:color="auto" w:fill="DAE3F3" w:themeFill="accent5" w:themeFillTint="32"/>
            <w:vAlign w:val="center"/>
          </w:tcPr>
          <w:p w14:paraId="0E86ADD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序号</w:t>
            </w:r>
          </w:p>
        </w:tc>
        <w:tc>
          <w:tcPr>
            <w:tcW w:w="1365" w:type="dxa"/>
            <w:tcBorders>
              <w:tl2br w:val="nil"/>
              <w:tr2bl w:val="nil"/>
            </w:tcBorders>
            <w:shd w:val="clear" w:color="auto" w:fill="DAE3F3" w:themeFill="accent5" w:themeFillTint="32"/>
            <w:vAlign w:val="center"/>
          </w:tcPr>
          <w:p w14:paraId="0CC86DE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岗位名称</w:t>
            </w:r>
          </w:p>
        </w:tc>
        <w:tc>
          <w:tcPr>
            <w:tcW w:w="2268" w:type="dxa"/>
            <w:tcBorders>
              <w:tl2br w:val="nil"/>
              <w:tr2bl w:val="nil"/>
            </w:tcBorders>
            <w:shd w:val="clear" w:color="auto" w:fill="DAE3F3" w:themeFill="accent5" w:themeFillTint="32"/>
            <w:vAlign w:val="center"/>
          </w:tcPr>
          <w:p w14:paraId="176AC2E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eastAsia="zh-CN"/>
              </w:rPr>
            </w:pPr>
            <w:r>
              <w:rPr>
                <w:rFonts w:hint="eastAsia" w:ascii="宋体" w:hAnsi="宋体" w:eastAsia="宋体" w:cs="宋体"/>
                <w:highlight w:val="none"/>
              </w:rPr>
              <w:t>数量</w:t>
            </w:r>
          </w:p>
        </w:tc>
        <w:tc>
          <w:tcPr>
            <w:tcW w:w="3912" w:type="dxa"/>
            <w:tcBorders>
              <w:tl2br w:val="nil"/>
              <w:tr2bl w:val="nil"/>
            </w:tcBorders>
            <w:shd w:val="clear" w:color="auto" w:fill="DAE3F3" w:themeFill="accent5" w:themeFillTint="32"/>
            <w:vAlign w:val="center"/>
          </w:tcPr>
          <w:p w14:paraId="49EBED2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职责</w:t>
            </w:r>
          </w:p>
        </w:tc>
      </w:tr>
      <w:tr w14:paraId="23E5654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3436019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1</w:t>
            </w:r>
          </w:p>
        </w:tc>
        <w:tc>
          <w:tcPr>
            <w:tcW w:w="1365" w:type="dxa"/>
            <w:tcBorders>
              <w:tl2br w:val="nil"/>
              <w:tr2bl w:val="nil"/>
            </w:tcBorders>
            <w:vAlign w:val="center"/>
          </w:tcPr>
          <w:p w14:paraId="4AADCA5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rPr>
            </w:pPr>
            <w:r>
              <w:rPr>
                <w:rFonts w:hint="eastAsia" w:ascii="宋体" w:hAnsi="宋体" w:eastAsia="宋体" w:cs="宋体"/>
                <w:highlight w:val="none"/>
                <w:lang w:val="en-US" w:eastAsia="zh-CN"/>
              </w:rPr>
              <w:t>项目经理</w:t>
            </w:r>
          </w:p>
        </w:tc>
        <w:tc>
          <w:tcPr>
            <w:tcW w:w="2268" w:type="dxa"/>
            <w:tcBorders>
              <w:tl2br w:val="nil"/>
              <w:tr2bl w:val="nil"/>
            </w:tcBorders>
            <w:vAlign w:val="center"/>
          </w:tcPr>
          <w:p w14:paraId="682CC9B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1</w:t>
            </w:r>
            <w:r>
              <w:rPr>
                <w:rFonts w:hint="eastAsia" w:ascii="宋体" w:hAnsi="宋体" w:eastAsia="宋体" w:cs="宋体"/>
                <w:highlight w:val="none"/>
                <w:lang w:val="en-US" w:eastAsia="zh-CN"/>
              </w:rPr>
              <w:t>人</w:t>
            </w:r>
          </w:p>
        </w:tc>
        <w:tc>
          <w:tcPr>
            <w:tcW w:w="3912" w:type="dxa"/>
            <w:tcBorders>
              <w:tl2br w:val="nil"/>
              <w:tr2bl w:val="nil"/>
            </w:tcBorders>
            <w:vAlign w:val="center"/>
          </w:tcPr>
          <w:p w14:paraId="26064A6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负责现场全面管理</w:t>
            </w:r>
          </w:p>
        </w:tc>
      </w:tr>
      <w:tr w14:paraId="30CF5E1B">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23DA567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2</w:t>
            </w:r>
          </w:p>
        </w:tc>
        <w:tc>
          <w:tcPr>
            <w:tcW w:w="1365" w:type="dxa"/>
            <w:tcBorders>
              <w:tl2br w:val="nil"/>
              <w:tr2bl w:val="nil"/>
            </w:tcBorders>
            <w:vAlign w:val="center"/>
          </w:tcPr>
          <w:p w14:paraId="00F80AB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eastAsia="zh-CN"/>
              </w:rPr>
            </w:pPr>
            <w:r>
              <w:rPr>
                <w:rFonts w:hint="eastAsia" w:ascii="宋体" w:hAnsi="宋体" w:eastAsia="宋体" w:cs="宋体"/>
                <w:highlight w:val="none"/>
                <w:lang w:val="en-US" w:eastAsia="zh-CN"/>
              </w:rPr>
              <w:t>项目总工</w:t>
            </w:r>
          </w:p>
        </w:tc>
        <w:tc>
          <w:tcPr>
            <w:tcW w:w="2268" w:type="dxa"/>
            <w:tcBorders>
              <w:tl2br w:val="nil"/>
              <w:tr2bl w:val="nil"/>
            </w:tcBorders>
            <w:vAlign w:val="center"/>
          </w:tcPr>
          <w:p w14:paraId="438ECD4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1</w:t>
            </w:r>
            <w:r>
              <w:rPr>
                <w:rFonts w:hint="eastAsia" w:ascii="宋体" w:hAnsi="宋体" w:eastAsia="宋体" w:cs="宋体"/>
                <w:highlight w:val="none"/>
                <w:lang w:val="en-US" w:eastAsia="zh-CN"/>
              </w:rPr>
              <w:t>人</w:t>
            </w:r>
          </w:p>
        </w:tc>
        <w:tc>
          <w:tcPr>
            <w:tcW w:w="3912" w:type="dxa"/>
            <w:tcBorders>
              <w:tl2br w:val="nil"/>
              <w:tr2bl w:val="nil"/>
            </w:tcBorders>
            <w:vAlign w:val="center"/>
          </w:tcPr>
          <w:p w14:paraId="60F701D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负责现场全面技术管理</w:t>
            </w:r>
          </w:p>
        </w:tc>
      </w:tr>
      <w:tr w14:paraId="6B9807EC">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2B266BF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3</w:t>
            </w:r>
          </w:p>
        </w:tc>
        <w:tc>
          <w:tcPr>
            <w:tcW w:w="1365" w:type="dxa"/>
            <w:tcBorders>
              <w:tl2br w:val="nil"/>
              <w:tr2bl w:val="nil"/>
            </w:tcBorders>
            <w:vAlign w:val="center"/>
          </w:tcPr>
          <w:p w14:paraId="14C3B5E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项目副经理</w:t>
            </w:r>
          </w:p>
        </w:tc>
        <w:tc>
          <w:tcPr>
            <w:tcW w:w="2268" w:type="dxa"/>
            <w:tcBorders>
              <w:tl2br w:val="nil"/>
              <w:tr2bl w:val="nil"/>
            </w:tcBorders>
            <w:vAlign w:val="center"/>
          </w:tcPr>
          <w:p w14:paraId="46ED59C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每分部1人</w:t>
            </w:r>
          </w:p>
        </w:tc>
        <w:tc>
          <w:tcPr>
            <w:tcW w:w="3912" w:type="dxa"/>
            <w:tcBorders>
              <w:tl2br w:val="nil"/>
              <w:tr2bl w:val="nil"/>
            </w:tcBorders>
            <w:vAlign w:val="center"/>
          </w:tcPr>
          <w:p w14:paraId="0E029E3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负责现场进度、质量、安全及资源组织</w:t>
            </w:r>
          </w:p>
        </w:tc>
      </w:tr>
      <w:tr w14:paraId="56E3757C">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601BF30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4</w:t>
            </w:r>
          </w:p>
        </w:tc>
        <w:tc>
          <w:tcPr>
            <w:tcW w:w="1365" w:type="dxa"/>
            <w:tcBorders>
              <w:tl2br w:val="nil"/>
              <w:tr2bl w:val="nil"/>
            </w:tcBorders>
            <w:vAlign w:val="center"/>
          </w:tcPr>
          <w:p w14:paraId="1679F33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技术主管</w:t>
            </w:r>
          </w:p>
        </w:tc>
        <w:tc>
          <w:tcPr>
            <w:tcW w:w="2268" w:type="dxa"/>
            <w:tcBorders>
              <w:tl2br w:val="nil"/>
              <w:tr2bl w:val="nil"/>
            </w:tcBorders>
            <w:vAlign w:val="center"/>
          </w:tcPr>
          <w:p w14:paraId="196CFE3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每分部1人</w:t>
            </w:r>
          </w:p>
        </w:tc>
        <w:tc>
          <w:tcPr>
            <w:tcW w:w="3912" w:type="dxa"/>
            <w:tcBorders>
              <w:tl2br w:val="nil"/>
              <w:tr2bl w:val="nil"/>
            </w:tcBorders>
            <w:vAlign w:val="center"/>
          </w:tcPr>
          <w:p w14:paraId="197AE21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协助项目总工开展现场技术管理工作</w:t>
            </w:r>
          </w:p>
        </w:tc>
      </w:tr>
      <w:tr w14:paraId="48901D6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6124F59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5</w:t>
            </w:r>
          </w:p>
        </w:tc>
        <w:tc>
          <w:tcPr>
            <w:tcW w:w="1365" w:type="dxa"/>
            <w:tcBorders>
              <w:tl2br w:val="nil"/>
              <w:tr2bl w:val="nil"/>
            </w:tcBorders>
            <w:vAlign w:val="center"/>
          </w:tcPr>
          <w:p w14:paraId="0E10353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技术员</w:t>
            </w:r>
          </w:p>
        </w:tc>
        <w:tc>
          <w:tcPr>
            <w:tcW w:w="2268" w:type="dxa"/>
            <w:tcBorders>
              <w:tl2br w:val="nil"/>
              <w:tr2bl w:val="nil"/>
            </w:tcBorders>
            <w:vAlign w:val="center"/>
          </w:tcPr>
          <w:p w14:paraId="7B37F1A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每工点至少1人</w:t>
            </w:r>
          </w:p>
        </w:tc>
        <w:tc>
          <w:tcPr>
            <w:tcW w:w="3912" w:type="dxa"/>
            <w:tcBorders>
              <w:tl2br w:val="nil"/>
              <w:tr2bl w:val="nil"/>
            </w:tcBorders>
            <w:vAlign w:val="center"/>
          </w:tcPr>
          <w:p w14:paraId="2DF4E26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负责各工点现场</w:t>
            </w:r>
            <w:r>
              <w:rPr>
                <w:rFonts w:hint="eastAsia" w:ascii="宋体" w:hAnsi="宋体" w:eastAsia="宋体" w:cs="宋体"/>
                <w:highlight w:val="none"/>
                <w:lang w:val="en-US" w:eastAsia="zh-CN"/>
              </w:rPr>
              <w:t>进度、</w:t>
            </w:r>
            <w:r>
              <w:rPr>
                <w:rFonts w:hint="eastAsia" w:ascii="宋体" w:hAnsi="宋体" w:eastAsia="宋体" w:cs="宋体"/>
                <w:highlight w:val="none"/>
              </w:rPr>
              <w:t>技术管理</w:t>
            </w:r>
          </w:p>
        </w:tc>
      </w:tr>
      <w:tr w14:paraId="0A58C0E8">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6F76036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1365" w:type="dxa"/>
            <w:tcBorders>
              <w:tl2br w:val="nil"/>
              <w:tr2bl w:val="nil"/>
            </w:tcBorders>
            <w:vAlign w:val="center"/>
          </w:tcPr>
          <w:p w14:paraId="57307F0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质检员</w:t>
            </w:r>
          </w:p>
        </w:tc>
        <w:tc>
          <w:tcPr>
            <w:tcW w:w="2268" w:type="dxa"/>
            <w:tcBorders>
              <w:tl2br w:val="nil"/>
              <w:tr2bl w:val="nil"/>
            </w:tcBorders>
            <w:vAlign w:val="center"/>
          </w:tcPr>
          <w:p w14:paraId="335EA19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1人</w:t>
            </w:r>
          </w:p>
        </w:tc>
        <w:tc>
          <w:tcPr>
            <w:tcW w:w="3912" w:type="dxa"/>
            <w:tcBorders>
              <w:tl2br w:val="nil"/>
              <w:tr2bl w:val="nil"/>
            </w:tcBorders>
            <w:vAlign w:val="center"/>
          </w:tcPr>
          <w:p w14:paraId="7B047DC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负责现场质量专检</w:t>
            </w:r>
          </w:p>
        </w:tc>
      </w:tr>
      <w:tr w14:paraId="7C4D4BD5">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1B81AD2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7</w:t>
            </w:r>
          </w:p>
        </w:tc>
        <w:tc>
          <w:tcPr>
            <w:tcW w:w="1365" w:type="dxa"/>
            <w:tcBorders>
              <w:tl2br w:val="nil"/>
              <w:tr2bl w:val="nil"/>
            </w:tcBorders>
            <w:vAlign w:val="center"/>
          </w:tcPr>
          <w:p w14:paraId="15DFB8B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测量员</w:t>
            </w:r>
          </w:p>
        </w:tc>
        <w:tc>
          <w:tcPr>
            <w:tcW w:w="2268" w:type="dxa"/>
            <w:tcBorders>
              <w:tl2br w:val="nil"/>
              <w:tr2bl w:val="nil"/>
            </w:tcBorders>
            <w:vAlign w:val="center"/>
          </w:tcPr>
          <w:p w14:paraId="7C3ACA8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2人</w:t>
            </w:r>
          </w:p>
        </w:tc>
        <w:tc>
          <w:tcPr>
            <w:tcW w:w="3912" w:type="dxa"/>
            <w:tcBorders>
              <w:tl2br w:val="nil"/>
              <w:tr2bl w:val="nil"/>
            </w:tcBorders>
            <w:vAlign w:val="center"/>
          </w:tcPr>
          <w:p w14:paraId="4029192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负责现场测量复核</w:t>
            </w:r>
          </w:p>
        </w:tc>
      </w:tr>
      <w:tr w14:paraId="5553B5E9">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10403F3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8</w:t>
            </w:r>
          </w:p>
        </w:tc>
        <w:tc>
          <w:tcPr>
            <w:tcW w:w="1365" w:type="dxa"/>
            <w:tcBorders>
              <w:tl2br w:val="nil"/>
              <w:tr2bl w:val="nil"/>
            </w:tcBorders>
            <w:vAlign w:val="center"/>
          </w:tcPr>
          <w:p w14:paraId="6C925AB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试验员</w:t>
            </w:r>
          </w:p>
        </w:tc>
        <w:tc>
          <w:tcPr>
            <w:tcW w:w="2268" w:type="dxa"/>
            <w:tcBorders>
              <w:tl2br w:val="nil"/>
              <w:tr2bl w:val="nil"/>
            </w:tcBorders>
            <w:vAlign w:val="center"/>
          </w:tcPr>
          <w:p w14:paraId="52F0001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2人</w:t>
            </w:r>
          </w:p>
        </w:tc>
        <w:tc>
          <w:tcPr>
            <w:tcW w:w="3912" w:type="dxa"/>
            <w:tcBorders>
              <w:tl2br w:val="nil"/>
              <w:tr2bl w:val="nil"/>
            </w:tcBorders>
            <w:vAlign w:val="center"/>
          </w:tcPr>
          <w:p w14:paraId="1FDC14D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负责现场试验检测工作</w:t>
            </w:r>
          </w:p>
        </w:tc>
      </w:tr>
      <w:tr w14:paraId="4DF0E78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4C9D772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9</w:t>
            </w:r>
          </w:p>
        </w:tc>
        <w:tc>
          <w:tcPr>
            <w:tcW w:w="1365" w:type="dxa"/>
            <w:tcBorders>
              <w:tl2br w:val="nil"/>
              <w:tr2bl w:val="nil"/>
            </w:tcBorders>
            <w:vAlign w:val="center"/>
          </w:tcPr>
          <w:p w14:paraId="5F501CB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安全员</w:t>
            </w:r>
          </w:p>
        </w:tc>
        <w:tc>
          <w:tcPr>
            <w:tcW w:w="2268" w:type="dxa"/>
            <w:tcBorders>
              <w:tl2br w:val="nil"/>
              <w:tr2bl w:val="nil"/>
            </w:tcBorders>
            <w:vAlign w:val="center"/>
          </w:tcPr>
          <w:p w14:paraId="783FD0E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1人</w:t>
            </w:r>
          </w:p>
        </w:tc>
        <w:tc>
          <w:tcPr>
            <w:tcW w:w="3912" w:type="dxa"/>
            <w:tcBorders>
              <w:tl2br w:val="nil"/>
              <w:tr2bl w:val="nil"/>
            </w:tcBorders>
            <w:vAlign w:val="center"/>
          </w:tcPr>
          <w:p w14:paraId="3666E72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负责现场安全管理</w:t>
            </w:r>
          </w:p>
        </w:tc>
      </w:tr>
      <w:tr w14:paraId="3B5F28BF">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311085B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10</w:t>
            </w:r>
          </w:p>
        </w:tc>
        <w:tc>
          <w:tcPr>
            <w:tcW w:w="1365" w:type="dxa"/>
            <w:tcBorders>
              <w:tl2br w:val="nil"/>
              <w:tr2bl w:val="nil"/>
            </w:tcBorders>
            <w:vAlign w:val="center"/>
          </w:tcPr>
          <w:p w14:paraId="5F1A83A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分包单位现场负责人</w:t>
            </w:r>
          </w:p>
        </w:tc>
        <w:tc>
          <w:tcPr>
            <w:tcW w:w="2268" w:type="dxa"/>
            <w:tcBorders>
              <w:tl2br w:val="nil"/>
              <w:tr2bl w:val="nil"/>
            </w:tcBorders>
            <w:vAlign w:val="center"/>
          </w:tcPr>
          <w:p w14:paraId="37EF929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2人</w:t>
            </w:r>
          </w:p>
        </w:tc>
        <w:tc>
          <w:tcPr>
            <w:tcW w:w="3912" w:type="dxa"/>
            <w:tcBorders>
              <w:tl2br w:val="nil"/>
              <w:tr2bl w:val="nil"/>
            </w:tcBorders>
            <w:vAlign w:val="center"/>
          </w:tcPr>
          <w:p w14:paraId="0AEDBF6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负责现场施工调配管理</w:t>
            </w:r>
          </w:p>
        </w:tc>
      </w:tr>
    </w:tbl>
    <w:p w14:paraId="69A2F5B3">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2、塔机拆除施工专职安全生产管理人员配置</w:t>
      </w:r>
    </w:p>
    <w:p w14:paraId="497B87BC">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（1）安全总监1名。建立健全安全生产保障提体系，组织成立安全生产组织机构，保证安全生产管理体系的有效运转，监督现场各岗位人员安全主体责任的落实。</w:t>
      </w:r>
    </w:p>
    <w:p w14:paraId="46F52332">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（2）专职安全员1名。负责现场日常各项安全检查工作，排查各项安全隐患，监督现场技术员及班组落实整改要求，有权制止各种不安全行为。</w:t>
      </w:r>
    </w:p>
    <w:p w14:paraId="136EA90C">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（3）此外，塔机拆除专业承包单位专职安全员1名，负责现场日常各项安全检查工作，排查各项安全隐患。</w:t>
      </w:r>
    </w:p>
    <w:p w14:paraId="19387BF6">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3、塔机拆除施工特种作业人员配置</w:t>
      </w:r>
    </w:p>
    <w:p w14:paraId="034F0BE7">
      <w:pPr>
        <w:pStyle w:val="14"/>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表8.2-2每班组特种作业人员配置计划表</w:t>
      </w:r>
    </w:p>
    <w:tbl>
      <w:tblPr>
        <w:tblStyle w:val="29"/>
        <w:tblW w:w="8209" w:type="dxa"/>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fixed"/>
        <w:tblCellMar>
          <w:top w:w="0" w:type="dxa"/>
          <w:left w:w="108" w:type="dxa"/>
          <w:bottom w:w="0" w:type="dxa"/>
          <w:right w:w="108" w:type="dxa"/>
        </w:tblCellMar>
      </w:tblPr>
      <w:tblGrid>
        <w:gridCol w:w="1009"/>
        <w:gridCol w:w="2115"/>
        <w:gridCol w:w="1221"/>
        <w:gridCol w:w="3864"/>
      </w:tblGrid>
      <w:tr w14:paraId="6DCCFAB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tblHeader/>
          <w:jc w:val="center"/>
        </w:trPr>
        <w:tc>
          <w:tcPr>
            <w:tcW w:w="1009" w:type="dxa"/>
            <w:tcBorders>
              <w:tl2br w:val="nil"/>
              <w:tr2bl w:val="nil"/>
            </w:tcBorders>
            <w:shd w:val="clear" w:color="auto" w:fill="DAE3F3" w:themeFill="accent5" w:themeFillTint="32"/>
            <w:vAlign w:val="center"/>
          </w:tcPr>
          <w:p w14:paraId="017974A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序号</w:t>
            </w:r>
          </w:p>
        </w:tc>
        <w:tc>
          <w:tcPr>
            <w:tcW w:w="2115" w:type="dxa"/>
            <w:tcBorders>
              <w:tl2br w:val="nil"/>
              <w:tr2bl w:val="nil"/>
            </w:tcBorders>
            <w:shd w:val="clear" w:color="auto" w:fill="DAE3F3" w:themeFill="accent5" w:themeFillTint="32"/>
            <w:vAlign w:val="center"/>
          </w:tcPr>
          <w:p w14:paraId="156BD50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特种作业工名称</w:t>
            </w:r>
          </w:p>
        </w:tc>
        <w:tc>
          <w:tcPr>
            <w:tcW w:w="1221" w:type="dxa"/>
            <w:tcBorders>
              <w:tl2br w:val="nil"/>
              <w:tr2bl w:val="nil"/>
            </w:tcBorders>
            <w:shd w:val="clear" w:color="auto" w:fill="DAE3F3" w:themeFill="accent5" w:themeFillTint="32"/>
            <w:vAlign w:val="center"/>
          </w:tcPr>
          <w:p w14:paraId="5A6757B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eastAsia="zh-CN"/>
              </w:rPr>
            </w:pPr>
            <w:r>
              <w:rPr>
                <w:rFonts w:hint="eastAsia" w:ascii="宋体" w:hAnsi="宋体" w:eastAsia="宋体" w:cs="宋体"/>
                <w:highlight w:val="none"/>
              </w:rPr>
              <w:t>数量</w:t>
            </w:r>
            <w:r>
              <w:rPr>
                <w:rFonts w:hint="eastAsia" w:ascii="宋体" w:hAnsi="宋体" w:eastAsia="宋体" w:cs="宋体"/>
                <w:highlight w:val="none"/>
                <w:lang w:eastAsia="zh-CN"/>
              </w:rPr>
              <w:t>（</w:t>
            </w:r>
            <w:r>
              <w:rPr>
                <w:rFonts w:hint="eastAsia" w:ascii="宋体" w:hAnsi="宋体" w:eastAsia="宋体" w:cs="宋体"/>
                <w:highlight w:val="none"/>
              </w:rPr>
              <w:t>人</w:t>
            </w:r>
            <w:r>
              <w:rPr>
                <w:rFonts w:hint="eastAsia" w:ascii="宋体" w:hAnsi="宋体" w:eastAsia="宋体" w:cs="宋体"/>
                <w:highlight w:val="none"/>
                <w:lang w:eastAsia="zh-CN"/>
              </w:rPr>
              <w:t>）</w:t>
            </w:r>
          </w:p>
        </w:tc>
        <w:tc>
          <w:tcPr>
            <w:tcW w:w="3864" w:type="dxa"/>
            <w:tcBorders>
              <w:tl2br w:val="nil"/>
              <w:tr2bl w:val="nil"/>
            </w:tcBorders>
            <w:shd w:val="clear" w:color="auto" w:fill="DAE3F3" w:themeFill="accent5" w:themeFillTint="32"/>
            <w:vAlign w:val="center"/>
          </w:tcPr>
          <w:p w14:paraId="7E97A04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职责</w:t>
            </w:r>
          </w:p>
        </w:tc>
      </w:tr>
      <w:tr w14:paraId="04CEC6D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4CBA2F9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1</w:t>
            </w:r>
          </w:p>
        </w:tc>
        <w:tc>
          <w:tcPr>
            <w:tcW w:w="2115" w:type="dxa"/>
            <w:tcBorders>
              <w:tl2br w:val="nil"/>
              <w:tr2bl w:val="nil"/>
            </w:tcBorders>
            <w:vAlign w:val="center"/>
          </w:tcPr>
          <w:p w14:paraId="3ADE6D2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电工</w:t>
            </w:r>
          </w:p>
        </w:tc>
        <w:tc>
          <w:tcPr>
            <w:tcW w:w="1221" w:type="dxa"/>
            <w:tcBorders>
              <w:tl2br w:val="nil"/>
              <w:tr2bl w:val="nil"/>
            </w:tcBorders>
            <w:vAlign w:val="center"/>
          </w:tcPr>
          <w:p w14:paraId="0735192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rPr>
            </w:pPr>
            <w:r>
              <w:rPr>
                <w:rFonts w:hint="eastAsia" w:ascii="宋体" w:hAnsi="宋体" w:eastAsia="宋体" w:cs="宋体"/>
                <w:highlight w:val="none"/>
              </w:rPr>
              <w:t>1</w:t>
            </w:r>
          </w:p>
        </w:tc>
        <w:tc>
          <w:tcPr>
            <w:tcW w:w="3864" w:type="dxa"/>
            <w:tcBorders>
              <w:tl2br w:val="nil"/>
              <w:tr2bl w:val="nil"/>
            </w:tcBorders>
            <w:vAlign w:val="center"/>
          </w:tcPr>
          <w:p w14:paraId="42D0527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负责现场</w:t>
            </w:r>
            <w:r>
              <w:rPr>
                <w:rFonts w:hint="eastAsia" w:ascii="宋体" w:hAnsi="宋体" w:eastAsia="宋体" w:cs="宋体"/>
                <w:highlight w:val="none"/>
                <w:lang w:val="en-US" w:eastAsia="zh-CN"/>
              </w:rPr>
              <w:t>临时用电拆除、检查、维修</w:t>
            </w:r>
          </w:p>
        </w:tc>
      </w:tr>
      <w:tr w14:paraId="7F4AFC0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4F77DCE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2115" w:type="dxa"/>
            <w:tcBorders>
              <w:tl2br w:val="nil"/>
              <w:tr2bl w:val="nil"/>
            </w:tcBorders>
            <w:vAlign w:val="center"/>
          </w:tcPr>
          <w:p w14:paraId="580F7D6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拆除人员</w:t>
            </w:r>
          </w:p>
        </w:tc>
        <w:tc>
          <w:tcPr>
            <w:tcW w:w="1221" w:type="dxa"/>
            <w:tcBorders>
              <w:tl2br w:val="nil"/>
              <w:tr2bl w:val="nil"/>
            </w:tcBorders>
            <w:vAlign w:val="center"/>
          </w:tcPr>
          <w:p w14:paraId="4634245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3864" w:type="dxa"/>
            <w:tcBorders>
              <w:tl2br w:val="nil"/>
              <w:tr2bl w:val="nil"/>
            </w:tcBorders>
            <w:vAlign w:val="center"/>
          </w:tcPr>
          <w:p w14:paraId="0FFEDE4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按规章拆除起重机械</w:t>
            </w:r>
          </w:p>
        </w:tc>
      </w:tr>
      <w:tr w14:paraId="3A269B3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7E08727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3</w:t>
            </w:r>
          </w:p>
        </w:tc>
        <w:tc>
          <w:tcPr>
            <w:tcW w:w="2115" w:type="dxa"/>
            <w:tcBorders>
              <w:tl2br w:val="nil"/>
              <w:tr2bl w:val="nil"/>
            </w:tcBorders>
            <w:vAlign w:val="center"/>
          </w:tcPr>
          <w:p w14:paraId="73F0F7E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起重机械司机</w:t>
            </w:r>
          </w:p>
        </w:tc>
        <w:tc>
          <w:tcPr>
            <w:tcW w:w="1221" w:type="dxa"/>
            <w:tcBorders>
              <w:tl2br w:val="nil"/>
              <w:tr2bl w:val="nil"/>
            </w:tcBorders>
            <w:vAlign w:val="center"/>
          </w:tcPr>
          <w:p w14:paraId="7BBE934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3864" w:type="dxa"/>
            <w:tcBorders>
              <w:tl2br w:val="nil"/>
              <w:tr2bl w:val="nil"/>
            </w:tcBorders>
            <w:vAlign w:val="center"/>
          </w:tcPr>
          <w:p w14:paraId="55E9F71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按规章、规程要求进行起重吊装作业，检查、维护起重机械（租赁）</w:t>
            </w:r>
          </w:p>
        </w:tc>
      </w:tr>
      <w:tr w14:paraId="431C1B2B">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02D1338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rPr>
              <w:t>4</w:t>
            </w:r>
          </w:p>
        </w:tc>
        <w:tc>
          <w:tcPr>
            <w:tcW w:w="2115" w:type="dxa"/>
            <w:tcBorders>
              <w:tl2br w:val="nil"/>
              <w:tr2bl w:val="nil"/>
            </w:tcBorders>
            <w:vAlign w:val="center"/>
          </w:tcPr>
          <w:p w14:paraId="6231FA1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司索工</w:t>
            </w:r>
          </w:p>
        </w:tc>
        <w:tc>
          <w:tcPr>
            <w:tcW w:w="1221" w:type="dxa"/>
            <w:tcBorders>
              <w:tl2br w:val="nil"/>
              <w:tr2bl w:val="nil"/>
            </w:tcBorders>
            <w:vAlign w:val="center"/>
          </w:tcPr>
          <w:p w14:paraId="2344B9C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3864" w:type="dxa"/>
            <w:tcBorders>
              <w:tl2br w:val="nil"/>
              <w:tr2bl w:val="nil"/>
            </w:tcBorders>
            <w:vAlign w:val="center"/>
          </w:tcPr>
          <w:p w14:paraId="072E4F7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规范指挥起重吊装作业（租赁）</w:t>
            </w:r>
          </w:p>
        </w:tc>
      </w:tr>
      <w:tr w14:paraId="23050B6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510" w:hRule="atLeast"/>
          <w:jc w:val="center"/>
        </w:trPr>
        <w:tc>
          <w:tcPr>
            <w:tcW w:w="1009" w:type="dxa"/>
            <w:tcBorders>
              <w:tl2br w:val="nil"/>
              <w:tr2bl w:val="nil"/>
            </w:tcBorders>
            <w:vAlign w:val="center"/>
          </w:tcPr>
          <w:p w14:paraId="45575EB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2115" w:type="dxa"/>
            <w:tcBorders>
              <w:tl2br w:val="nil"/>
              <w:tr2bl w:val="nil"/>
            </w:tcBorders>
            <w:vAlign w:val="center"/>
          </w:tcPr>
          <w:p w14:paraId="168F641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合计</w:t>
            </w:r>
          </w:p>
        </w:tc>
        <w:tc>
          <w:tcPr>
            <w:tcW w:w="1221" w:type="dxa"/>
            <w:tcBorders>
              <w:tl2br w:val="nil"/>
              <w:tr2bl w:val="nil"/>
            </w:tcBorders>
            <w:vAlign w:val="center"/>
          </w:tcPr>
          <w:p w14:paraId="74A6A2D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7</w:t>
            </w:r>
          </w:p>
        </w:tc>
        <w:tc>
          <w:tcPr>
            <w:tcW w:w="3864" w:type="dxa"/>
            <w:tcBorders>
              <w:tl2br w:val="nil"/>
              <w:tr2bl w:val="nil"/>
            </w:tcBorders>
            <w:vAlign w:val="center"/>
          </w:tcPr>
          <w:p w14:paraId="2890E27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bl>
    <w:p w14:paraId="78560D46">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特种作业人员必须接受与本工种相适应的、专门的安全技术培训、经安全技术理论考核和实际操作技能考核合格，取得特种作业操作证后，方可上岗作业；未经培训或培训考核不合格者，不得上岗作业。特种作业人员必须持证上岗。</w:t>
      </w:r>
    </w:p>
    <w:p w14:paraId="621E3E3B">
      <w:pPr>
        <w:bidi w:val="0"/>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4、拆除专业分包单位管理人员及拆除人员名单</w:t>
      </w:r>
    </w:p>
    <w:p w14:paraId="13A920DD">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表8.2-3拆除专业分包单位管理人员及拆除人员名单汇总表</w:t>
      </w:r>
    </w:p>
    <w:tbl>
      <w:tblPr>
        <w:tblStyle w:val="29"/>
        <w:tblW w:w="5000" w:type="pct"/>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Layout w:type="autofit"/>
        <w:tblCellMar>
          <w:top w:w="0" w:type="dxa"/>
          <w:left w:w="108" w:type="dxa"/>
          <w:bottom w:w="0" w:type="dxa"/>
          <w:right w:w="108" w:type="dxa"/>
        </w:tblCellMar>
      </w:tblPr>
      <w:tblGrid>
        <w:gridCol w:w="1115"/>
        <w:gridCol w:w="1631"/>
        <w:gridCol w:w="2106"/>
        <w:gridCol w:w="2107"/>
        <w:gridCol w:w="1563"/>
      </w:tblGrid>
      <w:tr w14:paraId="099B2E1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tblHeader/>
          <w:jc w:val="center"/>
        </w:trPr>
        <w:tc>
          <w:tcPr>
            <w:tcW w:w="5000" w:type="pct"/>
            <w:gridSpan w:val="5"/>
            <w:tcBorders>
              <w:tl2br w:val="nil"/>
              <w:tr2bl w:val="nil"/>
            </w:tcBorders>
            <w:shd w:val="clear" w:color="auto" w:fill="DAE3F3"/>
            <w:vAlign w:val="center"/>
          </w:tcPr>
          <w:p w14:paraId="6D084F7A">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拟投入安全管理人员及技术人员名单</w:t>
            </w:r>
          </w:p>
        </w:tc>
      </w:tr>
      <w:tr w14:paraId="4FDF374F">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tblHeader/>
          <w:jc w:val="center"/>
        </w:trPr>
        <w:tc>
          <w:tcPr>
            <w:tcW w:w="655" w:type="pct"/>
            <w:tcBorders>
              <w:tl2br w:val="nil"/>
              <w:tr2bl w:val="nil"/>
            </w:tcBorders>
            <w:shd w:val="clear" w:color="auto" w:fill="DAE3F3"/>
            <w:vAlign w:val="center"/>
          </w:tcPr>
          <w:p w14:paraId="6A2C5EAB">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姓名</w:t>
            </w:r>
          </w:p>
        </w:tc>
        <w:tc>
          <w:tcPr>
            <w:tcW w:w="957" w:type="pct"/>
            <w:tcBorders>
              <w:tl2br w:val="nil"/>
              <w:tr2bl w:val="nil"/>
            </w:tcBorders>
            <w:shd w:val="clear" w:color="auto" w:fill="DAE3F3"/>
            <w:vAlign w:val="center"/>
          </w:tcPr>
          <w:p w14:paraId="490162C5">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职务/工种</w:t>
            </w:r>
          </w:p>
        </w:tc>
        <w:tc>
          <w:tcPr>
            <w:tcW w:w="1235" w:type="pct"/>
            <w:tcBorders>
              <w:tl2br w:val="nil"/>
              <w:tr2bl w:val="nil"/>
            </w:tcBorders>
            <w:shd w:val="clear" w:color="auto" w:fill="DAE3F3"/>
            <w:vAlign w:val="center"/>
          </w:tcPr>
          <w:p w14:paraId="345E3669">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身份证号码</w:t>
            </w:r>
          </w:p>
        </w:tc>
        <w:tc>
          <w:tcPr>
            <w:tcW w:w="1236" w:type="pct"/>
            <w:tcBorders>
              <w:tl2br w:val="nil"/>
              <w:tr2bl w:val="nil"/>
            </w:tcBorders>
            <w:shd w:val="clear" w:color="auto" w:fill="DAE3F3"/>
            <w:vAlign w:val="center"/>
          </w:tcPr>
          <w:p w14:paraId="2CE89A22">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作业证号</w:t>
            </w:r>
          </w:p>
        </w:tc>
        <w:tc>
          <w:tcPr>
            <w:tcW w:w="915" w:type="pct"/>
            <w:tcBorders>
              <w:tl2br w:val="nil"/>
              <w:tr2bl w:val="nil"/>
            </w:tcBorders>
            <w:shd w:val="clear" w:color="auto" w:fill="DAE3F3"/>
            <w:vAlign w:val="center"/>
          </w:tcPr>
          <w:p w14:paraId="64823320">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工作内容</w:t>
            </w:r>
          </w:p>
        </w:tc>
      </w:tr>
      <w:tr w14:paraId="2F728F91">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1115" w:type="dxa"/>
            <w:tcBorders>
              <w:tl2br w:val="nil"/>
              <w:tr2bl w:val="nil"/>
            </w:tcBorders>
            <w:shd w:val="clear" w:color="auto" w:fill="auto"/>
            <w:vAlign w:val="center"/>
          </w:tcPr>
          <w:p w14:paraId="14647E40">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彭善忠</w:t>
            </w:r>
          </w:p>
        </w:tc>
        <w:tc>
          <w:tcPr>
            <w:tcW w:w="1631" w:type="dxa"/>
            <w:tcBorders>
              <w:tl2br w:val="nil"/>
              <w:tr2bl w:val="nil"/>
            </w:tcBorders>
            <w:shd w:val="clear" w:color="auto" w:fill="auto"/>
            <w:vAlign w:val="center"/>
          </w:tcPr>
          <w:p w14:paraId="5DDB1DCC">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项目负责人</w:t>
            </w:r>
          </w:p>
        </w:tc>
        <w:tc>
          <w:tcPr>
            <w:tcW w:w="2106" w:type="dxa"/>
            <w:tcBorders>
              <w:tl2br w:val="nil"/>
              <w:tr2bl w:val="nil"/>
            </w:tcBorders>
            <w:shd w:val="clear" w:color="auto" w:fill="auto"/>
            <w:vAlign w:val="center"/>
          </w:tcPr>
          <w:p w14:paraId="1B328BCD">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512223197508214798</w:t>
            </w:r>
          </w:p>
        </w:tc>
        <w:tc>
          <w:tcPr>
            <w:tcW w:w="2107" w:type="dxa"/>
            <w:tcBorders>
              <w:tl2br w:val="nil"/>
              <w:tr2bl w:val="nil"/>
            </w:tcBorders>
            <w:shd w:val="clear" w:color="auto" w:fill="auto"/>
            <w:vAlign w:val="center"/>
          </w:tcPr>
          <w:p w14:paraId="2886DFC3">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鲁230001133100304</w:t>
            </w:r>
          </w:p>
        </w:tc>
        <w:tc>
          <w:tcPr>
            <w:tcW w:w="1563" w:type="dxa"/>
            <w:tcBorders>
              <w:tl2br w:val="nil"/>
              <w:tr2bl w:val="nil"/>
            </w:tcBorders>
            <w:shd w:val="clear" w:color="auto" w:fill="auto"/>
            <w:vAlign w:val="center"/>
          </w:tcPr>
          <w:p w14:paraId="3DD2AAB5">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主持现场工作</w:t>
            </w:r>
          </w:p>
        </w:tc>
      </w:tr>
      <w:tr w14:paraId="3B1B1853">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15" w:type="dxa"/>
            <w:tcBorders>
              <w:tl2br w:val="nil"/>
              <w:tr2bl w:val="nil"/>
            </w:tcBorders>
            <w:shd w:val="clear" w:color="auto" w:fill="auto"/>
            <w:vAlign w:val="center"/>
          </w:tcPr>
          <w:p w14:paraId="7DF7DF13">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温涛</w:t>
            </w:r>
          </w:p>
        </w:tc>
        <w:tc>
          <w:tcPr>
            <w:tcW w:w="1631" w:type="dxa"/>
            <w:tcBorders>
              <w:tl2br w:val="nil"/>
              <w:tr2bl w:val="nil"/>
            </w:tcBorders>
            <w:shd w:val="clear" w:color="auto" w:fill="auto"/>
            <w:vAlign w:val="center"/>
          </w:tcPr>
          <w:p w14:paraId="18CAFD84">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技术负责人</w:t>
            </w:r>
          </w:p>
        </w:tc>
        <w:tc>
          <w:tcPr>
            <w:tcW w:w="2106" w:type="dxa"/>
            <w:tcBorders>
              <w:tl2br w:val="nil"/>
              <w:tr2bl w:val="nil"/>
            </w:tcBorders>
            <w:shd w:val="clear" w:color="auto" w:fill="auto"/>
            <w:vAlign w:val="center"/>
          </w:tcPr>
          <w:p w14:paraId="346E1A52">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412801198705060316</w:t>
            </w:r>
          </w:p>
        </w:tc>
        <w:tc>
          <w:tcPr>
            <w:tcW w:w="2107" w:type="dxa"/>
            <w:tcBorders>
              <w:tl2br w:val="nil"/>
              <w:tr2bl w:val="nil"/>
            </w:tcBorders>
            <w:shd w:val="clear" w:color="auto" w:fill="auto"/>
            <w:vAlign w:val="center"/>
          </w:tcPr>
          <w:p w14:paraId="1E1C12F7">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鲁200100033201097</w:t>
            </w:r>
          </w:p>
        </w:tc>
        <w:tc>
          <w:tcPr>
            <w:tcW w:w="1563" w:type="dxa"/>
            <w:tcBorders>
              <w:tl2br w:val="nil"/>
              <w:tr2bl w:val="nil"/>
            </w:tcBorders>
            <w:shd w:val="clear" w:color="auto" w:fill="auto"/>
            <w:vAlign w:val="center"/>
          </w:tcPr>
          <w:p w14:paraId="5B4DB331">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公司技术负责人</w:t>
            </w:r>
          </w:p>
        </w:tc>
      </w:tr>
      <w:tr w14:paraId="741E345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15" w:type="dxa"/>
            <w:tcBorders>
              <w:tl2br w:val="nil"/>
              <w:tr2bl w:val="nil"/>
            </w:tcBorders>
            <w:shd w:val="clear" w:color="auto" w:fill="auto"/>
            <w:vAlign w:val="center"/>
          </w:tcPr>
          <w:p w14:paraId="64003199">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白美富</w:t>
            </w:r>
          </w:p>
        </w:tc>
        <w:tc>
          <w:tcPr>
            <w:tcW w:w="1631" w:type="dxa"/>
            <w:tcBorders>
              <w:tl2br w:val="nil"/>
              <w:tr2bl w:val="nil"/>
            </w:tcBorders>
            <w:shd w:val="clear" w:color="auto" w:fill="auto"/>
            <w:vAlign w:val="center"/>
          </w:tcPr>
          <w:p w14:paraId="26E2925C">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专职安全管理人员</w:t>
            </w:r>
          </w:p>
        </w:tc>
        <w:tc>
          <w:tcPr>
            <w:tcW w:w="2106" w:type="dxa"/>
            <w:tcBorders>
              <w:tl2br w:val="nil"/>
              <w:tr2bl w:val="nil"/>
            </w:tcBorders>
            <w:shd w:val="clear" w:color="auto" w:fill="auto"/>
            <w:vAlign w:val="center"/>
          </w:tcPr>
          <w:p w14:paraId="19669782">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510113198801248019</w:t>
            </w:r>
          </w:p>
        </w:tc>
        <w:tc>
          <w:tcPr>
            <w:tcW w:w="2107" w:type="dxa"/>
            <w:tcBorders>
              <w:tl2br w:val="nil"/>
              <w:tr2bl w:val="nil"/>
            </w:tcBorders>
            <w:shd w:val="clear" w:color="auto" w:fill="auto"/>
            <w:vAlign w:val="center"/>
          </w:tcPr>
          <w:p w14:paraId="20FBDD2E">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川建安C3(2023)0080797</w:t>
            </w:r>
          </w:p>
        </w:tc>
        <w:tc>
          <w:tcPr>
            <w:tcW w:w="1563" w:type="dxa"/>
            <w:tcBorders>
              <w:tl2br w:val="nil"/>
              <w:tr2bl w:val="nil"/>
            </w:tcBorders>
            <w:shd w:val="clear" w:color="auto" w:fill="auto"/>
            <w:vAlign w:val="center"/>
          </w:tcPr>
          <w:p w14:paraId="5F731198">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负责现场拆除指导及安全管理</w:t>
            </w:r>
          </w:p>
        </w:tc>
      </w:tr>
      <w:tr w14:paraId="150165CB">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8522" w:type="dxa"/>
            <w:gridSpan w:val="5"/>
            <w:tcBorders>
              <w:tl2br w:val="nil"/>
              <w:tr2bl w:val="nil"/>
            </w:tcBorders>
            <w:shd w:val="clear" w:color="auto" w:fill="DAE3F3"/>
            <w:vAlign w:val="center"/>
          </w:tcPr>
          <w:p w14:paraId="7348BC4A">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拆除施工特种设备作业人员</w:t>
            </w:r>
          </w:p>
        </w:tc>
      </w:tr>
      <w:tr w14:paraId="52AE22B4">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17" w:type="dxa"/>
            <w:tcBorders>
              <w:tl2br w:val="nil"/>
              <w:tr2bl w:val="nil"/>
            </w:tcBorders>
            <w:shd w:val="clear" w:color="auto" w:fill="auto"/>
            <w:vAlign w:val="center"/>
          </w:tcPr>
          <w:p w14:paraId="48DB33BD">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黄科</w:t>
            </w:r>
          </w:p>
        </w:tc>
        <w:tc>
          <w:tcPr>
            <w:tcW w:w="1631" w:type="dxa"/>
            <w:tcBorders>
              <w:tl2br w:val="nil"/>
              <w:tr2bl w:val="nil"/>
            </w:tcBorders>
            <w:shd w:val="clear" w:color="auto" w:fill="auto"/>
            <w:vAlign w:val="center"/>
          </w:tcPr>
          <w:p w14:paraId="5B598461">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建筑起重机械安装拆卸工（塔式起重机）</w:t>
            </w:r>
          </w:p>
        </w:tc>
        <w:tc>
          <w:tcPr>
            <w:tcW w:w="2106" w:type="dxa"/>
            <w:tcBorders>
              <w:tl2br w:val="nil"/>
              <w:tr2bl w:val="nil"/>
            </w:tcBorders>
            <w:shd w:val="clear" w:color="auto" w:fill="auto"/>
            <w:vAlign w:val="center"/>
          </w:tcPr>
          <w:p w14:paraId="7016D7EC">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510113198609247470</w:t>
            </w:r>
          </w:p>
        </w:tc>
        <w:tc>
          <w:tcPr>
            <w:tcW w:w="2107" w:type="dxa"/>
            <w:tcBorders>
              <w:tl2br w:val="nil"/>
              <w:tr2bl w:val="nil"/>
            </w:tcBorders>
            <w:shd w:val="clear" w:color="auto" w:fill="auto"/>
            <w:vAlign w:val="center"/>
          </w:tcPr>
          <w:p w14:paraId="11FAA491">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 A082023006932</w:t>
            </w:r>
          </w:p>
        </w:tc>
        <w:tc>
          <w:tcPr>
            <w:tcW w:w="1563" w:type="dxa"/>
            <w:tcBorders>
              <w:tl2br w:val="nil"/>
              <w:tr2bl w:val="nil"/>
            </w:tcBorders>
            <w:shd w:val="clear" w:color="auto" w:fill="auto"/>
            <w:vAlign w:val="center"/>
          </w:tcPr>
          <w:p w14:paraId="5F563F0F">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负责设备拆除调试及维保</w:t>
            </w:r>
          </w:p>
        </w:tc>
      </w:tr>
      <w:tr w14:paraId="2FE783A0">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17" w:type="dxa"/>
            <w:tcBorders>
              <w:tl2br w:val="nil"/>
              <w:tr2bl w:val="nil"/>
            </w:tcBorders>
            <w:shd w:val="clear" w:color="auto" w:fill="auto"/>
            <w:vAlign w:val="center"/>
          </w:tcPr>
          <w:p w14:paraId="628BB7CB">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徐刚</w:t>
            </w:r>
          </w:p>
        </w:tc>
        <w:tc>
          <w:tcPr>
            <w:tcW w:w="1631" w:type="dxa"/>
            <w:tcBorders>
              <w:tl2br w:val="nil"/>
              <w:tr2bl w:val="nil"/>
            </w:tcBorders>
            <w:shd w:val="clear" w:color="auto" w:fill="auto"/>
            <w:vAlign w:val="center"/>
          </w:tcPr>
          <w:p w14:paraId="6DB5E899">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建筑起重机械安装拆卸工（塔式起重机）</w:t>
            </w:r>
          </w:p>
        </w:tc>
        <w:tc>
          <w:tcPr>
            <w:tcW w:w="2106" w:type="dxa"/>
            <w:tcBorders>
              <w:tl2br w:val="nil"/>
              <w:tr2bl w:val="nil"/>
            </w:tcBorders>
            <w:shd w:val="clear" w:color="auto" w:fill="auto"/>
            <w:vAlign w:val="center"/>
          </w:tcPr>
          <w:p w14:paraId="45CA24F3">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500226198809275711</w:t>
            </w:r>
          </w:p>
        </w:tc>
        <w:tc>
          <w:tcPr>
            <w:tcW w:w="2107" w:type="dxa"/>
            <w:tcBorders>
              <w:tl2br w:val="nil"/>
              <w:tr2bl w:val="nil"/>
            </w:tcBorders>
            <w:shd w:val="clear" w:color="auto" w:fill="auto"/>
            <w:vAlign w:val="center"/>
          </w:tcPr>
          <w:p w14:paraId="6795D209">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 A 082023007219</w:t>
            </w:r>
          </w:p>
        </w:tc>
        <w:tc>
          <w:tcPr>
            <w:tcW w:w="1563" w:type="dxa"/>
            <w:tcBorders>
              <w:tl2br w:val="nil"/>
              <w:tr2bl w:val="nil"/>
            </w:tcBorders>
            <w:shd w:val="clear" w:color="auto" w:fill="auto"/>
            <w:vAlign w:val="center"/>
          </w:tcPr>
          <w:p w14:paraId="5B11D72E">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负责设备拆除调试及维保</w:t>
            </w:r>
          </w:p>
        </w:tc>
      </w:tr>
      <w:tr w14:paraId="72C141A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17" w:type="dxa"/>
            <w:tcBorders>
              <w:tl2br w:val="nil"/>
              <w:tr2bl w:val="nil"/>
            </w:tcBorders>
            <w:shd w:val="clear" w:color="auto" w:fill="auto"/>
            <w:vAlign w:val="center"/>
          </w:tcPr>
          <w:p w14:paraId="310E7A86">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陈刚</w:t>
            </w:r>
          </w:p>
        </w:tc>
        <w:tc>
          <w:tcPr>
            <w:tcW w:w="1631" w:type="dxa"/>
            <w:tcBorders>
              <w:tl2br w:val="nil"/>
              <w:tr2bl w:val="nil"/>
            </w:tcBorders>
            <w:shd w:val="clear" w:color="auto" w:fill="auto"/>
            <w:vAlign w:val="center"/>
          </w:tcPr>
          <w:p w14:paraId="64E3951D">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建筑起重机械安装拆卸工（塔式起重机）</w:t>
            </w:r>
          </w:p>
        </w:tc>
        <w:tc>
          <w:tcPr>
            <w:tcW w:w="2106" w:type="dxa"/>
            <w:tcBorders>
              <w:tl2br w:val="nil"/>
              <w:tr2bl w:val="nil"/>
            </w:tcBorders>
            <w:shd w:val="clear" w:color="auto" w:fill="auto"/>
            <w:vAlign w:val="center"/>
          </w:tcPr>
          <w:p w14:paraId="71538167">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510922198601193519</w:t>
            </w:r>
          </w:p>
        </w:tc>
        <w:tc>
          <w:tcPr>
            <w:tcW w:w="2107" w:type="dxa"/>
            <w:tcBorders>
              <w:tl2br w:val="nil"/>
              <w:tr2bl w:val="nil"/>
            </w:tcBorders>
            <w:shd w:val="clear" w:color="auto" w:fill="auto"/>
            <w:vAlign w:val="center"/>
          </w:tcPr>
          <w:p w14:paraId="6859707F">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川A082023006907</w:t>
            </w:r>
          </w:p>
        </w:tc>
        <w:tc>
          <w:tcPr>
            <w:tcW w:w="1563" w:type="dxa"/>
            <w:tcBorders>
              <w:tl2br w:val="nil"/>
              <w:tr2bl w:val="nil"/>
            </w:tcBorders>
            <w:shd w:val="clear" w:color="auto" w:fill="auto"/>
            <w:vAlign w:val="center"/>
          </w:tcPr>
          <w:p w14:paraId="65FB8D3B">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负责设备拆除调试及维保</w:t>
            </w:r>
          </w:p>
        </w:tc>
      </w:tr>
      <w:tr w14:paraId="2E6640F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shd w:val="clear" w:color="auto" w:fill="auto"/>
          <w:tblCellMar>
            <w:top w:w="0" w:type="dxa"/>
            <w:left w:w="108" w:type="dxa"/>
            <w:bottom w:w="0" w:type="dxa"/>
            <w:right w:w="108" w:type="dxa"/>
          </w:tblCellMar>
        </w:tblPrEx>
        <w:trPr>
          <w:trHeight w:val="454" w:hRule="atLeast"/>
          <w:jc w:val="center"/>
        </w:trPr>
        <w:tc>
          <w:tcPr>
            <w:tcW w:w="1117" w:type="dxa"/>
            <w:tcBorders>
              <w:tl2br w:val="nil"/>
              <w:tr2bl w:val="nil"/>
            </w:tcBorders>
            <w:shd w:val="clear" w:color="auto" w:fill="auto"/>
            <w:vAlign w:val="center"/>
          </w:tcPr>
          <w:p w14:paraId="528477A1">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黄仁训</w:t>
            </w:r>
          </w:p>
        </w:tc>
        <w:tc>
          <w:tcPr>
            <w:tcW w:w="1631" w:type="dxa"/>
            <w:tcBorders>
              <w:tl2br w:val="nil"/>
              <w:tr2bl w:val="nil"/>
            </w:tcBorders>
            <w:shd w:val="clear" w:color="auto" w:fill="auto"/>
            <w:vAlign w:val="center"/>
          </w:tcPr>
          <w:p w14:paraId="3A6C1333">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建筑起重机械安装拆卸工（塔式起重机）</w:t>
            </w:r>
          </w:p>
        </w:tc>
        <w:tc>
          <w:tcPr>
            <w:tcW w:w="2106" w:type="dxa"/>
            <w:tcBorders>
              <w:tl2br w:val="nil"/>
              <w:tr2bl w:val="nil"/>
            </w:tcBorders>
            <w:shd w:val="clear" w:color="auto" w:fill="auto"/>
            <w:vAlign w:val="center"/>
          </w:tcPr>
          <w:p w14:paraId="790AB092">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510113198608137413</w:t>
            </w:r>
          </w:p>
        </w:tc>
        <w:tc>
          <w:tcPr>
            <w:tcW w:w="2107" w:type="dxa"/>
            <w:tcBorders>
              <w:tl2br w:val="nil"/>
              <w:tr2bl w:val="nil"/>
            </w:tcBorders>
            <w:shd w:val="clear" w:color="auto" w:fill="auto"/>
            <w:vAlign w:val="center"/>
          </w:tcPr>
          <w:p w14:paraId="172F32B9">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 K 082019700001</w:t>
            </w:r>
          </w:p>
        </w:tc>
        <w:tc>
          <w:tcPr>
            <w:tcW w:w="1563" w:type="dxa"/>
            <w:tcBorders>
              <w:tl2br w:val="nil"/>
              <w:tr2bl w:val="nil"/>
            </w:tcBorders>
            <w:shd w:val="clear" w:color="auto" w:fill="auto"/>
            <w:vAlign w:val="center"/>
          </w:tcPr>
          <w:p w14:paraId="45325589">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负责设备拆除调试及维保</w:t>
            </w:r>
          </w:p>
        </w:tc>
      </w:tr>
      <w:tr w14:paraId="4A91EB3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15" w:type="dxa"/>
            <w:tcBorders>
              <w:tl2br w:val="nil"/>
              <w:tr2bl w:val="nil"/>
            </w:tcBorders>
            <w:shd w:val="clear" w:color="auto" w:fill="auto"/>
            <w:vAlign w:val="center"/>
          </w:tcPr>
          <w:p w14:paraId="3A595488">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明兴富</w:t>
            </w:r>
          </w:p>
        </w:tc>
        <w:tc>
          <w:tcPr>
            <w:tcW w:w="1631" w:type="dxa"/>
            <w:tcBorders>
              <w:tl2br w:val="nil"/>
              <w:tr2bl w:val="nil"/>
            </w:tcBorders>
            <w:shd w:val="clear" w:color="auto" w:fill="auto"/>
            <w:vAlign w:val="center"/>
          </w:tcPr>
          <w:p w14:paraId="340F1022">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建筑电工（维保人员）</w:t>
            </w:r>
          </w:p>
        </w:tc>
        <w:tc>
          <w:tcPr>
            <w:tcW w:w="2106" w:type="dxa"/>
            <w:tcBorders>
              <w:tl2br w:val="nil"/>
              <w:tr2bl w:val="nil"/>
            </w:tcBorders>
            <w:shd w:val="clear" w:color="auto" w:fill="auto"/>
            <w:vAlign w:val="center"/>
          </w:tcPr>
          <w:p w14:paraId="6A39079D">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510322197807274712</w:t>
            </w:r>
          </w:p>
        </w:tc>
        <w:tc>
          <w:tcPr>
            <w:tcW w:w="2107" w:type="dxa"/>
            <w:tcBorders>
              <w:tl2br w:val="nil"/>
              <w:tr2bl w:val="nil"/>
            </w:tcBorders>
            <w:shd w:val="clear" w:color="auto" w:fill="auto"/>
            <w:vAlign w:val="center"/>
          </w:tcPr>
          <w:p w14:paraId="109D21B5">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川A012023012238</w:t>
            </w:r>
          </w:p>
        </w:tc>
        <w:tc>
          <w:tcPr>
            <w:tcW w:w="1563" w:type="dxa"/>
            <w:tcBorders>
              <w:tl2br w:val="nil"/>
              <w:tr2bl w:val="nil"/>
            </w:tcBorders>
            <w:shd w:val="clear" w:color="auto" w:fill="auto"/>
            <w:vAlign w:val="center"/>
          </w:tcPr>
          <w:p w14:paraId="6116C43D">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负责设备拆除电气调试及维保</w:t>
            </w:r>
          </w:p>
        </w:tc>
      </w:tr>
      <w:tr w14:paraId="68536EB1">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15" w:type="dxa"/>
            <w:tcBorders>
              <w:tl2br w:val="nil"/>
              <w:tr2bl w:val="nil"/>
            </w:tcBorders>
            <w:shd w:val="clear" w:color="auto" w:fill="auto"/>
            <w:vAlign w:val="center"/>
          </w:tcPr>
          <w:p w14:paraId="2DCCDBCF">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张全超</w:t>
            </w:r>
          </w:p>
        </w:tc>
        <w:tc>
          <w:tcPr>
            <w:tcW w:w="1631" w:type="dxa"/>
            <w:tcBorders>
              <w:tl2br w:val="nil"/>
              <w:tr2bl w:val="nil"/>
            </w:tcBorders>
            <w:shd w:val="clear" w:color="auto" w:fill="auto"/>
            <w:vAlign w:val="center"/>
          </w:tcPr>
          <w:p w14:paraId="34306410">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司索工</w:t>
            </w:r>
          </w:p>
        </w:tc>
        <w:tc>
          <w:tcPr>
            <w:tcW w:w="2106" w:type="dxa"/>
            <w:tcBorders>
              <w:tl2br w:val="nil"/>
              <w:tr2bl w:val="nil"/>
            </w:tcBorders>
            <w:shd w:val="clear" w:color="auto" w:fill="auto"/>
            <w:vAlign w:val="center"/>
          </w:tcPr>
          <w:p w14:paraId="1BD23241">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510112197804090711</w:t>
            </w:r>
          </w:p>
        </w:tc>
        <w:tc>
          <w:tcPr>
            <w:tcW w:w="2107" w:type="dxa"/>
            <w:tcBorders>
              <w:tl2br w:val="nil"/>
              <w:tr2bl w:val="nil"/>
            </w:tcBorders>
            <w:shd w:val="clear" w:color="auto" w:fill="auto"/>
            <w:vAlign w:val="center"/>
          </w:tcPr>
          <w:p w14:paraId="04C2E2D9">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A042023006936</w:t>
            </w:r>
          </w:p>
        </w:tc>
        <w:tc>
          <w:tcPr>
            <w:tcW w:w="1563" w:type="dxa"/>
            <w:tcBorders>
              <w:tl2br w:val="nil"/>
              <w:tr2bl w:val="nil"/>
            </w:tcBorders>
            <w:shd w:val="clear" w:color="auto" w:fill="auto"/>
            <w:vAlign w:val="center"/>
          </w:tcPr>
          <w:p w14:paraId="50492311">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负责拆除过程中的指挥信号</w:t>
            </w:r>
          </w:p>
        </w:tc>
      </w:tr>
      <w:tr w14:paraId="4F72E9D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1115" w:type="dxa"/>
            <w:tcBorders>
              <w:tl2br w:val="nil"/>
              <w:tr2bl w:val="nil"/>
            </w:tcBorders>
            <w:shd w:val="clear" w:color="auto" w:fill="auto"/>
            <w:vAlign w:val="center"/>
          </w:tcPr>
          <w:p w14:paraId="6A9B88F6">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彭兴华</w:t>
            </w:r>
          </w:p>
        </w:tc>
        <w:tc>
          <w:tcPr>
            <w:tcW w:w="1631" w:type="dxa"/>
            <w:tcBorders>
              <w:tl2br w:val="nil"/>
              <w:tr2bl w:val="nil"/>
            </w:tcBorders>
            <w:shd w:val="clear" w:color="auto" w:fill="auto"/>
            <w:vAlign w:val="center"/>
          </w:tcPr>
          <w:p w14:paraId="41A601BE">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司机</w:t>
            </w:r>
          </w:p>
        </w:tc>
        <w:tc>
          <w:tcPr>
            <w:tcW w:w="2106" w:type="dxa"/>
            <w:tcBorders>
              <w:tl2br w:val="nil"/>
              <w:tr2bl w:val="nil"/>
            </w:tcBorders>
            <w:shd w:val="clear" w:color="auto" w:fill="auto"/>
            <w:vAlign w:val="center"/>
          </w:tcPr>
          <w:p w14:paraId="29D43BE1">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510923198703045214</w:t>
            </w:r>
          </w:p>
        </w:tc>
        <w:tc>
          <w:tcPr>
            <w:tcW w:w="2107" w:type="dxa"/>
            <w:tcBorders>
              <w:tl2br w:val="nil"/>
              <w:tr2bl w:val="nil"/>
            </w:tcBorders>
            <w:shd w:val="clear" w:color="auto" w:fill="auto"/>
            <w:vAlign w:val="center"/>
          </w:tcPr>
          <w:p w14:paraId="6D0487DF">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川M052019700224</w:t>
            </w:r>
          </w:p>
        </w:tc>
        <w:tc>
          <w:tcPr>
            <w:tcW w:w="1563" w:type="dxa"/>
            <w:tcBorders>
              <w:tl2br w:val="nil"/>
              <w:tr2bl w:val="nil"/>
            </w:tcBorders>
            <w:shd w:val="clear" w:color="auto" w:fill="auto"/>
            <w:vAlign w:val="center"/>
          </w:tcPr>
          <w:p w14:paraId="7170C868">
            <w:pPr>
              <w:keepNext w:val="0"/>
              <w:keepLines w:val="0"/>
              <w:suppressLineNumbers w:val="0"/>
              <w:spacing w:before="0" w:beforeAutospacing="0" w:after="0" w:afterAutospacing="0" w:line="240" w:lineRule="auto"/>
              <w:ind w:left="0" w:right="0"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kern w:val="2"/>
                <w:sz w:val="24"/>
                <w:szCs w:val="21"/>
                <w:lang w:val="en-US" w:eastAsia="zh-CN" w:bidi="ar"/>
              </w:rPr>
              <w:t>在拆除过程中对塔机进行操作。</w:t>
            </w:r>
          </w:p>
        </w:tc>
      </w:tr>
    </w:tbl>
    <w:p w14:paraId="65DB3F0F">
      <w:pPr>
        <w:bidi w:val="0"/>
      </w:pPr>
      <w:r>
        <w:rPr>
          <w:rFonts w:hint="eastAsia"/>
          <w:lang w:val="en-US" w:eastAsia="zh-CN"/>
        </w:rPr>
        <w:br w:type="page"/>
      </w:r>
    </w:p>
    <w:p w14:paraId="4A79E15E">
      <w:pPr>
        <w:pStyle w:val="2"/>
        <w:tabs>
          <w:tab w:val="left" w:pos="0"/>
        </w:tabs>
        <w:bidi w:val="0"/>
        <w:ind w:left="432" w:leftChars="0" w:hanging="432" w:firstLineChars="0"/>
        <w:rPr>
          <w:rFonts w:hint="eastAsia"/>
          <w:lang w:val="en-US" w:eastAsia="zh-CN"/>
        </w:rPr>
      </w:pPr>
      <w:bookmarkStart w:id="285" w:name="_Toc23333"/>
      <w:r>
        <w:rPr>
          <w:rFonts w:hint="eastAsia" w:ascii="Times New Roman" w:hAnsi="Times New Roman" w:cs="Times New Roman"/>
          <w:b/>
          <w:caps w:val="0"/>
          <w:smallCaps w:val="0"/>
          <w:color w:val="000000" w:themeColor="text1"/>
          <w:kern w:val="44"/>
          <w:sz w:val="30"/>
          <w:szCs w:val="22"/>
          <w:highlight w:val="none"/>
          <w:lang w:val="en-US" w:eastAsia="zh-CN" w:bidi="ar-SA"/>
          <w14:textFill>
            <w14:solidFill>
              <w14:schemeClr w14:val="tx1"/>
            </w14:solidFill>
          </w14:textFill>
        </w:rPr>
        <w:t>验收要求</w:t>
      </w:r>
      <w:bookmarkEnd w:id="285"/>
    </w:p>
    <w:p w14:paraId="6E831A29">
      <w:pPr>
        <w:pStyle w:val="3"/>
      </w:pPr>
      <w:bookmarkStart w:id="286" w:name="_Toc24966"/>
      <w:r>
        <w:rPr>
          <w:rFonts w:hint="eastAsia"/>
          <w:lang w:val="en-US" w:eastAsia="zh-CN"/>
        </w:rPr>
        <w:t>验收标准</w:t>
      </w:r>
      <w:bookmarkEnd w:id="286"/>
    </w:p>
    <w:p w14:paraId="577D338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《特种设备安全监察条例》（国务院令第549号）</w:t>
      </w:r>
    </w:p>
    <w:p w14:paraId="1D57DD8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《起重机械安全监察规定》（质监总局令第92号）</w:t>
      </w:r>
    </w:p>
    <w:p w14:paraId="3903CA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《特种设备作业人员监督管理办法》（质监总局令第140号）</w:t>
      </w:r>
    </w:p>
    <w:p w14:paraId="449604F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《塔式起重机安全规程》（GB 5144-2012）</w:t>
      </w:r>
    </w:p>
    <w:p w14:paraId="38053E6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《起重设备安装工程施工及验收规范》（GB 50278-2010）</w:t>
      </w:r>
    </w:p>
    <w:p w14:paraId="113ECA7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《起重机 安全使用 第3部分：塔式起重机》（GB/T 23723.3-2010）</w:t>
      </w:r>
    </w:p>
    <w:p w14:paraId="1EDFD96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《塔式起重机》（GB/T 5031-2008）</w:t>
      </w:r>
    </w:p>
    <w:p w14:paraId="296FE9F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《塔式起重机安装与拆卸规则》（GB/T 26471-2011）</w:t>
      </w:r>
    </w:p>
    <w:p w14:paraId="6F6137A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rPr>
      </w:pPr>
      <w:r>
        <w:rPr>
          <w:rFonts w:hint="eastAsia" w:ascii="宋体" w:hAnsi="宋体" w:eastAsia="宋体" w:cs="宋体"/>
          <w:highlight w:val="none"/>
        </w:rPr>
        <w:t>《危险性较大的分部分项工程安全管理规定》住房城乡建设部令第37号</w:t>
      </w:r>
    </w:p>
    <w:p w14:paraId="72A2E334">
      <w:pPr>
        <w:pStyle w:val="4"/>
        <w:tabs>
          <w:tab w:val="left" w:pos="0"/>
          <w:tab w:val="left" w:pos="630"/>
        </w:tabs>
        <w:bidi w:val="0"/>
        <w:rPr>
          <w:rFonts w:hint="eastAsia" w:ascii="宋体" w:hAnsi="宋体" w:eastAsia="宋体" w:cs="宋体"/>
          <w:lang w:val="en-US" w:eastAsia="zh-CN"/>
        </w:rPr>
      </w:pPr>
      <w:r>
        <w:rPr>
          <w:rFonts w:hint="eastAsia" w:ascii="宋体" w:hAnsi="宋体" w:eastAsia="宋体" w:cs="宋体"/>
          <w:lang w:val="en-US" w:eastAsia="zh-CN"/>
        </w:rPr>
        <w:t>塔</w:t>
      </w:r>
      <w:r>
        <w:rPr>
          <w:rFonts w:hint="eastAsia" w:ascii="宋体" w:hAnsi="宋体" w:eastAsia="宋体" w:cs="宋体"/>
        </w:rPr>
        <w:t>式起重机结构</w:t>
      </w:r>
      <w:r>
        <w:rPr>
          <w:rFonts w:hint="eastAsia" w:ascii="宋体" w:hAnsi="宋体" w:eastAsia="宋体" w:cs="宋体"/>
          <w:lang w:eastAsia="zh-CN"/>
        </w:rPr>
        <w:t>安全</w:t>
      </w:r>
    </w:p>
    <w:p w14:paraId="584E84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）塔机</w:t>
      </w:r>
      <w:r>
        <w:rPr>
          <w:rFonts w:hint="eastAsia" w:ascii="宋体" w:hAnsi="宋体" w:eastAsia="宋体" w:cs="宋体"/>
          <w:highlight w:val="none"/>
        </w:rPr>
        <w:t>垂直度允许偏差范围</w:t>
      </w:r>
    </w:p>
    <w:p w14:paraId="4C94A3D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JGJ196-2010《建筑施工塔式起重机安装、使用、拆卸安全技术规程》第 30 页对</w:t>
      </w:r>
      <w:r>
        <w:rPr>
          <w:rFonts w:hint="eastAsia" w:ascii="宋体" w:hAnsi="宋体" w:eastAsia="宋体" w:cs="宋体"/>
          <w:highlight w:val="none"/>
          <w:lang w:eastAsia="zh-CN"/>
        </w:rPr>
        <w:t>塔机</w:t>
      </w:r>
      <w:r>
        <w:rPr>
          <w:rFonts w:hint="eastAsia" w:ascii="宋体" w:hAnsi="宋体" w:eastAsia="宋体" w:cs="宋体"/>
          <w:highlight w:val="none"/>
        </w:rPr>
        <w:t>垂直度要求规定如下：独立状态或</w:t>
      </w:r>
      <w:r>
        <w:rPr>
          <w:rFonts w:hint="eastAsia" w:ascii="宋体" w:hAnsi="宋体" w:eastAsia="宋体" w:cs="宋体"/>
          <w:highlight w:val="none"/>
          <w:lang w:eastAsia="zh-CN"/>
        </w:rPr>
        <w:t>附墙</w:t>
      </w:r>
      <w:r>
        <w:rPr>
          <w:rFonts w:hint="eastAsia" w:ascii="宋体" w:hAnsi="宋体" w:eastAsia="宋体" w:cs="宋体"/>
          <w:highlight w:val="none"/>
        </w:rPr>
        <w:t>状态下最高</w:t>
      </w:r>
      <w:r>
        <w:rPr>
          <w:rFonts w:hint="eastAsia" w:ascii="宋体" w:hAnsi="宋体" w:eastAsia="宋体" w:cs="宋体"/>
          <w:highlight w:val="none"/>
          <w:lang w:eastAsia="zh-CN"/>
        </w:rPr>
        <w:t>附墙</w:t>
      </w:r>
      <w:r>
        <w:rPr>
          <w:rFonts w:hint="eastAsia" w:ascii="宋体" w:hAnsi="宋体" w:eastAsia="宋体" w:cs="宋体"/>
          <w:highlight w:val="none"/>
        </w:rPr>
        <w:t>点以上塔身轴线对支承面垂直度不得大于4/1000，最高</w:t>
      </w:r>
      <w:r>
        <w:rPr>
          <w:rFonts w:hint="eastAsia" w:ascii="宋体" w:hAnsi="宋体" w:eastAsia="宋体" w:cs="宋体"/>
          <w:highlight w:val="none"/>
          <w:lang w:eastAsia="zh-CN"/>
        </w:rPr>
        <w:t>附墙</w:t>
      </w:r>
      <w:r>
        <w:rPr>
          <w:rFonts w:hint="eastAsia" w:ascii="宋体" w:hAnsi="宋体" w:eastAsia="宋体" w:cs="宋体"/>
          <w:highlight w:val="none"/>
        </w:rPr>
        <w:t>点下塔身轴线对支承面垂直度不得大于相应高度的2/1000。</w:t>
      </w:r>
    </w:p>
    <w:p w14:paraId="3F26F53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2</w:t>
      </w:r>
      <w:r>
        <w:rPr>
          <w:rFonts w:hint="eastAsia" w:ascii="宋体" w:hAnsi="宋体" w:eastAsia="宋体" w:cs="宋体"/>
          <w:highlight w:val="none"/>
          <w:lang w:eastAsia="zh-CN"/>
        </w:rPr>
        <w:t>）塔机</w:t>
      </w:r>
      <w:r>
        <w:rPr>
          <w:rFonts w:hint="eastAsia" w:ascii="宋体" w:hAnsi="宋体" w:eastAsia="宋体" w:cs="宋体"/>
          <w:highlight w:val="none"/>
        </w:rPr>
        <w:t>垂直度计算</w:t>
      </w:r>
    </w:p>
    <w:p w14:paraId="7A6D914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eastAsia="zh-CN"/>
        </w:rPr>
        <w:t>塔机</w:t>
      </w:r>
      <w:r>
        <w:rPr>
          <w:rFonts w:hint="eastAsia" w:ascii="宋体" w:hAnsi="宋体" w:eastAsia="宋体" w:cs="宋体"/>
          <w:highlight w:val="none"/>
        </w:rPr>
        <w:t>垂直度&lt;4/1000，</w:t>
      </w:r>
      <w:r>
        <w:rPr>
          <w:rFonts w:hint="eastAsia" w:ascii="宋体" w:hAnsi="宋体" w:eastAsia="宋体" w:cs="宋体"/>
          <w:highlight w:val="none"/>
          <w:lang w:eastAsia="zh-CN"/>
        </w:rPr>
        <w:t>附墙</w:t>
      </w:r>
      <w:r>
        <w:rPr>
          <w:rFonts w:hint="eastAsia" w:ascii="宋体" w:hAnsi="宋体" w:eastAsia="宋体" w:cs="宋体"/>
          <w:highlight w:val="none"/>
        </w:rPr>
        <w:t>以下&lt;2/1000，</w:t>
      </w:r>
      <w:r>
        <w:rPr>
          <w:rFonts w:hint="eastAsia" w:ascii="宋体" w:hAnsi="宋体" w:eastAsia="宋体" w:cs="宋体"/>
          <w:highlight w:val="none"/>
          <w:lang w:eastAsia="zh-CN"/>
        </w:rPr>
        <w:t>附墙</w:t>
      </w:r>
      <w:r>
        <w:rPr>
          <w:rFonts w:hint="eastAsia" w:ascii="宋体" w:hAnsi="宋体" w:eastAsia="宋体" w:cs="宋体"/>
          <w:highlight w:val="none"/>
        </w:rPr>
        <w:t>以上&lt;4/1000。</w:t>
      </w:r>
    </w:p>
    <w:p w14:paraId="1C792B2C">
      <w:pPr>
        <w:pStyle w:val="4"/>
        <w:tabs>
          <w:tab w:val="left" w:pos="0"/>
          <w:tab w:val="left" w:pos="630"/>
        </w:tabs>
        <w:bidi w:val="0"/>
        <w:rPr>
          <w:rFonts w:hint="eastAsia" w:ascii="宋体" w:hAnsi="宋体" w:eastAsia="宋体" w:cs="宋体"/>
        </w:rPr>
      </w:pPr>
      <w:bookmarkStart w:id="287" w:name="_Toc18388"/>
      <w:bookmarkStart w:id="288" w:name="_Toc10409830"/>
      <w:bookmarkStart w:id="289" w:name="_Toc3430"/>
      <w:r>
        <w:rPr>
          <w:rFonts w:hint="eastAsia" w:ascii="宋体" w:hAnsi="宋体" w:eastAsia="宋体" w:cs="宋体"/>
        </w:rPr>
        <w:t>电气要求</w:t>
      </w:r>
      <w:bookmarkEnd w:id="287"/>
      <w:bookmarkEnd w:id="288"/>
      <w:bookmarkEnd w:id="289"/>
    </w:p>
    <w:p w14:paraId="4FC937C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电气部分</w:t>
      </w:r>
    </w:p>
    <w:p w14:paraId="506DC1E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起重机电气系统的设计符合GB3811-2008《起重机设计规范》和GB6067-2010《起重机械安全规程》的各项规定。起重机的电气设备能够保证机械的传动性能、电气的监控及保护性能安全、准确和可靠。在起重机发生紧急情况下，操作人员能够在司机室切断电源,安全停车。</w:t>
      </w:r>
    </w:p>
    <w:p w14:paraId="77332B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供电</w:t>
      </w:r>
    </w:p>
    <w:p w14:paraId="235AA45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起重机供电电源为三相交流电源,电压380V±10%,频率50HZ。</w:t>
      </w:r>
    </w:p>
    <w:p w14:paraId="19C609E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3</w:t>
      </w:r>
      <w:r>
        <w:rPr>
          <w:rFonts w:hint="eastAsia" w:ascii="宋体" w:hAnsi="宋体" w:eastAsia="宋体" w:cs="宋体"/>
          <w:highlight w:val="none"/>
          <w:lang w:eastAsia="zh-CN"/>
        </w:rPr>
        <w:t>）电气保护</w:t>
      </w:r>
    </w:p>
    <w:p w14:paraId="3F4F48E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短路及过载保护:</w:t>
      </w:r>
    </w:p>
    <w:p w14:paraId="378081C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起重机总受电屏、控制屏进出电源设置断路器、控制回路设置小容量断路器，使各机构在短路，过载等事故状态下，迅速与电源脱离,以达到保护设备及人机安全的目的。</w:t>
      </w:r>
    </w:p>
    <w:p w14:paraId="0128369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失压保护:</w:t>
      </w:r>
    </w:p>
    <w:p w14:paraId="36EDF06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在总受电屏及机构控制屏中，用线路接触器作为失压保护装置，当供电电源中断时,能够自动断开电源。</w:t>
      </w:r>
    </w:p>
    <w:p w14:paraId="4178BB4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lang w:eastAsia="zh-CN"/>
        </w:rPr>
        <w:t>）</w:t>
      </w:r>
      <w:r>
        <w:rPr>
          <w:rFonts w:hint="eastAsia" w:ascii="宋体" w:hAnsi="宋体" w:eastAsia="宋体" w:cs="宋体"/>
          <w:highlight w:val="none"/>
        </w:rPr>
        <w:t>零位保护:</w:t>
      </w:r>
    </w:p>
    <w:p w14:paraId="6BAD086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司机室的联动台凸轮控制器手柄上设有零位连锁，达到零位的目的。即当起重机开始运转前和失压恢复供电时，必须将控制器的手柄置于零位，各机构的电动机才能启动工作。</w:t>
      </w:r>
    </w:p>
    <w:p w14:paraId="4628A0E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lang w:eastAsia="zh-CN"/>
        </w:rPr>
        <w:t>）</w:t>
      </w:r>
      <w:r>
        <w:rPr>
          <w:rFonts w:hint="eastAsia" w:ascii="宋体" w:hAnsi="宋体" w:eastAsia="宋体" w:cs="宋体"/>
          <w:highlight w:val="none"/>
        </w:rPr>
        <w:t>紧急断电保护:</w:t>
      </w:r>
    </w:p>
    <w:p w14:paraId="6E63AF6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司机室内设有紧急断电按钮，当起重机发生紧急情况时，随时方便地切</w:t>
      </w:r>
    </w:p>
    <w:p w14:paraId="7217D9B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断控制回路电源，从而使主回路断电，确保起重机的安全运行。</w:t>
      </w:r>
    </w:p>
    <w:p w14:paraId="0845A6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lang w:eastAsia="zh-CN"/>
        </w:rPr>
        <w:t>）</w:t>
      </w:r>
      <w:r>
        <w:rPr>
          <w:rFonts w:hint="eastAsia" w:ascii="宋体" w:hAnsi="宋体" w:eastAsia="宋体" w:cs="宋体"/>
          <w:highlight w:val="none"/>
        </w:rPr>
        <w:t>上升高度</w:t>
      </w:r>
      <w:r>
        <w:rPr>
          <w:rFonts w:hint="eastAsia" w:ascii="宋体" w:hAnsi="宋体" w:eastAsia="宋体" w:cs="宋体"/>
          <w:highlight w:val="none"/>
          <w:lang w:val="en-US" w:eastAsia="zh-CN"/>
        </w:rPr>
        <w:t>及下降深度</w:t>
      </w:r>
      <w:r>
        <w:rPr>
          <w:rFonts w:hint="eastAsia" w:ascii="宋体" w:hAnsi="宋体" w:eastAsia="宋体" w:cs="宋体"/>
          <w:highlight w:val="none"/>
        </w:rPr>
        <w:t>限位</w:t>
      </w:r>
      <w:r>
        <w:rPr>
          <w:rFonts w:hint="eastAsia" w:ascii="宋体" w:hAnsi="宋体" w:eastAsia="宋体" w:cs="宋体"/>
          <w:highlight w:val="none"/>
          <w:lang w:val="en-US" w:eastAsia="zh-CN"/>
        </w:rPr>
        <w:t>保护</w:t>
      </w:r>
      <w:r>
        <w:rPr>
          <w:rFonts w:hint="eastAsia" w:ascii="宋体" w:hAnsi="宋体" w:eastAsia="宋体" w:cs="宋体"/>
          <w:highlight w:val="none"/>
        </w:rPr>
        <w:t>:</w:t>
      </w:r>
    </w:p>
    <w:p w14:paraId="1B12332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起升启动加软启动，起升机构设有双限位开关，可保证吊钩上升到极限位置时切断电源，从而达到减速和停车的目的，确保起重机的安全运行。</w:t>
      </w:r>
    </w:p>
    <w:p w14:paraId="6E5DC0E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w:t>
      </w:r>
      <w:r>
        <w:rPr>
          <w:rFonts w:hint="eastAsia" w:ascii="宋体" w:hAnsi="宋体" w:eastAsia="宋体" w:cs="宋体"/>
          <w:highlight w:val="none"/>
          <w:lang w:eastAsia="zh-CN"/>
        </w:rPr>
        <w:t>）</w:t>
      </w:r>
      <w:r>
        <w:rPr>
          <w:rFonts w:hint="eastAsia" w:ascii="宋体" w:hAnsi="宋体" w:eastAsia="宋体" w:cs="宋体"/>
          <w:highlight w:val="none"/>
          <w:lang w:val="en-US" w:eastAsia="zh-CN"/>
        </w:rPr>
        <w:t>运行形成限位保护</w:t>
      </w:r>
    </w:p>
    <w:p w14:paraId="30F3A8C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起重臂</w:t>
      </w:r>
      <w:r>
        <w:rPr>
          <w:rFonts w:hint="eastAsia" w:ascii="宋体" w:hAnsi="宋体" w:eastAsia="宋体" w:cs="宋体"/>
          <w:highlight w:val="none"/>
        </w:rPr>
        <w:t>设有</w:t>
      </w:r>
      <w:r>
        <w:rPr>
          <w:rFonts w:hint="eastAsia" w:ascii="宋体" w:hAnsi="宋体" w:eastAsia="宋体" w:cs="宋体"/>
          <w:highlight w:val="none"/>
          <w:lang w:val="en-US" w:eastAsia="zh-CN"/>
        </w:rPr>
        <w:t>小车形成限位器</w:t>
      </w:r>
      <w:r>
        <w:rPr>
          <w:rFonts w:hint="eastAsia" w:ascii="宋体" w:hAnsi="宋体" w:eastAsia="宋体" w:cs="宋体"/>
          <w:highlight w:val="none"/>
        </w:rPr>
        <w:t>，可保证</w:t>
      </w:r>
      <w:r>
        <w:rPr>
          <w:rFonts w:hint="eastAsia" w:ascii="宋体" w:hAnsi="宋体" w:eastAsia="宋体" w:cs="宋体"/>
          <w:highlight w:val="none"/>
          <w:lang w:val="en-US" w:eastAsia="zh-CN"/>
        </w:rPr>
        <w:t>小车行走到</w:t>
      </w:r>
      <w:r>
        <w:rPr>
          <w:rFonts w:hint="eastAsia" w:ascii="宋体" w:hAnsi="宋体" w:eastAsia="宋体" w:cs="宋体"/>
          <w:highlight w:val="none"/>
        </w:rPr>
        <w:t>到极限位置时切断电源，使主回路断电，从而达到减速和停车的目的，确保起重机的安全运行。</w:t>
      </w:r>
    </w:p>
    <w:p w14:paraId="136A4E0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w:t>
      </w:r>
      <w:r>
        <w:rPr>
          <w:rFonts w:hint="eastAsia" w:ascii="宋体" w:hAnsi="宋体" w:eastAsia="宋体" w:cs="宋体"/>
          <w:highlight w:val="none"/>
          <w:lang w:eastAsia="zh-CN"/>
        </w:rPr>
        <w:t>）</w:t>
      </w:r>
      <w:r>
        <w:rPr>
          <w:rFonts w:hint="eastAsia" w:ascii="宋体" w:hAnsi="宋体" w:eastAsia="宋体" w:cs="宋体"/>
          <w:highlight w:val="none"/>
          <w:lang w:val="en-US" w:eastAsia="zh-CN"/>
        </w:rPr>
        <w:t>起重力矩限制保护</w:t>
      </w:r>
    </w:p>
    <w:p w14:paraId="391EA5D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起升机构配置起重力矩限制器，具有报警功能，当载荷达到额定起重</w:t>
      </w:r>
      <w:r>
        <w:rPr>
          <w:rFonts w:hint="eastAsia" w:ascii="宋体" w:hAnsi="宋体" w:eastAsia="宋体" w:cs="宋体"/>
          <w:highlight w:val="none"/>
          <w:lang w:val="en-US" w:eastAsia="zh-CN"/>
        </w:rPr>
        <w:t>力矩</w:t>
      </w:r>
      <w:r>
        <w:rPr>
          <w:rFonts w:hint="eastAsia" w:ascii="宋体" w:hAnsi="宋体" w:eastAsia="宋体" w:cs="宋体"/>
          <w:highlight w:val="none"/>
        </w:rPr>
        <w:t>的90％时，能发出提示性报警信号，当起重量超过额定起重</w:t>
      </w:r>
      <w:r>
        <w:rPr>
          <w:rFonts w:hint="eastAsia" w:ascii="宋体" w:hAnsi="宋体" w:eastAsia="宋体" w:cs="宋体"/>
          <w:highlight w:val="none"/>
          <w:lang w:val="en-US" w:eastAsia="zh-CN"/>
        </w:rPr>
        <w:t>力矩</w:t>
      </w:r>
      <w:r>
        <w:rPr>
          <w:rFonts w:hint="eastAsia" w:ascii="宋体" w:hAnsi="宋体" w:eastAsia="宋体" w:cs="宋体"/>
          <w:highlight w:val="none"/>
        </w:rPr>
        <w:t>时，能自动切断起升动力源，并发出禁止性报警信号。</w:t>
      </w:r>
    </w:p>
    <w:p w14:paraId="46827F4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回转限位保护</w:t>
      </w:r>
    </w:p>
    <w:p w14:paraId="2134CBB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回转齿轮处设有回转限位保护器，当回转机构旋转到极限角度时</w:t>
      </w:r>
      <w:r>
        <w:rPr>
          <w:rFonts w:hint="eastAsia" w:ascii="宋体" w:hAnsi="宋体" w:eastAsia="宋体" w:cs="宋体"/>
          <w:highlight w:val="none"/>
        </w:rPr>
        <w:t>切断电源，使主回路断电，从而达到减速和停车的目的，确保起重机的安全运行。</w:t>
      </w:r>
    </w:p>
    <w:p w14:paraId="1250793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9</w:t>
      </w:r>
      <w:r>
        <w:rPr>
          <w:rFonts w:hint="eastAsia" w:ascii="宋体" w:hAnsi="宋体" w:eastAsia="宋体" w:cs="宋体"/>
          <w:highlight w:val="none"/>
          <w:lang w:eastAsia="zh-CN"/>
        </w:rPr>
        <w:t>）</w:t>
      </w:r>
      <w:r>
        <w:rPr>
          <w:rFonts w:hint="eastAsia" w:ascii="宋体" w:hAnsi="宋体" w:eastAsia="宋体" w:cs="宋体"/>
          <w:highlight w:val="none"/>
        </w:rPr>
        <w:t>门开关保护:</w:t>
      </w:r>
    </w:p>
    <w:p w14:paraId="40031F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进入起重机的门和桥架斜梯门上均设有安全开关。当其中任意一个安全开关断开时，总接触器即自动断开，可避免误入大车走台造成事故。大车上车门设联系按钮。</w:t>
      </w:r>
    </w:p>
    <w:p w14:paraId="652937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10</w:t>
      </w:r>
      <w:r>
        <w:rPr>
          <w:rFonts w:hint="eastAsia" w:ascii="宋体" w:hAnsi="宋体" w:eastAsia="宋体" w:cs="宋体"/>
          <w:highlight w:val="none"/>
          <w:lang w:eastAsia="zh-CN"/>
        </w:rPr>
        <w:t>）</w:t>
      </w:r>
      <w:r>
        <w:rPr>
          <w:rFonts w:hint="eastAsia" w:ascii="宋体" w:hAnsi="宋体" w:eastAsia="宋体" w:cs="宋体"/>
          <w:highlight w:val="none"/>
        </w:rPr>
        <w:t>控制柜,端子箱防护等级IP55，端子箱采用下部或侧部进线上部做防雨，</w:t>
      </w:r>
    </w:p>
    <w:p w14:paraId="534867D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槽盖加防脱落装置。</w:t>
      </w:r>
    </w:p>
    <w:p w14:paraId="75B9CCB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3</w:t>
      </w:r>
      <w:r>
        <w:rPr>
          <w:rFonts w:hint="eastAsia" w:ascii="宋体" w:hAnsi="宋体" w:eastAsia="宋体" w:cs="宋体"/>
          <w:highlight w:val="none"/>
          <w:lang w:eastAsia="zh-CN"/>
        </w:rPr>
        <w:t>）操纵方式:</w:t>
      </w:r>
    </w:p>
    <w:p w14:paraId="2D862BF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司机室设有总电源和控制电源开关状态信号指示灯。</w:t>
      </w:r>
    </w:p>
    <w:p w14:paraId="5B868EA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司机室设置交流220V电源插座及三相380V电源，备接其它电气设备。</w:t>
      </w:r>
    </w:p>
    <w:p w14:paraId="34B919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lang w:eastAsia="zh-CN"/>
        </w:rPr>
        <w:t>）</w:t>
      </w:r>
      <w:r>
        <w:rPr>
          <w:rFonts w:hint="eastAsia" w:ascii="宋体" w:hAnsi="宋体" w:eastAsia="宋体" w:cs="宋体"/>
          <w:highlight w:val="none"/>
        </w:rPr>
        <w:t>司机室设有36V插座，以便于检修作业。</w:t>
      </w:r>
    </w:p>
    <w:p w14:paraId="71FDD0E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lang w:eastAsia="zh-CN"/>
        </w:rPr>
        <w:t>）</w:t>
      </w:r>
      <w:r>
        <w:rPr>
          <w:rFonts w:hint="eastAsia" w:ascii="宋体" w:hAnsi="宋体" w:eastAsia="宋体" w:cs="宋体"/>
          <w:highlight w:val="none"/>
        </w:rPr>
        <w:t>司机室用交流220V/40W荧光灯具照明，以满足照度不低于200LX的要求。</w:t>
      </w:r>
    </w:p>
    <w:p w14:paraId="2565DC5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）照明信号:</w:t>
      </w:r>
    </w:p>
    <w:p w14:paraId="5462CBB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照明及信号部分设有专用的隔离变压器。原边进线电压为交流380V，副</w:t>
      </w:r>
    </w:p>
    <w:p w14:paraId="5B1229A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边出线电压为交流220V，交流36V。交流220V为起重机照明电源；交流36V为起重机安全信号和检修电源。照明变压器从主接触器上端引线，以保证主接触器断电时，照明回路不断电。</w:t>
      </w:r>
    </w:p>
    <w:p w14:paraId="7E3729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设有报警装置,开车时起提示作用，在司机室通过脚踏开关控制。</w:t>
      </w:r>
    </w:p>
    <w:p w14:paraId="69033E5D">
      <w:pPr>
        <w:pStyle w:val="4"/>
        <w:tabs>
          <w:tab w:val="left" w:pos="0"/>
          <w:tab w:val="left" w:pos="630"/>
        </w:tabs>
        <w:bidi w:val="0"/>
        <w:rPr>
          <w:rFonts w:hint="eastAsia" w:ascii="宋体" w:hAnsi="宋体" w:eastAsia="宋体" w:cs="宋体"/>
          <w:lang w:val="en-US" w:eastAsia="zh-CN"/>
        </w:rPr>
      </w:pPr>
      <w:bookmarkStart w:id="290" w:name="_Toc2591"/>
      <w:bookmarkStart w:id="291" w:name="_Toc2556"/>
      <w:bookmarkStart w:id="292" w:name="_Toc10409832"/>
      <w:r>
        <w:rPr>
          <w:rFonts w:hint="eastAsia" w:ascii="宋体" w:hAnsi="宋体" w:eastAsia="宋体" w:cs="宋体"/>
          <w:lang w:val="en-US" w:eastAsia="zh-CN"/>
        </w:rPr>
        <w:t>螺栓连接要求</w:t>
      </w:r>
      <w:bookmarkEnd w:id="290"/>
      <w:bookmarkEnd w:id="291"/>
      <w:bookmarkEnd w:id="292"/>
    </w:p>
    <w:p w14:paraId="3C77A7C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钢结构采用高强度螺栓完成构件的连接时，其连接接头应符合JGJ82的规定。</w:t>
      </w:r>
    </w:p>
    <w:p w14:paraId="32DB6F5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大六角头高强度螺栓接头所用螺栓、螺母、垫圈及其技术要求应分别符合GB/T1228-2006、GB/T1229-2006、GB/T1230-2006、GB/T1231-2006的规定。</w:t>
      </w:r>
    </w:p>
    <w:p w14:paraId="4BB87C60">
      <w:pPr>
        <w:pStyle w:val="4"/>
        <w:tabs>
          <w:tab w:val="left" w:pos="0"/>
          <w:tab w:val="left" w:pos="630"/>
        </w:tabs>
        <w:bidi w:val="0"/>
        <w:rPr>
          <w:rFonts w:hint="eastAsia" w:ascii="宋体" w:hAnsi="宋体" w:eastAsia="宋体" w:cs="宋体"/>
          <w:lang w:val="en-US" w:eastAsia="zh-CN"/>
        </w:rPr>
      </w:pPr>
      <w:bookmarkStart w:id="293" w:name="_Toc10409833"/>
      <w:bookmarkStart w:id="294" w:name="_Toc384"/>
      <w:bookmarkStart w:id="295" w:name="_Toc5943"/>
      <w:r>
        <w:rPr>
          <w:rFonts w:hint="eastAsia" w:ascii="宋体" w:hAnsi="宋体" w:eastAsia="宋体" w:cs="宋体"/>
          <w:lang w:val="en-US" w:eastAsia="zh-CN"/>
        </w:rPr>
        <w:t>防雷接地要求</w:t>
      </w:r>
      <w:bookmarkEnd w:id="293"/>
      <w:bookmarkEnd w:id="294"/>
      <w:bookmarkEnd w:id="295"/>
    </w:p>
    <w:p w14:paraId="327C73C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）起重机的接地：</w:t>
      </w:r>
    </w:p>
    <w:p w14:paraId="45EBAD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起重机的金属结构及所有电气设备的金属外壳，电缆金属外皮和变压器</w:t>
      </w:r>
    </w:p>
    <w:p w14:paraId="6D4AFF7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的低压侧均有可靠的接地。</w:t>
      </w:r>
    </w:p>
    <w:p w14:paraId="1BC5862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接地线连接用不小于150mm2扁钢或10 mm2的铜线，用焊接法连接。</w:t>
      </w:r>
    </w:p>
    <w:p w14:paraId="705F08F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2</w:t>
      </w:r>
      <w:r>
        <w:rPr>
          <w:rFonts w:hint="eastAsia" w:ascii="宋体" w:hAnsi="宋体" w:eastAsia="宋体" w:cs="宋体"/>
          <w:highlight w:val="none"/>
          <w:lang w:eastAsia="zh-CN"/>
        </w:rPr>
        <w:t>）接地方式</w:t>
      </w:r>
    </w:p>
    <w:p w14:paraId="1A59888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采用长2.3米截面积为150mm2的钢管埋入地下2.5米处，再用50×5mm2镀锌扁钢充分焊接引出地表作接地母线，最后采用10mm2多股铜导线连接</w:t>
      </w:r>
      <w:r>
        <w:rPr>
          <w:rFonts w:hint="eastAsia" w:ascii="宋体" w:hAnsi="宋体" w:eastAsia="宋体" w:cs="宋体"/>
          <w:highlight w:val="none"/>
          <w:lang w:val="en-US" w:eastAsia="zh-CN"/>
        </w:rPr>
        <w:t>加强标准节底部</w:t>
      </w:r>
      <w:r>
        <w:rPr>
          <w:rFonts w:hint="eastAsia" w:ascii="宋体" w:hAnsi="宋体" w:eastAsia="宋体" w:cs="宋体"/>
          <w:highlight w:val="none"/>
        </w:rPr>
        <w:t>与接地母线。</w:t>
      </w:r>
    </w:p>
    <w:p w14:paraId="3BA4BEA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3</w:t>
      </w:r>
      <w:r>
        <w:rPr>
          <w:rFonts w:hint="eastAsia" w:ascii="宋体" w:hAnsi="宋体" w:eastAsia="宋体" w:cs="宋体"/>
          <w:highlight w:val="none"/>
          <w:lang w:eastAsia="zh-CN"/>
        </w:rPr>
        <w:t>）防雷接地具体内容：</w:t>
      </w:r>
    </w:p>
    <w:p w14:paraId="61C2E09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防雷接地装置由接闪器、引下线、接地装置组成。</w:t>
      </w:r>
    </w:p>
    <w:p w14:paraId="01BA659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建筑物内的设备、管道构架等主要金属物和防侧击雷的门窗、栏杆以及</w:t>
      </w:r>
    </w:p>
    <w:p w14:paraId="0A6F1A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屋面的金属物体必须接地焊接。</w:t>
      </w:r>
    </w:p>
    <w:p w14:paraId="43F60E5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lang w:eastAsia="zh-CN"/>
        </w:rPr>
        <w:t>）</w:t>
      </w:r>
      <w:r>
        <w:rPr>
          <w:rFonts w:hint="eastAsia" w:ascii="宋体" w:hAnsi="宋体" w:eastAsia="宋体" w:cs="宋体"/>
          <w:highlight w:val="none"/>
        </w:rPr>
        <w:t>防雷接地体应采取焊接方法：</w:t>
      </w:r>
    </w:p>
    <w:p w14:paraId="4BD8FD4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lang w:eastAsia="zh-CN"/>
        </w:rPr>
        <w:t>）</w:t>
      </w:r>
      <w:r>
        <w:rPr>
          <w:rFonts w:hint="eastAsia" w:ascii="宋体" w:hAnsi="宋体" w:eastAsia="宋体" w:cs="宋体"/>
          <w:highlight w:val="none"/>
        </w:rPr>
        <w:t>使用金属管作接地体时应在其串接部位焊接角形金属跨接线；</w:t>
      </w:r>
    </w:p>
    <w:p w14:paraId="4B2724B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lang w:eastAsia="zh-CN"/>
        </w:rPr>
        <w:t>）</w:t>
      </w:r>
      <w:r>
        <w:rPr>
          <w:rFonts w:hint="eastAsia" w:ascii="宋体" w:hAnsi="宋体" w:eastAsia="宋体" w:cs="宋体"/>
          <w:highlight w:val="none"/>
        </w:rPr>
        <w:t>钢筋与钢筋交叉要用一条短圆钢进行跨接焊接，焊接长度不小于圆钢直</w:t>
      </w:r>
    </w:p>
    <w:p w14:paraId="63FD436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径的6倍，圆钢同扁钢的焊接必须进行三面焊接；</w:t>
      </w:r>
    </w:p>
    <w:p w14:paraId="48FB127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6</w:t>
      </w:r>
      <w:r>
        <w:rPr>
          <w:rFonts w:hint="eastAsia" w:ascii="宋体" w:hAnsi="宋体" w:eastAsia="宋体" w:cs="宋体"/>
          <w:highlight w:val="none"/>
          <w:lang w:eastAsia="zh-CN"/>
        </w:rPr>
        <w:t>）</w:t>
      </w:r>
      <w:r>
        <w:rPr>
          <w:rFonts w:hint="eastAsia" w:ascii="宋体" w:hAnsi="宋体" w:eastAsia="宋体" w:cs="宋体"/>
          <w:highlight w:val="none"/>
        </w:rPr>
        <w:t>焊接处焊缝应饱满，要有足够的机械强度，不得有灰渣，咬肉裂纹虚焊</w:t>
      </w:r>
    </w:p>
    <w:p w14:paraId="31AFFD2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气孔等缺陷，焊接处的药皮应敲净。 接地体采取搭焊接时。其搭接长度必须符合以下要求：①扁钢为其宽的2倍以上；（三个棱边焊接）②圆钢为其直径的6倍以上；（双面焊接）③圆钢和扁钢连接，其长度为圆钢直径的6倍。（三面焊接）。</w:t>
      </w:r>
    </w:p>
    <w:p w14:paraId="626E6CD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lang w:val="en-US" w:eastAsia="zh-CN"/>
        </w:rPr>
        <w:t>7</w:t>
      </w:r>
      <w:r>
        <w:rPr>
          <w:rFonts w:hint="eastAsia" w:ascii="宋体" w:hAnsi="宋体" w:eastAsia="宋体" w:cs="宋体"/>
          <w:highlight w:val="none"/>
          <w:lang w:eastAsia="zh-CN"/>
        </w:rPr>
        <w:t>）</w:t>
      </w:r>
      <w:r>
        <w:rPr>
          <w:rFonts w:hint="eastAsia" w:ascii="宋体" w:hAnsi="宋体" w:eastAsia="宋体" w:cs="宋体"/>
          <w:highlight w:val="none"/>
        </w:rPr>
        <w:t>人工接地体应采用圆钢、扁钢、角钢、钢管等金属材料，必须符合以下</w:t>
      </w:r>
    </w:p>
    <w:p w14:paraId="0EDB80E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rPr>
      </w:pPr>
      <w:r>
        <w:rPr>
          <w:rFonts w:hint="eastAsia" w:ascii="宋体" w:hAnsi="宋体" w:eastAsia="宋体" w:cs="宋体"/>
          <w:highlight w:val="none"/>
        </w:rPr>
        <w:t>要求：①圆钢直径不小于10mm；②扁钢截面不小于100平方毫米，厚度不小于4毫米；③角钢厚度不小于4毫米；④钢管壁厚不小于3.5毫米。</w:t>
      </w:r>
    </w:p>
    <w:p w14:paraId="3EDD91C0">
      <w:pPr>
        <w:pStyle w:val="3"/>
        <w:bidi w:val="0"/>
        <w:rPr>
          <w:rFonts w:hint="eastAsia" w:ascii="宋体" w:hAnsi="宋体" w:eastAsia="宋体" w:cs="宋体"/>
          <w:highlight w:val="none"/>
          <w:lang w:val="en-US" w:eastAsia="zh-CN"/>
        </w:rPr>
      </w:pPr>
      <w:bookmarkStart w:id="296" w:name="_Toc20850"/>
      <w:bookmarkStart w:id="297" w:name="_Toc10753"/>
      <w:bookmarkStart w:id="298" w:name="_Toc26449"/>
      <w:bookmarkStart w:id="299" w:name="_Toc1603"/>
      <w:r>
        <w:rPr>
          <w:rFonts w:hint="eastAsia" w:ascii="宋体" w:hAnsi="宋体" w:eastAsia="宋体" w:cs="宋体"/>
          <w:highlight w:val="none"/>
          <w:lang w:val="en-US" w:eastAsia="zh-CN"/>
        </w:rPr>
        <w:t>验收程序</w:t>
      </w:r>
      <w:bookmarkEnd w:id="296"/>
      <w:bookmarkEnd w:id="297"/>
      <w:bookmarkEnd w:id="298"/>
      <w:bookmarkEnd w:id="299"/>
    </w:p>
    <w:p w14:paraId="37F5B003">
      <w:pPr>
        <w:pStyle w:val="4"/>
        <w:tabs>
          <w:tab w:val="left" w:pos="0"/>
          <w:tab w:val="left" w:pos="630"/>
        </w:tabs>
        <w:bidi w:val="0"/>
        <w:rPr>
          <w:rFonts w:hint="eastAsia" w:ascii="宋体" w:hAnsi="宋体" w:eastAsia="宋体" w:cs="宋体"/>
          <w:lang w:val="en-US" w:eastAsia="zh-CN"/>
        </w:rPr>
      </w:pPr>
      <w:bookmarkStart w:id="300" w:name="_Toc1331"/>
      <w:bookmarkStart w:id="301" w:name="_Toc7558"/>
      <w:r>
        <w:rPr>
          <w:rFonts w:hint="eastAsia" w:ascii="宋体" w:hAnsi="宋体" w:eastAsia="宋体" w:cs="宋体"/>
          <w:lang w:val="en-US" w:eastAsia="zh-CN"/>
        </w:rPr>
        <w:t>材料、机械设备退场验收</w:t>
      </w:r>
      <w:bookmarkEnd w:id="300"/>
      <w:bookmarkEnd w:id="301"/>
    </w:p>
    <w:p w14:paraId="39A93149">
      <w:pPr>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（1）材料退场前，由项目经理部试验室通知总监办现场见证取样。</w:t>
      </w:r>
    </w:p>
    <w:p w14:paraId="7279CE9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（2）机械设备退场前，由项目经理部物设部通知总监办进行现场验收，根据施工合同及方案要求，结合以往施工经验与现场实际情况，对设备型号、产品合格证、新旧程度、出厂合格证等进行查验。</w:t>
      </w:r>
    </w:p>
    <w:p w14:paraId="19FA3CA9">
      <w:pPr>
        <w:pStyle w:val="4"/>
        <w:keepNext w:val="0"/>
        <w:keepLines w:val="0"/>
        <w:pageBreakBefore w:val="0"/>
        <w:widowControl w:val="0"/>
        <w:tabs>
          <w:tab w:val="left" w:pos="0"/>
          <w:tab w:val="left" w:pos="630"/>
        </w:tabs>
        <w:kinsoku/>
        <w:wordWrap/>
        <w:overflowPunct/>
        <w:topLinePunct w:val="0"/>
        <w:autoSpaceDE/>
        <w:autoSpaceDN/>
        <w:bidi w:val="0"/>
        <w:adjustRightInd/>
        <w:snapToGrid/>
        <w:textAlignment w:val="auto"/>
        <w:rPr>
          <w:rFonts w:hint="eastAsia" w:ascii="宋体" w:hAnsi="宋体" w:eastAsia="宋体" w:cs="宋体"/>
          <w:lang w:val="en-US" w:eastAsia="zh-CN"/>
        </w:rPr>
      </w:pPr>
      <w:bookmarkStart w:id="302" w:name="_Toc13463"/>
      <w:bookmarkStart w:id="303" w:name="_Toc27574"/>
      <w:r>
        <w:rPr>
          <w:rFonts w:hint="eastAsia" w:ascii="宋体" w:hAnsi="宋体" w:eastAsia="宋体" w:cs="宋体"/>
          <w:lang w:val="en-US" w:eastAsia="zh-CN"/>
        </w:rPr>
        <w:t>施工过程验收程序</w:t>
      </w:r>
      <w:bookmarkEnd w:id="302"/>
      <w:bookmarkEnd w:id="303"/>
    </w:p>
    <w:p w14:paraId="1458D76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highlight w:val="none"/>
        </w:rPr>
      </w:pPr>
      <w:r>
        <w:rPr>
          <w:rFonts w:hint="eastAsia" w:ascii="宋体" w:hAnsi="宋体" w:eastAsia="宋体" w:cs="宋体"/>
          <w:highlight w:val="none"/>
        </w:rPr>
        <w:drawing>
          <wp:inline distT="0" distB="0" distL="114300" distR="114300">
            <wp:extent cx="3460115" cy="2945765"/>
            <wp:effectExtent l="0" t="0" r="6985" b="6985"/>
            <wp:docPr id="29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8"/>
                    <pic:cNvPicPr>
                      <a:picLocks noChangeAspect="1"/>
                    </pic:cNvPicPr>
                  </pic:nvPicPr>
                  <pic:blipFill>
                    <a:blip r:embed="rId58"/>
                    <a:stretch>
                      <a:fillRect/>
                    </a:stretch>
                  </pic:blipFill>
                  <pic:spPr>
                    <a:xfrm>
                      <a:off x="0" y="0"/>
                      <a:ext cx="3460115" cy="2945765"/>
                    </a:xfrm>
                    <a:prstGeom prst="rect">
                      <a:avLst/>
                    </a:prstGeom>
                    <a:noFill/>
                    <a:ln>
                      <a:noFill/>
                    </a:ln>
                  </pic:spPr>
                </pic:pic>
              </a:graphicData>
            </a:graphic>
          </wp:inline>
        </w:drawing>
      </w:r>
    </w:p>
    <w:p w14:paraId="58F3B5E8">
      <w:pPr>
        <w:pStyle w:val="14"/>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图9.2.2-</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SEQ 图10- \* ARABIC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lang w:val="en-US" w:eastAsia="zh-CN"/>
        </w:rPr>
        <w:t>1</w:t>
      </w:r>
      <w:r>
        <w:rPr>
          <w:rFonts w:hint="eastAsia" w:ascii="宋体" w:hAnsi="宋体" w:eastAsia="宋体" w:cs="宋体"/>
          <w:highlight w:val="none"/>
          <w:lang w:val="en-US" w:eastAsia="zh-CN"/>
        </w:rPr>
        <w:fldChar w:fldCharType="end"/>
      </w:r>
      <w:r>
        <w:rPr>
          <w:rFonts w:hint="eastAsia" w:ascii="宋体" w:hAnsi="宋体" w:eastAsia="宋体" w:cs="宋体"/>
          <w:highlight w:val="none"/>
          <w:lang w:val="en-US" w:eastAsia="zh-CN"/>
        </w:rPr>
        <w:t>施工过程验收程序</w:t>
      </w:r>
    </w:p>
    <w:p w14:paraId="42BEA5BC">
      <w:pPr>
        <w:pStyle w:val="4"/>
        <w:tabs>
          <w:tab w:val="left" w:pos="0"/>
          <w:tab w:val="left" w:pos="630"/>
        </w:tabs>
        <w:bidi w:val="0"/>
        <w:rPr>
          <w:rFonts w:hint="eastAsia" w:ascii="宋体" w:hAnsi="宋体" w:eastAsia="宋体" w:cs="宋体"/>
          <w:lang w:val="en-US" w:eastAsia="zh-CN"/>
        </w:rPr>
      </w:pPr>
      <w:bookmarkStart w:id="304" w:name="_Toc20006"/>
      <w:bookmarkStart w:id="305" w:name="_Toc8373"/>
      <w:r>
        <w:rPr>
          <w:rFonts w:hint="eastAsia" w:ascii="宋体" w:hAnsi="宋体" w:eastAsia="宋体" w:cs="宋体"/>
          <w:lang w:val="en-US" w:eastAsia="zh-CN"/>
        </w:rPr>
        <w:t>作业中起吊、运行、拆除的设备与被吊物前期验收</w:t>
      </w:r>
      <w:bookmarkEnd w:id="304"/>
      <w:bookmarkEnd w:id="305"/>
    </w:p>
    <w:p w14:paraId="1DFEE12C">
      <w:pPr>
        <w:pStyle w:val="42"/>
        <w:bidi w:val="0"/>
        <w:rPr>
          <w:rFonts w:hint="eastAsia" w:ascii="宋体" w:hAnsi="宋体" w:eastAsia="宋体" w:cs="宋体"/>
          <w:highlight w:val="none"/>
          <w:lang w:val="en-US" w:eastAsia="zh-CN"/>
        </w:rPr>
      </w:pPr>
      <w:r>
        <w:rPr>
          <w:rFonts w:hint="eastAsia" w:ascii="宋体" w:hAnsi="宋体" w:eastAsia="宋体" w:cs="宋体"/>
          <w:highlight w:val="none"/>
        </w:rPr>
        <w:t>表</w:t>
      </w:r>
      <w:r>
        <w:rPr>
          <w:rFonts w:hint="eastAsia" w:ascii="宋体" w:hAnsi="宋体" w:eastAsia="宋体" w:cs="宋体"/>
          <w:highlight w:val="none"/>
          <w:lang w:val="en-US" w:eastAsia="zh-CN"/>
        </w:rPr>
        <w:t>9.2.3-1</w:t>
      </w:r>
      <w:r>
        <w:rPr>
          <w:rFonts w:hint="eastAsia" w:ascii="宋体" w:hAnsi="宋体" w:eastAsia="宋体" w:cs="宋体"/>
          <w:highlight w:val="none"/>
        </w:rPr>
        <w:t>作业中起吊、</w:t>
      </w:r>
      <w:r>
        <w:rPr>
          <w:rFonts w:hint="eastAsia" w:ascii="宋体" w:hAnsi="宋体" w:eastAsia="宋体" w:cs="宋体"/>
          <w:highlight w:val="none"/>
          <w:lang w:val="en-US" w:eastAsia="zh-CN"/>
        </w:rPr>
        <w:t>拆除</w:t>
      </w:r>
      <w:r>
        <w:rPr>
          <w:rFonts w:hint="eastAsia" w:ascii="宋体" w:hAnsi="宋体" w:eastAsia="宋体" w:cs="宋体"/>
          <w:highlight w:val="none"/>
        </w:rPr>
        <w:t>的设备与被吊物前期验收</w:t>
      </w:r>
    </w:p>
    <w:tbl>
      <w:tblPr>
        <w:tblStyle w:val="29"/>
        <w:tblW w:w="5065" w:type="pct"/>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autofit"/>
        <w:tblCellMar>
          <w:top w:w="0" w:type="dxa"/>
          <w:left w:w="108" w:type="dxa"/>
          <w:bottom w:w="0" w:type="dxa"/>
          <w:right w:w="108" w:type="dxa"/>
        </w:tblCellMar>
      </w:tblPr>
      <w:tblGrid>
        <w:gridCol w:w="678"/>
        <w:gridCol w:w="1791"/>
        <w:gridCol w:w="6164"/>
      </w:tblGrid>
      <w:tr w14:paraId="2FBA4665">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tblHeader/>
          <w:jc w:val="center"/>
        </w:trPr>
        <w:tc>
          <w:tcPr>
            <w:tcW w:w="393" w:type="pct"/>
            <w:tcBorders>
              <w:tl2br w:val="nil"/>
              <w:tr2bl w:val="nil"/>
            </w:tcBorders>
            <w:shd w:val="clear" w:color="auto" w:fill="DAE3F3" w:themeFill="accent5" w:themeFillTint="32"/>
            <w:noWrap w:val="0"/>
            <w:vAlign w:val="center"/>
          </w:tcPr>
          <w:p w14:paraId="6419488B">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序号</w:t>
            </w:r>
          </w:p>
        </w:tc>
        <w:tc>
          <w:tcPr>
            <w:tcW w:w="1037" w:type="pct"/>
            <w:tcBorders>
              <w:tl2br w:val="nil"/>
              <w:tr2bl w:val="nil"/>
            </w:tcBorders>
            <w:shd w:val="clear" w:color="auto" w:fill="DAE3F3" w:themeFill="accent5" w:themeFillTint="32"/>
            <w:noWrap w:val="0"/>
            <w:vAlign w:val="center"/>
          </w:tcPr>
          <w:p w14:paraId="3FC48D53">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验收项目</w:t>
            </w:r>
          </w:p>
        </w:tc>
        <w:tc>
          <w:tcPr>
            <w:tcW w:w="3569" w:type="pct"/>
            <w:tcBorders>
              <w:tl2br w:val="nil"/>
              <w:tr2bl w:val="nil"/>
            </w:tcBorders>
            <w:shd w:val="clear" w:color="auto" w:fill="DAE3F3" w:themeFill="accent5" w:themeFillTint="32"/>
            <w:noWrap w:val="0"/>
            <w:vAlign w:val="center"/>
          </w:tcPr>
          <w:p w14:paraId="3E60FC26">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技   术   要   求</w:t>
            </w:r>
          </w:p>
        </w:tc>
      </w:tr>
      <w:tr w14:paraId="5C7C8AF1">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393" w:type="pct"/>
            <w:tcBorders>
              <w:tl2br w:val="nil"/>
              <w:tr2bl w:val="nil"/>
            </w:tcBorders>
            <w:noWrap w:val="0"/>
            <w:vAlign w:val="center"/>
          </w:tcPr>
          <w:p w14:paraId="18E3329A">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1037" w:type="pct"/>
            <w:tcBorders>
              <w:tl2br w:val="nil"/>
              <w:tr2bl w:val="nil"/>
            </w:tcBorders>
            <w:noWrap w:val="0"/>
            <w:vAlign w:val="center"/>
          </w:tcPr>
          <w:p w14:paraId="2408EEFC">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起重机械</w:t>
            </w:r>
          </w:p>
        </w:tc>
        <w:tc>
          <w:tcPr>
            <w:tcW w:w="3569" w:type="pct"/>
            <w:tcBorders>
              <w:tl2br w:val="nil"/>
              <w:tr2bl w:val="nil"/>
            </w:tcBorders>
            <w:noWrap w:val="0"/>
            <w:vAlign w:val="center"/>
          </w:tcPr>
          <w:p w14:paraId="123A6EF3">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起重机有可靠有效的超高限位器和力矩限制器，吊钩有保险装置，起重机和起重扒杆作业前应进行试吊。</w:t>
            </w:r>
          </w:p>
        </w:tc>
      </w:tr>
      <w:tr w14:paraId="199AD1C9">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393" w:type="pct"/>
            <w:tcBorders>
              <w:tl2br w:val="nil"/>
              <w:tr2bl w:val="nil"/>
            </w:tcBorders>
            <w:noWrap w:val="0"/>
            <w:vAlign w:val="center"/>
          </w:tcPr>
          <w:p w14:paraId="2800209C">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1037" w:type="pct"/>
            <w:tcBorders>
              <w:tl2br w:val="nil"/>
              <w:tr2bl w:val="nil"/>
            </w:tcBorders>
            <w:noWrap w:val="0"/>
            <w:vAlign w:val="center"/>
          </w:tcPr>
          <w:p w14:paraId="4955E367">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钢丝器与地锚</w:t>
            </w:r>
          </w:p>
        </w:tc>
        <w:tc>
          <w:tcPr>
            <w:tcW w:w="3569" w:type="pct"/>
            <w:tcBorders>
              <w:tl2br w:val="nil"/>
              <w:tr2bl w:val="nil"/>
            </w:tcBorders>
            <w:noWrap w:val="0"/>
            <w:vAlign w:val="center"/>
          </w:tcPr>
          <w:p w14:paraId="216FCB5B">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钢丝绳必须符合有关要求，磨损、断线不得超标。缆风绳安全系数必须大于3.5，滑轮、地锚的设置符合方案要求。</w:t>
            </w:r>
          </w:p>
        </w:tc>
      </w:tr>
      <w:tr w14:paraId="6FF583F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393" w:type="pct"/>
            <w:tcBorders>
              <w:tl2br w:val="nil"/>
              <w:tr2bl w:val="nil"/>
            </w:tcBorders>
            <w:noWrap w:val="0"/>
            <w:vAlign w:val="center"/>
          </w:tcPr>
          <w:p w14:paraId="03F12080">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1037" w:type="pct"/>
            <w:tcBorders>
              <w:tl2br w:val="nil"/>
              <w:tr2bl w:val="nil"/>
            </w:tcBorders>
            <w:noWrap w:val="0"/>
            <w:vAlign w:val="center"/>
          </w:tcPr>
          <w:p w14:paraId="00A201D3">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吊   装</w:t>
            </w:r>
          </w:p>
        </w:tc>
        <w:tc>
          <w:tcPr>
            <w:tcW w:w="3569" w:type="pct"/>
            <w:tcBorders>
              <w:tl2br w:val="nil"/>
              <w:tr2bl w:val="nil"/>
            </w:tcBorders>
            <w:noWrap w:val="0"/>
            <w:vAlign w:val="center"/>
          </w:tcPr>
          <w:p w14:paraId="2D8CEB9A">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起重吊点符合设计规定，所用的索具、钢丝绳规格、型号、绳径倍数须符合规范要求。</w:t>
            </w:r>
          </w:p>
        </w:tc>
      </w:tr>
      <w:tr w14:paraId="5BAA25A4">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393" w:type="pct"/>
            <w:tcBorders>
              <w:tl2br w:val="nil"/>
              <w:tr2bl w:val="nil"/>
            </w:tcBorders>
            <w:noWrap w:val="0"/>
            <w:vAlign w:val="center"/>
          </w:tcPr>
          <w:p w14:paraId="098934B9">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1037" w:type="pct"/>
            <w:tcBorders>
              <w:tl2br w:val="nil"/>
              <w:tr2bl w:val="nil"/>
            </w:tcBorders>
            <w:noWrap w:val="0"/>
            <w:vAlign w:val="center"/>
          </w:tcPr>
          <w:p w14:paraId="1F57FF8A">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吊装指挥</w:t>
            </w:r>
          </w:p>
        </w:tc>
        <w:tc>
          <w:tcPr>
            <w:tcW w:w="3569" w:type="pct"/>
            <w:tcBorders>
              <w:tl2br w:val="nil"/>
              <w:tr2bl w:val="nil"/>
            </w:tcBorders>
            <w:noWrap w:val="0"/>
            <w:vAlign w:val="center"/>
          </w:tcPr>
          <w:p w14:paraId="34E46870">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高处作业应有可靠的信号传递。</w:t>
            </w:r>
          </w:p>
        </w:tc>
      </w:tr>
      <w:tr w14:paraId="61646755">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393" w:type="pct"/>
            <w:tcBorders>
              <w:tl2br w:val="nil"/>
              <w:tr2bl w:val="nil"/>
            </w:tcBorders>
            <w:noWrap w:val="0"/>
            <w:vAlign w:val="center"/>
          </w:tcPr>
          <w:p w14:paraId="36AE53D4">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1037" w:type="pct"/>
            <w:tcBorders>
              <w:tl2br w:val="nil"/>
              <w:tr2bl w:val="nil"/>
            </w:tcBorders>
            <w:noWrap w:val="0"/>
            <w:vAlign w:val="center"/>
          </w:tcPr>
          <w:p w14:paraId="46015AF0">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地耐力</w:t>
            </w:r>
          </w:p>
        </w:tc>
        <w:tc>
          <w:tcPr>
            <w:tcW w:w="3569" w:type="pct"/>
            <w:tcBorders>
              <w:tl2br w:val="nil"/>
              <w:tr2bl w:val="nil"/>
            </w:tcBorders>
            <w:noWrap w:val="0"/>
            <w:vAlign w:val="center"/>
          </w:tcPr>
          <w:p w14:paraId="330D1F05">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起重机作业路面的地耐力必须符合说明书要求，如达不到要求应采取相应的铺垫加强措施。</w:t>
            </w:r>
          </w:p>
        </w:tc>
      </w:tr>
      <w:tr w14:paraId="420D7689">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393" w:type="pct"/>
            <w:tcBorders>
              <w:tl2br w:val="nil"/>
              <w:tr2bl w:val="nil"/>
            </w:tcBorders>
            <w:noWrap w:val="0"/>
            <w:vAlign w:val="center"/>
          </w:tcPr>
          <w:p w14:paraId="1DBCAC87">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1037" w:type="pct"/>
            <w:tcBorders>
              <w:tl2br w:val="nil"/>
              <w:tr2bl w:val="nil"/>
            </w:tcBorders>
            <w:noWrap w:val="0"/>
            <w:vAlign w:val="center"/>
          </w:tcPr>
          <w:p w14:paraId="1866F552">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起重作业</w:t>
            </w:r>
          </w:p>
        </w:tc>
        <w:tc>
          <w:tcPr>
            <w:tcW w:w="3569" w:type="pct"/>
            <w:tcBorders>
              <w:tl2br w:val="nil"/>
              <w:tr2bl w:val="nil"/>
            </w:tcBorders>
            <w:noWrap w:val="0"/>
            <w:vAlign w:val="center"/>
          </w:tcPr>
          <w:p w14:paraId="5266EE26">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被吊物件应明确重量，不得不明吊重或超载作业。</w:t>
            </w:r>
          </w:p>
        </w:tc>
      </w:tr>
      <w:tr w14:paraId="15399793">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393" w:type="pct"/>
            <w:tcBorders>
              <w:tl2br w:val="nil"/>
              <w:tr2bl w:val="nil"/>
            </w:tcBorders>
            <w:noWrap w:val="0"/>
            <w:vAlign w:val="center"/>
          </w:tcPr>
          <w:p w14:paraId="6866AF58">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7</w:t>
            </w:r>
          </w:p>
        </w:tc>
        <w:tc>
          <w:tcPr>
            <w:tcW w:w="1037" w:type="pct"/>
            <w:tcBorders>
              <w:tl2br w:val="nil"/>
              <w:tr2bl w:val="nil"/>
            </w:tcBorders>
            <w:noWrap w:val="0"/>
            <w:vAlign w:val="center"/>
          </w:tcPr>
          <w:p w14:paraId="63D8F144">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高处作业</w:t>
            </w:r>
          </w:p>
        </w:tc>
        <w:tc>
          <w:tcPr>
            <w:tcW w:w="3569" w:type="pct"/>
            <w:tcBorders>
              <w:tl2br w:val="nil"/>
              <w:tr2bl w:val="nil"/>
            </w:tcBorders>
            <w:noWrap w:val="0"/>
            <w:vAlign w:val="center"/>
          </w:tcPr>
          <w:p w14:paraId="53A2EB7E">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吊装作业必须设置防坠落措施，作业人员应系安全事实工悬挂牢固、可靠，人员上下应设置人员专用爬梯、斜道。</w:t>
            </w:r>
          </w:p>
        </w:tc>
      </w:tr>
      <w:tr w14:paraId="1F036114">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393" w:type="pct"/>
            <w:tcBorders>
              <w:tl2br w:val="nil"/>
              <w:tr2bl w:val="nil"/>
            </w:tcBorders>
            <w:noWrap w:val="0"/>
            <w:vAlign w:val="center"/>
          </w:tcPr>
          <w:p w14:paraId="27F13E7E">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8</w:t>
            </w:r>
          </w:p>
        </w:tc>
        <w:tc>
          <w:tcPr>
            <w:tcW w:w="1037" w:type="pct"/>
            <w:tcBorders>
              <w:tl2br w:val="nil"/>
              <w:tr2bl w:val="nil"/>
            </w:tcBorders>
            <w:noWrap w:val="0"/>
            <w:vAlign w:val="center"/>
          </w:tcPr>
          <w:p w14:paraId="75F8C9ED">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作业平台</w:t>
            </w:r>
          </w:p>
        </w:tc>
        <w:tc>
          <w:tcPr>
            <w:tcW w:w="3569" w:type="pct"/>
            <w:tcBorders>
              <w:tl2br w:val="nil"/>
              <w:tr2bl w:val="nil"/>
            </w:tcBorders>
            <w:noWrap w:val="0"/>
            <w:vAlign w:val="center"/>
          </w:tcPr>
          <w:p w14:paraId="74372FB4">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起重吊装作业人员须有可行的立足点，作业平台应坚实，牢固、单独支撑，底板应用4厘米厚以上木板或防滑钢板铺设，临边防护应符合要求。</w:t>
            </w:r>
          </w:p>
        </w:tc>
      </w:tr>
      <w:tr w14:paraId="41105C43">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393" w:type="pct"/>
            <w:tcBorders>
              <w:tl2br w:val="nil"/>
              <w:tr2bl w:val="nil"/>
            </w:tcBorders>
            <w:noWrap w:val="0"/>
            <w:vAlign w:val="center"/>
          </w:tcPr>
          <w:p w14:paraId="58698020">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9</w:t>
            </w:r>
          </w:p>
        </w:tc>
        <w:tc>
          <w:tcPr>
            <w:tcW w:w="1037" w:type="pct"/>
            <w:tcBorders>
              <w:tl2br w:val="nil"/>
              <w:tr2bl w:val="nil"/>
            </w:tcBorders>
            <w:noWrap w:val="0"/>
            <w:vAlign w:val="center"/>
          </w:tcPr>
          <w:p w14:paraId="19B0F54D">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构件堆放</w:t>
            </w:r>
          </w:p>
        </w:tc>
        <w:tc>
          <w:tcPr>
            <w:tcW w:w="3569" w:type="pct"/>
            <w:tcBorders>
              <w:tl2br w:val="nil"/>
              <w:tr2bl w:val="nil"/>
            </w:tcBorders>
            <w:noWrap w:val="0"/>
            <w:vAlign w:val="center"/>
          </w:tcPr>
          <w:p w14:paraId="05D488D4">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构件堆放应整齐，楼板堆放不得超过1.6米，其它构件堆放不得超过有关规定，大型构件堆放应有稳固措施。</w:t>
            </w:r>
          </w:p>
        </w:tc>
      </w:tr>
      <w:tr w14:paraId="2EA9288B">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393" w:type="pct"/>
            <w:tcBorders>
              <w:tl2br w:val="nil"/>
              <w:tr2bl w:val="nil"/>
            </w:tcBorders>
            <w:noWrap w:val="0"/>
            <w:vAlign w:val="center"/>
          </w:tcPr>
          <w:p w14:paraId="13BE6513">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10</w:t>
            </w:r>
          </w:p>
        </w:tc>
        <w:tc>
          <w:tcPr>
            <w:tcW w:w="1037" w:type="pct"/>
            <w:tcBorders>
              <w:tl2br w:val="nil"/>
              <w:tr2bl w:val="nil"/>
            </w:tcBorders>
            <w:noWrap w:val="0"/>
            <w:vAlign w:val="center"/>
          </w:tcPr>
          <w:p w14:paraId="2A5D0418">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警   戒</w:t>
            </w:r>
          </w:p>
        </w:tc>
        <w:tc>
          <w:tcPr>
            <w:tcW w:w="3569" w:type="pct"/>
            <w:tcBorders>
              <w:tl2br w:val="nil"/>
              <w:tr2bl w:val="nil"/>
            </w:tcBorders>
            <w:noWrap w:val="0"/>
            <w:vAlign w:val="center"/>
          </w:tcPr>
          <w:p w14:paraId="3F5E5F71">
            <w:pPr>
              <w:pStyle w:val="108"/>
              <w:keepNext w:val="0"/>
              <w:keepLines w:val="0"/>
              <w:suppressLineNumbers w:val="0"/>
              <w:bidi w:val="0"/>
              <w:spacing w:before="0" w:beforeAutospacing="0" w:after="0" w:afterAutospacing="0" w:line="240" w:lineRule="auto"/>
              <w:ind w:left="0" w:right="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吊装作业场所。</w:t>
            </w:r>
          </w:p>
        </w:tc>
      </w:tr>
    </w:tbl>
    <w:p w14:paraId="050C7E7B">
      <w:pPr>
        <w:pStyle w:val="3"/>
        <w:bidi w:val="0"/>
        <w:rPr>
          <w:rFonts w:hint="eastAsia" w:ascii="宋体" w:hAnsi="宋体" w:eastAsia="宋体" w:cs="宋体"/>
          <w:highlight w:val="none"/>
          <w:lang w:val="en-US" w:eastAsia="zh-CN"/>
        </w:rPr>
      </w:pPr>
      <w:bookmarkStart w:id="306" w:name="_Toc21699"/>
      <w:bookmarkStart w:id="307" w:name="_Toc11653"/>
      <w:bookmarkStart w:id="308" w:name="_Toc31164"/>
      <w:bookmarkStart w:id="309" w:name="_Toc2016"/>
      <w:r>
        <w:rPr>
          <w:rFonts w:hint="eastAsia" w:ascii="宋体" w:hAnsi="宋体" w:eastAsia="宋体" w:cs="宋体"/>
          <w:highlight w:val="none"/>
          <w:lang w:val="en-US" w:eastAsia="zh-CN"/>
        </w:rPr>
        <w:t>检查内容</w:t>
      </w:r>
      <w:bookmarkEnd w:id="306"/>
      <w:bookmarkEnd w:id="307"/>
      <w:bookmarkEnd w:id="308"/>
      <w:bookmarkEnd w:id="309"/>
    </w:p>
    <w:p w14:paraId="44FF140B">
      <w:pPr>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1)塔机拆散后由工程技术人员和专业维修人员进行检查；</w:t>
      </w:r>
    </w:p>
    <w:p w14:paraId="39223214">
      <w:pPr>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2)对主要受力的结构件应检查金属疲劳，焊缝裂纹，结构变形等情况，检查塔机各零部件是否有损坏或碰伤等；</w:t>
      </w:r>
    </w:p>
    <w:p w14:paraId="51B8B52C">
      <w:pPr>
        <w:ind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3)检查完毕后，对缺陷、隐患进行修复后，再进行防锈、涂刷处理。</w:t>
      </w:r>
    </w:p>
    <w:p w14:paraId="14FBA94B">
      <w:pPr>
        <w:pStyle w:val="14"/>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表9.3-1塔机拆除验收内容</w:t>
      </w:r>
    </w:p>
    <w:tbl>
      <w:tblPr>
        <w:tblStyle w:val="30"/>
        <w:tblW w:w="0" w:type="auto"/>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fixed"/>
        <w:tblCellMar>
          <w:top w:w="0" w:type="dxa"/>
          <w:left w:w="108" w:type="dxa"/>
          <w:bottom w:w="0" w:type="dxa"/>
          <w:right w:w="108" w:type="dxa"/>
        </w:tblCellMar>
      </w:tblPr>
      <w:tblGrid>
        <w:gridCol w:w="683"/>
        <w:gridCol w:w="7821"/>
      </w:tblGrid>
      <w:tr w14:paraId="5537321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tblHeader/>
          <w:jc w:val="center"/>
        </w:trPr>
        <w:tc>
          <w:tcPr>
            <w:tcW w:w="683" w:type="dxa"/>
            <w:tcBorders>
              <w:tl2br w:val="nil"/>
              <w:tr2bl w:val="nil"/>
            </w:tcBorders>
            <w:shd w:val="clear" w:color="auto" w:fill="DAE3F3" w:themeFill="accent5" w:themeFillTint="32"/>
            <w:noWrap w:val="0"/>
            <w:vAlign w:val="center"/>
          </w:tcPr>
          <w:p w14:paraId="0F67822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序号</w:t>
            </w:r>
          </w:p>
        </w:tc>
        <w:tc>
          <w:tcPr>
            <w:tcW w:w="7821" w:type="dxa"/>
            <w:tcBorders>
              <w:tl2br w:val="nil"/>
              <w:tr2bl w:val="nil"/>
            </w:tcBorders>
            <w:shd w:val="clear" w:color="auto" w:fill="DAE3F3" w:themeFill="accent5" w:themeFillTint="32"/>
            <w:noWrap w:val="0"/>
            <w:vAlign w:val="center"/>
          </w:tcPr>
          <w:p w14:paraId="0089E21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内 容</w:t>
            </w:r>
          </w:p>
        </w:tc>
      </w:tr>
      <w:tr w14:paraId="4AA6D0FC">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39E3C42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7821" w:type="dxa"/>
            <w:tcBorders>
              <w:tl2br w:val="nil"/>
              <w:tr2bl w:val="nil"/>
            </w:tcBorders>
            <w:noWrap w:val="0"/>
            <w:vAlign w:val="center"/>
          </w:tcPr>
          <w:p w14:paraId="0446FBD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施工现场塔机的技术资料和安全资料必须齐全。</w:t>
            </w:r>
          </w:p>
        </w:tc>
      </w:tr>
      <w:tr w14:paraId="635E00A0">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37FE0D1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7821" w:type="dxa"/>
            <w:tcBorders>
              <w:tl2br w:val="nil"/>
              <w:tr2bl w:val="nil"/>
            </w:tcBorders>
            <w:noWrap w:val="0"/>
            <w:vAlign w:val="center"/>
          </w:tcPr>
          <w:p w14:paraId="225E068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塔机生产许可证、出厂合格证、使用说明书、设备 档案、运转及维修保养记录、安装方案、验收证书、检测检验报告。</w:t>
            </w:r>
          </w:p>
        </w:tc>
      </w:tr>
      <w:tr w14:paraId="4C7C6590">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7237D44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7821" w:type="dxa"/>
            <w:tcBorders>
              <w:tl2br w:val="nil"/>
              <w:tr2bl w:val="nil"/>
            </w:tcBorders>
            <w:noWrap w:val="0"/>
            <w:vAlign w:val="center"/>
          </w:tcPr>
          <w:p w14:paraId="685CEAF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拆除队伍资质证书、设备拆除人员、指挥人员、操作人员及其他特种作业人员的操作证和安全上岗证。</w:t>
            </w:r>
          </w:p>
        </w:tc>
      </w:tr>
      <w:tr w14:paraId="3C3C91FF">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0AE25EB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7821" w:type="dxa"/>
            <w:tcBorders>
              <w:tl2br w:val="nil"/>
              <w:tr2bl w:val="nil"/>
            </w:tcBorders>
            <w:noWrap w:val="0"/>
            <w:vAlign w:val="center"/>
          </w:tcPr>
          <w:p w14:paraId="77FE806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塔机处悬挂限载标志牌、安全警示牌、操作规程牌、验收合格牌、定人定机牌。</w:t>
            </w:r>
          </w:p>
        </w:tc>
      </w:tr>
      <w:tr w14:paraId="606DF5E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567173F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7821" w:type="dxa"/>
            <w:tcBorders>
              <w:tl2br w:val="nil"/>
              <w:tr2bl w:val="nil"/>
            </w:tcBorders>
            <w:noWrap w:val="0"/>
            <w:vAlign w:val="center"/>
          </w:tcPr>
          <w:p w14:paraId="7EF7EDE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起重吊装及起重机械设备、设施拆除，过程中各工序、节点的验收标准和验收条件</w:t>
            </w:r>
          </w:p>
        </w:tc>
      </w:tr>
      <w:tr w14:paraId="53C5E931">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6EAA3C6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7821" w:type="dxa"/>
            <w:tcBorders>
              <w:tl2br w:val="nil"/>
              <w:tr2bl w:val="nil"/>
            </w:tcBorders>
            <w:noWrap w:val="0"/>
            <w:vAlign w:val="center"/>
          </w:tcPr>
          <w:p w14:paraId="1EF81E5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退场材料、机械设备、设施验收标准及验收表</w:t>
            </w:r>
          </w:p>
        </w:tc>
      </w:tr>
      <w:tr w14:paraId="6648CE2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58EC42E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7</w:t>
            </w:r>
          </w:p>
        </w:tc>
        <w:tc>
          <w:tcPr>
            <w:tcW w:w="7821" w:type="dxa"/>
            <w:tcBorders>
              <w:tl2br w:val="nil"/>
              <w:tr2bl w:val="nil"/>
            </w:tcBorders>
            <w:noWrap w:val="0"/>
            <w:vAlign w:val="center"/>
          </w:tcPr>
          <w:p w14:paraId="246DF4F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吊装与拆卸作业全过程安全技术控制的关键环节验收</w:t>
            </w:r>
          </w:p>
        </w:tc>
      </w:tr>
      <w:tr w14:paraId="197AD3D5">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72EEECC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8</w:t>
            </w:r>
          </w:p>
        </w:tc>
        <w:tc>
          <w:tcPr>
            <w:tcW w:w="7821" w:type="dxa"/>
            <w:tcBorders>
              <w:tl2br w:val="nil"/>
              <w:tr2bl w:val="nil"/>
            </w:tcBorders>
            <w:noWrap w:val="0"/>
            <w:vAlign w:val="center"/>
          </w:tcPr>
          <w:p w14:paraId="522D545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汽车吊摆放位置基础承载力满足要求</w:t>
            </w:r>
          </w:p>
        </w:tc>
      </w:tr>
      <w:tr w14:paraId="35D32AE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3A1F1A4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9</w:t>
            </w:r>
          </w:p>
        </w:tc>
        <w:tc>
          <w:tcPr>
            <w:tcW w:w="7821" w:type="dxa"/>
            <w:tcBorders>
              <w:tl2br w:val="nil"/>
              <w:tr2bl w:val="nil"/>
            </w:tcBorders>
            <w:noWrap w:val="0"/>
            <w:vAlign w:val="center"/>
          </w:tcPr>
          <w:p w14:paraId="66C3474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汽车吊起重性能满足要求</w:t>
            </w:r>
          </w:p>
        </w:tc>
      </w:tr>
      <w:tr w14:paraId="0CF5B11C">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781F3B3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10</w:t>
            </w:r>
          </w:p>
        </w:tc>
        <w:tc>
          <w:tcPr>
            <w:tcW w:w="7821" w:type="dxa"/>
            <w:tcBorders>
              <w:tl2br w:val="nil"/>
              <w:tr2bl w:val="nil"/>
            </w:tcBorders>
            <w:noWrap w:val="0"/>
            <w:vAlign w:val="center"/>
          </w:tcPr>
          <w:p w14:paraId="2544B5A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吊、索、卡、具完好，被吊物重心已确认</w:t>
            </w:r>
          </w:p>
        </w:tc>
      </w:tr>
      <w:tr w14:paraId="43EDBA5C">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380F6E1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11</w:t>
            </w:r>
          </w:p>
        </w:tc>
        <w:tc>
          <w:tcPr>
            <w:tcW w:w="7821" w:type="dxa"/>
            <w:tcBorders>
              <w:tl2br w:val="nil"/>
              <w:tr2bl w:val="nil"/>
            </w:tcBorders>
            <w:noWrap w:val="0"/>
            <w:vAlign w:val="center"/>
          </w:tcPr>
          <w:p w14:paraId="62AFE9D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各结构件焊缝强度满足设计要求</w:t>
            </w:r>
          </w:p>
        </w:tc>
      </w:tr>
      <w:tr w14:paraId="2FD08E4F">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683" w:type="dxa"/>
            <w:tcBorders>
              <w:tl2br w:val="nil"/>
              <w:tr2bl w:val="nil"/>
            </w:tcBorders>
            <w:noWrap w:val="0"/>
            <w:vAlign w:val="center"/>
          </w:tcPr>
          <w:p w14:paraId="4201D4C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12</w:t>
            </w:r>
          </w:p>
        </w:tc>
        <w:tc>
          <w:tcPr>
            <w:tcW w:w="7821" w:type="dxa"/>
            <w:tcBorders>
              <w:tl2br w:val="nil"/>
              <w:tr2bl w:val="nil"/>
            </w:tcBorders>
            <w:noWrap w:val="0"/>
            <w:vAlign w:val="center"/>
          </w:tcPr>
          <w:p w14:paraId="557A9F3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吊运轨迹正确，信号指挥方式确定</w:t>
            </w:r>
          </w:p>
        </w:tc>
      </w:tr>
    </w:tbl>
    <w:p w14:paraId="5E526183">
      <w:pPr>
        <w:pStyle w:val="42"/>
        <w:bidi w:val="0"/>
        <w:rPr>
          <w:rFonts w:hint="eastAsia" w:ascii="宋体" w:hAnsi="宋体" w:eastAsia="宋体" w:cs="宋体"/>
          <w:highlight w:val="none"/>
          <w:lang w:val="en-US" w:eastAsia="zh-CN"/>
        </w:rPr>
      </w:pPr>
      <w:bookmarkStart w:id="310" w:name="_Toc360722866"/>
      <w:r>
        <w:rPr>
          <w:rFonts w:hint="eastAsia" w:ascii="宋体" w:hAnsi="宋体" w:eastAsia="宋体" w:cs="宋体"/>
          <w:highlight w:val="none"/>
        </w:rPr>
        <w:t>表</w:t>
      </w:r>
      <w:r>
        <w:rPr>
          <w:rFonts w:hint="eastAsia" w:ascii="宋体" w:hAnsi="宋体" w:eastAsia="宋体" w:cs="宋体"/>
          <w:highlight w:val="none"/>
          <w:lang w:val="en-US" w:eastAsia="zh-CN"/>
        </w:rPr>
        <w:t>9.3-2塔式起重机拆除整体验收表</w:t>
      </w:r>
    </w:p>
    <w:bookmarkEnd w:id="310"/>
    <w:tbl>
      <w:tblPr>
        <w:tblStyle w:val="29"/>
        <w:tblW w:w="0" w:type="auto"/>
        <w:jc w:val="center"/>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Layout w:type="fixed"/>
        <w:tblCellMar>
          <w:top w:w="0" w:type="dxa"/>
          <w:left w:w="108" w:type="dxa"/>
          <w:bottom w:w="0" w:type="dxa"/>
          <w:right w:w="108" w:type="dxa"/>
        </w:tblCellMar>
      </w:tblPr>
      <w:tblGrid>
        <w:gridCol w:w="721"/>
        <w:gridCol w:w="513"/>
        <w:gridCol w:w="6041"/>
        <w:gridCol w:w="1229"/>
      </w:tblGrid>
      <w:tr w14:paraId="6E6062B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tblHeader/>
          <w:jc w:val="center"/>
        </w:trPr>
        <w:tc>
          <w:tcPr>
            <w:tcW w:w="721" w:type="dxa"/>
            <w:tcBorders>
              <w:tl2br w:val="nil"/>
              <w:tr2bl w:val="nil"/>
            </w:tcBorders>
            <w:shd w:val="clear" w:color="auto" w:fill="DAE3F3" w:themeFill="accent5" w:themeFillTint="32"/>
            <w:noWrap w:val="0"/>
            <w:vAlign w:val="center"/>
          </w:tcPr>
          <w:p w14:paraId="66A75F7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验收项目</w:t>
            </w:r>
          </w:p>
        </w:tc>
        <w:tc>
          <w:tcPr>
            <w:tcW w:w="513" w:type="dxa"/>
            <w:tcBorders>
              <w:tl2br w:val="nil"/>
              <w:tr2bl w:val="nil"/>
            </w:tcBorders>
            <w:shd w:val="clear" w:color="auto" w:fill="DAE3F3" w:themeFill="accent5" w:themeFillTint="32"/>
            <w:noWrap w:val="0"/>
            <w:vAlign w:val="center"/>
          </w:tcPr>
          <w:p w14:paraId="255ABE6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序号</w:t>
            </w:r>
          </w:p>
        </w:tc>
        <w:tc>
          <w:tcPr>
            <w:tcW w:w="6041" w:type="dxa"/>
            <w:tcBorders>
              <w:tl2br w:val="nil"/>
              <w:tr2bl w:val="nil"/>
            </w:tcBorders>
            <w:shd w:val="clear" w:color="auto" w:fill="DAE3F3" w:themeFill="accent5" w:themeFillTint="32"/>
            <w:noWrap w:val="0"/>
            <w:vAlign w:val="center"/>
          </w:tcPr>
          <w:p w14:paraId="5694732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安全技术要求</w:t>
            </w:r>
          </w:p>
        </w:tc>
        <w:tc>
          <w:tcPr>
            <w:tcW w:w="1229" w:type="dxa"/>
            <w:tcBorders>
              <w:tl2br w:val="nil"/>
              <w:tr2bl w:val="nil"/>
            </w:tcBorders>
            <w:shd w:val="clear" w:color="auto" w:fill="DAE3F3" w:themeFill="accent5" w:themeFillTint="32"/>
            <w:noWrap w:val="0"/>
            <w:vAlign w:val="center"/>
          </w:tcPr>
          <w:p w14:paraId="6F1A0DC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验收结果</w:t>
            </w:r>
          </w:p>
        </w:tc>
      </w:tr>
      <w:tr w14:paraId="6BCDCFEC">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restart"/>
            <w:tcBorders>
              <w:tl2br w:val="nil"/>
              <w:tr2bl w:val="nil"/>
            </w:tcBorders>
            <w:noWrap w:val="0"/>
            <w:vAlign w:val="center"/>
          </w:tcPr>
          <w:p w14:paraId="3D1CCFE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3E4CB985">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469BCB4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拆除方案、安全交底记录应齐全 </w:t>
            </w:r>
          </w:p>
        </w:tc>
        <w:tc>
          <w:tcPr>
            <w:tcW w:w="1229" w:type="dxa"/>
            <w:tcBorders>
              <w:tl2br w:val="nil"/>
              <w:tr2bl w:val="nil"/>
            </w:tcBorders>
            <w:noWrap w:val="0"/>
            <w:vAlign w:val="center"/>
          </w:tcPr>
          <w:p w14:paraId="55542DF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2F35F6AF">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405EC3C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738C5EF3">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353C0F7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转场保养作业单及退场验收记录应齐全</w:t>
            </w:r>
          </w:p>
        </w:tc>
        <w:tc>
          <w:tcPr>
            <w:tcW w:w="1229" w:type="dxa"/>
            <w:tcBorders>
              <w:tl2br w:val="nil"/>
              <w:tr2bl w:val="nil"/>
            </w:tcBorders>
            <w:noWrap w:val="0"/>
            <w:vAlign w:val="center"/>
          </w:tcPr>
          <w:p w14:paraId="2D723DF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1E3E7A0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restart"/>
            <w:tcBorders>
              <w:tl2br w:val="nil"/>
              <w:tr2bl w:val="nil"/>
            </w:tcBorders>
            <w:noWrap w:val="0"/>
            <w:vAlign w:val="center"/>
          </w:tcPr>
          <w:p w14:paraId="5A189A9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标识</w:t>
            </w:r>
          </w:p>
          <w:p w14:paraId="5C3E7C3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与环境</w:t>
            </w:r>
          </w:p>
        </w:tc>
        <w:tc>
          <w:tcPr>
            <w:tcW w:w="513" w:type="dxa"/>
            <w:tcBorders>
              <w:tl2br w:val="nil"/>
              <w:tr2bl w:val="nil"/>
            </w:tcBorders>
            <w:noWrap w:val="0"/>
            <w:vAlign w:val="center"/>
          </w:tcPr>
          <w:p w14:paraId="794DA9A0">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71DC658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使用登记牌、安全操作规程牌和产品标牌齐全，悬挂醒目</w:t>
            </w:r>
          </w:p>
        </w:tc>
        <w:tc>
          <w:tcPr>
            <w:tcW w:w="1229" w:type="dxa"/>
            <w:tcBorders>
              <w:tl2br w:val="nil"/>
              <w:tr2bl w:val="nil"/>
            </w:tcBorders>
            <w:noWrap w:val="0"/>
            <w:vAlign w:val="center"/>
          </w:tcPr>
          <w:p w14:paraId="4207450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597872E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595CFA5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451FAAC0">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46EB864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塔式起重机尾部与建（构）筑物及施工设施之间的距离≥0.6m</w:t>
            </w:r>
          </w:p>
        </w:tc>
        <w:tc>
          <w:tcPr>
            <w:tcW w:w="1229" w:type="dxa"/>
            <w:tcBorders>
              <w:tl2br w:val="nil"/>
              <w:tr2bl w:val="nil"/>
            </w:tcBorders>
            <w:noWrap w:val="0"/>
            <w:vAlign w:val="center"/>
          </w:tcPr>
          <w:p w14:paraId="38E06AB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6E952B58">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622C54C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70FEFD82">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5473AD8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多塔作业时，低位塔起重臂端部与高位塔塔身之间的水平距离≥2m；高位塔的最低位置部件与低位塔最高位置部件之间的垂直距离≥2m</w:t>
            </w:r>
          </w:p>
        </w:tc>
        <w:tc>
          <w:tcPr>
            <w:tcW w:w="1229" w:type="dxa"/>
            <w:tcBorders>
              <w:tl2br w:val="nil"/>
              <w:tr2bl w:val="nil"/>
            </w:tcBorders>
            <w:noWrap w:val="0"/>
            <w:vAlign w:val="center"/>
          </w:tcPr>
          <w:p w14:paraId="0D7998B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432A4458">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0911327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76159F86">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22505A3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塔式起重机与外电线路的距离应符合JGJ46—2005的规定</w:t>
            </w:r>
          </w:p>
        </w:tc>
        <w:tc>
          <w:tcPr>
            <w:tcW w:w="1229" w:type="dxa"/>
            <w:tcBorders>
              <w:tl2br w:val="nil"/>
              <w:tr2bl w:val="nil"/>
            </w:tcBorders>
            <w:noWrap w:val="0"/>
            <w:vAlign w:val="center"/>
          </w:tcPr>
          <w:p w14:paraId="5AE0E2D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3DFA545C">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restart"/>
            <w:tcBorders>
              <w:tl2br w:val="nil"/>
              <w:tr2bl w:val="nil"/>
            </w:tcBorders>
            <w:noWrap w:val="0"/>
            <w:vAlign w:val="center"/>
          </w:tcPr>
          <w:p w14:paraId="2915A86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塔式起重机结构</w:t>
            </w:r>
          </w:p>
        </w:tc>
        <w:tc>
          <w:tcPr>
            <w:tcW w:w="513" w:type="dxa"/>
            <w:tcBorders>
              <w:tl2br w:val="nil"/>
              <w:tr2bl w:val="nil"/>
            </w:tcBorders>
            <w:noWrap w:val="0"/>
            <w:vAlign w:val="center"/>
          </w:tcPr>
          <w:p w14:paraId="0818D46D">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5980FAE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金属结构无可见裂纹和明显变形</w:t>
            </w:r>
          </w:p>
        </w:tc>
        <w:tc>
          <w:tcPr>
            <w:tcW w:w="1229" w:type="dxa"/>
            <w:tcBorders>
              <w:tl2br w:val="nil"/>
              <w:tr2bl w:val="nil"/>
            </w:tcBorders>
            <w:noWrap w:val="0"/>
            <w:vAlign w:val="center"/>
          </w:tcPr>
          <w:p w14:paraId="0A9141C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17525FB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55824FC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3214FD2E">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24B88CD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连接螺栓齐全，规格和预紧力达到使用说明书要求</w:t>
            </w:r>
          </w:p>
        </w:tc>
        <w:tc>
          <w:tcPr>
            <w:tcW w:w="1229" w:type="dxa"/>
            <w:tcBorders>
              <w:tl2br w:val="nil"/>
              <w:tr2bl w:val="nil"/>
            </w:tcBorders>
            <w:noWrap w:val="0"/>
            <w:vAlign w:val="center"/>
          </w:tcPr>
          <w:p w14:paraId="30C658D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64125E00">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08F9C4A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6C8FD9D0">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5C8BAB5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销轴连接可靠，符合出厂要求 </w:t>
            </w:r>
          </w:p>
        </w:tc>
        <w:tc>
          <w:tcPr>
            <w:tcW w:w="1229" w:type="dxa"/>
            <w:tcBorders>
              <w:tl2br w:val="nil"/>
              <w:tr2bl w:val="nil"/>
            </w:tcBorders>
            <w:noWrap w:val="0"/>
            <w:vAlign w:val="center"/>
          </w:tcPr>
          <w:p w14:paraId="7373A4B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738A8358">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4A57DCA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05AF1574">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0214A57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过道、平台、栏杆、踏板符合GB5144—2006规定，连接牢靠</w:t>
            </w:r>
          </w:p>
        </w:tc>
        <w:tc>
          <w:tcPr>
            <w:tcW w:w="1229" w:type="dxa"/>
            <w:tcBorders>
              <w:tl2br w:val="nil"/>
              <w:tr2bl w:val="nil"/>
            </w:tcBorders>
            <w:noWrap w:val="0"/>
            <w:vAlign w:val="center"/>
          </w:tcPr>
          <w:p w14:paraId="5C48218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5B881AF4">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506500D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17DC691F">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387FCE7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梯子、护圈、休息平台符合GB5144—2006规定，连接牢靠</w:t>
            </w:r>
          </w:p>
        </w:tc>
        <w:tc>
          <w:tcPr>
            <w:tcW w:w="1229" w:type="dxa"/>
            <w:tcBorders>
              <w:tl2br w:val="nil"/>
              <w:tr2bl w:val="nil"/>
            </w:tcBorders>
            <w:noWrap w:val="0"/>
            <w:vAlign w:val="center"/>
          </w:tcPr>
          <w:p w14:paraId="0282723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221691F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3C4207B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4B4D62F8">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132FEA9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平衡重牢固，重量与位置符合使用说明书要求， </w:t>
            </w:r>
          </w:p>
        </w:tc>
        <w:tc>
          <w:tcPr>
            <w:tcW w:w="1229" w:type="dxa"/>
            <w:tcBorders>
              <w:tl2br w:val="nil"/>
              <w:tr2bl w:val="nil"/>
            </w:tcBorders>
            <w:noWrap w:val="0"/>
            <w:vAlign w:val="center"/>
          </w:tcPr>
          <w:p w14:paraId="0902A2D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270E5C59">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tcBorders>
              <w:tl2br w:val="nil"/>
              <w:tr2bl w:val="nil"/>
            </w:tcBorders>
            <w:noWrap w:val="0"/>
            <w:vAlign w:val="center"/>
          </w:tcPr>
          <w:p w14:paraId="1210204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垂直度</w:t>
            </w:r>
          </w:p>
        </w:tc>
        <w:tc>
          <w:tcPr>
            <w:tcW w:w="513" w:type="dxa"/>
            <w:tcBorders>
              <w:tl2br w:val="nil"/>
              <w:tr2bl w:val="nil"/>
            </w:tcBorders>
            <w:noWrap w:val="0"/>
            <w:vAlign w:val="center"/>
          </w:tcPr>
          <w:p w14:paraId="790EDCA6">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21952FF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独立状态塔身轴心线对支承面的垂直度≤4‰</w:t>
            </w:r>
          </w:p>
        </w:tc>
        <w:tc>
          <w:tcPr>
            <w:tcW w:w="1229" w:type="dxa"/>
            <w:tcBorders>
              <w:tl2br w:val="nil"/>
              <w:tr2bl w:val="nil"/>
            </w:tcBorders>
            <w:noWrap w:val="0"/>
            <w:vAlign w:val="center"/>
          </w:tcPr>
          <w:p w14:paraId="4B37E07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62657E6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tcBorders>
              <w:tl2br w:val="nil"/>
              <w:tr2bl w:val="nil"/>
            </w:tcBorders>
            <w:noWrap w:val="0"/>
            <w:vAlign w:val="center"/>
          </w:tcPr>
          <w:p w14:paraId="0E658E3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回转</w:t>
            </w:r>
          </w:p>
        </w:tc>
        <w:tc>
          <w:tcPr>
            <w:tcW w:w="513" w:type="dxa"/>
            <w:tcBorders>
              <w:tl2br w:val="nil"/>
              <w:tr2bl w:val="nil"/>
            </w:tcBorders>
            <w:noWrap w:val="0"/>
            <w:vAlign w:val="center"/>
          </w:tcPr>
          <w:p w14:paraId="38F4090B">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5A2E278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回转处不设集电器供电的塔式起重机，应设置正反两个方向回转限位开关，开关动作时臂架旋转角度应≤±540°</w:t>
            </w:r>
          </w:p>
        </w:tc>
        <w:tc>
          <w:tcPr>
            <w:tcW w:w="1229" w:type="dxa"/>
            <w:tcBorders>
              <w:tl2br w:val="nil"/>
              <w:tr2bl w:val="nil"/>
            </w:tcBorders>
            <w:noWrap w:val="0"/>
            <w:vAlign w:val="center"/>
          </w:tcPr>
          <w:p w14:paraId="6191067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353D4F1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restart"/>
            <w:tcBorders>
              <w:tl2br w:val="nil"/>
              <w:tr2bl w:val="nil"/>
            </w:tcBorders>
            <w:noWrap w:val="0"/>
            <w:vAlign w:val="center"/>
          </w:tcPr>
          <w:p w14:paraId="31D5100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起升系统</w:t>
            </w:r>
          </w:p>
        </w:tc>
        <w:tc>
          <w:tcPr>
            <w:tcW w:w="513" w:type="dxa"/>
            <w:tcBorders>
              <w:tl2br w:val="nil"/>
              <w:tr2bl w:val="nil"/>
            </w:tcBorders>
            <w:noWrap w:val="0"/>
            <w:vAlign w:val="center"/>
          </w:tcPr>
          <w:p w14:paraId="1CF43109">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27C347E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起重力矩限制器灵敏可靠，限制值&lt;额定载荷110%，显示误差≤额定载荷±5%</w:t>
            </w:r>
          </w:p>
        </w:tc>
        <w:tc>
          <w:tcPr>
            <w:tcW w:w="1229" w:type="dxa"/>
            <w:tcBorders>
              <w:tl2br w:val="nil"/>
              <w:tr2bl w:val="nil"/>
            </w:tcBorders>
            <w:noWrap w:val="0"/>
            <w:vAlign w:val="center"/>
          </w:tcPr>
          <w:p w14:paraId="3190440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1343B71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6815B8A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57236907">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00D747E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起升高度限位器灵敏可靠，安全越程≥800mm</w:t>
            </w:r>
          </w:p>
        </w:tc>
        <w:tc>
          <w:tcPr>
            <w:tcW w:w="1229" w:type="dxa"/>
            <w:tcBorders>
              <w:tl2br w:val="nil"/>
              <w:tr2bl w:val="nil"/>
            </w:tcBorders>
            <w:noWrap w:val="0"/>
            <w:vAlign w:val="center"/>
          </w:tcPr>
          <w:p w14:paraId="1DE900A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030C4960">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68EC186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51C86270">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54BE109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起重量限制器灵敏可靠，限制值＜额定载荷110%，显示误差≤额定载荷±5%</w:t>
            </w:r>
          </w:p>
        </w:tc>
        <w:tc>
          <w:tcPr>
            <w:tcW w:w="1229" w:type="dxa"/>
            <w:tcBorders>
              <w:tl2br w:val="nil"/>
              <w:tr2bl w:val="nil"/>
            </w:tcBorders>
            <w:noWrap w:val="0"/>
            <w:vAlign w:val="center"/>
          </w:tcPr>
          <w:p w14:paraId="6B74E3A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1D011E78">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restart"/>
            <w:tcBorders>
              <w:tl2br w:val="nil"/>
              <w:tr2bl w:val="nil"/>
            </w:tcBorders>
            <w:noWrap w:val="0"/>
            <w:vAlign w:val="center"/>
          </w:tcPr>
          <w:p w14:paraId="3273EA7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变幅系统</w:t>
            </w:r>
          </w:p>
        </w:tc>
        <w:tc>
          <w:tcPr>
            <w:tcW w:w="513" w:type="dxa"/>
            <w:tcBorders>
              <w:tl2br w:val="nil"/>
              <w:tr2bl w:val="nil"/>
            </w:tcBorders>
            <w:noWrap w:val="0"/>
            <w:vAlign w:val="center"/>
          </w:tcPr>
          <w:p w14:paraId="08336B4D">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0F45C79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应设置小车断绳、小车断轴保护装置，可靠有效</w:t>
            </w:r>
          </w:p>
        </w:tc>
        <w:tc>
          <w:tcPr>
            <w:tcW w:w="1229" w:type="dxa"/>
            <w:tcBorders>
              <w:tl2br w:val="nil"/>
              <w:tr2bl w:val="nil"/>
            </w:tcBorders>
            <w:noWrap w:val="0"/>
            <w:vAlign w:val="center"/>
          </w:tcPr>
          <w:p w14:paraId="5BCCA46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5E2AB635">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09DCB65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5C32DB64">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3B4028B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小车变幅检修挂篮牢固可靠</w:t>
            </w:r>
          </w:p>
        </w:tc>
        <w:tc>
          <w:tcPr>
            <w:tcW w:w="1229" w:type="dxa"/>
            <w:tcBorders>
              <w:tl2br w:val="nil"/>
              <w:tr2bl w:val="nil"/>
            </w:tcBorders>
            <w:noWrap w:val="0"/>
            <w:vAlign w:val="center"/>
          </w:tcPr>
          <w:p w14:paraId="3C42F8D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0948E87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4A19344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514E42D6">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33501A5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小车行程限位开关和终端缓冲装置齐全有效。限位开关动作后应保证小车停车时其端部距缓冲装置距离≥200mm</w:t>
            </w:r>
          </w:p>
        </w:tc>
        <w:tc>
          <w:tcPr>
            <w:tcW w:w="1229" w:type="dxa"/>
            <w:tcBorders>
              <w:tl2br w:val="nil"/>
              <w:tr2bl w:val="nil"/>
            </w:tcBorders>
            <w:noWrap w:val="0"/>
            <w:vAlign w:val="center"/>
          </w:tcPr>
          <w:p w14:paraId="5F8FDDD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38B0260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restart"/>
            <w:tcBorders>
              <w:tl2br w:val="nil"/>
              <w:tr2bl w:val="nil"/>
            </w:tcBorders>
            <w:noWrap w:val="0"/>
            <w:vAlign w:val="center"/>
          </w:tcPr>
          <w:p w14:paraId="22CA0FE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机构及零部件</w:t>
            </w:r>
          </w:p>
        </w:tc>
        <w:tc>
          <w:tcPr>
            <w:tcW w:w="513" w:type="dxa"/>
            <w:tcBorders>
              <w:tl2br w:val="nil"/>
              <w:tr2bl w:val="nil"/>
            </w:tcBorders>
            <w:noWrap w:val="0"/>
            <w:vAlign w:val="center"/>
          </w:tcPr>
          <w:p w14:paraId="6F47B723">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2B77C74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吊钩钩体无裂纹、补焊，危险截面、钩筋无塑性变形，挂绳处截面磨损量＜原高度的10%</w:t>
            </w:r>
          </w:p>
        </w:tc>
        <w:tc>
          <w:tcPr>
            <w:tcW w:w="1229" w:type="dxa"/>
            <w:tcBorders>
              <w:tl2br w:val="nil"/>
              <w:tr2bl w:val="nil"/>
            </w:tcBorders>
            <w:noWrap w:val="0"/>
            <w:vAlign w:val="center"/>
          </w:tcPr>
          <w:p w14:paraId="638C603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140542F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7A8B9C3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0955A8ED">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732A873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滑轮转动灵活可靠，无卡塞现象；无裂纹或轮缘破损；滑轮绳槽壁厚磨损量＜原壁厚的20%；滑轮槽底的磨损量＜相应钢丝绳直径的25%</w:t>
            </w:r>
          </w:p>
        </w:tc>
        <w:tc>
          <w:tcPr>
            <w:tcW w:w="1229" w:type="dxa"/>
            <w:tcBorders>
              <w:tl2br w:val="nil"/>
              <w:tr2bl w:val="nil"/>
            </w:tcBorders>
            <w:noWrap w:val="0"/>
            <w:vAlign w:val="center"/>
          </w:tcPr>
          <w:p w14:paraId="2F0814D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036DA21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48594682">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1C77DC6B">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38AFADF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滑轮上的钢丝绳防脱装置应完整、可靠，该装置与滑轮最外缘的间隙≤钢丝绳直径的20%</w:t>
            </w:r>
          </w:p>
        </w:tc>
        <w:tc>
          <w:tcPr>
            <w:tcW w:w="1229" w:type="dxa"/>
            <w:tcBorders>
              <w:tl2br w:val="nil"/>
              <w:tr2bl w:val="nil"/>
            </w:tcBorders>
            <w:noWrap w:val="0"/>
            <w:vAlign w:val="center"/>
          </w:tcPr>
          <w:p w14:paraId="1EBD836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043FB5F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center"/>
          </w:tcPr>
          <w:p w14:paraId="5B17A11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4BA87840">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2A33577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吊钩防钢丝绳脱钩装置应完整可靠</w:t>
            </w:r>
          </w:p>
        </w:tc>
        <w:tc>
          <w:tcPr>
            <w:tcW w:w="1229" w:type="dxa"/>
            <w:tcBorders>
              <w:tl2br w:val="nil"/>
              <w:tr2bl w:val="nil"/>
            </w:tcBorders>
            <w:noWrap w:val="0"/>
            <w:vAlign w:val="center"/>
          </w:tcPr>
          <w:p w14:paraId="0EBA10E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737F0988">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669DBAC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336B77B0">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4F03CD8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卷筒壁不应有裂纹，筒壁磨损量＜原壁厚的10%；多层缠绕的卷筒，端部应有比最外层钢丝绳高出2倍钢丝绳直径的凸缘</w:t>
            </w:r>
          </w:p>
        </w:tc>
        <w:tc>
          <w:tcPr>
            <w:tcW w:w="1229" w:type="dxa"/>
            <w:tcBorders>
              <w:tl2br w:val="nil"/>
              <w:tr2bl w:val="nil"/>
            </w:tcBorders>
            <w:noWrap w:val="0"/>
            <w:vAlign w:val="top"/>
          </w:tcPr>
          <w:p w14:paraId="3036459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6A21A98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206E58A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2F090BC0">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0A1F10B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卷筒上钢丝绳应排列有序，有钢丝绳防脱槽装置。该装置与卷筒最外缘的间隙≤钢丝绳直径的20%</w:t>
            </w:r>
          </w:p>
        </w:tc>
        <w:tc>
          <w:tcPr>
            <w:tcW w:w="1229" w:type="dxa"/>
            <w:tcBorders>
              <w:tl2br w:val="nil"/>
              <w:tr2bl w:val="nil"/>
            </w:tcBorders>
            <w:noWrap w:val="0"/>
            <w:vAlign w:val="center"/>
          </w:tcPr>
          <w:p w14:paraId="72CD80CC">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220575D7">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7A37FA6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10E71F23">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4633C18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钢丝绳穿绕正确，无干涉；钢丝绳规格符合说明书规定，端部应固结可靠；使用应符合GB5972—2009规定</w:t>
            </w:r>
          </w:p>
        </w:tc>
        <w:tc>
          <w:tcPr>
            <w:tcW w:w="1229" w:type="dxa"/>
            <w:tcBorders>
              <w:tl2br w:val="nil"/>
              <w:tr2bl w:val="nil"/>
            </w:tcBorders>
            <w:noWrap w:val="0"/>
            <w:vAlign w:val="center"/>
          </w:tcPr>
          <w:p w14:paraId="4745EDE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601E63D8">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705E976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09638AB7">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12639DF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制动器不应有裂纹、过度磨损、塑性变形、缺件等缺陷，调整适宜，制动平稳可靠</w:t>
            </w:r>
          </w:p>
        </w:tc>
        <w:tc>
          <w:tcPr>
            <w:tcW w:w="1229" w:type="dxa"/>
            <w:tcBorders>
              <w:tl2br w:val="nil"/>
              <w:tr2bl w:val="nil"/>
            </w:tcBorders>
            <w:noWrap w:val="0"/>
            <w:vAlign w:val="center"/>
          </w:tcPr>
          <w:p w14:paraId="07863D5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4A4AB835">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61F0F3F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2838220A">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6A6900B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传动装置固定牢固，运行平稳</w:t>
            </w:r>
          </w:p>
        </w:tc>
        <w:tc>
          <w:tcPr>
            <w:tcW w:w="1229" w:type="dxa"/>
            <w:tcBorders>
              <w:tl2br w:val="nil"/>
              <w:tr2bl w:val="nil"/>
            </w:tcBorders>
            <w:noWrap w:val="0"/>
            <w:vAlign w:val="center"/>
          </w:tcPr>
          <w:p w14:paraId="2175827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210016C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2158534A">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244EE193">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76461EB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有可能伤人的活动零部件的防护罩齐全</w:t>
            </w:r>
          </w:p>
        </w:tc>
        <w:tc>
          <w:tcPr>
            <w:tcW w:w="1229" w:type="dxa"/>
            <w:tcBorders>
              <w:tl2br w:val="nil"/>
              <w:tr2bl w:val="nil"/>
            </w:tcBorders>
            <w:noWrap w:val="0"/>
            <w:vAlign w:val="center"/>
          </w:tcPr>
          <w:p w14:paraId="6986D2F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5CF0A1EA">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restart"/>
            <w:tcBorders>
              <w:tl2br w:val="nil"/>
              <w:tr2bl w:val="nil"/>
            </w:tcBorders>
            <w:noWrap w:val="0"/>
            <w:vAlign w:val="center"/>
          </w:tcPr>
          <w:p w14:paraId="0D096E0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电气系统</w:t>
            </w:r>
          </w:p>
        </w:tc>
        <w:tc>
          <w:tcPr>
            <w:tcW w:w="513" w:type="dxa"/>
            <w:tcBorders>
              <w:tl2br w:val="nil"/>
              <w:tr2bl w:val="nil"/>
            </w:tcBorders>
            <w:noWrap w:val="0"/>
            <w:vAlign w:val="center"/>
          </w:tcPr>
          <w:p w14:paraId="4949099C">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1073F4B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仪表、照明、报警系统完好、可靠；控制、操纵装置动作灵活、可靠</w:t>
            </w:r>
          </w:p>
        </w:tc>
        <w:tc>
          <w:tcPr>
            <w:tcW w:w="1229" w:type="dxa"/>
            <w:tcBorders>
              <w:tl2br w:val="nil"/>
              <w:tr2bl w:val="nil"/>
            </w:tcBorders>
            <w:noWrap w:val="0"/>
            <w:vAlign w:val="center"/>
          </w:tcPr>
          <w:p w14:paraId="6141D2A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623DA8D4">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2413235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21506CA8">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3D1235AD">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短路、过电流、失压及零位保护灵敏可靠</w:t>
            </w:r>
          </w:p>
        </w:tc>
        <w:tc>
          <w:tcPr>
            <w:tcW w:w="1229" w:type="dxa"/>
            <w:tcBorders>
              <w:tl2br w:val="nil"/>
              <w:tr2bl w:val="nil"/>
            </w:tcBorders>
            <w:noWrap w:val="0"/>
            <w:vAlign w:val="center"/>
          </w:tcPr>
          <w:p w14:paraId="58D3443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1411110B">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0F191686">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658FE9AD">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6161BFD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切断总电源的急停开关应为非自动复位型，可靠有效</w:t>
            </w:r>
          </w:p>
        </w:tc>
        <w:tc>
          <w:tcPr>
            <w:tcW w:w="1229" w:type="dxa"/>
            <w:tcBorders>
              <w:tl2br w:val="nil"/>
              <w:tr2bl w:val="nil"/>
            </w:tcBorders>
            <w:noWrap w:val="0"/>
            <w:vAlign w:val="center"/>
          </w:tcPr>
          <w:p w14:paraId="2FF369F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54D070BC">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24860EF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004EE4F2">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671F110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主电路和控制电路的对地绝缘电阻≥0.5MΩ</w:t>
            </w:r>
          </w:p>
        </w:tc>
        <w:tc>
          <w:tcPr>
            <w:tcW w:w="1229" w:type="dxa"/>
            <w:tcBorders>
              <w:tl2br w:val="nil"/>
              <w:tr2bl w:val="nil"/>
            </w:tcBorders>
            <w:noWrap w:val="0"/>
            <w:vAlign w:val="center"/>
          </w:tcPr>
          <w:p w14:paraId="7490B63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57430C62">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1610811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1C512071">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061FADE4">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声响信号完好</w:t>
            </w:r>
          </w:p>
        </w:tc>
        <w:tc>
          <w:tcPr>
            <w:tcW w:w="1229" w:type="dxa"/>
            <w:tcBorders>
              <w:tl2br w:val="nil"/>
              <w:tr2bl w:val="nil"/>
            </w:tcBorders>
            <w:noWrap w:val="0"/>
            <w:vAlign w:val="center"/>
          </w:tcPr>
          <w:p w14:paraId="4CFAF51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44ACB706">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0C0243F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50DA196A">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494DF455">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专用开关箱单独设置并有警示标志</w:t>
            </w:r>
          </w:p>
        </w:tc>
        <w:tc>
          <w:tcPr>
            <w:tcW w:w="1229" w:type="dxa"/>
            <w:tcBorders>
              <w:tl2br w:val="nil"/>
              <w:tr2bl w:val="nil"/>
            </w:tcBorders>
            <w:noWrap w:val="0"/>
            <w:vAlign w:val="center"/>
          </w:tcPr>
          <w:p w14:paraId="224AF98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6EBE284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01096B7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46238E8C">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35D8FD97">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电缆无破损，老化，与金属接触处有绝缘材料隔离</w:t>
            </w:r>
          </w:p>
        </w:tc>
        <w:tc>
          <w:tcPr>
            <w:tcW w:w="1229" w:type="dxa"/>
            <w:tcBorders>
              <w:tl2br w:val="nil"/>
              <w:tr2bl w:val="nil"/>
            </w:tcBorders>
            <w:noWrap w:val="0"/>
            <w:vAlign w:val="center"/>
          </w:tcPr>
          <w:p w14:paraId="61F322A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68678725">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12FBD451">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2E110F33">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6F18E6C9">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臂根铰点高于50m时应设置风速仪</w:t>
            </w:r>
          </w:p>
        </w:tc>
        <w:tc>
          <w:tcPr>
            <w:tcW w:w="1229" w:type="dxa"/>
            <w:tcBorders>
              <w:tl2br w:val="nil"/>
              <w:tr2bl w:val="nil"/>
            </w:tcBorders>
            <w:noWrap w:val="0"/>
            <w:vAlign w:val="center"/>
          </w:tcPr>
          <w:p w14:paraId="65DD46C8">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5895387D">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restart"/>
            <w:tcBorders>
              <w:tl2br w:val="nil"/>
              <w:tr2bl w:val="nil"/>
            </w:tcBorders>
            <w:noWrap w:val="0"/>
            <w:vAlign w:val="center"/>
          </w:tcPr>
          <w:p w14:paraId="138A12DF">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司机室</w:t>
            </w:r>
          </w:p>
        </w:tc>
        <w:tc>
          <w:tcPr>
            <w:tcW w:w="513" w:type="dxa"/>
            <w:tcBorders>
              <w:tl2br w:val="nil"/>
              <w:tr2bl w:val="nil"/>
            </w:tcBorders>
            <w:noWrap w:val="0"/>
            <w:vAlign w:val="center"/>
          </w:tcPr>
          <w:p w14:paraId="2AB12C8E">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44038B5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性能标牌（显示屏）齐全，清晰</w:t>
            </w:r>
          </w:p>
        </w:tc>
        <w:tc>
          <w:tcPr>
            <w:tcW w:w="1229" w:type="dxa"/>
            <w:tcBorders>
              <w:tl2br w:val="nil"/>
              <w:tr2bl w:val="nil"/>
            </w:tcBorders>
            <w:noWrap w:val="0"/>
            <w:vAlign w:val="center"/>
          </w:tcPr>
          <w:p w14:paraId="3C702F2B">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r w14:paraId="155C263E">
        <w:tblPrEx>
          <w:tblBorders>
            <w:top w:val="double" w:color="2F5496" w:themeColor="accent5" w:themeShade="BF" w:sz="4" w:space="0"/>
            <w:left w:val="double" w:color="2F5496" w:themeColor="accent5" w:themeShade="BF" w:sz="4" w:space="0"/>
            <w:bottom w:val="double" w:color="2F5496" w:themeColor="accent5" w:themeShade="BF" w:sz="4" w:space="0"/>
            <w:right w:val="double" w:color="2F5496" w:themeColor="accent5" w:themeShade="BF" w:sz="4" w:space="0"/>
            <w:insideH w:val="single" w:color="2F5496" w:themeColor="accent5" w:themeShade="BF" w:sz="4" w:space="0"/>
            <w:insideV w:val="single" w:color="2F5496" w:themeColor="accent5" w:themeShade="BF" w:sz="4" w:space="0"/>
          </w:tblBorders>
          <w:tblCellMar>
            <w:top w:w="0" w:type="dxa"/>
            <w:left w:w="108" w:type="dxa"/>
            <w:bottom w:w="0" w:type="dxa"/>
            <w:right w:w="108" w:type="dxa"/>
          </w:tblCellMar>
        </w:tblPrEx>
        <w:trPr>
          <w:trHeight w:val="454" w:hRule="atLeast"/>
          <w:jc w:val="center"/>
        </w:trPr>
        <w:tc>
          <w:tcPr>
            <w:tcW w:w="721" w:type="dxa"/>
            <w:vMerge w:val="continue"/>
            <w:tcBorders>
              <w:tl2br w:val="nil"/>
              <w:tr2bl w:val="nil"/>
            </w:tcBorders>
            <w:noWrap w:val="0"/>
            <w:vAlign w:val="top"/>
          </w:tcPr>
          <w:p w14:paraId="47473D4E">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c>
          <w:tcPr>
            <w:tcW w:w="513" w:type="dxa"/>
            <w:tcBorders>
              <w:tl2br w:val="nil"/>
              <w:tr2bl w:val="nil"/>
            </w:tcBorders>
            <w:noWrap w:val="0"/>
            <w:vAlign w:val="center"/>
          </w:tcPr>
          <w:p w14:paraId="524B94A4">
            <w:pPr>
              <w:pStyle w:val="106"/>
              <w:keepNext w:val="0"/>
              <w:keepLines w:val="0"/>
              <w:numPr>
                <w:ilvl w:val="0"/>
                <w:numId w:val="15"/>
              </w:numPr>
              <w:suppressLineNumbers w:val="0"/>
              <w:tabs>
                <w:tab w:val="clear" w:pos="0"/>
              </w:tabs>
              <w:bidi w:val="0"/>
              <w:spacing w:before="0" w:beforeAutospacing="0" w:after="0" w:afterAutospacing="0"/>
              <w:ind w:left="0" w:leftChars="0" w:right="0" w:firstLine="0" w:firstLineChars="0"/>
              <w:rPr>
                <w:rFonts w:hint="eastAsia" w:ascii="宋体" w:hAnsi="宋体" w:eastAsia="宋体" w:cs="宋体"/>
                <w:highlight w:val="none"/>
                <w:lang w:val="en-US" w:eastAsia="zh-CN"/>
              </w:rPr>
            </w:pPr>
          </w:p>
        </w:tc>
        <w:tc>
          <w:tcPr>
            <w:tcW w:w="6041" w:type="dxa"/>
            <w:tcBorders>
              <w:tl2br w:val="nil"/>
              <w:tr2bl w:val="nil"/>
            </w:tcBorders>
            <w:noWrap w:val="0"/>
            <w:vAlign w:val="center"/>
          </w:tcPr>
          <w:p w14:paraId="6935DD53">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门窗、绝缘地板及灭火器等附属设施齐全，有效</w:t>
            </w:r>
          </w:p>
        </w:tc>
        <w:tc>
          <w:tcPr>
            <w:tcW w:w="1229" w:type="dxa"/>
            <w:tcBorders>
              <w:tl2br w:val="nil"/>
              <w:tr2bl w:val="nil"/>
            </w:tcBorders>
            <w:noWrap w:val="0"/>
            <w:vAlign w:val="center"/>
          </w:tcPr>
          <w:p w14:paraId="0011A2B0">
            <w:pPr>
              <w:pStyle w:val="106"/>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p>
        </w:tc>
      </w:tr>
    </w:tbl>
    <w:p w14:paraId="5878569C">
      <w:pPr>
        <w:pStyle w:val="3"/>
        <w:bidi w:val="0"/>
        <w:outlineLvl w:val="1"/>
        <w:rPr>
          <w:rFonts w:hint="eastAsia" w:ascii="宋体" w:hAnsi="宋体" w:eastAsia="宋体" w:cs="宋体"/>
          <w:b/>
          <w:bCs/>
          <w:highlight w:val="none"/>
          <w:lang w:val="en-US" w:eastAsia="zh-CN"/>
        </w:rPr>
      </w:pPr>
      <w:bookmarkStart w:id="311" w:name="_Toc2707"/>
      <w:bookmarkStart w:id="312" w:name="_Toc11585"/>
      <w:r>
        <w:rPr>
          <w:rFonts w:hint="eastAsia" w:ascii="宋体" w:hAnsi="宋体" w:eastAsia="宋体" w:cs="宋体"/>
          <w:b/>
          <w:bCs/>
          <w:highlight w:val="none"/>
          <w:lang w:val="en-US" w:eastAsia="zh-CN"/>
        </w:rPr>
        <w:t>验收人员</w:t>
      </w:r>
      <w:bookmarkEnd w:id="311"/>
      <w:bookmarkEnd w:id="312"/>
    </w:p>
    <w:p w14:paraId="7A57D861">
      <w:pPr>
        <w:ind w:firstLine="480" w:firstLineChars="200"/>
        <w:rPr>
          <w:rFonts w:hint="eastAsia" w:ascii="宋体" w:hAnsi="宋体" w:eastAsia="宋体" w:cs="宋体"/>
        </w:rPr>
      </w:pPr>
      <w:r>
        <w:rPr>
          <w:rFonts w:hint="eastAsia" w:ascii="宋体" w:hAnsi="宋体" w:eastAsia="宋体" w:cs="宋体"/>
        </w:rPr>
        <w:t>项目部总工组织，由工程部主持验收，具体人员包括专业分管人员、监理公司人员、施工单位施工员和质量检查员。工程应提前一天报验。</w:t>
      </w:r>
    </w:p>
    <w:p w14:paraId="6DE226D3">
      <w:r>
        <w:rPr>
          <w:rFonts w:hint="eastAsia" w:ascii="宋体" w:hAnsi="宋体" w:eastAsia="宋体" w:cs="宋体"/>
        </w:rPr>
        <w:br w:type="page"/>
      </w:r>
    </w:p>
    <w:bookmarkEnd w:id="245"/>
    <w:bookmarkEnd w:id="246"/>
    <w:bookmarkEnd w:id="247"/>
    <w:bookmarkEnd w:id="248"/>
    <w:p w14:paraId="2747FD9E">
      <w:pPr>
        <w:pStyle w:val="2"/>
        <w:bidi w:val="0"/>
        <w:ind w:left="432" w:leftChars="0" w:hanging="432" w:firstLineChars="0"/>
        <w:rPr>
          <w:rFonts w:hint="default" w:ascii="宋体" w:hAnsi="宋体" w:eastAsia="宋体" w:cs="Times New Roman"/>
          <w:lang w:val="en-US"/>
        </w:rPr>
      </w:pPr>
      <w:bookmarkStart w:id="313" w:name="_Toc5182"/>
      <w:bookmarkStart w:id="314" w:name="_Toc19891"/>
      <w:bookmarkStart w:id="315" w:name="_Toc4453"/>
      <w:r>
        <w:rPr>
          <w:rFonts w:hint="eastAsia" w:ascii="宋体" w:hAnsi="宋体" w:eastAsia="宋体" w:cs="Times New Roman"/>
          <w:lang w:val="en-US" w:eastAsia="zh-CN"/>
        </w:rPr>
        <w:t>相关附件</w:t>
      </w:r>
      <w:bookmarkEnd w:id="313"/>
      <w:bookmarkEnd w:id="314"/>
      <w:bookmarkEnd w:id="315"/>
    </w:p>
    <w:p w14:paraId="4A42B81E">
      <w:pPr>
        <w:pStyle w:val="3"/>
        <w:numPr>
          <w:ilvl w:val="1"/>
          <w:numId w:val="0"/>
        </w:numPr>
        <w:bidi w:val="0"/>
        <w:ind w:leftChars="0"/>
        <w:rPr>
          <w:rFonts w:hint="default"/>
          <w:lang w:val="en-US" w:eastAsia="zh-CN"/>
        </w:rPr>
      </w:pPr>
      <w:bookmarkStart w:id="316" w:name="_Toc7495"/>
      <w:bookmarkStart w:id="317" w:name="_Toc1594"/>
      <w:bookmarkStart w:id="318" w:name="_Toc2972"/>
      <w:bookmarkStart w:id="319" w:name="_Toc12114"/>
      <w:r>
        <w:rPr>
          <w:rFonts w:hint="eastAsia"/>
          <w:lang w:val="en-US" w:eastAsia="zh-CN"/>
        </w:rPr>
        <w:t>附件1：XGT7020-10S1塔机立面图</w:t>
      </w:r>
      <w:bookmarkEnd w:id="316"/>
      <w:bookmarkEnd w:id="317"/>
      <w:bookmarkEnd w:id="318"/>
      <w:bookmarkEnd w:id="319"/>
    </w:p>
    <w:p w14:paraId="75EAB625">
      <w:pPr>
        <w:keepNext w:val="0"/>
        <w:keepLines w:val="0"/>
        <w:widowControl/>
        <w:suppressLineNumbers w:val="0"/>
        <w:jc w:val="center"/>
      </w:pPr>
      <w:r>
        <w:drawing>
          <wp:inline distT="0" distB="0" distL="114300" distR="114300">
            <wp:extent cx="3980815" cy="4143375"/>
            <wp:effectExtent l="0" t="0" r="635" b="9525"/>
            <wp:docPr id="5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
                    <pic:cNvPicPr>
                      <a:picLocks noChangeAspect="1"/>
                    </pic:cNvPicPr>
                  </pic:nvPicPr>
                  <pic:blipFill>
                    <a:blip r:embed="rId17"/>
                    <a:srcRect t="2946"/>
                    <a:stretch>
                      <a:fillRect/>
                    </a:stretch>
                  </pic:blipFill>
                  <pic:spPr>
                    <a:xfrm>
                      <a:off x="0" y="0"/>
                      <a:ext cx="3980815" cy="4143375"/>
                    </a:xfrm>
                    <a:prstGeom prst="rect">
                      <a:avLst/>
                    </a:prstGeom>
                    <a:noFill/>
                    <a:ln>
                      <a:noFill/>
                    </a:ln>
                  </pic:spPr>
                </pic:pic>
              </a:graphicData>
            </a:graphic>
          </wp:inline>
        </w:drawing>
      </w:r>
    </w:p>
    <w:p w14:paraId="10CCC1B1">
      <w:pPr>
        <w:pStyle w:val="14"/>
        <w:bidi w:val="0"/>
        <w:rPr>
          <w:rFonts w:hint="eastAsia"/>
          <w:highlight w:val="none"/>
          <w:lang w:val="en-US" w:eastAsia="zh-CN"/>
        </w:rPr>
      </w:pPr>
      <w:r>
        <w:rPr>
          <w:rFonts w:hint="eastAsia"/>
          <w:highlight w:val="none"/>
          <w:lang w:val="en-US" w:eastAsia="zh-CN"/>
        </w:rPr>
        <w:t>杨梅冲2号桥右幅3#塔式起重机立面布置示意图</w:t>
      </w:r>
    </w:p>
    <w:p w14:paraId="484E24DF">
      <w:pPr>
        <w:pStyle w:val="3"/>
        <w:numPr>
          <w:ilvl w:val="1"/>
          <w:numId w:val="0"/>
        </w:numPr>
        <w:bidi w:val="0"/>
        <w:ind w:leftChars="0"/>
        <w:rPr>
          <w:rFonts w:hint="default"/>
          <w:lang w:val="en-US" w:eastAsia="zh-CN"/>
        </w:rPr>
      </w:pPr>
      <w:bookmarkStart w:id="320" w:name="_Toc533"/>
      <w:bookmarkStart w:id="321" w:name="_Toc28767"/>
      <w:bookmarkStart w:id="322" w:name="_Toc24394"/>
      <w:bookmarkStart w:id="323" w:name="_Toc24819"/>
      <w:r>
        <w:rPr>
          <w:rFonts w:hint="eastAsia"/>
          <w:lang w:val="en-US" w:eastAsia="zh-CN"/>
        </w:rPr>
        <w:t>附件2：XGT7020-10S1型塔机平面布置示意图</w:t>
      </w:r>
      <w:bookmarkEnd w:id="320"/>
      <w:bookmarkEnd w:id="321"/>
      <w:bookmarkEnd w:id="322"/>
      <w:bookmarkEnd w:id="323"/>
    </w:p>
    <w:p w14:paraId="1B1A39F0">
      <w:pPr>
        <w:ind w:left="0" w:leftChars="0" w:firstLine="0" w:firstLineChars="0"/>
        <w:jc w:val="center"/>
        <w:rPr>
          <w:highlight w:val="none"/>
        </w:rPr>
      </w:pPr>
      <w:r>
        <w:drawing>
          <wp:inline distT="0" distB="0" distL="114300" distR="114300">
            <wp:extent cx="5274310" cy="4787900"/>
            <wp:effectExtent l="0" t="0" r="2540" b="12700"/>
            <wp:docPr id="5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8"/>
                    <pic:cNvPicPr>
                      <a:picLocks noChangeAspect="1"/>
                    </pic:cNvPicPr>
                  </pic:nvPicPr>
                  <pic:blipFill>
                    <a:blip r:embed="rId59"/>
                    <a:stretch>
                      <a:fillRect/>
                    </a:stretch>
                  </pic:blipFill>
                  <pic:spPr>
                    <a:xfrm>
                      <a:off x="0" y="0"/>
                      <a:ext cx="5274310" cy="4787900"/>
                    </a:xfrm>
                    <a:prstGeom prst="rect">
                      <a:avLst/>
                    </a:prstGeom>
                    <a:noFill/>
                    <a:ln>
                      <a:noFill/>
                    </a:ln>
                  </pic:spPr>
                </pic:pic>
              </a:graphicData>
            </a:graphic>
          </wp:inline>
        </w:drawing>
      </w:r>
    </w:p>
    <w:p w14:paraId="705DD6D6">
      <w:pPr>
        <w:pStyle w:val="14"/>
        <w:bidi w:val="0"/>
        <w:rPr>
          <w:rFonts w:hint="eastAsia"/>
          <w:highlight w:val="none"/>
          <w:lang w:val="en-US" w:eastAsia="zh-CN"/>
        </w:rPr>
      </w:pPr>
      <w:r>
        <w:rPr>
          <w:rFonts w:hint="eastAsia"/>
          <w:highlight w:val="none"/>
          <w:lang w:val="en-US" w:eastAsia="zh-CN"/>
        </w:rPr>
        <w:t>杨梅冲2号桥右幅3#塔机</w:t>
      </w:r>
      <w:r>
        <w:rPr>
          <w:rFonts w:hint="eastAsia"/>
          <w:b w:val="0"/>
          <w:bCs w:val="0"/>
          <w:i w:val="0"/>
          <w:iCs w:val="0"/>
          <w:highlight w:val="none"/>
          <w:lang w:val="en-US" w:eastAsia="zh-CN"/>
        </w:rPr>
        <w:t>施工平面布置示</w:t>
      </w:r>
      <w:r>
        <w:rPr>
          <w:rFonts w:hint="eastAsia"/>
          <w:highlight w:val="none"/>
          <w:lang w:val="en-US" w:eastAsia="zh-CN"/>
        </w:rPr>
        <w:t>意图</w:t>
      </w:r>
    </w:p>
    <w:p w14:paraId="3D325B52">
      <w:pPr>
        <w:rPr>
          <w:rFonts w:hint="eastAsia"/>
          <w:highlight w:val="none"/>
          <w:lang w:val="en-US" w:eastAsia="zh-CN"/>
        </w:rPr>
      </w:pPr>
      <w:r>
        <w:rPr>
          <w:rFonts w:hint="eastAsia"/>
          <w:highlight w:val="none"/>
          <w:lang w:val="en-US" w:eastAsia="zh-CN"/>
        </w:rPr>
        <w:br w:type="page"/>
      </w:r>
    </w:p>
    <w:p w14:paraId="2FF8B106">
      <w:pPr>
        <w:pStyle w:val="3"/>
        <w:numPr>
          <w:ilvl w:val="1"/>
          <w:numId w:val="0"/>
        </w:numPr>
        <w:bidi w:val="0"/>
        <w:ind w:leftChars="0"/>
        <w:rPr>
          <w:rFonts w:hint="default"/>
          <w:lang w:val="en-US" w:eastAsia="zh-CN"/>
        </w:rPr>
      </w:pPr>
      <w:bookmarkStart w:id="324" w:name="_Toc32271"/>
      <w:bookmarkStart w:id="325" w:name="_Toc22251"/>
      <w:bookmarkStart w:id="326" w:name="_Toc24947"/>
      <w:bookmarkStart w:id="327" w:name="_Toc10886"/>
      <w:bookmarkStart w:id="328" w:name="_Toc7530"/>
      <w:r>
        <w:rPr>
          <w:rFonts w:hint="eastAsia"/>
          <w:lang w:val="en-US" w:eastAsia="zh-CN"/>
        </w:rPr>
        <w:t>附件3：相关人员、资质文件</w:t>
      </w:r>
      <w:bookmarkEnd w:id="324"/>
      <w:bookmarkEnd w:id="325"/>
      <w:bookmarkEnd w:id="326"/>
      <w:bookmarkEnd w:id="327"/>
    </w:p>
    <w:p w14:paraId="7E393F57">
      <w:pPr>
        <w:rPr>
          <w:rFonts w:hint="eastAsia"/>
          <w:highlight w:val="none"/>
          <w:lang w:val="en-US" w:eastAsia="zh-CN"/>
        </w:rPr>
      </w:pPr>
      <w:r>
        <w:rPr>
          <w:rFonts w:hint="default"/>
          <w:highlight w:val="none"/>
          <w:lang w:val="en-US" w:eastAsia="zh-CN"/>
        </w:rPr>
        <w:drawing>
          <wp:inline distT="0" distB="0" distL="114300" distR="114300">
            <wp:extent cx="5269865" cy="7452995"/>
            <wp:effectExtent l="0" t="0" r="6985" b="14605"/>
            <wp:docPr id="10" name="图片 10" descr="安装许可证2027.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安装许可证2027.12.27"/>
                    <pic:cNvPicPr>
                      <a:picLocks noChangeAspect="1"/>
                    </pic:cNvPicPr>
                  </pic:nvPicPr>
                  <pic:blipFill>
                    <a:blip r:embed="rId60"/>
                    <a:stretch>
                      <a:fillRect/>
                    </a:stretch>
                  </pic:blipFill>
                  <pic:spPr>
                    <a:xfrm>
                      <a:off x="0" y="0"/>
                      <a:ext cx="5269865" cy="7452995"/>
                    </a:xfrm>
                    <a:prstGeom prst="rect">
                      <a:avLst/>
                    </a:prstGeom>
                  </pic:spPr>
                </pic:pic>
              </a:graphicData>
            </a:graphic>
          </wp:inline>
        </w:drawing>
      </w:r>
      <w:r>
        <w:rPr>
          <w:rFonts w:hint="default"/>
          <w:highlight w:val="none"/>
          <w:lang w:val="en-US" w:eastAsia="zh-CN"/>
        </w:rPr>
        <w:drawing>
          <wp:inline distT="0" distB="0" distL="114300" distR="114300">
            <wp:extent cx="5271135" cy="3726815"/>
            <wp:effectExtent l="0" t="0" r="5715" b="6985"/>
            <wp:docPr id="24" name="图片 24" descr="营业执照202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营业执照2024.12.5"/>
                    <pic:cNvPicPr>
                      <a:picLocks noChangeAspect="1"/>
                    </pic:cNvPicPr>
                  </pic:nvPicPr>
                  <pic:blipFill>
                    <a:blip r:embed="rId61"/>
                    <a:stretch>
                      <a:fillRect/>
                    </a:stretch>
                  </pic:blipFill>
                  <pic:spPr>
                    <a:xfrm>
                      <a:off x="0" y="0"/>
                      <a:ext cx="5271135" cy="3726815"/>
                    </a:xfrm>
                    <a:prstGeom prst="rect">
                      <a:avLst/>
                    </a:prstGeom>
                  </pic:spPr>
                </pic:pic>
              </a:graphicData>
            </a:graphic>
          </wp:inline>
        </w:drawing>
      </w:r>
      <w:r>
        <w:rPr>
          <w:rFonts w:hint="default"/>
          <w:highlight w:val="none"/>
          <w:lang w:val="en-US" w:eastAsia="zh-CN"/>
        </w:rPr>
        <w:drawing>
          <wp:inline distT="0" distB="0" distL="114300" distR="114300">
            <wp:extent cx="5259705" cy="7398385"/>
            <wp:effectExtent l="0" t="0" r="17145" b="12065"/>
            <wp:docPr id="6" name="图片 6" descr="56c34a71c59a457d6f034fd3e9740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6c34a71c59a457d6f034fd3e97406d"/>
                    <pic:cNvPicPr>
                      <a:picLocks noChangeAspect="1"/>
                    </pic:cNvPicPr>
                  </pic:nvPicPr>
                  <pic:blipFill>
                    <a:blip r:embed="rId62"/>
                    <a:stretch>
                      <a:fillRect/>
                    </a:stretch>
                  </pic:blipFill>
                  <pic:spPr>
                    <a:xfrm>
                      <a:off x="0" y="0"/>
                      <a:ext cx="5259705" cy="7398385"/>
                    </a:xfrm>
                    <a:prstGeom prst="rect">
                      <a:avLst/>
                    </a:prstGeom>
                  </pic:spPr>
                </pic:pic>
              </a:graphicData>
            </a:graphic>
          </wp:inline>
        </w:drawing>
      </w:r>
      <w:r>
        <w:rPr>
          <w:rFonts w:hint="eastAsia"/>
          <w:highlight w:val="none"/>
          <w:lang w:val="en-US" w:eastAsia="zh-CN"/>
        </w:rPr>
        <w:tab/>
      </w:r>
      <w:r>
        <w:rPr>
          <w:rFonts w:hint="eastAsia" w:eastAsiaTheme="minorEastAsia"/>
          <w:b/>
          <w:bCs/>
          <w:sz w:val="32"/>
          <w:szCs w:val="40"/>
          <w:lang w:val="en-US" w:eastAsia="zh-CN"/>
        </w:rPr>
        <w:drawing>
          <wp:inline distT="0" distB="0" distL="114300" distR="114300">
            <wp:extent cx="4905375" cy="7258685"/>
            <wp:effectExtent l="0" t="0" r="9525" b="18415"/>
            <wp:docPr id="99" name="图片 99" descr="彭善忠正高级工程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彭善忠正高级工程师"/>
                    <pic:cNvPicPr>
                      <a:picLocks noChangeAspect="1"/>
                    </pic:cNvPicPr>
                  </pic:nvPicPr>
                  <pic:blipFill>
                    <a:blip r:embed="rId63"/>
                    <a:stretch>
                      <a:fillRect/>
                    </a:stretch>
                  </pic:blipFill>
                  <pic:spPr>
                    <a:xfrm>
                      <a:off x="0" y="0"/>
                      <a:ext cx="4905375" cy="7258685"/>
                    </a:xfrm>
                    <a:prstGeom prst="rect">
                      <a:avLst/>
                    </a:prstGeom>
                  </pic:spPr>
                </pic:pic>
              </a:graphicData>
            </a:graphic>
          </wp:inline>
        </w:drawing>
      </w:r>
    </w:p>
    <w:p w14:paraId="075CF2F7">
      <w:pPr>
        <w:spacing w:line="360" w:lineRule="auto"/>
        <w:ind w:firstLine="480" w:firstLineChars="200"/>
        <w:rPr>
          <w:rFonts w:hint="eastAsia" w:eastAsia="宋体"/>
          <w:lang w:eastAsia="zh-CN"/>
        </w:rPr>
      </w:pPr>
      <w:r>
        <w:rPr>
          <w:rFonts w:hint="eastAsia" w:eastAsia="宋体"/>
          <w:lang w:eastAsia="zh-CN"/>
        </w:rPr>
        <w:drawing>
          <wp:inline distT="0" distB="0" distL="114300" distR="114300">
            <wp:extent cx="5271135" cy="7455535"/>
            <wp:effectExtent l="0" t="0" r="5715" b="12065"/>
            <wp:docPr id="14" name="图片 14" descr="cc97a1b762f637e13c345bbc3352ff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c97a1b762f637e13c345bbc3352ff35"/>
                    <pic:cNvPicPr>
                      <a:picLocks noChangeAspect="1"/>
                    </pic:cNvPicPr>
                  </pic:nvPicPr>
                  <pic:blipFill>
                    <a:blip r:embed="rId64"/>
                    <a:stretch>
                      <a:fillRect/>
                    </a:stretch>
                  </pic:blipFill>
                  <pic:spPr>
                    <a:xfrm>
                      <a:off x="0" y="0"/>
                      <a:ext cx="5271135" cy="7455535"/>
                    </a:xfrm>
                    <a:prstGeom prst="rect">
                      <a:avLst/>
                    </a:prstGeom>
                  </pic:spPr>
                </pic:pic>
              </a:graphicData>
            </a:graphic>
          </wp:inline>
        </w:drawing>
      </w:r>
    </w:p>
    <w:bookmarkEnd w:id="328"/>
    <w:p w14:paraId="261D9194">
      <w:pPr>
        <w:bidi w:val="0"/>
        <w:rPr>
          <w:rFonts w:hint="eastAsia" w:eastAsia="宋体"/>
          <w:lang w:eastAsia="zh-CN"/>
        </w:rPr>
      </w:pPr>
      <w:r>
        <w:rPr>
          <w:rFonts w:hint="eastAsia" w:eastAsia="宋体"/>
          <w:lang w:eastAsia="zh-CN"/>
        </w:rPr>
        <w:drawing>
          <wp:inline distT="0" distB="0" distL="114300" distR="114300">
            <wp:extent cx="5273040" cy="7459980"/>
            <wp:effectExtent l="0" t="0" r="3810" b="7620"/>
            <wp:docPr id="78" name="图片 78" descr="陈  刚-塔吊安拆2027.07.06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陈  刚-塔吊安拆2027.07.06_01"/>
                    <pic:cNvPicPr>
                      <a:picLocks noChangeAspect="1"/>
                    </pic:cNvPicPr>
                  </pic:nvPicPr>
                  <pic:blipFill>
                    <a:blip r:embed="rId65"/>
                    <a:stretch>
                      <a:fillRect/>
                    </a:stretch>
                  </pic:blipFill>
                  <pic:spPr>
                    <a:xfrm>
                      <a:off x="0" y="0"/>
                      <a:ext cx="5273040" cy="7459980"/>
                    </a:xfrm>
                    <a:prstGeom prst="rect">
                      <a:avLst/>
                    </a:prstGeom>
                  </pic:spPr>
                </pic:pic>
              </a:graphicData>
            </a:graphic>
          </wp:inline>
        </w:drawing>
      </w:r>
      <w:r>
        <w:rPr>
          <w:rFonts w:hint="eastAsia" w:eastAsia="宋体"/>
          <w:lang w:eastAsia="zh-CN"/>
        </w:rPr>
        <w:drawing>
          <wp:inline distT="0" distB="0" distL="114300" distR="114300">
            <wp:extent cx="5170805" cy="7312025"/>
            <wp:effectExtent l="0" t="0" r="10795" b="3175"/>
            <wp:docPr id="76" name="图片 76" descr="黄  科-塔吊安拆2027.07.06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黄  科-塔吊安拆2027.07.06_01"/>
                    <pic:cNvPicPr>
                      <a:picLocks noChangeAspect="1"/>
                    </pic:cNvPicPr>
                  </pic:nvPicPr>
                  <pic:blipFill>
                    <a:blip r:embed="rId66"/>
                    <a:stretch>
                      <a:fillRect/>
                    </a:stretch>
                  </pic:blipFill>
                  <pic:spPr>
                    <a:xfrm>
                      <a:off x="0" y="0"/>
                      <a:ext cx="5170805" cy="7312025"/>
                    </a:xfrm>
                    <a:prstGeom prst="rect">
                      <a:avLst/>
                    </a:prstGeom>
                  </pic:spPr>
                </pic:pic>
              </a:graphicData>
            </a:graphic>
          </wp:inline>
        </w:drawing>
      </w:r>
    </w:p>
    <w:p w14:paraId="0540584F">
      <w:pPr>
        <w:bidi w:val="0"/>
        <w:rPr>
          <w:rFonts w:hint="eastAsia"/>
          <w:lang w:val="en-US" w:eastAsia="zh-CN"/>
        </w:rPr>
      </w:pPr>
      <w:r>
        <w:rPr>
          <w:rFonts w:hint="eastAsia"/>
          <w:lang w:val="en-US" w:eastAsia="zh-CN"/>
        </w:rPr>
        <w:drawing>
          <wp:inline distT="0" distB="0" distL="114300" distR="114300">
            <wp:extent cx="5273040" cy="7459980"/>
            <wp:effectExtent l="0" t="0" r="3810" b="7620"/>
            <wp:docPr id="77" name="图片 77" descr="徐  刚-塔吊安拆2027.07.06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徐  刚-塔吊安拆2027.07.06_01"/>
                    <pic:cNvPicPr>
                      <a:picLocks noChangeAspect="1"/>
                    </pic:cNvPicPr>
                  </pic:nvPicPr>
                  <pic:blipFill>
                    <a:blip r:embed="rId67"/>
                    <a:stretch>
                      <a:fillRect/>
                    </a:stretch>
                  </pic:blipFill>
                  <pic:spPr>
                    <a:xfrm>
                      <a:off x="0" y="0"/>
                      <a:ext cx="5273040" cy="7459980"/>
                    </a:xfrm>
                    <a:prstGeom prst="rect">
                      <a:avLst/>
                    </a:prstGeom>
                  </pic:spPr>
                </pic:pic>
              </a:graphicData>
            </a:graphic>
          </wp:inline>
        </w:drawing>
      </w:r>
    </w:p>
    <w:p w14:paraId="421EC6F9">
      <w:pPr>
        <w:bidi w:val="0"/>
        <w:rPr>
          <w:rFonts w:hint="eastAsia"/>
          <w:lang w:val="en-US" w:eastAsia="zh-CN"/>
        </w:rPr>
      </w:pPr>
    </w:p>
    <w:p w14:paraId="08FFE2D6">
      <w:pPr>
        <w:bidi w:val="0"/>
        <w:rPr>
          <w:rFonts w:hint="eastAsia"/>
          <w:lang w:val="en-US" w:eastAsia="zh-CN"/>
        </w:rPr>
      </w:pPr>
      <w:r>
        <w:rPr>
          <w:rFonts w:hint="eastAsia"/>
          <w:lang w:val="en-US" w:eastAsia="zh-CN"/>
        </w:rPr>
        <w:drawing>
          <wp:inline distT="0" distB="0" distL="114300" distR="114300">
            <wp:extent cx="5010150" cy="8333740"/>
            <wp:effectExtent l="0" t="0" r="0" b="10160"/>
            <wp:docPr id="18" name="图片 18" descr="336bfa43b84eb35dcef49f4ff61d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36bfa43b84eb35dcef49f4ff61d126"/>
                    <pic:cNvPicPr>
                      <a:picLocks noChangeAspect="1"/>
                    </pic:cNvPicPr>
                  </pic:nvPicPr>
                  <pic:blipFill>
                    <a:blip r:embed="rId68"/>
                    <a:srcRect l="3332" t="2586" r="4225" b="1943"/>
                    <a:stretch>
                      <a:fillRect/>
                    </a:stretch>
                  </pic:blipFill>
                  <pic:spPr>
                    <a:xfrm>
                      <a:off x="0" y="0"/>
                      <a:ext cx="5010150" cy="8333740"/>
                    </a:xfrm>
                    <a:prstGeom prst="rect">
                      <a:avLst/>
                    </a:prstGeom>
                  </pic:spPr>
                </pic:pic>
              </a:graphicData>
            </a:graphic>
          </wp:inline>
        </w:drawing>
      </w:r>
    </w:p>
    <w:p w14:paraId="0EC5216B">
      <w:pPr>
        <w:bidi w:val="0"/>
        <w:rPr>
          <w:rFonts w:hint="eastAsia" w:ascii="宋体" w:hAnsi="宋体" w:eastAsia="宋体" w:cs="宋体"/>
          <w:lang w:eastAsia="zh-CN"/>
        </w:rPr>
      </w:pPr>
      <w:r>
        <w:rPr>
          <w:rFonts w:hint="eastAsia"/>
          <w:lang w:eastAsia="zh-CN"/>
        </w:rPr>
        <w:drawing>
          <wp:inline distT="0" distB="0" distL="114300" distR="114300">
            <wp:extent cx="4772025" cy="8316595"/>
            <wp:effectExtent l="0" t="0" r="9525" b="8255"/>
            <wp:docPr id="51" name="图片 19" descr="安全员C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9" descr="安全员C证"/>
                    <pic:cNvPicPr>
                      <a:picLocks noChangeAspect="1"/>
                    </pic:cNvPicPr>
                  </pic:nvPicPr>
                  <pic:blipFill>
                    <a:blip r:embed="rId69"/>
                    <a:srcRect l="3693" t="3060" r="3693" b="594"/>
                    <a:stretch>
                      <a:fillRect/>
                    </a:stretch>
                  </pic:blipFill>
                  <pic:spPr>
                    <a:xfrm>
                      <a:off x="0" y="0"/>
                      <a:ext cx="4772025" cy="8316595"/>
                    </a:xfrm>
                    <a:prstGeom prst="rect">
                      <a:avLst/>
                    </a:prstGeom>
                    <a:noFill/>
                    <a:ln>
                      <a:noFill/>
                    </a:ln>
                  </pic:spPr>
                </pic:pic>
              </a:graphicData>
            </a:graphic>
          </wp:inline>
        </w:drawing>
      </w:r>
      <w:r>
        <w:rPr>
          <w:rFonts w:hint="eastAsia" w:ascii="宋体" w:hAnsi="宋体" w:eastAsia="宋体" w:cs="宋体"/>
        </w:rPr>
        <w:drawing>
          <wp:inline distT="0" distB="0" distL="114300" distR="114300">
            <wp:extent cx="5273675" cy="7299960"/>
            <wp:effectExtent l="0" t="0" r="3175" b="1524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70"/>
                    <a:stretch>
                      <a:fillRect/>
                    </a:stretch>
                  </pic:blipFill>
                  <pic:spPr>
                    <a:xfrm>
                      <a:off x="0" y="0"/>
                      <a:ext cx="5273675" cy="7299960"/>
                    </a:xfrm>
                    <a:prstGeom prst="rect">
                      <a:avLst/>
                    </a:prstGeom>
                    <a:noFill/>
                    <a:ln>
                      <a:noFill/>
                    </a:ln>
                  </pic:spPr>
                </pic:pic>
              </a:graphicData>
            </a:graphic>
          </wp:inline>
        </w:drawing>
      </w:r>
    </w:p>
    <w:p w14:paraId="21FF632E">
      <w:pPr>
        <w:bidi w:val="0"/>
      </w:pPr>
      <w:r>
        <w:rPr>
          <w:rFonts w:hint="eastAsia" w:ascii="宋体" w:hAnsi="宋体" w:eastAsia="宋体" w:cs="宋体"/>
        </w:rPr>
        <w:drawing>
          <wp:inline distT="0" distB="0" distL="114300" distR="114300">
            <wp:extent cx="5257800" cy="7286625"/>
            <wp:effectExtent l="0" t="0" r="0" b="9525"/>
            <wp:docPr id="2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1"/>
                    <pic:cNvPicPr>
                      <a:picLocks noChangeAspect="1"/>
                    </pic:cNvPicPr>
                  </pic:nvPicPr>
                  <pic:blipFill>
                    <a:blip r:embed="rId71"/>
                    <a:stretch>
                      <a:fillRect/>
                    </a:stretch>
                  </pic:blipFill>
                  <pic:spPr>
                    <a:xfrm>
                      <a:off x="0" y="0"/>
                      <a:ext cx="5257800" cy="7286625"/>
                    </a:xfrm>
                    <a:prstGeom prst="rect">
                      <a:avLst/>
                    </a:prstGeom>
                    <a:noFill/>
                    <a:ln>
                      <a:noFill/>
                    </a:ln>
                  </pic:spPr>
                </pic:pic>
              </a:graphicData>
            </a:graphic>
          </wp:inline>
        </w:drawing>
      </w:r>
    </w:p>
    <w:sectPr>
      <w:headerReference r:id="rId12" w:type="default"/>
      <w:footerReference r:id="rId1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Impact">
    <w:panose1 w:val="020B080603090205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 w:name="SJQY">
    <w:altName w:val="Kingsoft UE"/>
    <w:panose1 w:val="02010600030101010101"/>
    <w:charset w:val="86"/>
    <w:family w:val="auto"/>
    <w:pitch w:val="default"/>
    <w:sig w:usb0="00000000"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CID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FEDB9">
    <w:pPr>
      <w:pStyle w:val="2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073C9D">
                          <w:pPr>
                            <w:pStyle w:val="22"/>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gfQw0AgAAZQQAAA4AAABkcnMvZTJvRG9jLnhtbK1UzY7TMBC+I/EO&#10;lu80adGu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99e5d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oH0MNAIAAGUEAAAOAAAAAAAAAAEAIAAAAB8BAABkcnMvZTJvRG9jLnhtbFBL&#10;BQYAAAAABgAGAFkBAADFBQAAAAA=&#10;">
              <v:fill on="f" focussize="0,0"/>
              <v:stroke on="f" weight="0.5pt"/>
              <v:imagedata o:title=""/>
              <o:lock v:ext="edit" aspectratio="f"/>
              <v:textbox inset="0mm,0mm,0mm,0mm" style="mso-fit-shape-to-text:t;">
                <w:txbxContent>
                  <w:p w14:paraId="30073C9D">
                    <w:pPr>
                      <w:pStyle w:val="22"/>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3DEDC">
    <w:pPr>
      <w:pStyle w:val="2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2DDD22">
                          <w:pPr>
                            <w:pStyle w:val="2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A2DDD22">
                    <w:pPr>
                      <w:pStyle w:val="2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7CDB3">
    <w:pPr>
      <w:pStyle w:val="2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F6FE33">
                          <w:pPr>
                            <w:pStyle w:val="2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25F6FE33">
                    <w:pPr>
                      <w:pStyle w:val="2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89F73">
    <w:pPr>
      <w:pStyle w:val="2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CECC2">
                          <w:pPr>
                            <w:pStyle w:val="2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UHo8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tUHo8tAgAAVwQAAA4AAAAAAAAAAQAgAAAAHwEAAGRycy9lMm9Eb2MueG1sUEsFBgAAAAAG&#10;AAYAWQEAAL4FAAAAAA==&#10;">
              <v:fill on="f" focussize="0,0"/>
              <v:stroke on="f" weight="0.5pt"/>
              <v:imagedata o:title=""/>
              <o:lock v:ext="edit" aspectratio="f"/>
              <v:textbox inset="0mm,0mm,0mm,0mm" style="mso-fit-shape-to-text:t;">
                <w:txbxContent>
                  <w:p w14:paraId="3D1CECC2">
                    <w:pPr>
                      <w:pStyle w:val="2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9B869">
    <w:pPr>
      <w:pStyle w:val="23"/>
      <w:tabs>
        <w:tab w:val="clear" w:pos="4153"/>
      </w:tabs>
      <w:jc w:val="righ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16175">
    <w:pPr>
      <w:pBdr>
        <w:bottom w:val="thickThinSmallGap" w:color="548DD4" w:sz="24" w:space="1"/>
      </w:pBdr>
      <w:tabs>
        <w:tab w:val="right" w:pos="9071"/>
      </w:tabs>
      <w:spacing w:line="240" w:lineRule="auto"/>
      <w:ind w:firstLine="0" w:firstLineChars="0"/>
      <w:contextualSpacing/>
      <w:rPr>
        <w:rFonts w:hint="eastAsia"/>
      </w:rPr>
    </w:pPr>
    <w:r>
      <w:rPr>
        <w:rFonts w:hint="eastAsia" w:ascii="楷体" w:hAnsi="楷体" w:eastAsia="楷体" w:cs="楷体"/>
        <w:b/>
        <w:color w:val="0070C0"/>
        <w:sz w:val="20"/>
        <w:szCs w:val="20"/>
      </w:rPr>
      <w:t>桂林-恭城-贺州公路（桂林至钟山段）№</w:t>
    </w:r>
    <w:r>
      <w:rPr>
        <w:rFonts w:ascii="楷体" w:hAnsi="楷体" w:eastAsia="楷体" w:cs="楷体"/>
        <w:b/>
        <w:color w:val="0070C0"/>
        <w:sz w:val="20"/>
        <w:szCs w:val="20"/>
      </w:rPr>
      <w:t>7</w:t>
    </w:r>
    <w:r>
      <w:rPr>
        <w:rFonts w:hint="eastAsia" w:ascii="楷体" w:hAnsi="楷体" w:eastAsia="楷体" w:cs="楷体"/>
        <w:b/>
        <w:color w:val="0070C0"/>
        <w:sz w:val="20"/>
        <w:szCs w:val="20"/>
        <w:lang w:val="en-US" w:eastAsia="zh-CN"/>
      </w:rPr>
      <w:t>合同段              塔式起重机拆除专项施工方案</w:t>
    </w:r>
  </w:p>
  <w:p w14:paraId="617F4095">
    <w:pPr>
      <w:pStyle w:val="23"/>
      <w:tabs>
        <w:tab w:val="clear" w:pos="4153"/>
      </w:tabs>
      <w:jc w:val="right"/>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12871">
    <w:pPr>
      <w:pBdr>
        <w:bottom w:val="thickThinSmallGap" w:color="548DD4" w:sz="24" w:space="1"/>
      </w:pBdr>
      <w:tabs>
        <w:tab w:val="right" w:pos="9071"/>
      </w:tabs>
      <w:spacing w:line="240" w:lineRule="auto"/>
      <w:ind w:firstLine="0" w:firstLineChars="0"/>
      <w:contextualSpacing/>
      <w:rPr>
        <w:rFonts w:hint="eastAsia" w:ascii="楷体" w:hAnsi="楷体" w:eastAsia="楷体" w:cs="楷体"/>
        <w:b/>
        <w:color w:val="0070C0"/>
        <w:sz w:val="20"/>
        <w:szCs w:val="20"/>
      </w:rPr>
    </w:pPr>
    <w:r>
      <w:rPr>
        <w:rFonts w:hint="eastAsia" w:ascii="楷体" w:hAnsi="楷体" w:eastAsia="楷体" w:cs="楷体"/>
        <w:b/>
        <w:color w:val="0070C0"/>
        <w:sz w:val="20"/>
        <w:szCs w:val="20"/>
      </w:rPr>
      <w:t>桂林-恭城-贺州公路（桂林至钟山段）№</w:t>
    </w:r>
    <w:r>
      <w:rPr>
        <w:rFonts w:ascii="楷体" w:hAnsi="楷体" w:eastAsia="楷体" w:cs="楷体"/>
        <w:b/>
        <w:color w:val="0070C0"/>
        <w:sz w:val="20"/>
        <w:szCs w:val="20"/>
      </w:rPr>
      <w:t>7</w:t>
    </w:r>
    <w:r>
      <w:rPr>
        <w:rFonts w:hint="eastAsia" w:ascii="楷体" w:hAnsi="楷体" w:eastAsia="楷体" w:cs="楷体"/>
        <w:b/>
        <w:color w:val="0070C0"/>
        <w:sz w:val="20"/>
        <w:szCs w:val="20"/>
        <w:lang w:val="en-US" w:eastAsia="zh-CN"/>
      </w:rPr>
      <w:t xml:space="preserve">合同段                          </w:t>
    </w:r>
    <w:r>
      <w:rPr>
        <w:rFonts w:hint="eastAsia" w:ascii="楷体" w:hAnsi="楷体" w:eastAsia="楷体" w:cs="楷体"/>
        <w:b/>
        <w:color w:val="0070C0"/>
        <w:sz w:val="20"/>
        <w:szCs w:val="20"/>
      </w:rPr>
      <w:t>塔式起重机</w:t>
    </w:r>
    <w:r>
      <w:rPr>
        <w:rFonts w:hint="eastAsia" w:ascii="楷体" w:hAnsi="楷体" w:eastAsia="楷体" w:cs="楷体"/>
        <w:b/>
        <w:color w:val="0070C0"/>
        <w:sz w:val="20"/>
        <w:szCs w:val="20"/>
        <w:lang w:val="en-US" w:eastAsia="zh-CN"/>
      </w:rPr>
      <w:t>拆除</w:t>
    </w:r>
    <w:r>
      <w:rPr>
        <w:rFonts w:hint="eastAsia" w:ascii="楷体" w:hAnsi="楷体" w:eastAsia="楷体" w:cs="楷体"/>
        <w:b/>
        <w:color w:val="0070C0"/>
        <w:sz w:val="20"/>
        <w:szCs w:val="20"/>
      </w:rPr>
      <w:t>专项施工方案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CA59">
    <w:pPr>
      <w:pBdr>
        <w:bottom w:val="thickThinSmallGap" w:color="548DD4" w:sz="24" w:space="1"/>
      </w:pBdr>
      <w:tabs>
        <w:tab w:val="right" w:pos="9071"/>
      </w:tabs>
      <w:spacing w:line="240" w:lineRule="auto"/>
      <w:ind w:firstLine="0" w:firstLineChars="0"/>
      <w:contextualSpacing/>
      <w:rPr>
        <w:rFonts w:hint="eastAsia" w:ascii="楷体" w:hAnsi="楷体" w:eastAsia="楷体" w:cs="楷体"/>
        <w:b/>
        <w:color w:val="0070C0"/>
        <w:sz w:val="20"/>
        <w:szCs w:val="20"/>
      </w:rPr>
    </w:pPr>
    <w:r>
      <w:rPr>
        <w:rFonts w:hint="eastAsia" w:ascii="楷体" w:hAnsi="楷体" w:eastAsia="楷体" w:cs="楷体"/>
        <w:b/>
        <w:color w:val="0070C0"/>
        <w:sz w:val="20"/>
        <w:szCs w:val="20"/>
      </w:rPr>
      <w:t>桂林-恭城-贺州公路（桂林至钟山段）№</w:t>
    </w:r>
    <w:r>
      <w:rPr>
        <w:rFonts w:ascii="楷体" w:hAnsi="楷体" w:eastAsia="楷体" w:cs="楷体"/>
        <w:b/>
        <w:color w:val="0070C0"/>
        <w:sz w:val="20"/>
        <w:szCs w:val="20"/>
      </w:rPr>
      <w:t>7</w:t>
    </w:r>
    <w:r>
      <w:rPr>
        <w:rFonts w:hint="eastAsia" w:ascii="楷体" w:hAnsi="楷体" w:eastAsia="楷体" w:cs="楷体"/>
        <w:b/>
        <w:color w:val="0070C0"/>
        <w:sz w:val="20"/>
        <w:szCs w:val="20"/>
        <w:lang w:val="en-US" w:eastAsia="zh-CN"/>
      </w:rPr>
      <w:t xml:space="preserve">合同段                                                                </w:t>
    </w:r>
    <w:r>
      <w:rPr>
        <w:rFonts w:hint="eastAsia" w:ascii="楷体" w:hAnsi="楷体" w:eastAsia="楷体" w:cs="楷体"/>
        <w:b/>
        <w:color w:val="0070C0"/>
        <w:sz w:val="20"/>
        <w:szCs w:val="20"/>
      </w:rPr>
      <w:t>塔式起重机</w:t>
    </w:r>
    <w:r>
      <w:rPr>
        <w:rFonts w:hint="eastAsia" w:ascii="楷体" w:hAnsi="楷体" w:eastAsia="楷体" w:cs="楷体"/>
        <w:b/>
        <w:color w:val="0070C0"/>
        <w:sz w:val="20"/>
        <w:szCs w:val="20"/>
        <w:lang w:val="en-US" w:eastAsia="zh-CN"/>
      </w:rPr>
      <w:t>拆除</w:t>
    </w:r>
    <w:r>
      <w:rPr>
        <w:rFonts w:hint="eastAsia" w:ascii="楷体" w:hAnsi="楷体" w:eastAsia="楷体" w:cs="楷体"/>
        <w:b/>
        <w:color w:val="0070C0"/>
        <w:sz w:val="20"/>
        <w:szCs w:val="20"/>
      </w:rPr>
      <w:t>专项施工方案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D8651">
    <w:pPr>
      <w:pBdr>
        <w:bottom w:val="thickThinSmallGap" w:color="548DD4" w:sz="24" w:space="1"/>
      </w:pBdr>
      <w:tabs>
        <w:tab w:val="right" w:pos="9071"/>
      </w:tabs>
      <w:spacing w:line="240" w:lineRule="auto"/>
      <w:ind w:firstLine="0" w:firstLineChars="0"/>
      <w:contextualSpacing/>
      <w:rPr>
        <w:rFonts w:hint="eastAsia" w:ascii="楷体" w:hAnsi="楷体" w:eastAsia="楷体" w:cs="楷体"/>
        <w:b/>
        <w:color w:val="0070C0"/>
        <w:sz w:val="20"/>
        <w:szCs w:val="20"/>
      </w:rPr>
    </w:pPr>
    <w:r>
      <w:rPr>
        <w:rFonts w:hint="eastAsia" w:ascii="楷体" w:hAnsi="楷体" w:eastAsia="楷体" w:cs="楷体"/>
        <w:b/>
        <w:color w:val="0070C0"/>
        <w:sz w:val="20"/>
        <w:szCs w:val="20"/>
      </w:rPr>
      <w:t>桂林-恭城-贺州公路（桂林至钟山段）№</w:t>
    </w:r>
    <w:r>
      <w:rPr>
        <w:rFonts w:ascii="楷体" w:hAnsi="楷体" w:eastAsia="楷体" w:cs="楷体"/>
        <w:b/>
        <w:color w:val="0070C0"/>
        <w:sz w:val="20"/>
        <w:szCs w:val="20"/>
      </w:rPr>
      <w:t>7</w:t>
    </w:r>
    <w:r>
      <w:rPr>
        <w:rFonts w:hint="eastAsia" w:ascii="楷体" w:hAnsi="楷体" w:eastAsia="楷体" w:cs="楷体"/>
        <w:b/>
        <w:color w:val="0070C0"/>
        <w:sz w:val="20"/>
        <w:szCs w:val="20"/>
        <w:lang w:val="en-US" w:eastAsia="zh-CN"/>
      </w:rPr>
      <w:t xml:space="preserve">合同段             </w:t>
    </w:r>
    <w:r>
      <w:rPr>
        <w:rFonts w:hint="eastAsia" w:ascii="楷体" w:hAnsi="楷体" w:eastAsia="楷体" w:cs="楷体"/>
        <w:b/>
        <w:color w:val="0070C0"/>
        <w:sz w:val="20"/>
        <w:szCs w:val="20"/>
      </w:rPr>
      <w:t>塔式起重机安拆专项施工方案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D585AB"/>
    <w:multiLevelType w:val="singleLevel"/>
    <w:tmpl w:val="84D585AB"/>
    <w:lvl w:ilvl="0" w:tentative="0">
      <w:start w:val="1"/>
      <w:numFmt w:val="decimal"/>
      <w:pStyle w:val="134"/>
      <w:suff w:val="nothing"/>
      <w:lvlText w:val="%1"/>
      <w:lvlJc w:val="left"/>
      <w:pPr>
        <w:tabs>
          <w:tab w:val="left" w:pos="0"/>
        </w:tabs>
        <w:ind w:left="0" w:firstLine="0"/>
      </w:pPr>
      <w:rPr>
        <w:rFonts w:hint="default"/>
      </w:rPr>
    </w:lvl>
  </w:abstractNum>
  <w:abstractNum w:abstractNumId="1">
    <w:nsid w:val="921307A5"/>
    <w:multiLevelType w:val="singleLevel"/>
    <w:tmpl w:val="921307A5"/>
    <w:lvl w:ilvl="0" w:tentative="0">
      <w:start w:val="1"/>
      <w:numFmt w:val="decimal"/>
      <w:suff w:val="nothing"/>
      <w:lvlText w:val="%1"/>
      <w:lvlJc w:val="left"/>
      <w:pPr>
        <w:tabs>
          <w:tab w:val="left" w:pos="0"/>
        </w:tabs>
        <w:ind w:left="0" w:leftChars="0" w:firstLine="0" w:firstLineChars="0"/>
      </w:pPr>
      <w:rPr>
        <w:rFonts w:hint="default"/>
      </w:rPr>
    </w:lvl>
  </w:abstractNum>
  <w:abstractNum w:abstractNumId="2">
    <w:nsid w:val="99786C19"/>
    <w:multiLevelType w:val="multilevel"/>
    <w:tmpl w:val="99786C19"/>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suff w:val="nothing"/>
      <w:lvlText w:val="%1.%2.%3."/>
      <w:lvlJc w:val="left"/>
      <w:pPr>
        <w:ind w:left="720" w:hanging="720"/>
      </w:pPr>
      <w:rPr>
        <w:rFonts w:hint="default"/>
      </w:rPr>
    </w:lvl>
    <w:lvl w:ilvl="3" w:tentative="0">
      <w:start w:val="1"/>
      <w:numFmt w:val="decimal"/>
      <w:pStyle w:val="5"/>
      <w:suff w:val="nothing"/>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3">
    <w:nsid w:val="B81672AC"/>
    <w:multiLevelType w:val="multilevel"/>
    <w:tmpl w:val="B81672AC"/>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DE64BF6A"/>
    <w:multiLevelType w:val="singleLevel"/>
    <w:tmpl w:val="DE64BF6A"/>
    <w:lvl w:ilvl="0" w:tentative="0">
      <w:start w:val="1"/>
      <w:numFmt w:val="decimal"/>
      <w:suff w:val="nothing"/>
      <w:lvlText w:val="%1、"/>
      <w:lvlJc w:val="left"/>
    </w:lvl>
  </w:abstractNum>
  <w:abstractNum w:abstractNumId="5">
    <w:nsid w:val="EA1024F4"/>
    <w:multiLevelType w:val="multilevel"/>
    <w:tmpl w:val="EA1024F4"/>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F715CC88"/>
    <w:multiLevelType w:val="multilevel"/>
    <w:tmpl w:val="F715CC88"/>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1908B7A9"/>
    <w:multiLevelType w:val="singleLevel"/>
    <w:tmpl w:val="1908B7A9"/>
    <w:lvl w:ilvl="0" w:tentative="0">
      <w:start w:val="1"/>
      <w:numFmt w:val="decimal"/>
      <w:suff w:val="nothing"/>
      <w:lvlText w:val="（%1）"/>
      <w:lvlJc w:val="left"/>
    </w:lvl>
  </w:abstractNum>
  <w:abstractNum w:abstractNumId="8">
    <w:nsid w:val="1F044A81"/>
    <w:multiLevelType w:val="multilevel"/>
    <w:tmpl w:val="1F044A81"/>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26967546"/>
    <w:multiLevelType w:val="singleLevel"/>
    <w:tmpl w:val="26967546"/>
    <w:lvl w:ilvl="0" w:tentative="0">
      <w:start w:val="1"/>
      <w:numFmt w:val="decimal"/>
      <w:suff w:val="nothing"/>
      <w:lvlText w:val="（%1）"/>
      <w:lvlJc w:val="left"/>
    </w:lvl>
  </w:abstractNum>
  <w:abstractNum w:abstractNumId="10">
    <w:nsid w:val="3810B639"/>
    <w:multiLevelType w:val="multilevel"/>
    <w:tmpl w:val="3810B639"/>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5058FDE0"/>
    <w:multiLevelType w:val="multilevel"/>
    <w:tmpl w:val="5058FDE0"/>
    <w:lvl w:ilvl="0" w:tentative="0">
      <w:start w:val="1"/>
      <w:numFmt w:val="decimal"/>
      <w:suff w:val="nothing"/>
      <w:lvlText w:val="%1  "/>
      <w:lvlJc w:val="left"/>
      <w:pPr>
        <w:tabs>
          <w:tab w:val="left" w:pos="420"/>
        </w:tabs>
        <w:ind w:left="0" w:firstLine="0"/>
      </w:pPr>
      <w:rPr>
        <w:rFonts w:hint="default" w:ascii="宋体" w:hAnsi="宋体" w:eastAsia="宋体" w:cs="宋体"/>
        <w:b/>
        <w:bCs/>
        <w:snapToGrid w:val="0"/>
        <w:sz w:val="28"/>
        <w:szCs w:val="28"/>
      </w:rPr>
    </w:lvl>
    <w:lvl w:ilvl="1" w:tentative="0">
      <w:start w:val="1"/>
      <w:numFmt w:val="decimal"/>
      <w:suff w:val="space"/>
      <w:lvlText w:val="%1.%2"/>
      <w:lvlJc w:val="left"/>
      <w:pPr>
        <w:tabs>
          <w:tab w:val="left" w:pos="420"/>
        </w:tabs>
        <w:ind w:left="0" w:firstLine="0"/>
      </w:pPr>
      <w:rPr>
        <w:rFonts w:hint="default" w:ascii="宋体" w:hAnsi="宋体" w:eastAsia="宋体" w:cs="宋体"/>
        <w:b/>
        <w:bCs/>
        <w:snapToGrid w:val="0"/>
        <w:sz w:val="28"/>
        <w:szCs w:val="28"/>
      </w:rPr>
    </w:lvl>
    <w:lvl w:ilvl="2" w:tentative="0">
      <w:start w:val="1"/>
      <w:numFmt w:val="decimal"/>
      <w:suff w:val="space"/>
      <w:lvlText w:val="%1.%2.%3"/>
      <w:lvlJc w:val="left"/>
      <w:pPr>
        <w:tabs>
          <w:tab w:val="left" w:pos="0"/>
        </w:tabs>
        <w:ind w:left="0" w:firstLine="510"/>
      </w:pPr>
      <w:rPr>
        <w:rFonts w:hint="default" w:ascii="黑体" w:hAnsi="黑体" w:eastAsia="黑体" w:cs="黑体"/>
        <w:b/>
        <w:bCs/>
        <w:snapToGrid w:val="0"/>
        <w:sz w:val="24"/>
        <w:szCs w:val="24"/>
      </w:rPr>
    </w:lvl>
    <w:lvl w:ilvl="3" w:tentative="0">
      <w:start w:val="1"/>
      <w:numFmt w:val="decimal"/>
      <w:suff w:val="space"/>
      <w:lvlText w:val="%1.%2.%3.%4"/>
      <w:lvlJc w:val="left"/>
      <w:pPr>
        <w:tabs>
          <w:tab w:val="left" w:pos="0"/>
        </w:tabs>
        <w:ind w:left="0" w:firstLine="510"/>
      </w:pPr>
      <w:rPr>
        <w:rFonts w:hint="default" w:ascii="黑体" w:hAnsi="黑体" w:eastAsia="黑体" w:cs="黑体"/>
        <w:b/>
        <w:bCs/>
        <w:snapToGrid w:val="0"/>
        <w:sz w:val="24"/>
        <w:szCs w:val="24"/>
      </w:rPr>
    </w:lvl>
    <w:lvl w:ilvl="4" w:tentative="0">
      <w:start w:val="1"/>
      <w:numFmt w:val="decimal"/>
      <w:pStyle w:val="131"/>
      <w:suff w:val="space"/>
      <w:lvlText w:val="(%5)"/>
      <w:lvlJc w:val="left"/>
      <w:pPr>
        <w:tabs>
          <w:tab w:val="left" w:pos="420"/>
        </w:tabs>
        <w:ind w:left="0" w:firstLine="510"/>
      </w:pPr>
      <w:rPr>
        <w:rFonts w:hint="default" w:ascii="宋体" w:hAnsi="宋体" w:eastAsia="宋体" w:cs="宋体"/>
      </w:rPr>
    </w:lvl>
    <w:lvl w:ilvl="5" w:tentative="0">
      <w:start w:val="1"/>
      <w:numFmt w:val="decimal"/>
      <w:pStyle w:val="135"/>
      <w:suff w:val="space"/>
      <w:lvlText w:val="%6)"/>
      <w:lvlJc w:val="left"/>
      <w:pPr>
        <w:tabs>
          <w:tab w:val="left" w:pos="420"/>
        </w:tabs>
        <w:ind w:left="0" w:firstLine="624"/>
      </w:pPr>
      <w:rPr>
        <w:rFonts w:hint="default" w:ascii="宋体" w:hAnsi="宋体" w:eastAsia="宋体" w:cs="宋体"/>
      </w:rPr>
    </w:lvl>
    <w:lvl w:ilvl="6" w:tentative="0">
      <w:start w:val="1"/>
      <w:numFmt w:val="lowerLetter"/>
      <w:suff w:val="space"/>
      <w:lvlText w:val="%7."/>
      <w:lvlJc w:val="left"/>
      <w:pPr>
        <w:tabs>
          <w:tab w:val="left" w:pos="420"/>
        </w:tabs>
        <w:ind w:left="0" w:firstLine="624"/>
      </w:pPr>
      <w:rPr>
        <w:rFonts w:hint="default" w:ascii="宋体" w:hAnsi="宋体" w:eastAsia="宋体" w:cs="宋体"/>
      </w:rPr>
    </w:lvl>
    <w:lvl w:ilvl="7" w:tentative="0">
      <w:start w:val="1"/>
      <w:numFmt w:val="decimal"/>
      <w:lvlRestart w:val="2"/>
      <w:pStyle w:val="132"/>
      <w:suff w:val="space"/>
      <w:lvlText w:val="表%1.%2-%8"/>
      <w:lvlJc w:val="left"/>
      <w:pPr>
        <w:tabs>
          <w:tab w:val="left" w:pos="0"/>
        </w:tabs>
        <w:ind w:left="0" w:firstLine="0"/>
      </w:pPr>
      <w:rPr>
        <w:rFonts w:hint="default" w:ascii="宋体" w:hAnsi="宋体" w:eastAsia="宋体" w:cs="宋体"/>
      </w:rPr>
    </w:lvl>
    <w:lvl w:ilvl="8" w:tentative="0">
      <w:start w:val="1"/>
      <w:numFmt w:val="decimal"/>
      <w:lvlRestart w:val="2"/>
      <w:pStyle w:val="130"/>
      <w:suff w:val="space"/>
      <w:lvlText w:val="图%1.%2-%9"/>
      <w:lvlJc w:val="left"/>
      <w:pPr>
        <w:tabs>
          <w:tab w:val="left" w:pos="420"/>
        </w:tabs>
        <w:ind w:left="0" w:firstLine="0"/>
      </w:pPr>
      <w:rPr>
        <w:rFonts w:hint="default" w:ascii="宋体" w:hAnsi="宋体" w:eastAsia="宋体" w:cs="宋体"/>
      </w:rPr>
    </w:lvl>
  </w:abstractNum>
  <w:abstractNum w:abstractNumId="12">
    <w:nsid w:val="5B07CCF4"/>
    <w:multiLevelType w:val="singleLevel"/>
    <w:tmpl w:val="5B07CCF4"/>
    <w:lvl w:ilvl="0" w:tentative="0">
      <w:start w:val="1"/>
      <w:numFmt w:val="bullet"/>
      <w:pStyle w:val="123"/>
      <w:suff w:val="space"/>
      <w:lvlText w:val=""/>
      <w:lvlJc w:val="left"/>
      <w:pPr>
        <w:tabs>
          <w:tab w:val="left" w:pos="420"/>
        </w:tabs>
        <w:ind w:left="0" w:firstLine="624"/>
      </w:pPr>
      <w:rPr>
        <w:rFonts w:hint="default" w:ascii="Wingdings" w:hAnsi="Wingdings"/>
      </w:rPr>
    </w:lvl>
  </w:abstractNum>
  <w:abstractNum w:abstractNumId="13">
    <w:nsid w:val="5F5AB57F"/>
    <w:multiLevelType w:val="multilevel"/>
    <w:tmpl w:val="5F5AB57F"/>
    <w:lvl w:ilvl="0" w:tentative="0">
      <w:start w:val="1"/>
      <w:numFmt w:val="decimal"/>
      <w:suff w:val="nothing"/>
      <w:lvlText w:val="（%1）"/>
      <w:lvlJc w:val="left"/>
      <w:pPr>
        <w:ind w:left="0" w:firstLine="480"/>
      </w:pPr>
      <w:rPr>
        <w:rFonts w:hint="default" w:ascii="Times New Roman" w:hAnsi="Times New Roman" w:eastAsia="宋体"/>
        <w:b w:val="0"/>
        <w:i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6D6A43CE"/>
    <w:multiLevelType w:val="multilevel"/>
    <w:tmpl w:val="6D6A43CE"/>
    <w:lvl w:ilvl="0" w:tentative="0">
      <w:start w:val="1"/>
      <w:numFmt w:val="decimal"/>
      <w:suff w:val="space"/>
      <w:lvlText w:val="%1)"/>
      <w:lvlJc w:val="left"/>
      <w:pPr>
        <w:ind w:left="900" w:hanging="420"/>
      </w:pPr>
      <w:rPr>
        <w:rFonts w:hint="default"/>
        <w:highlight w:val="none"/>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2"/>
  </w:num>
  <w:num w:numId="2">
    <w:abstractNumId w:val="12"/>
  </w:num>
  <w:num w:numId="3">
    <w:abstractNumId w:val="11"/>
  </w:num>
  <w:num w:numId="4">
    <w:abstractNumId w:val="0"/>
  </w:num>
  <w:num w:numId="5">
    <w:abstractNumId w:val="14"/>
  </w:num>
  <w:num w:numId="6">
    <w:abstractNumId w:val="7"/>
  </w:num>
  <w:num w:numId="7">
    <w:abstractNumId w:val="8"/>
  </w:num>
  <w:num w:numId="8">
    <w:abstractNumId w:val="6"/>
  </w:num>
  <w:num w:numId="9">
    <w:abstractNumId w:val="5"/>
  </w:num>
  <w:num w:numId="10">
    <w:abstractNumId w:val="10"/>
  </w:num>
  <w:num w:numId="11">
    <w:abstractNumId w:val="13"/>
  </w:num>
  <w:num w:numId="12">
    <w:abstractNumId w:val="3"/>
  </w:num>
  <w:num w:numId="13">
    <w:abstractNumId w:val="4"/>
  </w:num>
  <w:num w:numId="14">
    <w:abstractNumId w:val="9"/>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yODBjZDhlODI0MzFhY2U1ODg0YzczNWIwYmZmODEifQ=="/>
  </w:docVars>
  <w:rsids>
    <w:rsidRoot w:val="00172A27"/>
    <w:rsid w:val="000204F5"/>
    <w:rsid w:val="00023163"/>
    <w:rsid w:val="0003622A"/>
    <w:rsid w:val="000661A1"/>
    <w:rsid w:val="000733D0"/>
    <w:rsid w:val="000B39B3"/>
    <w:rsid w:val="000B6D8F"/>
    <w:rsid w:val="000E26E9"/>
    <w:rsid w:val="000F5900"/>
    <w:rsid w:val="001417A0"/>
    <w:rsid w:val="001608B1"/>
    <w:rsid w:val="00170FF5"/>
    <w:rsid w:val="00172A27"/>
    <w:rsid w:val="00172CC3"/>
    <w:rsid w:val="001803E1"/>
    <w:rsid w:val="00186D1D"/>
    <w:rsid w:val="001939BB"/>
    <w:rsid w:val="001E4B29"/>
    <w:rsid w:val="0020140C"/>
    <w:rsid w:val="002214F9"/>
    <w:rsid w:val="0024322A"/>
    <w:rsid w:val="00275A63"/>
    <w:rsid w:val="00313360"/>
    <w:rsid w:val="00323EFD"/>
    <w:rsid w:val="0038215B"/>
    <w:rsid w:val="003903DF"/>
    <w:rsid w:val="003B61A1"/>
    <w:rsid w:val="003B79CC"/>
    <w:rsid w:val="004020E2"/>
    <w:rsid w:val="00404207"/>
    <w:rsid w:val="00410AEE"/>
    <w:rsid w:val="0043254E"/>
    <w:rsid w:val="004443E9"/>
    <w:rsid w:val="00445A5B"/>
    <w:rsid w:val="00450340"/>
    <w:rsid w:val="00461C08"/>
    <w:rsid w:val="0046415C"/>
    <w:rsid w:val="004A0AD0"/>
    <w:rsid w:val="004B117A"/>
    <w:rsid w:val="004B716D"/>
    <w:rsid w:val="004C1F38"/>
    <w:rsid w:val="004E2E4C"/>
    <w:rsid w:val="004F47B4"/>
    <w:rsid w:val="004F6F31"/>
    <w:rsid w:val="005223C0"/>
    <w:rsid w:val="005459F4"/>
    <w:rsid w:val="00590694"/>
    <w:rsid w:val="005A7F3B"/>
    <w:rsid w:val="005B0183"/>
    <w:rsid w:val="005D5E9A"/>
    <w:rsid w:val="005F7EEB"/>
    <w:rsid w:val="006045FC"/>
    <w:rsid w:val="006368D5"/>
    <w:rsid w:val="00637396"/>
    <w:rsid w:val="00656511"/>
    <w:rsid w:val="00656BEB"/>
    <w:rsid w:val="00674771"/>
    <w:rsid w:val="00674C10"/>
    <w:rsid w:val="006851A4"/>
    <w:rsid w:val="006B7F23"/>
    <w:rsid w:val="006D03F7"/>
    <w:rsid w:val="006F78A2"/>
    <w:rsid w:val="00746F79"/>
    <w:rsid w:val="00756415"/>
    <w:rsid w:val="00766C8B"/>
    <w:rsid w:val="007737A4"/>
    <w:rsid w:val="0077660E"/>
    <w:rsid w:val="007964D0"/>
    <w:rsid w:val="007A60E7"/>
    <w:rsid w:val="007B7991"/>
    <w:rsid w:val="007C46C8"/>
    <w:rsid w:val="007C717F"/>
    <w:rsid w:val="007E1255"/>
    <w:rsid w:val="007F79AA"/>
    <w:rsid w:val="0087346B"/>
    <w:rsid w:val="0087459F"/>
    <w:rsid w:val="008D4492"/>
    <w:rsid w:val="00952C1C"/>
    <w:rsid w:val="009553D2"/>
    <w:rsid w:val="009908D7"/>
    <w:rsid w:val="00A153D2"/>
    <w:rsid w:val="00A23DEF"/>
    <w:rsid w:val="00A26772"/>
    <w:rsid w:val="00A37F53"/>
    <w:rsid w:val="00A40BAE"/>
    <w:rsid w:val="00A90905"/>
    <w:rsid w:val="00A94B06"/>
    <w:rsid w:val="00AE1473"/>
    <w:rsid w:val="00B15233"/>
    <w:rsid w:val="00B17ECA"/>
    <w:rsid w:val="00B5125F"/>
    <w:rsid w:val="00B5494B"/>
    <w:rsid w:val="00B66E85"/>
    <w:rsid w:val="00B94366"/>
    <w:rsid w:val="00B95A89"/>
    <w:rsid w:val="00BB61F6"/>
    <w:rsid w:val="00BC1CE2"/>
    <w:rsid w:val="00BC1E42"/>
    <w:rsid w:val="00BC4ECA"/>
    <w:rsid w:val="00BD4BEC"/>
    <w:rsid w:val="00BE129C"/>
    <w:rsid w:val="00BE1412"/>
    <w:rsid w:val="00C00BCA"/>
    <w:rsid w:val="00C445AA"/>
    <w:rsid w:val="00C63D1B"/>
    <w:rsid w:val="00C944E7"/>
    <w:rsid w:val="00CA47C6"/>
    <w:rsid w:val="00CD7D32"/>
    <w:rsid w:val="00D1510E"/>
    <w:rsid w:val="00D25EE5"/>
    <w:rsid w:val="00D33D7C"/>
    <w:rsid w:val="00D36976"/>
    <w:rsid w:val="00D70680"/>
    <w:rsid w:val="00D752C7"/>
    <w:rsid w:val="00D758BF"/>
    <w:rsid w:val="00DA23F4"/>
    <w:rsid w:val="00DA4AFA"/>
    <w:rsid w:val="00DB70FA"/>
    <w:rsid w:val="00DC79AC"/>
    <w:rsid w:val="00DD536D"/>
    <w:rsid w:val="00DE2A80"/>
    <w:rsid w:val="00DE4569"/>
    <w:rsid w:val="00DF1758"/>
    <w:rsid w:val="00E00D9C"/>
    <w:rsid w:val="00E25DBF"/>
    <w:rsid w:val="00E3327E"/>
    <w:rsid w:val="00E63775"/>
    <w:rsid w:val="00E63F0C"/>
    <w:rsid w:val="00E6431F"/>
    <w:rsid w:val="00E722B0"/>
    <w:rsid w:val="00EB5417"/>
    <w:rsid w:val="00ED05F6"/>
    <w:rsid w:val="00ED27E5"/>
    <w:rsid w:val="00ED4E34"/>
    <w:rsid w:val="00F00EC2"/>
    <w:rsid w:val="00F033ED"/>
    <w:rsid w:val="00F06D70"/>
    <w:rsid w:val="00F16523"/>
    <w:rsid w:val="00F302F3"/>
    <w:rsid w:val="00F40598"/>
    <w:rsid w:val="00F4725B"/>
    <w:rsid w:val="00F6587F"/>
    <w:rsid w:val="00F77FED"/>
    <w:rsid w:val="00F87ECD"/>
    <w:rsid w:val="00FA08C0"/>
    <w:rsid w:val="00FD26A4"/>
    <w:rsid w:val="01CB5F02"/>
    <w:rsid w:val="021A3CBD"/>
    <w:rsid w:val="023216F2"/>
    <w:rsid w:val="02405F94"/>
    <w:rsid w:val="028C6A68"/>
    <w:rsid w:val="028F0851"/>
    <w:rsid w:val="03031491"/>
    <w:rsid w:val="0333764D"/>
    <w:rsid w:val="03F15ED4"/>
    <w:rsid w:val="041A2AEF"/>
    <w:rsid w:val="047C4BE6"/>
    <w:rsid w:val="0486237A"/>
    <w:rsid w:val="04C32148"/>
    <w:rsid w:val="05774CAC"/>
    <w:rsid w:val="058B4971"/>
    <w:rsid w:val="05A72447"/>
    <w:rsid w:val="05B3487C"/>
    <w:rsid w:val="05E66441"/>
    <w:rsid w:val="06002DDC"/>
    <w:rsid w:val="06323AB9"/>
    <w:rsid w:val="07590FC5"/>
    <w:rsid w:val="078B7694"/>
    <w:rsid w:val="078E37F4"/>
    <w:rsid w:val="07A169A4"/>
    <w:rsid w:val="07B80ABA"/>
    <w:rsid w:val="07CF6959"/>
    <w:rsid w:val="07DD4780"/>
    <w:rsid w:val="07FC2953"/>
    <w:rsid w:val="08263C5B"/>
    <w:rsid w:val="088A6B37"/>
    <w:rsid w:val="08B91299"/>
    <w:rsid w:val="08E46A38"/>
    <w:rsid w:val="08E75619"/>
    <w:rsid w:val="096940A3"/>
    <w:rsid w:val="09FC542E"/>
    <w:rsid w:val="0AC46982"/>
    <w:rsid w:val="0BC75A7E"/>
    <w:rsid w:val="0BE01A5F"/>
    <w:rsid w:val="0BE8391A"/>
    <w:rsid w:val="0C4F0DDA"/>
    <w:rsid w:val="0CBF197A"/>
    <w:rsid w:val="0CFE6E17"/>
    <w:rsid w:val="0D0F01CD"/>
    <w:rsid w:val="0D450B46"/>
    <w:rsid w:val="0D702283"/>
    <w:rsid w:val="0D716C02"/>
    <w:rsid w:val="0D880067"/>
    <w:rsid w:val="0D8D1B4B"/>
    <w:rsid w:val="0DB4759C"/>
    <w:rsid w:val="0E010CC3"/>
    <w:rsid w:val="0E4E52A8"/>
    <w:rsid w:val="0E62049E"/>
    <w:rsid w:val="0EE075E5"/>
    <w:rsid w:val="0F1467D4"/>
    <w:rsid w:val="0F9A7A42"/>
    <w:rsid w:val="1016277B"/>
    <w:rsid w:val="10AA5667"/>
    <w:rsid w:val="11311F25"/>
    <w:rsid w:val="11A22912"/>
    <w:rsid w:val="11A41D91"/>
    <w:rsid w:val="11A910BA"/>
    <w:rsid w:val="11C06C72"/>
    <w:rsid w:val="12BA538F"/>
    <w:rsid w:val="12D66B6A"/>
    <w:rsid w:val="13343215"/>
    <w:rsid w:val="136458B7"/>
    <w:rsid w:val="1372646B"/>
    <w:rsid w:val="13E30B4C"/>
    <w:rsid w:val="140F4604"/>
    <w:rsid w:val="145036C4"/>
    <w:rsid w:val="14BC76F2"/>
    <w:rsid w:val="14DB5AA6"/>
    <w:rsid w:val="14DE0AFB"/>
    <w:rsid w:val="14F56550"/>
    <w:rsid w:val="15407CF0"/>
    <w:rsid w:val="15C42E81"/>
    <w:rsid w:val="16806CA1"/>
    <w:rsid w:val="16917B1C"/>
    <w:rsid w:val="16A9014A"/>
    <w:rsid w:val="16BF152A"/>
    <w:rsid w:val="16F4799C"/>
    <w:rsid w:val="171514DA"/>
    <w:rsid w:val="171F5781"/>
    <w:rsid w:val="176747AF"/>
    <w:rsid w:val="17AA6F27"/>
    <w:rsid w:val="17DF27C3"/>
    <w:rsid w:val="17E07B9B"/>
    <w:rsid w:val="18144709"/>
    <w:rsid w:val="18CB4563"/>
    <w:rsid w:val="18D44D2A"/>
    <w:rsid w:val="18FF7F74"/>
    <w:rsid w:val="190D610B"/>
    <w:rsid w:val="191E7BBA"/>
    <w:rsid w:val="19222E21"/>
    <w:rsid w:val="19405608"/>
    <w:rsid w:val="197952B3"/>
    <w:rsid w:val="19801694"/>
    <w:rsid w:val="198D0089"/>
    <w:rsid w:val="19A44E9B"/>
    <w:rsid w:val="19A76092"/>
    <w:rsid w:val="19E40C1E"/>
    <w:rsid w:val="1AA45E9E"/>
    <w:rsid w:val="1B24581E"/>
    <w:rsid w:val="1BA13662"/>
    <w:rsid w:val="1C520F6B"/>
    <w:rsid w:val="1CA1608E"/>
    <w:rsid w:val="1CD756BC"/>
    <w:rsid w:val="1CFC4D2A"/>
    <w:rsid w:val="1D0E36EF"/>
    <w:rsid w:val="1D113D6F"/>
    <w:rsid w:val="1D6F11B3"/>
    <w:rsid w:val="1D8E4DA9"/>
    <w:rsid w:val="1DD575F2"/>
    <w:rsid w:val="1E1E0A3E"/>
    <w:rsid w:val="1E6A3CB5"/>
    <w:rsid w:val="1ED02A09"/>
    <w:rsid w:val="200D42B2"/>
    <w:rsid w:val="203F7B19"/>
    <w:rsid w:val="20895274"/>
    <w:rsid w:val="210070C5"/>
    <w:rsid w:val="21C428EF"/>
    <w:rsid w:val="22813975"/>
    <w:rsid w:val="22870996"/>
    <w:rsid w:val="22965A26"/>
    <w:rsid w:val="22980D40"/>
    <w:rsid w:val="22BA2054"/>
    <w:rsid w:val="22C67E74"/>
    <w:rsid w:val="234B7AE2"/>
    <w:rsid w:val="235B6F09"/>
    <w:rsid w:val="241C6ECF"/>
    <w:rsid w:val="242C0807"/>
    <w:rsid w:val="24920B19"/>
    <w:rsid w:val="24ED3960"/>
    <w:rsid w:val="25C5597D"/>
    <w:rsid w:val="25DE7B87"/>
    <w:rsid w:val="2617492B"/>
    <w:rsid w:val="26C53EFB"/>
    <w:rsid w:val="272324FB"/>
    <w:rsid w:val="27386D9D"/>
    <w:rsid w:val="27492919"/>
    <w:rsid w:val="27642A71"/>
    <w:rsid w:val="27885C6C"/>
    <w:rsid w:val="27D01FA7"/>
    <w:rsid w:val="2831332B"/>
    <w:rsid w:val="2840722C"/>
    <w:rsid w:val="289B1551"/>
    <w:rsid w:val="28BA140C"/>
    <w:rsid w:val="28D87B84"/>
    <w:rsid w:val="29422684"/>
    <w:rsid w:val="297168A5"/>
    <w:rsid w:val="29A33021"/>
    <w:rsid w:val="2A3F3258"/>
    <w:rsid w:val="2A5F2C96"/>
    <w:rsid w:val="2A754FB7"/>
    <w:rsid w:val="2ABB53C3"/>
    <w:rsid w:val="2AC63C23"/>
    <w:rsid w:val="2B1D7825"/>
    <w:rsid w:val="2B3E411C"/>
    <w:rsid w:val="2B40408C"/>
    <w:rsid w:val="2B6C2204"/>
    <w:rsid w:val="2BBD2BC9"/>
    <w:rsid w:val="2BCE31D3"/>
    <w:rsid w:val="2BEE0681"/>
    <w:rsid w:val="2BF34B33"/>
    <w:rsid w:val="2C1D1F8F"/>
    <w:rsid w:val="2C2C0D9D"/>
    <w:rsid w:val="2C9B4519"/>
    <w:rsid w:val="2CCC0255"/>
    <w:rsid w:val="2D194B04"/>
    <w:rsid w:val="2D265BF9"/>
    <w:rsid w:val="2D8F2D8C"/>
    <w:rsid w:val="2D914BB9"/>
    <w:rsid w:val="2D9F1D37"/>
    <w:rsid w:val="2DF42754"/>
    <w:rsid w:val="2E265B06"/>
    <w:rsid w:val="2EC56D57"/>
    <w:rsid w:val="2F525233"/>
    <w:rsid w:val="2FC81695"/>
    <w:rsid w:val="30532999"/>
    <w:rsid w:val="306D1AAC"/>
    <w:rsid w:val="30B46B24"/>
    <w:rsid w:val="30F51354"/>
    <w:rsid w:val="311D75A8"/>
    <w:rsid w:val="31606D41"/>
    <w:rsid w:val="31A510A0"/>
    <w:rsid w:val="31A6792F"/>
    <w:rsid w:val="31F255AF"/>
    <w:rsid w:val="331D4EC5"/>
    <w:rsid w:val="33770EFB"/>
    <w:rsid w:val="339073AE"/>
    <w:rsid w:val="33B06364"/>
    <w:rsid w:val="34697184"/>
    <w:rsid w:val="34AE751F"/>
    <w:rsid w:val="35725E7F"/>
    <w:rsid w:val="35AA17FB"/>
    <w:rsid w:val="36591D72"/>
    <w:rsid w:val="36B1156E"/>
    <w:rsid w:val="370F4595"/>
    <w:rsid w:val="373B04F2"/>
    <w:rsid w:val="378064F0"/>
    <w:rsid w:val="37863768"/>
    <w:rsid w:val="37D43BD6"/>
    <w:rsid w:val="37EE37E7"/>
    <w:rsid w:val="383B22E8"/>
    <w:rsid w:val="38D5602B"/>
    <w:rsid w:val="38F058B8"/>
    <w:rsid w:val="38F82B3F"/>
    <w:rsid w:val="39807EED"/>
    <w:rsid w:val="39861813"/>
    <w:rsid w:val="398E7091"/>
    <w:rsid w:val="39A7506D"/>
    <w:rsid w:val="39AE3903"/>
    <w:rsid w:val="39BB05A7"/>
    <w:rsid w:val="39D17B83"/>
    <w:rsid w:val="3A285D28"/>
    <w:rsid w:val="3A4F322C"/>
    <w:rsid w:val="3A6A181A"/>
    <w:rsid w:val="3A882831"/>
    <w:rsid w:val="3A9071D6"/>
    <w:rsid w:val="3AC70F58"/>
    <w:rsid w:val="3AEC61EA"/>
    <w:rsid w:val="3B0F5ADC"/>
    <w:rsid w:val="3B3140E6"/>
    <w:rsid w:val="3B691C52"/>
    <w:rsid w:val="3BEE6312"/>
    <w:rsid w:val="3C910F67"/>
    <w:rsid w:val="3CCD1C64"/>
    <w:rsid w:val="3CFB349F"/>
    <w:rsid w:val="3D790732"/>
    <w:rsid w:val="3DD35697"/>
    <w:rsid w:val="3E344619"/>
    <w:rsid w:val="3E39568A"/>
    <w:rsid w:val="3EE93BE9"/>
    <w:rsid w:val="3F101FA9"/>
    <w:rsid w:val="3F3C2A88"/>
    <w:rsid w:val="3F40009A"/>
    <w:rsid w:val="3F500C15"/>
    <w:rsid w:val="3F6877DA"/>
    <w:rsid w:val="3F8F3AD1"/>
    <w:rsid w:val="3FB4100D"/>
    <w:rsid w:val="3FC368EA"/>
    <w:rsid w:val="40321124"/>
    <w:rsid w:val="40603B42"/>
    <w:rsid w:val="406132A7"/>
    <w:rsid w:val="408847A8"/>
    <w:rsid w:val="40B25AEE"/>
    <w:rsid w:val="40C07A63"/>
    <w:rsid w:val="414C3A28"/>
    <w:rsid w:val="416226F6"/>
    <w:rsid w:val="420C58B8"/>
    <w:rsid w:val="420F35B4"/>
    <w:rsid w:val="421D3616"/>
    <w:rsid w:val="42BE671D"/>
    <w:rsid w:val="42D347BC"/>
    <w:rsid w:val="435955C1"/>
    <w:rsid w:val="43690368"/>
    <w:rsid w:val="437C1635"/>
    <w:rsid w:val="43811F71"/>
    <w:rsid w:val="43A93D53"/>
    <w:rsid w:val="43BA2D18"/>
    <w:rsid w:val="43C0303F"/>
    <w:rsid w:val="43D941B5"/>
    <w:rsid w:val="43E17EBF"/>
    <w:rsid w:val="43FB7C2E"/>
    <w:rsid w:val="44992565"/>
    <w:rsid w:val="449D2088"/>
    <w:rsid w:val="44A96B47"/>
    <w:rsid w:val="44B1076D"/>
    <w:rsid w:val="44D13462"/>
    <w:rsid w:val="44F94C31"/>
    <w:rsid w:val="45B86244"/>
    <w:rsid w:val="46192E49"/>
    <w:rsid w:val="46470FFF"/>
    <w:rsid w:val="46F510E6"/>
    <w:rsid w:val="47077063"/>
    <w:rsid w:val="47550DFF"/>
    <w:rsid w:val="476870E2"/>
    <w:rsid w:val="478749DE"/>
    <w:rsid w:val="479A6B25"/>
    <w:rsid w:val="47D255EE"/>
    <w:rsid w:val="47E07536"/>
    <w:rsid w:val="48612F4D"/>
    <w:rsid w:val="4A425141"/>
    <w:rsid w:val="4A54772D"/>
    <w:rsid w:val="4A6A2C7C"/>
    <w:rsid w:val="4A6A3D1A"/>
    <w:rsid w:val="4ACB4374"/>
    <w:rsid w:val="4AF34AC6"/>
    <w:rsid w:val="4B104CAB"/>
    <w:rsid w:val="4B1101D5"/>
    <w:rsid w:val="4BFC24EE"/>
    <w:rsid w:val="4C0D5206"/>
    <w:rsid w:val="4C6E57AF"/>
    <w:rsid w:val="4C7642AE"/>
    <w:rsid w:val="4CF87317"/>
    <w:rsid w:val="4CFC50B6"/>
    <w:rsid w:val="4D0B3876"/>
    <w:rsid w:val="4D581E9C"/>
    <w:rsid w:val="4DD530AE"/>
    <w:rsid w:val="4E545090"/>
    <w:rsid w:val="4E682E87"/>
    <w:rsid w:val="4FB80EBC"/>
    <w:rsid w:val="504B489F"/>
    <w:rsid w:val="504C71AF"/>
    <w:rsid w:val="51125403"/>
    <w:rsid w:val="512E7D96"/>
    <w:rsid w:val="51B1480D"/>
    <w:rsid w:val="51C30D00"/>
    <w:rsid w:val="520E2B94"/>
    <w:rsid w:val="52140592"/>
    <w:rsid w:val="52326C6A"/>
    <w:rsid w:val="5286028E"/>
    <w:rsid w:val="528D79FE"/>
    <w:rsid w:val="5358382C"/>
    <w:rsid w:val="53937294"/>
    <w:rsid w:val="5394300C"/>
    <w:rsid w:val="5411535C"/>
    <w:rsid w:val="54624402"/>
    <w:rsid w:val="546F0B02"/>
    <w:rsid w:val="54CC1D02"/>
    <w:rsid w:val="54F0316B"/>
    <w:rsid w:val="551A6081"/>
    <w:rsid w:val="553F741C"/>
    <w:rsid w:val="55F457E3"/>
    <w:rsid w:val="56AF69BC"/>
    <w:rsid w:val="56C043EA"/>
    <w:rsid w:val="577A72FF"/>
    <w:rsid w:val="58001828"/>
    <w:rsid w:val="58F8524D"/>
    <w:rsid w:val="596F7962"/>
    <w:rsid w:val="59DD4B1E"/>
    <w:rsid w:val="59F20A8D"/>
    <w:rsid w:val="5A22609C"/>
    <w:rsid w:val="5A491E32"/>
    <w:rsid w:val="5AC90ACD"/>
    <w:rsid w:val="5B8D53A1"/>
    <w:rsid w:val="5BFB3774"/>
    <w:rsid w:val="5C025C75"/>
    <w:rsid w:val="5C462F57"/>
    <w:rsid w:val="5C545A52"/>
    <w:rsid w:val="5C666A3C"/>
    <w:rsid w:val="5C6D7659"/>
    <w:rsid w:val="5D1B684A"/>
    <w:rsid w:val="5DE423C4"/>
    <w:rsid w:val="5DEF36EF"/>
    <w:rsid w:val="5E522066"/>
    <w:rsid w:val="5E5252BB"/>
    <w:rsid w:val="5E6B7C06"/>
    <w:rsid w:val="5E942425"/>
    <w:rsid w:val="5EDD69E1"/>
    <w:rsid w:val="5F3538F6"/>
    <w:rsid w:val="6039692A"/>
    <w:rsid w:val="603D41DA"/>
    <w:rsid w:val="60E2064A"/>
    <w:rsid w:val="60F53F7E"/>
    <w:rsid w:val="61125609"/>
    <w:rsid w:val="616C2E7B"/>
    <w:rsid w:val="61925E12"/>
    <w:rsid w:val="61A45010"/>
    <w:rsid w:val="622F6BF4"/>
    <w:rsid w:val="627C7F7D"/>
    <w:rsid w:val="628A4BAD"/>
    <w:rsid w:val="62B52656"/>
    <w:rsid w:val="630E655D"/>
    <w:rsid w:val="633427C2"/>
    <w:rsid w:val="63617D35"/>
    <w:rsid w:val="63763539"/>
    <w:rsid w:val="63D95908"/>
    <w:rsid w:val="63F3150B"/>
    <w:rsid w:val="646F7581"/>
    <w:rsid w:val="64860BE0"/>
    <w:rsid w:val="65024F8A"/>
    <w:rsid w:val="65892100"/>
    <w:rsid w:val="659A3BB5"/>
    <w:rsid w:val="66223497"/>
    <w:rsid w:val="66537BCF"/>
    <w:rsid w:val="666D5EA9"/>
    <w:rsid w:val="668B1E81"/>
    <w:rsid w:val="66AF0431"/>
    <w:rsid w:val="66DD5E8A"/>
    <w:rsid w:val="671D35ED"/>
    <w:rsid w:val="67203C43"/>
    <w:rsid w:val="68B946DC"/>
    <w:rsid w:val="69321C9E"/>
    <w:rsid w:val="6A297A35"/>
    <w:rsid w:val="6A885221"/>
    <w:rsid w:val="6A915604"/>
    <w:rsid w:val="6AE451FC"/>
    <w:rsid w:val="6B0D3A71"/>
    <w:rsid w:val="6B5D608F"/>
    <w:rsid w:val="6B6F117E"/>
    <w:rsid w:val="6C090214"/>
    <w:rsid w:val="6C1F5711"/>
    <w:rsid w:val="6C273661"/>
    <w:rsid w:val="6C4A4161"/>
    <w:rsid w:val="6C4C3DF0"/>
    <w:rsid w:val="6D1144C3"/>
    <w:rsid w:val="6D241FA6"/>
    <w:rsid w:val="6DAF79DB"/>
    <w:rsid w:val="6DF47D71"/>
    <w:rsid w:val="6E4F1275"/>
    <w:rsid w:val="6E674587"/>
    <w:rsid w:val="6F117CE6"/>
    <w:rsid w:val="6F423C93"/>
    <w:rsid w:val="6F6001CA"/>
    <w:rsid w:val="6FA0258C"/>
    <w:rsid w:val="6FBC1CFE"/>
    <w:rsid w:val="70754611"/>
    <w:rsid w:val="7097261A"/>
    <w:rsid w:val="70FE7DA0"/>
    <w:rsid w:val="71866606"/>
    <w:rsid w:val="718A3FC6"/>
    <w:rsid w:val="71F201E8"/>
    <w:rsid w:val="72064E7B"/>
    <w:rsid w:val="725270D9"/>
    <w:rsid w:val="72705EF5"/>
    <w:rsid w:val="729E561E"/>
    <w:rsid w:val="72F105E7"/>
    <w:rsid w:val="72FB10B3"/>
    <w:rsid w:val="735639FF"/>
    <w:rsid w:val="736A791C"/>
    <w:rsid w:val="73D4718D"/>
    <w:rsid w:val="73E93634"/>
    <w:rsid w:val="742D5F97"/>
    <w:rsid w:val="74600815"/>
    <w:rsid w:val="74EF7ED0"/>
    <w:rsid w:val="74FC2661"/>
    <w:rsid w:val="757C3914"/>
    <w:rsid w:val="75FF12B3"/>
    <w:rsid w:val="7601232C"/>
    <w:rsid w:val="760A60E2"/>
    <w:rsid w:val="76102D56"/>
    <w:rsid w:val="7623121A"/>
    <w:rsid w:val="762A724D"/>
    <w:rsid w:val="7633710A"/>
    <w:rsid w:val="76592168"/>
    <w:rsid w:val="766A7ED1"/>
    <w:rsid w:val="76B16156"/>
    <w:rsid w:val="76B45B7C"/>
    <w:rsid w:val="76C26B60"/>
    <w:rsid w:val="770824F7"/>
    <w:rsid w:val="774010E7"/>
    <w:rsid w:val="777E12CB"/>
    <w:rsid w:val="77881EC0"/>
    <w:rsid w:val="77C85586"/>
    <w:rsid w:val="7886429C"/>
    <w:rsid w:val="799C5B39"/>
    <w:rsid w:val="79F7766A"/>
    <w:rsid w:val="7A053E04"/>
    <w:rsid w:val="7A1A6619"/>
    <w:rsid w:val="7A1C7734"/>
    <w:rsid w:val="7A600049"/>
    <w:rsid w:val="7A8E22CF"/>
    <w:rsid w:val="7AC3135B"/>
    <w:rsid w:val="7B315ED6"/>
    <w:rsid w:val="7B6612E1"/>
    <w:rsid w:val="7BBC37F0"/>
    <w:rsid w:val="7BE422BE"/>
    <w:rsid w:val="7BFB54A5"/>
    <w:rsid w:val="7C3F3BAE"/>
    <w:rsid w:val="7C4B7C00"/>
    <w:rsid w:val="7C8021FC"/>
    <w:rsid w:val="7CA1665A"/>
    <w:rsid w:val="7CD816F8"/>
    <w:rsid w:val="7CE42F01"/>
    <w:rsid w:val="7D4D474C"/>
    <w:rsid w:val="7D6242BE"/>
    <w:rsid w:val="7DC7010A"/>
    <w:rsid w:val="7DF5752C"/>
    <w:rsid w:val="7EFE38AC"/>
    <w:rsid w:val="7F0A0FA4"/>
    <w:rsid w:val="7F411A8C"/>
    <w:rsid w:val="7F6C7A6B"/>
    <w:rsid w:val="7F743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宋体" w:eastAsia="宋体" w:cs="Times New Roman"/>
      <w:kern w:val="2"/>
      <w:sz w:val="24"/>
      <w:szCs w:val="22"/>
      <w:lang w:val="en-US" w:eastAsia="zh-CN" w:bidi="ar-SA"/>
    </w:rPr>
  </w:style>
  <w:style w:type="paragraph" w:styleId="2">
    <w:name w:val="heading 1"/>
    <w:basedOn w:val="1"/>
    <w:next w:val="1"/>
    <w:qFormat/>
    <w:uiPriority w:val="0"/>
    <w:pPr>
      <w:keepNext/>
      <w:keepLines/>
      <w:numPr>
        <w:ilvl w:val="0"/>
        <w:numId w:val="1"/>
      </w:numPr>
      <w:spacing w:line="480" w:lineRule="auto"/>
      <w:ind w:left="432" w:hanging="432"/>
      <w:jc w:val="center"/>
      <w:outlineLvl w:val="0"/>
    </w:pPr>
    <w:rPr>
      <w:rFonts w:ascii="宋体" w:hAnsi="宋体" w:eastAsia="宋体"/>
      <w:b/>
      <w:color w:val="000000" w:themeColor="text1"/>
      <w:kern w:val="44"/>
      <w:sz w:val="30"/>
      <w14:textFill>
        <w14:solidFill>
          <w14:schemeClr w14:val="tx1"/>
        </w14:solidFill>
      </w14:textFill>
    </w:rPr>
  </w:style>
  <w:style w:type="paragraph" w:styleId="3">
    <w:name w:val="heading 2"/>
    <w:basedOn w:val="1"/>
    <w:next w:val="1"/>
    <w:link w:val="40"/>
    <w:unhideWhenUsed/>
    <w:qFormat/>
    <w:uiPriority w:val="0"/>
    <w:pPr>
      <w:keepNext/>
      <w:keepLines/>
      <w:numPr>
        <w:ilvl w:val="1"/>
        <w:numId w:val="1"/>
      </w:numPr>
      <w:spacing w:line="360" w:lineRule="auto"/>
      <w:ind w:left="575" w:leftChars="0" w:hanging="575"/>
      <w:jc w:val="left"/>
      <w:outlineLvl w:val="1"/>
    </w:pPr>
    <w:rPr>
      <w:rFonts w:ascii="宋体" w:hAnsi="宋体" w:eastAsia="宋体"/>
      <w:b/>
      <w:color w:val="000000" w:themeColor="text1"/>
      <w:sz w:val="28"/>
      <w14:textFill>
        <w14:solidFill>
          <w14:schemeClr w14:val="tx1"/>
        </w14:solidFill>
      </w14:textFill>
    </w:rPr>
  </w:style>
  <w:style w:type="paragraph" w:styleId="4">
    <w:name w:val="heading 3"/>
    <w:basedOn w:val="3"/>
    <w:next w:val="1"/>
    <w:unhideWhenUsed/>
    <w:qFormat/>
    <w:uiPriority w:val="0"/>
    <w:pPr>
      <w:keepNext/>
      <w:keepLines/>
      <w:numPr>
        <w:ilvl w:val="2"/>
        <w:numId w:val="1"/>
      </w:numPr>
      <w:spacing w:line="360" w:lineRule="auto"/>
      <w:ind w:left="720" w:leftChars="0" w:hanging="720"/>
      <w:outlineLvl w:val="2"/>
    </w:pPr>
    <w:rPr>
      <w:rFonts w:ascii="宋体" w:hAnsi="宋体" w:eastAsia="宋体"/>
      <w:color w:val="000000" w:themeColor="text1"/>
      <w14:textFill>
        <w14:solidFill>
          <w14:schemeClr w14:val="tx1"/>
        </w14:solidFill>
      </w14:textFill>
    </w:rPr>
  </w:style>
  <w:style w:type="paragraph" w:styleId="5">
    <w:name w:val="heading 4"/>
    <w:basedOn w:val="1"/>
    <w:next w:val="1"/>
    <w:unhideWhenUsed/>
    <w:qFormat/>
    <w:uiPriority w:val="0"/>
    <w:pPr>
      <w:keepNext/>
      <w:keepLines/>
      <w:numPr>
        <w:ilvl w:val="3"/>
        <w:numId w:val="1"/>
      </w:numPr>
      <w:tabs>
        <w:tab w:val="left" w:pos="0"/>
      </w:tabs>
      <w:spacing w:line="360" w:lineRule="auto"/>
      <w:ind w:left="864" w:leftChars="0" w:hanging="864"/>
      <w:outlineLvl w:val="3"/>
    </w:pPr>
    <w:rPr>
      <w:rFonts w:ascii="宋体" w:hAnsi="宋体" w:eastAsia="宋体" w:cstheme="majorBidi"/>
      <w:bCs/>
      <w:color w:val="000000" w:themeColor="text1"/>
      <w:szCs w:val="28"/>
      <w14:textFill>
        <w14:solidFill>
          <w14:schemeClr w14:val="tx1"/>
        </w14:solidFill>
      </w14:textFill>
    </w:rPr>
  </w:style>
  <w:style w:type="paragraph" w:styleId="6">
    <w:name w:val="heading 5"/>
    <w:basedOn w:val="1"/>
    <w:next w:val="1"/>
    <w:link w:val="112"/>
    <w:unhideWhenUsed/>
    <w:qFormat/>
    <w:uiPriority w:val="0"/>
    <w:pPr>
      <w:keepNext/>
      <w:keepLines/>
      <w:numPr>
        <w:ilvl w:val="4"/>
        <w:numId w:val="1"/>
      </w:numPr>
      <w:spacing w:line="360" w:lineRule="auto"/>
      <w:ind w:left="1008" w:hanging="1008" w:firstLineChars="0"/>
      <w:outlineLvl w:val="4"/>
    </w:pPr>
    <w:rPr>
      <w:b/>
      <w:bCs/>
      <w:sz w:val="24"/>
      <w:szCs w:val="28"/>
    </w:rPr>
  </w:style>
  <w:style w:type="paragraph" w:styleId="7">
    <w:name w:val="heading 6"/>
    <w:basedOn w:val="1"/>
    <w:next w:val="1"/>
    <w:link w:val="113"/>
    <w:unhideWhenUsed/>
    <w:qFormat/>
    <w:uiPriority w:val="0"/>
    <w:pPr>
      <w:keepNext/>
      <w:keepLines/>
      <w:numPr>
        <w:ilvl w:val="5"/>
        <w:numId w:val="1"/>
      </w:numPr>
      <w:adjustRightInd w:val="0"/>
      <w:snapToGrid w:val="0"/>
      <w:spacing w:before="240" w:after="64" w:line="317" w:lineRule="auto"/>
      <w:ind w:left="1151" w:hanging="1151" w:firstLineChars="0"/>
      <w:jc w:val="left"/>
      <w:outlineLvl w:val="5"/>
    </w:pPr>
    <w:rPr>
      <w:rFonts w:ascii="Arial" w:hAnsi="Arial" w:eastAsia="黑体" w:cs="宋体"/>
      <w:b/>
      <w:snapToGrid w:val="0"/>
      <w:kern w:val="0"/>
      <w:sz w:val="24"/>
      <w:szCs w:val="24"/>
    </w:rPr>
  </w:style>
  <w:style w:type="paragraph" w:styleId="8">
    <w:name w:val="heading 7"/>
    <w:basedOn w:val="1"/>
    <w:next w:val="1"/>
    <w:link w:val="115"/>
    <w:unhideWhenUsed/>
    <w:qFormat/>
    <w:uiPriority w:val="0"/>
    <w:pPr>
      <w:keepNext/>
      <w:keepLines/>
      <w:numPr>
        <w:ilvl w:val="6"/>
        <w:numId w:val="1"/>
      </w:numPr>
      <w:adjustRightInd w:val="0"/>
      <w:snapToGrid w:val="0"/>
      <w:spacing w:before="240" w:after="64" w:line="317" w:lineRule="auto"/>
      <w:ind w:left="1296" w:hanging="1296" w:firstLineChars="0"/>
      <w:jc w:val="left"/>
      <w:outlineLvl w:val="6"/>
    </w:pPr>
    <w:rPr>
      <w:rFonts w:ascii="宋体" w:hAnsi="宋体" w:eastAsia="宋体" w:cs="宋体"/>
      <w:b/>
      <w:snapToGrid w:val="0"/>
      <w:kern w:val="0"/>
      <w:sz w:val="24"/>
      <w:szCs w:val="24"/>
    </w:rPr>
  </w:style>
  <w:style w:type="paragraph" w:styleId="9">
    <w:name w:val="heading 8"/>
    <w:basedOn w:val="1"/>
    <w:next w:val="1"/>
    <w:link w:val="116"/>
    <w:unhideWhenUsed/>
    <w:qFormat/>
    <w:uiPriority w:val="0"/>
    <w:pPr>
      <w:numPr>
        <w:ilvl w:val="7"/>
        <w:numId w:val="1"/>
      </w:numPr>
      <w:tabs>
        <w:tab w:val="left" w:pos="420"/>
      </w:tabs>
      <w:adjustRightInd w:val="0"/>
      <w:snapToGrid w:val="0"/>
      <w:spacing w:after="160" w:line="400" w:lineRule="exact"/>
      <w:ind w:left="1440" w:hanging="1440"/>
      <w:jc w:val="center"/>
      <w:outlineLvl w:val="7"/>
    </w:pPr>
    <w:rPr>
      <w:rFonts w:ascii="宋体" w:hAnsi="宋体" w:eastAsia="宋体" w:cs="宋体"/>
      <w:b/>
      <w:bCs/>
      <w:snapToGrid w:val="0"/>
      <w:kern w:val="0"/>
      <w:szCs w:val="21"/>
    </w:rPr>
  </w:style>
  <w:style w:type="paragraph" w:styleId="10">
    <w:name w:val="heading 9"/>
    <w:basedOn w:val="1"/>
    <w:next w:val="1"/>
    <w:link w:val="117"/>
    <w:unhideWhenUsed/>
    <w:qFormat/>
    <w:uiPriority w:val="0"/>
    <w:pPr>
      <w:numPr>
        <w:ilvl w:val="8"/>
        <w:numId w:val="1"/>
      </w:numPr>
      <w:tabs>
        <w:tab w:val="left" w:pos="420"/>
      </w:tabs>
      <w:adjustRightInd w:val="0"/>
      <w:snapToGrid w:val="0"/>
      <w:ind w:left="1583" w:hanging="1583"/>
      <w:jc w:val="center"/>
      <w:outlineLvl w:val="8"/>
    </w:pPr>
    <w:rPr>
      <w:rFonts w:ascii="宋体" w:hAnsi="宋体" w:eastAsia="宋体" w:cs="宋体"/>
      <w:snapToGrid w:val="0"/>
      <w:kern w:val="0"/>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2"/>
    <w:qFormat/>
    <w:uiPriority w:val="0"/>
    <w:pPr>
      <w:spacing w:line="240" w:lineRule="auto"/>
      <w:ind w:firstLine="0" w:firstLineChars="0"/>
      <w:jc w:val="center"/>
    </w:pPr>
    <w:rPr>
      <w:sz w:val="21"/>
    </w:rPr>
  </w:style>
  <w:style w:type="paragraph" w:styleId="12">
    <w:name w:val="Body Text First Indent"/>
    <w:basedOn w:val="13"/>
    <w:link w:val="102"/>
    <w:qFormat/>
    <w:uiPriority w:val="99"/>
    <w:pPr>
      <w:ind w:firstLine="420" w:firstLineChars="100"/>
    </w:pPr>
    <w:rPr>
      <w:kern w:val="2"/>
      <w:sz w:val="21"/>
    </w:rPr>
  </w:style>
  <w:style w:type="paragraph" w:styleId="13">
    <w:name w:val="Body Text"/>
    <w:basedOn w:val="1"/>
    <w:next w:val="1"/>
    <w:link w:val="101"/>
    <w:qFormat/>
    <w:uiPriority w:val="0"/>
    <w:pPr>
      <w:spacing w:after="120"/>
    </w:pPr>
    <w:rPr>
      <w:kern w:val="0"/>
      <w:sz w:val="20"/>
    </w:rPr>
  </w:style>
  <w:style w:type="paragraph" w:styleId="14">
    <w:name w:val="caption"/>
    <w:basedOn w:val="1"/>
    <w:next w:val="15"/>
    <w:unhideWhenUsed/>
    <w:qFormat/>
    <w:uiPriority w:val="0"/>
    <w:pPr>
      <w:spacing w:line="360" w:lineRule="auto"/>
      <w:jc w:val="center"/>
    </w:pPr>
    <w:rPr>
      <w:rFonts w:ascii="Times New Roman" w:hAnsi="Times New Roman" w:eastAsia="黑体"/>
      <w:sz w:val="21"/>
      <w:szCs w:val="21"/>
    </w:rPr>
  </w:style>
  <w:style w:type="paragraph" w:customStyle="1" w:styleId="15">
    <w:name w:val="表内文字"/>
    <w:basedOn w:val="16"/>
    <w:next w:val="1"/>
    <w:autoRedefine/>
    <w:qFormat/>
    <w:uiPriority w:val="0"/>
    <w:pPr>
      <w:spacing w:line="240" w:lineRule="auto"/>
      <w:ind w:firstLine="0" w:firstLineChars="0"/>
      <w:jc w:val="center"/>
    </w:pPr>
    <w:rPr>
      <w:sz w:val="21"/>
    </w:rPr>
  </w:style>
  <w:style w:type="paragraph" w:customStyle="1" w:styleId="16">
    <w:name w:val="图表名称"/>
    <w:basedOn w:val="1"/>
    <w:autoRedefine/>
    <w:qFormat/>
    <w:uiPriority w:val="0"/>
    <w:pPr>
      <w:ind w:firstLine="0" w:firstLineChars="0"/>
      <w:jc w:val="center"/>
    </w:pPr>
    <w:rPr>
      <w:b/>
      <w:bCs/>
      <w:color w:val="000000" w:themeColor="text1"/>
      <w:sz w:val="21"/>
      <w14:textFill>
        <w14:solidFill>
          <w14:schemeClr w14:val="tx1"/>
        </w14:solidFill>
      </w14:textFill>
    </w:rPr>
  </w:style>
  <w:style w:type="paragraph" w:styleId="17">
    <w:name w:val="annotation text"/>
    <w:basedOn w:val="1"/>
    <w:link w:val="114"/>
    <w:qFormat/>
    <w:uiPriority w:val="0"/>
    <w:pPr>
      <w:jc w:val="left"/>
    </w:pPr>
  </w:style>
  <w:style w:type="paragraph" w:styleId="18">
    <w:name w:val="Body Text Indent"/>
    <w:basedOn w:val="1"/>
    <w:qFormat/>
    <w:uiPriority w:val="0"/>
    <w:pPr>
      <w:tabs>
        <w:tab w:val="left" w:pos="360"/>
      </w:tabs>
      <w:ind w:left="600" w:leftChars="257" w:hanging="60" w:hangingChars="25"/>
    </w:pPr>
    <w:rPr>
      <w:rFonts w:ascii="宋体" w:hAnsi="宋体"/>
      <w:kern w:val="0"/>
      <w:sz w:val="24"/>
    </w:rPr>
  </w:style>
  <w:style w:type="paragraph" w:styleId="19">
    <w:name w:val="toc 3"/>
    <w:basedOn w:val="1"/>
    <w:next w:val="1"/>
    <w:qFormat/>
    <w:uiPriority w:val="0"/>
    <w:pPr>
      <w:adjustRightInd w:val="0"/>
      <w:snapToGrid w:val="0"/>
      <w:spacing w:line="400" w:lineRule="exact"/>
      <w:ind w:left="480" w:leftChars="200"/>
    </w:pPr>
    <w:rPr>
      <w:rFonts w:ascii="宋体" w:hAnsi="宋体" w:eastAsia="宋体" w:cs="宋体"/>
      <w:snapToGrid w:val="0"/>
      <w:kern w:val="0"/>
      <w:sz w:val="24"/>
      <w:szCs w:val="24"/>
    </w:rPr>
  </w:style>
  <w:style w:type="paragraph" w:styleId="20">
    <w:name w:val="Plain Text"/>
    <w:basedOn w:val="1"/>
    <w:unhideWhenUsed/>
    <w:qFormat/>
    <w:uiPriority w:val="0"/>
    <w:rPr>
      <w:rFonts w:ascii="宋体" w:hAnsi="Courier New"/>
      <w:sz w:val="19"/>
    </w:rPr>
  </w:style>
  <w:style w:type="paragraph" w:styleId="21">
    <w:name w:val="Balloon Text"/>
    <w:basedOn w:val="1"/>
    <w:link w:val="90"/>
    <w:qFormat/>
    <w:uiPriority w:val="0"/>
    <w:rPr>
      <w:sz w:val="18"/>
      <w:szCs w:val="18"/>
    </w:rPr>
  </w:style>
  <w:style w:type="paragraph" w:styleId="22">
    <w:name w:val="footer"/>
    <w:basedOn w:val="1"/>
    <w:next w:val="1"/>
    <w:link w:val="145"/>
    <w:qFormat/>
    <w:uiPriority w:val="99"/>
    <w:pPr>
      <w:tabs>
        <w:tab w:val="center" w:pos="4153"/>
        <w:tab w:val="right" w:pos="8306"/>
      </w:tabs>
      <w:snapToGrid w:val="0"/>
      <w:jc w:val="left"/>
    </w:pPr>
    <w:rPr>
      <w:sz w:val="18"/>
    </w:rPr>
  </w:style>
  <w:style w:type="paragraph" w:styleId="2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4">
    <w:name w:val="toc 1"/>
    <w:basedOn w:val="1"/>
    <w:next w:val="1"/>
    <w:qFormat/>
    <w:uiPriority w:val="39"/>
  </w:style>
  <w:style w:type="paragraph" w:styleId="25">
    <w:name w:val="toc 2"/>
    <w:basedOn w:val="1"/>
    <w:next w:val="1"/>
    <w:qFormat/>
    <w:uiPriority w:val="39"/>
    <w:pPr>
      <w:ind w:left="420" w:leftChars="200"/>
    </w:pPr>
  </w:style>
  <w:style w:type="paragraph" w:styleId="26">
    <w:name w:val="Normal (Web)"/>
    <w:basedOn w:val="1"/>
    <w:qFormat/>
    <w:uiPriority w:val="0"/>
    <w:pPr>
      <w:spacing w:beforeAutospacing="1" w:afterAutospacing="1"/>
      <w:jc w:val="left"/>
    </w:pPr>
    <w:rPr>
      <w:kern w:val="0"/>
      <w:sz w:val="24"/>
    </w:rPr>
  </w:style>
  <w:style w:type="paragraph" w:styleId="27">
    <w:name w:val="Title"/>
    <w:basedOn w:val="1"/>
    <w:next w:val="1"/>
    <w:qFormat/>
    <w:uiPriority w:val="10"/>
    <w:pPr>
      <w:spacing w:before="240" w:after="60"/>
      <w:jc w:val="center"/>
      <w:outlineLvl w:val="0"/>
    </w:pPr>
    <w:rPr>
      <w:rFonts w:eastAsia="黑体" w:asciiTheme="majorHAnsi" w:hAnsiTheme="majorHAnsi" w:cstheme="majorBidi"/>
      <w:b/>
      <w:bCs/>
      <w:sz w:val="28"/>
      <w:szCs w:val="32"/>
    </w:rPr>
  </w:style>
  <w:style w:type="paragraph" w:styleId="28">
    <w:name w:val="Body Text First Indent 2"/>
    <w:basedOn w:val="18"/>
    <w:qFormat/>
    <w:uiPriority w:val="0"/>
    <w:pPr>
      <w:tabs>
        <w:tab w:val="left" w:pos="964"/>
      </w:tabs>
      <w:spacing w:line="240" w:lineRule="atLeast"/>
      <w:ind w:left="964" w:hanging="425"/>
    </w:pPr>
    <w:rPr>
      <w:sz w:val="28"/>
    </w:rPr>
  </w:style>
  <w:style w:type="table" w:styleId="30">
    <w:name w:val="Table Grid"/>
    <w:basedOn w:val="2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0"/>
    <w:rPr>
      <w:b/>
      <w:sz w:val="24"/>
      <w:szCs w:val="24"/>
    </w:rPr>
  </w:style>
  <w:style w:type="character" w:styleId="33">
    <w:name w:val="FollowedHyperlink"/>
    <w:basedOn w:val="31"/>
    <w:qFormat/>
    <w:uiPriority w:val="0"/>
    <w:rPr>
      <w:color w:val="954F72" w:themeColor="followedHyperlink"/>
      <w:u w:val="single"/>
      <w14:textFill>
        <w14:solidFill>
          <w14:schemeClr w14:val="folHlink"/>
        </w14:solidFill>
      </w14:textFill>
    </w:rPr>
  </w:style>
  <w:style w:type="character" w:styleId="34">
    <w:name w:val="Emphasis"/>
    <w:basedOn w:val="31"/>
    <w:qFormat/>
    <w:uiPriority w:val="0"/>
    <w:rPr>
      <w:color w:val="CC0000"/>
      <w:sz w:val="24"/>
      <w:szCs w:val="24"/>
    </w:rPr>
  </w:style>
  <w:style w:type="character" w:styleId="35">
    <w:name w:val="Hyperlink"/>
    <w:basedOn w:val="31"/>
    <w:unhideWhenUsed/>
    <w:qFormat/>
    <w:uiPriority w:val="99"/>
    <w:rPr>
      <w:color w:val="0563C1" w:themeColor="hyperlink"/>
      <w:u w:val="single"/>
      <w14:textFill>
        <w14:solidFill>
          <w14:schemeClr w14:val="hlink"/>
        </w14:solidFill>
      </w14:textFill>
    </w:rPr>
  </w:style>
  <w:style w:type="character" w:styleId="36">
    <w:name w:val="annotation reference"/>
    <w:qFormat/>
    <w:uiPriority w:val="0"/>
    <w:rPr>
      <w:sz w:val="21"/>
      <w:szCs w:val="21"/>
    </w:rPr>
  </w:style>
  <w:style w:type="character" w:styleId="37">
    <w:name w:val="HTML Cite"/>
    <w:basedOn w:val="31"/>
    <w:qFormat/>
    <w:uiPriority w:val="0"/>
    <w:rPr>
      <w:sz w:val="24"/>
      <w:szCs w:val="24"/>
    </w:rPr>
  </w:style>
  <w:style w:type="paragraph" w:customStyle="1" w:styleId="38">
    <w:name w:val="基准-无缩进"/>
    <w:basedOn w:val="4"/>
    <w:qFormat/>
    <w:uiPriority w:val="0"/>
    <w:pPr>
      <w:numPr>
        <w:ilvl w:val="0"/>
        <w:numId w:val="0"/>
      </w:numPr>
      <w:tabs>
        <w:tab w:val="left" w:pos="0"/>
      </w:tabs>
    </w:pPr>
  </w:style>
  <w:style w:type="paragraph" w:customStyle="1" w:styleId="39">
    <w:name w:val="样式 正文文本缩进正文文本缩进 Char + Times New Roman"/>
    <w:basedOn w:val="1"/>
    <w:autoRedefine/>
    <w:qFormat/>
    <w:uiPriority w:val="0"/>
    <w:pPr>
      <w:spacing w:line="300" w:lineRule="auto"/>
      <w:ind w:firstLine="480" w:firstLineChars="200"/>
    </w:pPr>
    <w:rPr>
      <w:rFonts w:asciiTheme="majorEastAsia" w:hAnsiTheme="majorEastAsia" w:eastAsiaTheme="majorEastAsia"/>
      <w:sz w:val="24"/>
    </w:rPr>
  </w:style>
  <w:style w:type="character" w:customStyle="1" w:styleId="40">
    <w:name w:val="标题 2 字符"/>
    <w:link w:val="3"/>
    <w:qFormat/>
    <w:uiPriority w:val="0"/>
    <w:rPr>
      <w:rFonts w:ascii="宋体" w:hAnsi="宋体" w:eastAsia="宋体"/>
      <w:b/>
      <w:color w:val="000000" w:themeColor="text1"/>
      <w:kern w:val="2"/>
      <w:sz w:val="28"/>
      <w:szCs w:val="22"/>
      <w14:textFill>
        <w14:solidFill>
          <w14:schemeClr w14:val="tx1"/>
        </w14:solidFill>
      </w14:textFill>
    </w:rPr>
  </w:style>
  <w:style w:type="paragraph" w:customStyle="1" w:styleId="41">
    <w:name w:val="贵阳项目-标书正文"/>
    <w:basedOn w:val="1"/>
    <w:qFormat/>
    <w:uiPriority w:val="0"/>
    <w:pPr>
      <w:widowControl/>
      <w:spacing w:line="360" w:lineRule="auto"/>
      <w:ind w:firstLine="200" w:firstLineChars="200"/>
    </w:pPr>
    <w:rPr>
      <w:rFonts w:ascii="Times New Roman" w:hAnsi="Times New Roman" w:cs="Times New Roman"/>
      <w:szCs w:val="24"/>
    </w:rPr>
  </w:style>
  <w:style w:type="paragraph" w:customStyle="1" w:styleId="42">
    <w:name w:val="图名"/>
    <w:basedOn w:val="43"/>
    <w:qFormat/>
    <w:uiPriority w:val="0"/>
    <w:pPr>
      <w:spacing w:line="240" w:lineRule="auto"/>
      <w:ind w:right="0"/>
    </w:pPr>
  </w:style>
  <w:style w:type="paragraph" w:customStyle="1" w:styleId="43">
    <w:name w:val="表头"/>
    <w:next w:val="1"/>
    <w:qFormat/>
    <w:uiPriority w:val="0"/>
    <w:pPr>
      <w:jc w:val="center"/>
    </w:pPr>
    <w:rPr>
      <w:rFonts w:ascii="仿宋" w:hAnsi="仿宋" w:eastAsia="黑体" w:cs="仿宋"/>
      <w:bCs/>
      <w:color w:val="000000" w:themeColor="text1"/>
      <w:kern w:val="2"/>
      <w:sz w:val="21"/>
      <w:szCs w:val="24"/>
      <w:lang w:val="en-US" w:eastAsia="zh-CN" w:bidi="ar-SA"/>
      <w14:textFill>
        <w14:solidFill>
          <w14:schemeClr w14:val="tx1"/>
        </w14:solidFill>
      </w14:textFill>
    </w:rPr>
  </w:style>
  <w:style w:type="paragraph" w:customStyle="1" w:styleId="44">
    <w:name w:val="图表标题"/>
    <w:basedOn w:val="1"/>
    <w:next w:val="1"/>
    <w:qFormat/>
    <w:uiPriority w:val="0"/>
    <w:pPr>
      <w:widowControl/>
      <w:ind w:firstLine="0" w:firstLineChars="0"/>
      <w:jc w:val="center"/>
    </w:pPr>
    <w:rPr>
      <w:rFonts w:ascii="Times New Roman" w:hAnsi="Times New Roman" w:eastAsia="宋体" w:cs="Times New Roman"/>
      <w:b/>
      <w:color w:val="C00000"/>
      <w:kern w:val="0"/>
      <w:szCs w:val="22"/>
    </w:rPr>
  </w:style>
  <w:style w:type="paragraph" w:customStyle="1" w:styleId="45">
    <w:name w:val="标题3"/>
    <w:basedOn w:val="46"/>
    <w:qFormat/>
    <w:uiPriority w:val="0"/>
    <w:pPr>
      <w:spacing w:line="360" w:lineRule="auto"/>
      <w:ind w:leftChars="100" w:firstLine="100" w:firstLineChars="100"/>
      <w:outlineLvl w:val="2"/>
    </w:pPr>
    <w:rPr>
      <w:rFonts w:ascii="宋体" w:hAnsi="宋体"/>
      <w:color w:val="0000E3"/>
    </w:rPr>
  </w:style>
  <w:style w:type="paragraph" w:customStyle="1" w:styleId="46">
    <w:name w:val="标题2"/>
    <w:basedOn w:val="1"/>
    <w:qFormat/>
    <w:uiPriority w:val="0"/>
    <w:pPr>
      <w:spacing w:before="40" w:after="40"/>
      <w:jc w:val="left"/>
      <w:outlineLvl w:val="1"/>
    </w:pPr>
    <w:rPr>
      <w:rFonts w:ascii="宋体" w:hAnsi="宋体"/>
      <w:b/>
      <w:bCs/>
      <w:color w:val="000000"/>
      <w:szCs w:val="24"/>
    </w:rPr>
  </w:style>
  <w:style w:type="paragraph" w:styleId="47">
    <w:name w:val="List Paragraph"/>
    <w:basedOn w:val="1"/>
    <w:qFormat/>
    <w:uiPriority w:val="34"/>
    <w:pPr>
      <w:ind w:firstLine="420" w:firstLineChars="200"/>
    </w:pPr>
  </w:style>
  <w:style w:type="paragraph" w:customStyle="1" w:styleId="48">
    <w:name w:val="正文B"/>
    <w:basedOn w:val="1"/>
    <w:link w:val="71"/>
    <w:qFormat/>
    <w:uiPriority w:val="0"/>
    <w:pPr>
      <w:spacing w:line="360" w:lineRule="auto"/>
      <w:ind w:firstLine="560" w:firstLineChars="200"/>
    </w:pPr>
    <w:rPr>
      <w:rFonts w:ascii="宋体" w:hAnsi="宋体" w:eastAsia="黑体" w:cs="宋体"/>
      <w:color w:val="FF0000"/>
      <w:kern w:val="0"/>
      <w:sz w:val="24"/>
      <w:szCs w:val="24"/>
    </w:rPr>
  </w:style>
  <w:style w:type="paragraph" w:customStyle="1" w:styleId="49">
    <w:name w:val="正文C"/>
    <w:basedOn w:val="1"/>
    <w:link w:val="72"/>
    <w:qFormat/>
    <w:uiPriority w:val="0"/>
    <w:pPr>
      <w:widowControl/>
      <w:adjustRightInd w:val="0"/>
      <w:snapToGrid w:val="0"/>
      <w:spacing w:line="360" w:lineRule="auto"/>
      <w:ind w:firstLine="200" w:firstLineChars="200"/>
      <w:jc w:val="left"/>
    </w:pPr>
    <w:rPr>
      <w:rFonts w:ascii="宋体" w:hAnsi="宋体" w:eastAsia="宋体" w:cs="宋体"/>
      <w:color w:val="535353" w:themeColor="accent3" w:themeShade="80"/>
      <w:kern w:val="0"/>
      <w:sz w:val="24"/>
      <w:szCs w:val="24"/>
    </w:rPr>
  </w:style>
  <w:style w:type="paragraph" w:customStyle="1" w:styleId="50">
    <w:name w:val="正文D"/>
    <w:basedOn w:val="1"/>
    <w:qFormat/>
    <w:uiPriority w:val="0"/>
    <w:pPr>
      <w:spacing w:line="360" w:lineRule="auto"/>
    </w:pPr>
    <w:rPr>
      <w:rFonts w:ascii="宋体" w:hAnsi="宋体" w:eastAsia="宋体" w:cs="宋体"/>
      <w:color w:val="548235" w:themeColor="accent6" w:themeShade="BF"/>
      <w:kern w:val="0"/>
      <w:sz w:val="24"/>
      <w:szCs w:val="24"/>
    </w:rPr>
  </w:style>
  <w:style w:type="paragraph" w:customStyle="1" w:styleId="51">
    <w:name w:val="正文A"/>
    <w:basedOn w:val="1"/>
    <w:qFormat/>
    <w:uiPriority w:val="0"/>
    <w:pPr>
      <w:spacing w:line="360" w:lineRule="auto"/>
    </w:pPr>
    <w:rPr>
      <w:rFonts w:ascii="宋体" w:hAnsi="宋体" w:eastAsia="宋体" w:cs="宋体"/>
      <w:color w:val="FF0000"/>
      <w:kern w:val="0"/>
      <w:sz w:val="24"/>
      <w:szCs w:val="24"/>
    </w:rPr>
  </w:style>
  <w:style w:type="table" w:customStyle="1" w:styleId="52">
    <w:name w:val="网格型浅色1"/>
    <w:basedOn w:val="2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53">
    <w:name w:val="正文z1"/>
    <w:qFormat/>
    <w:uiPriority w:val="99"/>
    <w:pPr>
      <w:adjustRightInd w:val="0"/>
      <w:snapToGrid w:val="0"/>
    </w:pPr>
    <w:rPr>
      <w:rFonts w:ascii="Calibri" w:hAnsi="Calibri" w:eastAsia="宋体" w:cs="Times New Roman"/>
      <w:kern w:val="2"/>
      <w:sz w:val="24"/>
      <w:szCs w:val="24"/>
      <w:lang w:val="en-US" w:eastAsia="zh-CN" w:bidi="ar-SA"/>
    </w:rPr>
  </w:style>
  <w:style w:type="paragraph" w:customStyle="1" w:styleId="54">
    <w:name w:val="小干表内"/>
    <w:basedOn w:val="1"/>
    <w:qFormat/>
    <w:uiPriority w:val="99"/>
    <w:pPr>
      <w:jc w:val="left"/>
    </w:pPr>
    <w:rPr>
      <w:rFonts w:ascii="宋体" w:hAnsi="宋体" w:cs="黑体" w:eastAsiaTheme="minorEastAsia"/>
    </w:rPr>
  </w:style>
  <w:style w:type="paragraph" w:customStyle="1" w:styleId="55">
    <w:name w:val="图表题注"/>
    <w:basedOn w:val="1"/>
    <w:next w:val="1"/>
    <w:qFormat/>
    <w:uiPriority w:val="0"/>
    <w:pPr>
      <w:adjustRightInd w:val="0"/>
      <w:snapToGrid w:val="0"/>
      <w:spacing w:line="360" w:lineRule="auto"/>
      <w:jc w:val="center"/>
    </w:pPr>
    <w:rPr>
      <w:rFonts w:ascii="Calibri" w:hAnsi="Calibri" w:eastAsia="宋体"/>
      <w:b/>
      <w:bCs/>
      <w:sz w:val="24"/>
      <w:szCs w:val="24"/>
    </w:rPr>
  </w:style>
  <w:style w:type="paragraph" w:customStyle="1" w:styleId="56">
    <w:name w:val="表中字"/>
    <w:basedOn w:val="57"/>
    <w:next w:val="1"/>
    <w:qFormat/>
    <w:uiPriority w:val="99"/>
    <w:pPr>
      <w:adjustRightInd w:val="0"/>
      <w:snapToGrid w:val="0"/>
      <w:jc w:val="center"/>
    </w:pPr>
    <w:rPr>
      <w:rFonts w:ascii="Times New Roman" w:hAnsi="Times New Roman" w:eastAsia="宋体"/>
    </w:rPr>
  </w:style>
  <w:style w:type="paragraph" w:customStyle="1" w:styleId="57">
    <w:name w:val="图表题"/>
    <w:basedOn w:val="1"/>
    <w:next w:val="1"/>
    <w:qFormat/>
    <w:uiPriority w:val="0"/>
    <w:pPr>
      <w:ind w:firstLine="0" w:firstLineChars="0"/>
      <w:jc w:val="center"/>
    </w:pPr>
    <w:rPr>
      <w:rFonts w:ascii="Times New Roman" w:hAnsi="Times New Roman"/>
      <w:b/>
    </w:rPr>
  </w:style>
  <w:style w:type="paragraph" w:customStyle="1" w:styleId="58">
    <w:name w:val="表格"/>
    <w:basedOn w:val="1"/>
    <w:qFormat/>
    <w:uiPriority w:val="0"/>
    <w:pPr>
      <w:adjustRightInd w:val="0"/>
      <w:snapToGrid w:val="0"/>
      <w:spacing w:line="500" w:lineRule="exact"/>
      <w:ind w:firstLine="200" w:firstLineChars="200"/>
      <w:jc w:val="center"/>
    </w:pPr>
    <w:rPr>
      <w:rFonts w:ascii="仿宋" w:hAnsi="仿宋" w:eastAsia="黑体"/>
      <w:color w:val="000000" w:themeColor="text1"/>
      <w:sz w:val="21"/>
      <w:szCs w:val="20"/>
      <w14:textFill>
        <w14:solidFill>
          <w14:schemeClr w14:val="tx1"/>
        </w14:solidFill>
      </w14:textFill>
    </w:rPr>
  </w:style>
  <w:style w:type="paragraph" w:customStyle="1" w:styleId="59">
    <w:name w:val="6正文"/>
    <w:basedOn w:val="1"/>
    <w:qFormat/>
    <w:uiPriority w:val="0"/>
    <w:pPr>
      <w:widowControl/>
      <w:adjustRightInd w:val="0"/>
      <w:snapToGrid w:val="0"/>
      <w:spacing w:line="360" w:lineRule="auto"/>
      <w:ind w:firstLine="480" w:firstLineChars="200"/>
    </w:pPr>
    <w:rPr>
      <w:rFonts w:ascii="宋体" w:hAnsi="宋体" w:eastAsia="宋体" w:cs="宋体"/>
      <w:kern w:val="0"/>
      <w:sz w:val="24"/>
      <w:szCs w:val="24"/>
    </w:rPr>
  </w:style>
  <w:style w:type="paragraph" w:customStyle="1" w:styleId="60">
    <w:name w:val="正文缩2"/>
    <w:qFormat/>
    <w:uiPriority w:val="0"/>
    <w:pPr>
      <w:spacing w:line="360" w:lineRule="auto"/>
      <w:ind w:firstLine="240" w:firstLineChars="100"/>
    </w:pPr>
    <w:rPr>
      <w:rFonts w:ascii="Calibri" w:hAnsi="Calibri" w:eastAsia="宋体" w:cs="Times New Roman"/>
      <w:sz w:val="24"/>
      <w:szCs w:val="24"/>
      <w:lang w:val="en-US" w:eastAsia="zh-CN" w:bidi="ar-SA"/>
    </w:rPr>
  </w:style>
  <w:style w:type="paragraph" w:customStyle="1" w:styleId="61">
    <w:name w:val="图名z"/>
    <w:basedOn w:val="1"/>
    <w:qFormat/>
    <w:uiPriority w:val="99"/>
    <w:pPr>
      <w:spacing w:beforeLines="50" w:line="360" w:lineRule="auto"/>
      <w:jc w:val="center"/>
    </w:pPr>
    <w:rPr>
      <w:rFonts w:ascii="Calibri" w:hAnsi="Calibri" w:eastAsia="宋体"/>
      <w:sz w:val="24"/>
      <w:szCs w:val="24"/>
    </w:rPr>
  </w:style>
  <w:style w:type="paragraph" w:customStyle="1" w:styleId="62">
    <w:name w:val="正文1"/>
    <w:basedOn w:val="1"/>
    <w:qFormat/>
    <w:uiPriority w:val="99"/>
    <w:pPr>
      <w:adjustRightInd w:val="0"/>
      <w:snapToGrid w:val="0"/>
      <w:spacing w:line="360" w:lineRule="auto"/>
      <w:ind w:firstLine="200" w:firstLineChars="200"/>
      <w:jc w:val="left"/>
    </w:pPr>
    <w:rPr>
      <w:rFonts w:ascii="Calibri" w:hAnsi="Calibri" w:eastAsia="宋体"/>
      <w:kern w:val="0"/>
      <w:sz w:val="24"/>
      <w:szCs w:val="24"/>
    </w:rPr>
  </w:style>
  <w:style w:type="paragraph" w:customStyle="1" w:styleId="63">
    <w:name w:val="样式 (中文) 宋体 四号 行距: 1.5 倍行距"/>
    <w:basedOn w:val="1"/>
    <w:qFormat/>
    <w:uiPriority w:val="0"/>
    <w:pPr>
      <w:adjustRightInd w:val="0"/>
      <w:snapToGrid w:val="0"/>
      <w:spacing w:line="360" w:lineRule="auto"/>
      <w:ind w:firstLine="560" w:firstLineChars="200"/>
      <w:jc w:val="left"/>
    </w:pPr>
    <w:rPr>
      <w:rFonts w:ascii="Calibri" w:hAnsi="Calibri" w:eastAsia="宋体" w:cs="宋体"/>
      <w:sz w:val="24"/>
      <w:szCs w:val="20"/>
    </w:rPr>
  </w:style>
  <w:style w:type="paragraph" w:customStyle="1" w:styleId="64">
    <w:name w:val="7图表"/>
    <w:qFormat/>
    <w:uiPriority w:val="0"/>
    <w:pPr>
      <w:jc w:val="center"/>
    </w:pPr>
    <w:rPr>
      <w:rFonts w:ascii="宋体" w:hAnsi="宋体" w:eastAsia="宋体" w:cs="Times New Roman"/>
      <w:b/>
      <w:sz w:val="24"/>
      <w:szCs w:val="21"/>
      <w:lang w:val="en-US" w:eastAsia="zh-CN" w:bidi="ar-SA"/>
    </w:rPr>
  </w:style>
  <w:style w:type="paragraph" w:customStyle="1" w:styleId="65">
    <w:name w:val="正文文本缩进3"/>
    <w:basedOn w:val="1"/>
    <w:qFormat/>
    <w:uiPriority w:val="99"/>
    <w:pPr>
      <w:adjustRightInd w:val="0"/>
      <w:snapToGrid w:val="0"/>
      <w:spacing w:after="120" w:line="360" w:lineRule="auto"/>
      <w:ind w:left="420" w:leftChars="200" w:firstLine="200" w:firstLineChars="200"/>
      <w:jc w:val="left"/>
    </w:pPr>
    <w:rPr>
      <w:rFonts w:ascii="Calibri" w:hAnsi="Calibri" w:eastAsia="宋体"/>
      <w:szCs w:val="24"/>
    </w:rPr>
  </w:style>
  <w:style w:type="paragraph" w:customStyle="1" w:styleId="66">
    <w:name w:val="正文正"/>
    <w:basedOn w:val="1"/>
    <w:qFormat/>
    <w:uiPriority w:val="99"/>
    <w:pPr>
      <w:widowControl/>
      <w:spacing w:line="500" w:lineRule="exact"/>
      <w:ind w:firstLine="480" w:firstLineChars="200"/>
    </w:pPr>
    <w:rPr>
      <w:rFonts w:ascii="宋体" w:hAnsi="宋体" w:eastAsia="宋体" w:cs="宋体"/>
      <w:sz w:val="24"/>
      <w:szCs w:val="24"/>
    </w:rPr>
  </w:style>
  <w:style w:type="paragraph" w:customStyle="1" w:styleId="67">
    <w:name w:val="正文2.13"/>
    <w:basedOn w:val="1"/>
    <w:qFormat/>
    <w:uiPriority w:val="99"/>
    <w:pPr>
      <w:topLinePunct/>
      <w:adjustRightInd w:val="0"/>
      <w:snapToGrid w:val="0"/>
      <w:spacing w:line="360" w:lineRule="auto"/>
      <w:ind w:firstLine="200" w:firstLineChars="200"/>
    </w:pPr>
    <w:rPr>
      <w:rFonts w:ascii="Calibri" w:hAnsi="Calibri" w:eastAsia="仿宋_GB2312"/>
      <w:sz w:val="24"/>
      <w:szCs w:val="24"/>
    </w:rPr>
  </w:style>
  <w:style w:type="paragraph" w:customStyle="1" w:styleId="68">
    <w:name w:val="正文格式"/>
    <w:basedOn w:val="1"/>
    <w:qFormat/>
    <w:uiPriority w:val="99"/>
    <w:pPr>
      <w:spacing w:beforeLines="50" w:line="480" w:lineRule="exact"/>
      <w:ind w:firstLine="480" w:firstLineChars="200"/>
      <w:jc w:val="left"/>
    </w:pPr>
    <w:rPr>
      <w:rFonts w:ascii="Calibri" w:hAnsi="Calibri" w:eastAsia="宋体"/>
      <w:sz w:val="24"/>
      <w:szCs w:val="24"/>
    </w:rPr>
  </w:style>
  <w:style w:type="paragraph" w:customStyle="1" w:styleId="69">
    <w:name w:val="Table Paragraph"/>
    <w:basedOn w:val="1"/>
    <w:qFormat/>
    <w:uiPriority w:val="1"/>
    <w:pPr>
      <w:jc w:val="left"/>
    </w:pPr>
    <w:rPr>
      <w:rFonts w:asciiTheme="minorHAnsi" w:hAnsiTheme="minorHAnsi" w:eastAsiaTheme="minorEastAsia" w:cstheme="minorBidi"/>
      <w:kern w:val="0"/>
      <w:sz w:val="22"/>
      <w:lang w:eastAsia="en-US"/>
    </w:rPr>
  </w:style>
  <w:style w:type="table" w:customStyle="1" w:styleId="70">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character" w:customStyle="1" w:styleId="71">
    <w:name w:val="正文B Char"/>
    <w:link w:val="48"/>
    <w:qFormat/>
    <w:uiPriority w:val="0"/>
    <w:rPr>
      <w:rFonts w:ascii="宋体" w:hAnsi="宋体" w:eastAsia="黑体" w:cs="宋体"/>
      <w:color w:val="FF0000"/>
      <w:kern w:val="0"/>
      <w:sz w:val="24"/>
      <w:szCs w:val="24"/>
    </w:rPr>
  </w:style>
  <w:style w:type="character" w:customStyle="1" w:styleId="72">
    <w:name w:val="正文C Char"/>
    <w:link w:val="49"/>
    <w:qFormat/>
    <w:uiPriority w:val="0"/>
    <w:rPr>
      <w:rFonts w:ascii="宋体" w:hAnsi="宋体" w:cs="宋体"/>
      <w:color w:val="535353" w:themeColor="accent3" w:themeShade="80"/>
      <w:sz w:val="24"/>
      <w:szCs w:val="24"/>
    </w:rPr>
  </w:style>
  <w:style w:type="paragraph" w:styleId="73">
    <w:name w:val="No Spacing"/>
    <w:basedOn w:val="1"/>
    <w:next w:val="1"/>
    <w:link w:val="141"/>
    <w:qFormat/>
    <w:uiPriority w:val="0"/>
    <w:pPr>
      <w:widowControl w:val="0"/>
      <w:spacing w:line="360" w:lineRule="auto"/>
      <w:jc w:val="center"/>
    </w:pPr>
    <w:rPr>
      <w:rFonts w:ascii="黑体" w:hAnsi="黑体" w:eastAsia="黑体" w:cs="Times New Roman"/>
      <w:sz w:val="21"/>
      <w:lang w:val="en-US" w:eastAsia="zh-CN" w:bidi="ar-SA"/>
    </w:rPr>
  </w:style>
  <w:style w:type="character" w:customStyle="1" w:styleId="74">
    <w:name w:val="comment-number"/>
    <w:basedOn w:val="31"/>
    <w:qFormat/>
    <w:uiPriority w:val="0"/>
    <w:rPr>
      <w:color w:val="FBA222"/>
    </w:rPr>
  </w:style>
  <w:style w:type="character" w:customStyle="1" w:styleId="75">
    <w:name w:val="comment-text-w"/>
    <w:basedOn w:val="31"/>
    <w:qFormat/>
    <w:uiPriority w:val="0"/>
    <w:rPr>
      <w:color w:val="FBA222"/>
    </w:rPr>
  </w:style>
  <w:style w:type="character" w:customStyle="1" w:styleId="76">
    <w:name w:val="comment-link-num"/>
    <w:basedOn w:val="31"/>
    <w:qFormat/>
    <w:uiPriority w:val="0"/>
  </w:style>
  <w:style w:type="character" w:customStyle="1" w:styleId="77">
    <w:name w:val="wrap-name-w"/>
    <w:basedOn w:val="31"/>
    <w:qFormat/>
    <w:uiPriority w:val="0"/>
    <w:rPr>
      <w:rFonts w:ascii="微软雅黑" w:hAnsi="微软雅黑" w:eastAsia="微软雅黑" w:cs="微软雅黑"/>
      <w:color w:val="FBA222"/>
      <w:sz w:val="19"/>
      <w:szCs w:val="19"/>
    </w:rPr>
  </w:style>
  <w:style w:type="character" w:customStyle="1" w:styleId="78">
    <w:name w:val="text-null"/>
    <w:basedOn w:val="31"/>
    <w:qFormat/>
    <w:uiPriority w:val="0"/>
    <w:rPr>
      <w:color w:val="FBA222"/>
    </w:rPr>
  </w:style>
  <w:style w:type="character" w:customStyle="1" w:styleId="79">
    <w:name w:val="prompt-empty-w"/>
    <w:basedOn w:val="31"/>
    <w:qFormat/>
    <w:uiPriority w:val="0"/>
    <w:rPr>
      <w:vanish/>
      <w:color w:val="FBA222"/>
      <w:sz w:val="14"/>
      <w:szCs w:val="14"/>
    </w:rPr>
  </w:style>
  <w:style w:type="character" w:customStyle="1" w:styleId="80">
    <w:name w:val="prop-span"/>
    <w:basedOn w:val="31"/>
    <w:qFormat/>
    <w:uiPriority w:val="0"/>
  </w:style>
  <w:style w:type="character" w:customStyle="1" w:styleId="81">
    <w:name w:val="comment-link-numtext"/>
    <w:basedOn w:val="31"/>
    <w:qFormat/>
    <w:uiPriority w:val="0"/>
  </w:style>
  <w:style w:type="character" w:customStyle="1" w:styleId="82">
    <w:name w:val="cy-number"/>
    <w:basedOn w:val="31"/>
    <w:qFormat/>
    <w:uiPriority w:val="0"/>
    <w:rPr>
      <w:rFonts w:ascii="Impact" w:hAnsi="Impact" w:eastAsia="Impact" w:cs="Impact"/>
      <w:color w:val="FBA222"/>
      <w:sz w:val="24"/>
      <w:szCs w:val="24"/>
    </w:rPr>
  </w:style>
  <w:style w:type="character" w:customStyle="1" w:styleId="83">
    <w:name w:val="prompt-empty-w4"/>
    <w:basedOn w:val="31"/>
    <w:qFormat/>
    <w:uiPriority w:val="0"/>
    <w:rPr>
      <w:color w:val="FBA222"/>
    </w:rPr>
  </w:style>
  <w:style w:type="character" w:customStyle="1" w:styleId="84">
    <w:name w:val="cy-number2"/>
    <w:basedOn w:val="31"/>
    <w:qFormat/>
    <w:uiPriority w:val="0"/>
    <w:rPr>
      <w:color w:val="FBA222"/>
    </w:rPr>
  </w:style>
  <w:style w:type="paragraph" w:customStyle="1" w:styleId="85">
    <w:name w:val="正文标题"/>
    <w:basedOn w:val="1"/>
    <w:qFormat/>
    <w:uiPriority w:val="0"/>
    <w:pPr>
      <w:adjustRightInd w:val="0"/>
      <w:snapToGrid w:val="0"/>
      <w:jc w:val="left"/>
    </w:pPr>
    <w:rPr>
      <w:b/>
      <w:sz w:val="28"/>
      <w:szCs w:val="24"/>
    </w:rPr>
  </w:style>
  <w:style w:type="paragraph" w:customStyle="1" w:styleId="86">
    <w:name w:val="p0"/>
    <w:basedOn w:val="1"/>
    <w:qFormat/>
    <w:uiPriority w:val="0"/>
    <w:pPr>
      <w:widowControl/>
      <w:spacing w:before="100" w:beforeAutospacing="1" w:after="100" w:afterAutospacing="1"/>
      <w:jc w:val="left"/>
    </w:pPr>
    <w:rPr>
      <w:rFonts w:ascii="宋体" w:hAnsi="宋体" w:cs="宋体"/>
      <w:szCs w:val="24"/>
    </w:rPr>
  </w:style>
  <w:style w:type="paragraph" w:customStyle="1" w:styleId="87">
    <w:name w:val="图片"/>
    <w:basedOn w:val="1"/>
    <w:link w:val="88"/>
    <w:qFormat/>
    <w:uiPriority w:val="0"/>
    <w:pPr>
      <w:spacing w:line="360" w:lineRule="auto"/>
      <w:jc w:val="center"/>
    </w:pPr>
    <w:rPr>
      <w:rFonts w:ascii="宋体" w:hAnsi="宋体" w:eastAsia="宋体" w:cs="宋体"/>
      <w:b/>
      <w:color w:val="0766D4"/>
      <w:kern w:val="0"/>
      <w:sz w:val="24"/>
      <w:szCs w:val="20"/>
    </w:rPr>
  </w:style>
  <w:style w:type="character" w:customStyle="1" w:styleId="88">
    <w:name w:val="图片 Char"/>
    <w:link w:val="87"/>
    <w:qFormat/>
    <w:uiPriority w:val="0"/>
    <w:rPr>
      <w:rFonts w:ascii="宋体" w:hAnsi="宋体" w:cs="宋体"/>
      <w:b/>
      <w:color w:val="0766D4"/>
      <w:sz w:val="24"/>
    </w:rPr>
  </w:style>
  <w:style w:type="paragraph" w:customStyle="1" w:styleId="89">
    <w:name w:val="表文字"/>
    <w:basedOn w:val="1"/>
    <w:qFormat/>
    <w:uiPriority w:val="0"/>
    <w:pPr>
      <w:jc w:val="center"/>
    </w:pPr>
    <w:rPr>
      <w:rFonts w:ascii="宋体" w:hAnsi="宋体" w:eastAsia="宋体" w:cs="宋体"/>
      <w:color w:val="000000" w:themeColor="text1"/>
      <w:szCs w:val="24"/>
      <w14:textFill>
        <w14:solidFill>
          <w14:schemeClr w14:val="tx1"/>
        </w14:solidFill>
      </w14:textFill>
    </w:rPr>
  </w:style>
  <w:style w:type="character" w:customStyle="1" w:styleId="90">
    <w:name w:val="批注框文本 字符"/>
    <w:basedOn w:val="31"/>
    <w:link w:val="21"/>
    <w:qFormat/>
    <w:uiPriority w:val="0"/>
    <w:rPr>
      <w:rFonts w:ascii="等线" w:hAnsi="等线" w:eastAsia="仿宋"/>
      <w:kern w:val="2"/>
      <w:sz w:val="18"/>
      <w:szCs w:val="18"/>
    </w:rPr>
  </w:style>
  <w:style w:type="paragraph" w:customStyle="1" w:styleId="91">
    <w:name w:val="Revision"/>
    <w:hidden/>
    <w:semiHidden/>
    <w:qFormat/>
    <w:uiPriority w:val="99"/>
    <w:rPr>
      <w:rFonts w:ascii="等线" w:hAnsi="等线" w:eastAsia="仿宋" w:cs="Times New Roman"/>
      <w:kern w:val="2"/>
      <w:sz w:val="21"/>
      <w:szCs w:val="22"/>
      <w:lang w:val="en-US" w:eastAsia="zh-CN" w:bidi="ar-SA"/>
    </w:rPr>
  </w:style>
  <w:style w:type="paragraph" w:customStyle="1" w:styleId="92">
    <w:name w:val="正文 1）"/>
    <w:basedOn w:val="1"/>
    <w:next w:val="1"/>
    <w:qFormat/>
    <w:uiPriority w:val="0"/>
    <w:pPr>
      <w:tabs>
        <w:tab w:val="left" w:pos="-204"/>
        <w:tab w:val="left" w:pos="0"/>
      </w:tabs>
      <w:adjustRightInd w:val="0"/>
      <w:snapToGrid w:val="0"/>
      <w:spacing w:line="430" w:lineRule="exact"/>
      <w:ind w:left="-624"/>
      <w:jc w:val="left"/>
    </w:pPr>
    <w:rPr>
      <w:rFonts w:ascii="宋体" w:hAnsi="宋体" w:eastAsia="宋体" w:cs="宋体"/>
      <w:snapToGrid w:val="0"/>
      <w:kern w:val="0"/>
      <w:sz w:val="24"/>
      <w:szCs w:val="24"/>
    </w:rPr>
  </w:style>
  <w:style w:type="paragraph" w:customStyle="1" w:styleId="93">
    <w:name w:val="正文 a"/>
    <w:basedOn w:val="1"/>
    <w:next w:val="1"/>
    <w:qFormat/>
    <w:uiPriority w:val="0"/>
    <w:pPr>
      <w:tabs>
        <w:tab w:val="left" w:pos="420"/>
        <w:tab w:val="left" w:pos="568"/>
      </w:tabs>
      <w:adjustRightInd w:val="0"/>
      <w:snapToGrid w:val="0"/>
      <w:spacing w:line="430" w:lineRule="exact"/>
      <w:ind w:left="-56"/>
      <w:jc w:val="left"/>
    </w:pPr>
    <w:rPr>
      <w:rFonts w:ascii="宋体" w:hAnsi="宋体" w:eastAsia="宋体" w:cs="宋体"/>
      <w:snapToGrid w:val="0"/>
      <w:kern w:val="0"/>
      <w:sz w:val="24"/>
      <w:szCs w:val="24"/>
    </w:rPr>
  </w:style>
  <w:style w:type="paragraph" w:customStyle="1" w:styleId="94">
    <w:name w:val="40正文(1)"/>
    <w:basedOn w:val="1"/>
    <w:link w:val="99"/>
    <w:qFormat/>
    <w:uiPriority w:val="0"/>
    <w:pPr>
      <w:tabs>
        <w:tab w:val="left" w:pos="0"/>
        <w:tab w:val="left" w:pos="420"/>
        <w:tab w:val="left" w:pos="478"/>
        <w:tab w:val="left" w:pos="510"/>
      </w:tabs>
      <w:adjustRightInd w:val="0"/>
      <w:snapToGrid w:val="0"/>
      <w:spacing w:line="430" w:lineRule="exact"/>
      <w:ind w:left="58"/>
      <w:jc w:val="left"/>
    </w:pPr>
    <w:rPr>
      <w:rFonts w:ascii="宋体" w:hAnsi="宋体" w:eastAsia="宋体" w:cs="宋体"/>
      <w:snapToGrid w:val="0"/>
      <w:kern w:val="0"/>
      <w:sz w:val="24"/>
      <w:szCs w:val="24"/>
    </w:rPr>
  </w:style>
  <w:style w:type="paragraph" w:customStyle="1" w:styleId="95">
    <w:name w:val="70标题表格"/>
    <w:basedOn w:val="1"/>
    <w:next w:val="1"/>
    <w:link w:val="100"/>
    <w:qFormat/>
    <w:uiPriority w:val="0"/>
    <w:pPr>
      <w:tabs>
        <w:tab w:val="left" w:pos="420"/>
      </w:tabs>
      <w:adjustRightInd w:val="0"/>
      <w:snapToGrid w:val="0"/>
      <w:spacing w:before="120" w:after="60" w:line="430" w:lineRule="exact"/>
      <w:jc w:val="center"/>
    </w:pPr>
    <w:rPr>
      <w:rFonts w:ascii="宋体" w:hAnsi="宋体" w:eastAsia="宋体" w:cs="宋体"/>
      <w:b/>
      <w:bCs/>
      <w:snapToGrid w:val="0"/>
      <w:kern w:val="0"/>
      <w:szCs w:val="21"/>
    </w:rPr>
  </w:style>
  <w:style w:type="paragraph" w:customStyle="1" w:styleId="96">
    <w:name w:val="80标题图片"/>
    <w:basedOn w:val="1"/>
    <w:next w:val="1"/>
    <w:qFormat/>
    <w:uiPriority w:val="0"/>
    <w:pPr>
      <w:tabs>
        <w:tab w:val="left" w:pos="0"/>
        <w:tab w:val="left" w:pos="2973"/>
        <w:tab w:val="left" w:pos="3540"/>
        <w:tab w:val="left" w:pos="3681"/>
        <w:tab w:val="left" w:pos="4107"/>
      </w:tabs>
      <w:adjustRightInd w:val="0"/>
      <w:snapToGrid w:val="0"/>
      <w:spacing w:after="120" w:line="430" w:lineRule="exact"/>
      <w:ind w:left="3687"/>
      <w:jc w:val="center"/>
    </w:pPr>
    <w:rPr>
      <w:rFonts w:ascii="宋体" w:hAnsi="宋体" w:eastAsia="宋体" w:cs="宋体"/>
      <w:b/>
      <w:snapToGrid w:val="0"/>
      <w:kern w:val="0"/>
      <w:szCs w:val="21"/>
    </w:rPr>
  </w:style>
  <w:style w:type="paragraph" w:customStyle="1" w:styleId="97">
    <w:name w:val="90表格序号"/>
    <w:basedOn w:val="1"/>
    <w:next w:val="1"/>
    <w:qFormat/>
    <w:uiPriority w:val="0"/>
    <w:pPr>
      <w:tabs>
        <w:tab w:val="left" w:pos="0"/>
      </w:tabs>
      <w:adjustRightInd w:val="0"/>
      <w:snapToGrid w:val="0"/>
      <w:jc w:val="center"/>
    </w:pPr>
    <w:rPr>
      <w:rFonts w:ascii="宋体" w:hAnsi="宋体" w:eastAsia="宋体" w:cs="宋体"/>
      <w:snapToGrid w:val="0"/>
      <w:kern w:val="0"/>
      <w:szCs w:val="21"/>
    </w:rPr>
  </w:style>
  <w:style w:type="paragraph" w:customStyle="1" w:styleId="98">
    <w:name w:val="81图片居中"/>
    <w:basedOn w:val="1"/>
    <w:next w:val="1"/>
    <w:qFormat/>
    <w:uiPriority w:val="0"/>
    <w:pPr>
      <w:adjustRightInd w:val="0"/>
      <w:snapToGrid w:val="0"/>
      <w:spacing w:before="80" w:beforeLines="80"/>
      <w:jc w:val="center"/>
    </w:pPr>
    <w:rPr>
      <w:rFonts w:ascii="宋体" w:hAnsi="宋体" w:eastAsia="宋体" w:cs="宋体"/>
      <w:snapToGrid w:val="0"/>
      <w:kern w:val="0"/>
      <w:sz w:val="24"/>
      <w:szCs w:val="24"/>
    </w:rPr>
  </w:style>
  <w:style w:type="character" w:customStyle="1" w:styleId="99">
    <w:name w:val="正文（1） Char"/>
    <w:link w:val="94"/>
    <w:qFormat/>
    <w:uiPriority w:val="0"/>
    <w:rPr>
      <w:rFonts w:ascii="宋体" w:hAnsi="宋体" w:cs="宋体"/>
      <w:snapToGrid w:val="0"/>
      <w:sz w:val="24"/>
      <w:szCs w:val="24"/>
    </w:rPr>
  </w:style>
  <w:style w:type="character" w:customStyle="1" w:styleId="100">
    <w:name w:val="70标题表格 Char"/>
    <w:link w:val="95"/>
    <w:qFormat/>
    <w:uiPriority w:val="0"/>
    <w:rPr>
      <w:rFonts w:ascii="宋体" w:hAnsi="宋体" w:cs="宋体"/>
      <w:b/>
      <w:bCs/>
      <w:snapToGrid w:val="0"/>
      <w:sz w:val="21"/>
      <w:szCs w:val="21"/>
    </w:rPr>
  </w:style>
  <w:style w:type="character" w:customStyle="1" w:styleId="101">
    <w:name w:val="正文文本 字符"/>
    <w:basedOn w:val="31"/>
    <w:link w:val="13"/>
    <w:qFormat/>
    <w:uiPriority w:val="0"/>
    <w:rPr>
      <w:rFonts w:ascii="等线" w:hAnsi="等线" w:eastAsia="仿宋"/>
      <w:szCs w:val="22"/>
    </w:rPr>
  </w:style>
  <w:style w:type="character" w:customStyle="1" w:styleId="102">
    <w:name w:val="正文文本首行缩进 字符"/>
    <w:basedOn w:val="101"/>
    <w:link w:val="12"/>
    <w:qFormat/>
    <w:uiPriority w:val="0"/>
    <w:rPr>
      <w:rFonts w:ascii="等线" w:hAnsi="等线" w:eastAsia="仿宋"/>
      <w:kern w:val="2"/>
      <w:sz w:val="21"/>
      <w:szCs w:val="22"/>
    </w:rPr>
  </w:style>
  <w:style w:type="paragraph" w:customStyle="1" w:styleId="103">
    <w:name w:val="72表格小五"/>
    <w:basedOn w:val="1"/>
    <w:qFormat/>
    <w:uiPriority w:val="0"/>
    <w:pPr>
      <w:adjustRightInd w:val="0"/>
      <w:snapToGrid w:val="0"/>
      <w:jc w:val="center"/>
    </w:pPr>
    <w:rPr>
      <w:rFonts w:ascii="宋体" w:hAnsi="宋体" w:eastAsia="宋体" w:cs="宋体"/>
      <w:snapToGrid w:val="0"/>
      <w:kern w:val="0"/>
      <w:sz w:val="18"/>
      <w:szCs w:val="18"/>
    </w:rPr>
  </w:style>
  <w:style w:type="paragraph" w:customStyle="1" w:styleId="104">
    <w:name w:val="表格小五"/>
    <w:basedOn w:val="1"/>
    <w:qFormat/>
    <w:uiPriority w:val="0"/>
    <w:pPr>
      <w:adjustRightInd w:val="0"/>
      <w:snapToGrid w:val="0"/>
      <w:jc w:val="center"/>
    </w:pPr>
    <w:rPr>
      <w:rFonts w:ascii="宋体" w:hAnsi="宋体" w:eastAsia="宋体" w:cs="宋体"/>
      <w:snapToGrid w:val="0"/>
      <w:kern w:val="0"/>
      <w:sz w:val="18"/>
      <w:szCs w:val="18"/>
    </w:rPr>
  </w:style>
  <w:style w:type="paragraph" w:customStyle="1" w:styleId="105">
    <w:name w:val="BT正文"/>
    <w:basedOn w:val="1"/>
    <w:qFormat/>
    <w:uiPriority w:val="0"/>
    <w:pPr>
      <w:adjustRightInd w:val="0"/>
      <w:snapToGrid w:val="0"/>
      <w:spacing w:line="430" w:lineRule="exact"/>
      <w:ind w:firstLine="562" w:firstLineChars="200"/>
    </w:pPr>
    <w:rPr>
      <w:rFonts w:ascii="宋体" w:hAnsi="宋体" w:eastAsia="宋体"/>
      <w:snapToGrid w:val="0"/>
      <w:kern w:val="0"/>
      <w:sz w:val="24"/>
      <w:szCs w:val="20"/>
    </w:rPr>
  </w:style>
  <w:style w:type="paragraph" w:customStyle="1" w:styleId="106">
    <w:name w:val="表格文字"/>
    <w:basedOn w:val="1"/>
    <w:qFormat/>
    <w:uiPriority w:val="0"/>
    <w:pPr>
      <w:adjustRightInd w:val="0"/>
      <w:snapToGrid w:val="0"/>
      <w:spacing w:line="360" w:lineRule="exact"/>
      <w:jc w:val="center"/>
    </w:pPr>
    <w:rPr>
      <w:rFonts w:ascii="宋体" w:hAnsi="宋体" w:eastAsia="宋体" w:cs="宋体"/>
      <w:snapToGrid w:val="0"/>
      <w:kern w:val="0"/>
      <w:sz w:val="21"/>
      <w:szCs w:val="24"/>
    </w:rPr>
  </w:style>
  <w:style w:type="paragraph" w:customStyle="1" w:styleId="107">
    <w:name w:val="插图"/>
    <w:basedOn w:val="1"/>
    <w:qFormat/>
    <w:uiPriority w:val="0"/>
    <w:pPr>
      <w:adjustRightInd w:val="0"/>
      <w:snapToGrid w:val="0"/>
      <w:jc w:val="center"/>
    </w:pPr>
    <w:rPr>
      <w:rFonts w:ascii="Times New Roman" w:hAnsi="Times New Roman" w:eastAsia="宋体" w:cs="宋体"/>
      <w:snapToGrid w:val="0"/>
      <w:kern w:val="0"/>
      <w:sz w:val="24"/>
      <w:szCs w:val="20"/>
    </w:rPr>
  </w:style>
  <w:style w:type="paragraph" w:customStyle="1" w:styleId="108">
    <w:name w:val="表格五号"/>
    <w:basedOn w:val="1"/>
    <w:qFormat/>
    <w:uiPriority w:val="0"/>
    <w:pPr>
      <w:adjustRightInd w:val="0"/>
      <w:snapToGrid w:val="0"/>
      <w:jc w:val="center"/>
    </w:pPr>
    <w:rPr>
      <w:rFonts w:ascii="宋体" w:hAnsi="宋体" w:eastAsia="宋体" w:cs="宋体"/>
      <w:snapToGrid w:val="0"/>
      <w:kern w:val="0"/>
      <w:sz w:val="21"/>
      <w:szCs w:val="21"/>
    </w:rPr>
  </w:style>
  <w:style w:type="paragraph" w:customStyle="1" w:styleId="109">
    <w:name w:val="71表格五号"/>
    <w:basedOn w:val="1"/>
    <w:qFormat/>
    <w:uiPriority w:val="0"/>
    <w:pPr>
      <w:adjustRightInd w:val="0"/>
      <w:snapToGrid w:val="0"/>
      <w:jc w:val="center"/>
    </w:pPr>
    <w:rPr>
      <w:rFonts w:ascii="宋体" w:hAnsi="宋体" w:eastAsia="宋体" w:cs="宋体"/>
      <w:snapToGrid w:val="0"/>
      <w:kern w:val="0"/>
      <w:szCs w:val="21"/>
    </w:rPr>
  </w:style>
  <w:style w:type="paragraph" w:customStyle="1" w:styleId="110">
    <w:name w:val="正文（1）"/>
    <w:basedOn w:val="1"/>
    <w:next w:val="1"/>
    <w:link w:val="111"/>
    <w:qFormat/>
    <w:uiPriority w:val="0"/>
    <w:pPr>
      <w:tabs>
        <w:tab w:val="left" w:pos="510"/>
      </w:tabs>
      <w:adjustRightInd w:val="0"/>
      <w:snapToGrid w:val="0"/>
      <w:spacing w:line="430" w:lineRule="exact"/>
      <w:ind w:firstLine="510"/>
      <w:jc w:val="left"/>
    </w:pPr>
    <w:rPr>
      <w:rFonts w:ascii="宋体" w:hAnsi="宋体" w:eastAsia="宋体" w:cs="宋体"/>
      <w:snapToGrid w:val="0"/>
      <w:kern w:val="0"/>
      <w:sz w:val="24"/>
      <w:szCs w:val="24"/>
    </w:rPr>
  </w:style>
  <w:style w:type="character" w:customStyle="1" w:styleId="111">
    <w:name w:val="正文（1） Char1"/>
    <w:link w:val="110"/>
    <w:qFormat/>
    <w:uiPriority w:val="0"/>
    <w:rPr>
      <w:rFonts w:ascii="宋体" w:hAnsi="宋体" w:cs="宋体"/>
      <w:snapToGrid w:val="0"/>
      <w:sz w:val="24"/>
      <w:szCs w:val="24"/>
    </w:rPr>
  </w:style>
  <w:style w:type="character" w:customStyle="1" w:styleId="112">
    <w:name w:val="标题 5 字符"/>
    <w:basedOn w:val="31"/>
    <w:link w:val="6"/>
    <w:qFormat/>
    <w:uiPriority w:val="0"/>
    <w:rPr>
      <w:rFonts w:ascii="等线" w:hAnsi="等线" w:eastAsia="仿宋"/>
      <w:b/>
      <w:bCs/>
      <w:kern w:val="2"/>
      <w:sz w:val="24"/>
      <w:szCs w:val="28"/>
    </w:rPr>
  </w:style>
  <w:style w:type="character" w:customStyle="1" w:styleId="113">
    <w:name w:val="标题 6 字符"/>
    <w:basedOn w:val="31"/>
    <w:link w:val="7"/>
    <w:qFormat/>
    <w:uiPriority w:val="0"/>
    <w:rPr>
      <w:rFonts w:ascii="Arial" w:hAnsi="Arial" w:eastAsia="黑体" w:cs="宋体"/>
      <w:b/>
      <w:snapToGrid w:val="0"/>
      <w:sz w:val="24"/>
      <w:szCs w:val="24"/>
    </w:rPr>
  </w:style>
  <w:style w:type="character" w:customStyle="1" w:styleId="114">
    <w:name w:val="批注文字 字符"/>
    <w:basedOn w:val="31"/>
    <w:link w:val="17"/>
    <w:qFormat/>
    <w:uiPriority w:val="0"/>
    <w:rPr>
      <w:rFonts w:ascii="等线" w:hAnsi="等线" w:eastAsia="仿宋"/>
      <w:kern w:val="2"/>
      <w:sz w:val="21"/>
      <w:szCs w:val="22"/>
    </w:rPr>
  </w:style>
  <w:style w:type="character" w:customStyle="1" w:styleId="115">
    <w:name w:val="标题 7 字符"/>
    <w:basedOn w:val="31"/>
    <w:link w:val="8"/>
    <w:qFormat/>
    <w:uiPriority w:val="0"/>
    <w:rPr>
      <w:rFonts w:ascii="宋体" w:hAnsi="宋体" w:cs="宋体"/>
      <w:b/>
      <w:snapToGrid w:val="0"/>
      <w:sz w:val="24"/>
      <w:szCs w:val="24"/>
    </w:rPr>
  </w:style>
  <w:style w:type="character" w:customStyle="1" w:styleId="116">
    <w:name w:val="标题 8 字符"/>
    <w:basedOn w:val="31"/>
    <w:link w:val="9"/>
    <w:qFormat/>
    <w:uiPriority w:val="0"/>
    <w:rPr>
      <w:rFonts w:ascii="宋体" w:hAnsi="宋体" w:cs="宋体"/>
      <w:b/>
      <w:bCs/>
      <w:snapToGrid w:val="0"/>
      <w:sz w:val="21"/>
      <w:szCs w:val="21"/>
    </w:rPr>
  </w:style>
  <w:style w:type="character" w:customStyle="1" w:styleId="117">
    <w:name w:val="标题 9 字符"/>
    <w:basedOn w:val="31"/>
    <w:link w:val="10"/>
    <w:qFormat/>
    <w:uiPriority w:val="0"/>
    <w:rPr>
      <w:rFonts w:ascii="宋体" w:hAnsi="宋体" w:cs="宋体"/>
      <w:snapToGrid w:val="0"/>
      <w:sz w:val="21"/>
      <w:szCs w:val="21"/>
    </w:rPr>
  </w:style>
  <w:style w:type="paragraph" w:customStyle="1" w:styleId="118">
    <w:name w:val="标题表格"/>
    <w:basedOn w:val="1"/>
    <w:next w:val="1"/>
    <w:qFormat/>
    <w:uiPriority w:val="0"/>
    <w:pPr>
      <w:tabs>
        <w:tab w:val="left" w:pos="0"/>
        <w:tab w:val="left" w:pos="420"/>
      </w:tabs>
      <w:adjustRightInd w:val="0"/>
      <w:snapToGrid w:val="0"/>
      <w:spacing w:before="180" w:after="120" w:line="400" w:lineRule="atLeast"/>
      <w:jc w:val="center"/>
    </w:pPr>
    <w:rPr>
      <w:rFonts w:ascii="宋体" w:hAnsi="宋体" w:eastAsia="宋体" w:cs="宋体"/>
      <w:b/>
      <w:bCs/>
      <w:kern w:val="0"/>
      <w:szCs w:val="21"/>
    </w:rPr>
  </w:style>
  <w:style w:type="paragraph" w:customStyle="1" w:styleId="119">
    <w:name w:val="标题图画"/>
    <w:basedOn w:val="1"/>
    <w:next w:val="1"/>
    <w:qFormat/>
    <w:uiPriority w:val="0"/>
    <w:pPr>
      <w:tabs>
        <w:tab w:val="left" w:pos="0"/>
        <w:tab w:val="left" w:pos="420"/>
      </w:tabs>
      <w:adjustRightInd w:val="0"/>
      <w:snapToGrid w:val="0"/>
      <w:spacing w:after="240" w:line="400" w:lineRule="atLeast"/>
      <w:jc w:val="center"/>
    </w:pPr>
    <w:rPr>
      <w:rFonts w:ascii="宋体" w:hAnsi="宋体" w:eastAsia="宋体" w:cs="宋体"/>
      <w:b/>
      <w:kern w:val="0"/>
      <w:szCs w:val="21"/>
    </w:rPr>
  </w:style>
  <w:style w:type="paragraph" w:customStyle="1" w:styleId="120">
    <w:name w:val="表格序号"/>
    <w:basedOn w:val="1"/>
    <w:next w:val="1"/>
    <w:qFormat/>
    <w:uiPriority w:val="0"/>
    <w:pPr>
      <w:tabs>
        <w:tab w:val="left" w:pos="0"/>
      </w:tabs>
      <w:adjustRightInd w:val="0"/>
      <w:snapToGrid w:val="0"/>
      <w:jc w:val="center"/>
    </w:pPr>
    <w:rPr>
      <w:rFonts w:ascii="宋体" w:hAnsi="宋体" w:eastAsia="宋体" w:cs="宋体"/>
      <w:snapToGrid w:val="0"/>
      <w:kern w:val="0"/>
      <w:szCs w:val="21"/>
    </w:rPr>
  </w:style>
  <w:style w:type="paragraph" w:customStyle="1" w:styleId="121">
    <w:name w:val="表图居中"/>
    <w:basedOn w:val="1"/>
    <w:next w:val="1"/>
    <w:qFormat/>
    <w:uiPriority w:val="0"/>
    <w:pPr>
      <w:adjustRightInd w:val="0"/>
      <w:snapToGrid w:val="0"/>
      <w:spacing w:before="85" w:beforeLines="85"/>
      <w:jc w:val="center"/>
    </w:pPr>
    <w:rPr>
      <w:rFonts w:ascii="宋体" w:hAnsi="宋体" w:eastAsia="宋体" w:cs="宋体"/>
      <w:snapToGrid w:val="0"/>
      <w:kern w:val="0"/>
      <w:sz w:val="24"/>
      <w:szCs w:val="24"/>
    </w:rPr>
  </w:style>
  <w:style w:type="paragraph" w:customStyle="1" w:styleId="122">
    <w:name w:val="8-1图片居中"/>
    <w:basedOn w:val="1"/>
    <w:next w:val="1"/>
    <w:qFormat/>
    <w:uiPriority w:val="0"/>
    <w:pPr>
      <w:adjustRightInd w:val="0"/>
      <w:snapToGrid w:val="0"/>
      <w:spacing w:before="85" w:beforeLines="85"/>
      <w:jc w:val="center"/>
    </w:pPr>
    <w:rPr>
      <w:rFonts w:ascii="宋体" w:hAnsi="宋体" w:eastAsia="宋体" w:cs="宋体"/>
      <w:snapToGrid w:val="0"/>
      <w:kern w:val="0"/>
      <w:sz w:val="24"/>
      <w:szCs w:val="24"/>
    </w:rPr>
  </w:style>
  <w:style w:type="paragraph" w:customStyle="1" w:styleId="123">
    <w:name w:val="91正文 &gt;"/>
    <w:basedOn w:val="1"/>
    <w:qFormat/>
    <w:uiPriority w:val="0"/>
    <w:pPr>
      <w:numPr>
        <w:ilvl w:val="0"/>
        <w:numId w:val="2"/>
      </w:numPr>
      <w:tabs>
        <w:tab w:val="left" w:pos="624"/>
      </w:tabs>
      <w:adjustRightInd w:val="0"/>
      <w:snapToGrid w:val="0"/>
      <w:spacing w:line="430" w:lineRule="exact"/>
      <w:ind w:firstLine="0"/>
      <w:jc w:val="left"/>
    </w:pPr>
    <w:rPr>
      <w:rFonts w:ascii="宋体" w:hAnsi="宋体" w:eastAsia="宋体" w:cs="宋体"/>
      <w:snapToGrid w:val="0"/>
      <w:kern w:val="0"/>
      <w:sz w:val="24"/>
      <w:szCs w:val="24"/>
    </w:rPr>
  </w:style>
  <w:style w:type="paragraph" w:customStyle="1" w:styleId="124">
    <w:name w:val="插图编号"/>
    <w:basedOn w:val="107"/>
    <w:qFormat/>
    <w:uiPriority w:val="0"/>
    <w:rPr>
      <w:rFonts w:eastAsia="黑体"/>
      <w:sz w:val="21"/>
      <w:szCs w:val="24"/>
    </w:rPr>
  </w:style>
  <w:style w:type="paragraph" w:customStyle="1" w:styleId="125">
    <w:name w:val="表头字"/>
    <w:basedOn w:val="1"/>
    <w:next w:val="1"/>
    <w:qFormat/>
    <w:uiPriority w:val="0"/>
    <w:pPr>
      <w:adjustRightInd w:val="0"/>
      <w:snapToGrid w:val="0"/>
      <w:jc w:val="center"/>
    </w:pPr>
    <w:rPr>
      <w:rFonts w:ascii="Times New Roman" w:hAnsi="宋体" w:eastAsia="宋体"/>
      <w:b/>
      <w:snapToGrid w:val="0"/>
      <w:kern w:val="0"/>
      <w:sz w:val="24"/>
    </w:rPr>
  </w:style>
  <w:style w:type="paragraph" w:customStyle="1" w:styleId="126">
    <w:name w:val="插表编号"/>
    <w:basedOn w:val="127"/>
    <w:qFormat/>
    <w:uiPriority w:val="0"/>
    <w:rPr>
      <w:b/>
    </w:rPr>
  </w:style>
  <w:style w:type="paragraph" w:customStyle="1" w:styleId="127">
    <w:name w:val="插表"/>
    <w:basedOn w:val="107"/>
    <w:qFormat/>
    <w:uiPriority w:val="0"/>
    <w:rPr>
      <w:sz w:val="21"/>
      <w:szCs w:val="24"/>
    </w:rPr>
  </w:style>
  <w:style w:type="paragraph" w:customStyle="1" w:styleId="128">
    <w:name w:val="图表"/>
    <w:basedOn w:val="1"/>
    <w:qFormat/>
    <w:uiPriority w:val="0"/>
    <w:pPr>
      <w:widowControl/>
      <w:adjustRightInd w:val="0"/>
      <w:snapToGrid w:val="0"/>
      <w:jc w:val="center"/>
    </w:pPr>
    <w:rPr>
      <w:rFonts w:ascii="Times New Roman" w:hAnsi="Times New Roman" w:eastAsia="宋体"/>
      <w:bCs/>
      <w:snapToGrid w:val="0"/>
      <w:kern w:val="0"/>
      <w:szCs w:val="28"/>
      <w:lang w:eastAsia="en-US" w:bidi="en-US"/>
    </w:rPr>
  </w:style>
  <w:style w:type="paragraph" w:customStyle="1" w:styleId="129">
    <w:name w:val="61图片居中"/>
    <w:basedOn w:val="1"/>
    <w:next w:val="1"/>
    <w:qFormat/>
    <w:uiPriority w:val="0"/>
    <w:pPr>
      <w:adjustRightInd w:val="0"/>
      <w:snapToGrid w:val="0"/>
      <w:spacing w:before="80" w:beforeLines="80"/>
      <w:jc w:val="center"/>
    </w:pPr>
    <w:rPr>
      <w:rFonts w:ascii="宋体" w:hAnsi="宋体" w:eastAsia="宋体" w:cs="宋体"/>
      <w:snapToGrid w:val="0"/>
      <w:kern w:val="0"/>
      <w:sz w:val="24"/>
      <w:szCs w:val="24"/>
    </w:rPr>
  </w:style>
  <w:style w:type="paragraph" w:customStyle="1" w:styleId="130">
    <w:name w:val="60标题图片"/>
    <w:basedOn w:val="1"/>
    <w:next w:val="1"/>
    <w:qFormat/>
    <w:uiPriority w:val="0"/>
    <w:pPr>
      <w:numPr>
        <w:ilvl w:val="8"/>
        <w:numId w:val="3"/>
      </w:numPr>
      <w:adjustRightInd w:val="0"/>
      <w:snapToGrid w:val="0"/>
      <w:spacing w:after="120" w:line="430" w:lineRule="exact"/>
      <w:jc w:val="center"/>
    </w:pPr>
    <w:rPr>
      <w:rFonts w:ascii="宋体" w:hAnsi="宋体" w:eastAsia="宋体" w:cs="宋体"/>
      <w:b/>
      <w:bCs/>
      <w:snapToGrid w:val="0"/>
      <w:kern w:val="0"/>
      <w:szCs w:val="21"/>
    </w:rPr>
  </w:style>
  <w:style w:type="paragraph" w:customStyle="1" w:styleId="131">
    <w:name w:val="10正文（1）"/>
    <w:basedOn w:val="1"/>
    <w:qFormat/>
    <w:uiPriority w:val="0"/>
    <w:pPr>
      <w:numPr>
        <w:ilvl w:val="4"/>
        <w:numId w:val="3"/>
      </w:numPr>
      <w:adjustRightInd w:val="0"/>
      <w:snapToGrid w:val="0"/>
      <w:spacing w:line="430" w:lineRule="exact"/>
      <w:jc w:val="left"/>
    </w:pPr>
    <w:rPr>
      <w:rFonts w:ascii="宋体" w:hAnsi="宋体" w:eastAsia="宋体" w:cs="宋体"/>
      <w:snapToGrid w:val="0"/>
      <w:kern w:val="0"/>
      <w:sz w:val="24"/>
      <w:szCs w:val="24"/>
    </w:rPr>
  </w:style>
  <w:style w:type="paragraph" w:customStyle="1" w:styleId="132">
    <w:name w:val="50标题表格"/>
    <w:basedOn w:val="1"/>
    <w:next w:val="1"/>
    <w:qFormat/>
    <w:uiPriority w:val="0"/>
    <w:pPr>
      <w:numPr>
        <w:ilvl w:val="7"/>
        <w:numId w:val="3"/>
      </w:numPr>
      <w:tabs>
        <w:tab w:val="left" w:pos="420"/>
        <w:tab w:val="clear" w:pos="0"/>
      </w:tabs>
      <w:adjustRightInd w:val="0"/>
      <w:snapToGrid w:val="0"/>
      <w:spacing w:before="120" w:after="60" w:line="430" w:lineRule="exact"/>
      <w:jc w:val="center"/>
    </w:pPr>
    <w:rPr>
      <w:rFonts w:ascii="宋体" w:hAnsi="宋体" w:eastAsia="宋体" w:cs="宋体"/>
      <w:b/>
      <w:bCs/>
      <w:snapToGrid w:val="0"/>
      <w:kern w:val="0"/>
      <w:szCs w:val="21"/>
    </w:rPr>
  </w:style>
  <w:style w:type="paragraph" w:customStyle="1" w:styleId="133">
    <w:name w:val="52表格小五"/>
    <w:basedOn w:val="1"/>
    <w:qFormat/>
    <w:uiPriority w:val="0"/>
    <w:pPr>
      <w:adjustRightInd w:val="0"/>
      <w:snapToGrid w:val="0"/>
      <w:jc w:val="center"/>
    </w:pPr>
    <w:rPr>
      <w:rFonts w:ascii="宋体" w:hAnsi="宋体" w:eastAsia="宋体" w:cs="宋体"/>
      <w:snapToGrid w:val="0"/>
      <w:kern w:val="0"/>
      <w:sz w:val="18"/>
      <w:szCs w:val="18"/>
    </w:rPr>
  </w:style>
  <w:style w:type="paragraph" w:customStyle="1" w:styleId="134">
    <w:name w:val="54表格序号"/>
    <w:basedOn w:val="1"/>
    <w:qFormat/>
    <w:uiPriority w:val="0"/>
    <w:pPr>
      <w:numPr>
        <w:ilvl w:val="0"/>
        <w:numId w:val="4"/>
      </w:numPr>
      <w:adjustRightInd w:val="0"/>
      <w:snapToGrid w:val="0"/>
      <w:jc w:val="center"/>
    </w:pPr>
    <w:rPr>
      <w:rFonts w:ascii="宋体" w:hAnsi="宋体" w:eastAsia="宋体" w:cs="宋体"/>
      <w:snapToGrid w:val="0"/>
      <w:kern w:val="0"/>
      <w:szCs w:val="21"/>
    </w:rPr>
  </w:style>
  <w:style w:type="paragraph" w:customStyle="1" w:styleId="135">
    <w:name w:val="20正文1）"/>
    <w:basedOn w:val="1"/>
    <w:qFormat/>
    <w:uiPriority w:val="0"/>
    <w:pPr>
      <w:numPr>
        <w:ilvl w:val="5"/>
        <w:numId w:val="3"/>
      </w:numPr>
      <w:adjustRightInd w:val="0"/>
      <w:snapToGrid w:val="0"/>
      <w:spacing w:line="430" w:lineRule="exact"/>
      <w:ind w:firstLine="0"/>
      <w:jc w:val="left"/>
    </w:pPr>
    <w:rPr>
      <w:rFonts w:ascii="宋体" w:hAnsi="宋体" w:eastAsia="宋体" w:cs="宋体"/>
      <w:snapToGrid w:val="0"/>
      <w:kern w:val="0"/>
      <w:sz w:val="24"/>
      <w:szCs w:val="24"/>
    </w:rPr>
  </w:style>
  <w:style w:type="paragraph" w:customStyle="1" w:styleId="136">
    <w:name w:val="流程"/>
    <w:basedOn w:val="1"/>
    <w:qFormat/>
    <w:uiPriority w:val="0"/>
    <w:pPr>
      <w:jc w:val="center"/>
    </w:pPr>
    <w:rPr>
      <w:rFonts w:ascii="宋体" w:hAnsi="宋体" w:eastAsia="宋体" w:cs="宋体"/>
      <w:sz w:val="18"/>
      <w:szCs w:val="24"/>
    </w:rPr>
  </w:style>
  <w:style w:type="table" w:customStyle="1" w:styleId="137">
    <w:name w:val="标准样式"/>
    <w:basedOn w:val="29"/>
    <w:qFormat/>
    <w:uiPriority w:val="0"/>
    <w:pPr>
      <w:jc w:val="center"/>
    </w:pPr>
    <w:rPr>
      <w:rFonts w:ascii="Times New Roman" w:hAnsi="Times New Roman"/>
      <w:kern w:val="2"/>
    </w:rPr>
    <w:tblPr>
      <w:tblBorders>
        <w:top w:val="double" w:color="0000C8" w:sz="6" w:space="0"/>
        <w:left w:val="double" w:color="0000C8" w:sz="6" w:space="0"/>
        <w:bottom w:val="double" w:color="0000C8" w:sz="6" w:space="0"/>
        <w:right w:val="double" w:color="0000C8" w:sz="6" w:space="0"/>
        <w:insideH w:val="single" w:color="0000C8" w:sz="4" w:space="0"/>
        <w:insideV w:val="single" w:color="0000C8" w:sz="4" w:space="0"/>
      </w:tblBorders>
    </w:tblPr>
    <w:tcPr>
      <w:tcBorders>
        <w:top w:val="double" w:color="0000C8" w:sz="6" w:space="0"/>
        <w:left w:val="double" w:color="0000C8" w:sz="6" w:space="0"/>
        <w:bottom w:val="double" w:color="0000C8" w:sz="6" w:space="0"/>
        <w:right w:val="double" w:color="0000C8" w:sz="6" w:space="0"/>
      </w:tcBorders>
      <w:shd w:val="clear" w:color="auto" w:fill="D9D9D9"/>
      <w:vAlign w:val="center"/>
    </w:tcPr>
    <w:tblStylePr w:type="firstRow">
      <w:rPr>
        <w:b/>
      </w:rPr>
      <w:tcPr>
        <w:shd w:val="clear" w:color="auto" w:fill="B6DDE8"/>
      </w:tcPr>
    </w:tblStylePr>
    <w:tblStylePr w:type="firstCol">
      <w:rPr>
        <w:b/>
      </w:rPr>
      <w:tcPr>
        <w:shd w:val="clear" w:color="auto" w:fill="FBD4B4"/>
      </w:tcPr>
    </w:tblStylePr>
  </w:style>
  <w:style w:type="paragraph" w:customStyle="1" w:styleId="13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39">
    <w:name w:val="图居中、图表标题"/>
    <w:basedOn w:val="1"/>
    <w:next w:val="1"/>
    <w:link w:val="142"/>
    <w:qFormat/>
    <w:uiPriority w:val="0"/>
    <w:pPr>
      <w:spacing w:line="360" w:lineRule="auto"/>
      <w:jc w:val="center"/>
    </w:pPr>
    <w:rPr>
      <w:rFonts w:ascii="Times New Roman" w:hAnsi="Times New Roman" w:eastAsia="宋体" w:cs="宋体"/>
      <w:b/>
      <w:color w:val="0000C8"/>
      <w:kern w:val="0"/>
      <w:sz w:val="24"/>
      <w:szCs w:val="20"/>
    </w:rPr>
  </w:style>
  <w:style w:type="table" w:customStyle="1" w:styleId="140">
    <w:name w:val="样式4"/>
    <w:basedOn w:val="29"/>
    <w:qFormat/>
    <w:uiPriority w:val="99"/>
    <w:pPr>
      <w:jc w:val="center"/>
    </w:pPr>
    <w:tblPr>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
    <w:trPr>
      <w:jc w:val="center"/>
    </w:trPr>
    <w:tcPr>
      <w:vAlign w:val="center"/>
    </w:tcPr>
  </w:style>
  <w:style w:type="character" w:customStyle="1" w:styleId="141">
    <w:name w:val="无间隔 字符"/>
    <w:basedOn w:val="31"/>
    <w:link w:val="73"/>
    <w:qFormat/>
    <w:uiPriority w:val="0"/>
    <w:rPr>
      <w:rFonts w:ascii="黑体" w:hAnsi="黑体" w:eastAsia="黑体"/>
      <w:sz w:val="21"/>
    </w:rPr>
  </w:style>
  <w:style w:type="character" w:customStyle="1" w:styleId="142">
    <w:name w:val="图居中、图表标题 Char"/>
    <w:basedOn w:val="31"/>
    <w:link w:val="139"/>
    <w:qFormat/>
    <w:uiPriority w:val="0"/>
    <w:rPr>
      <w:rFonts w:ascii="Times New Roman" w:hAnsi="Times New Roman" w:cs="宋体"/>
      <w:b/>
      <w:color w:val="0000C8"/>
      <w:sz w:val="24"/>
    </w:rPr>
  </w:style>
  <w:style w:type="paragraph" w:customStyle="1" w:styleId="143">
    <w:name w:val="正文更改"/>
    <w:basedOn w:val="94"/>
    <w:link w:val="144"/>
    <w:qFormat/>
    <w:uiPriority w:val="0"/>
    <w:pPr>
      <w:spacing w:line="360" w:lineRule="auto"/>
      <w:ind w:left="0" w:firstLine="200" w:firstLineChars="200"/>
    </w:pPr>
  </w:style>
  <w:style w:type="character" w:customStyle="1" w:styleId="144">
    <w:name w:val="正文更改 字符"/>
    <w:basedOn w:val="99"/>
    <w:link w:val="143"/>
    <w:qFormat/>
    <w:uiPriority w:val="0"/>
    <w:rPr>
      <w:rFonts w:ascii="宋体" w:hAnsi="宋体" w:cs="宋体"/>
      <w:snapToGrid w:val="0"/>
      <w:sz w:val="24"/>
      <w:szCs w:val="24"/>
    </w:rPr>
  </w:style>
  <w:style w:type="character" w:customStyle="1" w:styleId="145">
    <w:name w:val="页脚 字符"/>
    <w:basedOn w:val="31"/>
    <w:link w:val="22"/>
    <w:qFormat/>
    <w:uiPriority w:val="99"/>
    <w:rPr>
      <w:rFonts w:ascii="等线" w:hAnsi="等线" w:eastAsia="仿宋"/>
      <w:kern w:val="2"/>
      <w:sz w:val="18"/>
      <w:szCs w:val="22"/>
    </w:rPr>
  </w:style>
  <w:style w:type="paragraph" w:customStyle="1" w:styleId="146">
    <w:name w:val="列出段落1"/>
    <w:basedOn w:val="1"/>
    <w:qFormat/>
    <w:uiPriority w:val="34"/>
    <w:pPr>
      <w:ind w:firstLine="420" w:firstLineChars="200"/>
    </w:pPr>
  </w:style>
  <w:style w:type="character" w:customStyle="1" w:styleId="147">
    <w:name w:val="font01"/>
    <w:basedOn w:val="31"/>
    <w:qFormat/>
    <w:uiPriority w:val="0"/>
    <w:rPr>
      <w:rFonts w:ascii="微软雅黑" w:hAnsi="微软雅黑" w:eastAsia="微软雅黑" w:cs="微软雅黑"/>
      <w:b/>
      <w:bCs/>
      <w:color w:val="000000"/>
      <w:sz w:val="16"/>
      <w:szCs w:val="16"/>
      <w:u w:val="none"/>
    </w:rPr>
  </w:style>
  <w:style w:type="character" w:customStyle="1" w:styleId="148">
    <w:name w:val="font31"/>
    <w:basedOn w:val="31"/>
    <w:qFormat/>
    <w:uiPriority w:val="0"/>
    <w:rPr>
      <w:rFonts w:hint="eastAsia" w:ascii="微软雅黑" w:hAnsi="微软雅黑" w:eastAsia="微软雅黑" w:cs="微软雅黑"/>
      <w:color w:val="000000"/>
      <w:sz w:val="16"/>
      <w:szCs w:val="16"/>
      <w:u w:val="none"/>
    </w:rPr>
  </w:style>
  <w:style w:type="character" w:customStyle="1" w:styleId="149">
    <w:name w:val="font51"/>
    <w:basedOn w:val="31"/>
    <w:qFormat/>
    <w:uiPriority w:val="0"/>
    <w:rPr>
      <w:rFonts w:hint="default" w:ascii="Times New Roman" w:hAnsi="Times New Roman" w:cs="Times New Roman"/>
      <w:b/>
      <w:bCs/>
      <w:color w:val="000000"/>
      <w:sz w:val="16"/>
      <w:szCs w:val="16"/>
      <w:u w:val="none"/>
    </w:rPr>
  </w:style>
  <w:style w:type="character" w:customStyle="1" w:styleId="150">
    <w:name w:val="font61"/>
    <w:basedOn w:val="31"/>
    <w:qFormat/>
    <w:uiPriority w:val="0"/>
    <w:rPr>
      <w:rFonts w:ascii="宋体" w:hAnsi="宋体" w:eastAsia="宋体" w:cs="宋体"/>
      <w:color w:val="000000"/>
      <w:sz w:val="16"/>
      <w:szCs w:val="16"/>
      <w:u w:val="none"/>
    </w:rPr>
  </w:style>
  <w:style w:type="character" w:customStyle="1" w:styleId="151">
    <w:name w:val="font41"/>
    <w:basedOn w:val="31"/>
    <w:qFormat/>
    <w:uiPriority w:val="0"/>
    <w:rPr>
      <w:rFonts w:hint="default" w:ascii="Times New Roman" w:hAnsi="Times New Roman" w:cs="Times New Roman"/>
      <w:color w:val="000000"/>
      <w:sz w:val="16"/>
      <w:szCs w:val="16"/>
      <w:u w:val="none"/>
    </w:rPr>
  </w:style>
  <w:style w:type="character" w:customStyle="1" w:styleId="152">
    <w:name w:val="font11"/>
    <w:basedOn w:val="31"/>
    <w:qFormat/>
    <w:uiPriority w:val="0"/>
    <w:rPr>
      <w:rFonts w:ascii="微软雅黑" w:hAnsi="微软雅黑" w:eastAsia="微软雅黑" w:cs="微软雅黑"/>
      <w:b/>
      <w:bCs/>
      <w:color w:val="000000"/>
      <w:sz w:val="16"/>
      <w:szCs w:val="16"/>
      <w:u w:val="none"/>
    </w:rPr>
  </w:style>
  <w:style w:type="character" w:customStyle="1" w:styleId="153">
    <w:name w:val="font71"/>
    <w:basedOn w:val="31"/>
    <w:qFormat/>
    <w:uiPriority w:val="0"/>
    <w:rPr>
      <w:rFonts w:hint="default" w:ascii="Times New Roman" w:hAnsi="Times New Roman" w:cs="Times New Roman"/>
      <w:b/>
      <w:bCs/>
      <w:color w:val="000000"/>
      <w:sz w:val="16"/>
      <w:szCs w:val="16"/>
      <w:u w:val="none"/>
    </w:rPr>
  </w:style>
  <w:style w:type="character" w:customStyle="1" w:styleId="154">
    <w:name w:val="font81"/>
    <w:basedOn w:val="31"/>
    <w:qFormat/>
    <w:uiPriority w:val="0"/>
    <w:rPr>
      <w:rFonts w:ascii="宋体" w:hAnsi="宋体" w:eastAsia="宋体" w:cs="宋体"/>
      <w:color w:val="000000"/>
      <w:sz w:val="16"/>
      <w:szCs w:val="16"/>
      <w:u w:val="none"/>
    </w:rPr>
  </w:style>
  <w:style w:type="character" w:customStyle="1" w:styleId="155">
    <w:name w:val="font91"/>
    <w:basedOn w:val="31"/>
    <w:qFormat/>
    <w:uiPriority w:val="0"/>
    <w:rPr>
      <w:rFonts w:hint="default" w:ascii="Arial" w:hAnsi="Arial" w:cs="Arial"/>
      <w:color w:val="000000"/>
      <w:sz w:val="7"/>
      <w:szCs w:val="7"/>
      <w:u w:val="none"/>
    </w:rPr>
  </w:style>
  <w:style w:type="character" w:customStyle="1" w:styleId="156">
    <w:name w:val="font101"/>
    <w:basedOn w:val="31"/>
    <w:qFormat/>
    <w:uiPriority w:val="0"/>
    <w:rPr>
      <w:rFonts w:ascii="宋体" w:hAnsi="宋体" w:eastAsia="宋体" w:cs="宋体"/>
      <w:color w:val="000000"/>
      <w:sz w:val="18"/>
      <w:szCs w:val="18"/>
      <w:u w:val="none"/>
    </w:rPr>
  </w:style>
  <w:style w:type="character" w:customStyle="1" w:styleId="157">
    <w:name w:val="font112"/>
    <w:basedOn w:val="31"/>
    <w:qFormat/>
    <w:uiPriority w:val="0"/>
    <w:rPr>
      <w:rFonts w:hint="default" w:ascii="Times New Roman" w:hAnsi="Times New Roman" w:cs="Times New Roman"/>
      <w:color w:val="000000"/>
      <w:sz w:val="18"/>
      <w:szCs w:val="18"/>
      <w:u w:val="none"/>
    </w:rPr>
  </w:style>
  <w:style w:type="paragraph" w:customStyle="1" w:styleId="158">
    <w:name w:val="方案正文"/>
    <w:basedOn w:val="1"/>
    <w:qFormat/>
    <w:uiPriority w:val="0"/>
    <w:pPr>
      <w:ind w:firstLine="480"/>
      <w:jc w:val="left"/>
    </w:pPr>
    <w:rPr>
      <w:rFonts w:cs="Times New Roman"/>
    </w:rPr>
  </w:style>
  <w:style w:type="paragraph" w:customStyle="1" w:styleId="159">
    <w:name w:val="k 正文"/>
    <w:basedOn w:val="1"/>
    <w:qFormat/>
    <w:uiPriority w:val="0"/>
  </w:style>
  <w:style w:type="paragraph" w:customStyle="1" w:styleId="160">
    <w:name w:val="W正文"/>
    <w:basedOn w:val="1"/>
    <w:qFormat/>
    <w:uiPriority w:val="0"/>
    <w:pPr>
      <w:tabs>
        <w:tab w:val="left" w:pos="4320"/>
      </w:tabs>
      <w:ind w:firstLine="480"/>
    </w:pPr>
    <w:rPr>
      <w:rFonts w:cs="Times New Roman"/>
    </w:rPr>
  </w:style>
  <w:style w:type="paragraph" w:customStyle="1" w:styleId="161">
    <w:name w:val="表左字"/>
    <w:basedOn w:val="56"/>
    <w:next w:val="1"/>
    <w:qFormat/>
    <w:uiPriority w:val="0"/>
    <w:pPr>
      <w:jc w:val="left"/>
    </w:pPr>
  </w:style>
  <w:style w:type="paragraph" w:customStyle="1" w:styleId="162">
    <w:name w:val="WPSOffice手动目录 1"/>
    <w:qFormat/>
    <w:uiPriority w:val="0"/>
    <w:pPr>
      <w:ind w:leftChars="0"/>
    </w:pPr>
    <w:rPr>
      <w:rFonts w:ascii="Times New Roman" w:hAnsi="Times New Roman" w:eastAsia="宋体" w:cs="Times New Roman"/>
      <w:sz w:val="20"/>
      <w:szCs w:val="20"/>
    </w:rPr>
  </w:style>
  <w:style w:type="paragraph" w:customStyle="1" w:styleId="163">
    <w:name w:val="WPSOffice手动目录 2"/>
    <w:qFormat/>
    <w:uiPriority w:val="0"/>
    <w:pPr>
      <w:ind w:leftChars="200"/>
    </w:pPr>
    <w:rPr>
      <w:rFonts w:ascii="Times New Roman" w:hAnsi="Times New Roman" w:eastAsia="宋体" w:cs="Times New Roman"/>
      <w:sz w:val="20"/>
      <w:szCs w:val="20"/>
    </w:rPr>
  </w:style>
  <w:style w:type="character" w:customStyle="1" w:styleId="164">
    <w:name w:val="font21"/>
    <w:basedOn w:val="31"/>
    <w:qFormat/>
    <w:uiPriority w:val="0"/>
    <w:rPr>
      <w:rFonts w:hint="eastAsia" w:ascii="仿宋" w:hAnsi="仿宋" w:eastAsia="仿宋" w:cs="仿宋"/>
      <w:color w:val="000000"/>
      <w:sz w:val="21"/>
      <w:szCs w:val="21"/>
      <w:u w:val="none"/>
    </w:rPr>
  </w:style>
  <w:style w:type="table" w:customStyle="1" w:styleId="165">
    <w:name w:val="网格型1"/>
    <w:basedOn w:val="29"/>
    <w:autoRedefine/>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
    <w:name w:val="方案表格"/>
    <w:autoRedefine/>
    <w:qFormat/>
    <w:uiPriority w:val="99"/>
    <w:rPr>
      <w:rFonts w:ascii="Times New Roman" w:hAnsi="Times New Roman" w:eastAsia="宋体"/>
      <w:color w:val="000000"/>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left w:w="0" w:type="dxa"/>
        <w:right w:w="0" w:type="dxa"/>
      </w:tblCellMar>
    </w:tblPr>
    <w:tcPr>
      <w:shd w:val="clear" w:color="auto" w:fill="auto"/>
      <w:vAlign w:val="center"/>
    </w:tcPr>
    <w:tblStylePr w:type="firstRow">
      <w:rPr>
        <w:rFonts w:ascii="Times New Roman" w:hAnsi="Times New Roman" w:eastAsia="黑体"/>
        <w:b/>
        <w:color w:val="FFFFFF"/>
      </w:rPr>
      <w:tblPr/>
      <w:trPr>
        <w:tblHeader/>
      </w:trPr>
      <w:tcPr>
        <w:shd w:val="clear" w:color="auto" w:fill="4472C4"/>
      </w:tcPr>
    </w:tblStylePr>
    <w:tblStylePr w:type="lastRow">
      <w:rPr>
        <w:b/>
        <w:color w:val="000000"/>
      </w:rPr>
    </w:tblStylePr>
    <w:tblStylePr w:type="firstCol">
      <w:rPr>
        <w:color w:val="000000"/>
      </w:rPr>
    </w:tblStylePr>
  </w:style>
  <w:style w:type="paragraph" w:customStyle="1" w:styleId="167">
    <w:name w:val="燕矶表格文字"/>
    <w:basedOn w:val="1"/>
    <w:qFormat/>
    <w:uiPriority w:val="0"/>
    <w:pPr>
      <w:adjustRightInd w:val="0"/>
      <w:snapToGrid w:val="0"/>
      <w:spacing w:line="240" w:lineRule="auto"/>
      <w:ind w:firstLine="0" w:firstLineChars="0"/>
      <w:jc w:val="center"/>
    </w:pPr>
    <w:rPr>
      <w:rFonts w:cstheme="minorBidi"/>
      <w:color w:val="000000" w:themeColor="text1"/>
      <w:sz w:val="21"/>
      <w14:textFill>
        <w14:solidFill>
          <w14:schemeClr w14:val="tx1"/>
        </w14:solidFill>
      </w14:textFill>
    </w:rPr>
  </w:style>
  <w:style w:type="table" w:customStyle="1" w:styleId="168">
    <w:name w:val="样式151"/>
    <w:basedOn w:val="29"/>
    <w:qFormat/>
    <w:locked/>
    <w:uiPriority w:val="99"/>
    <w:pPr>
      <w:jc w:val="center"/>
    </w:p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tblStylePr w:type="firstRow">
      <w:rPr>
        <w:b/>
      </w:rPr>
    </w:tblStylePr>
  </w:style>
  <w:style w:type="paragraph" w:customStyle="1" w:styleId="169">
    <w:name w:val="题注—图片"/>
    <w:basedOn w:val="14"/>
    <w:next w:val="1"/>
    <w:autoRedefine/>
    <w:qFormat/>
    <w:uiPriority w:val="0"/>
    <w:pPr>
      <w:keepNext w:val="0"/>
    </w:pPr>
  </w:style>
  <w:style w:type="table" w:customStyle="1" w:styleId="170">
    <w:name w:val="表格标准13"/>
    <w:basedOn w:val="29"/>
    <w:qFormat/>
    <w:uiPriority w:val="99"/>
    <w:pPr>
      <w:jc w:val="center"/>
    </w:pPr>
    <w:rPr>
      <w:rFonts w:ascii="Times New Roman" w:hAnsi="Times New Roman"/>
      <w:sz w:val="21"/>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cPr>
      <w:shd w:val="clear" w:color="auto" w:fill="auto"/>
      <w:vAlign w:val="center"/>
    </w:tcPr>
  </w:style>
  <w:style w:type="character" w:customStyle="1" w:styleId="171">
    <w:name w:val="表格内文字"/>
    <w:autoRedefine/>
    <w:qFormat/>
    <w:uiPriority w:val="0"/>
    <w:rPr>
      <w:rFonts w:ascii="Times New Roman" w:hAnsi="Times New Roman" w:eastAsia="宋体"/>
      <w:color w:val="auto"/>
      <w:sz w:val="21"/>
    </w:rPr>
  </w:style>
  <w:style w:type="paragraph" w:customStyle="1" w:styleId="172">
    <w:name w:val="缩进2"/>
    <w:basedOn w:val="1"/>
    <w:autoRedefine/>
    <w:qFormat/>
    <w:uiPriority w:val="0"/>
    <w:rPr>
      <w:rFonts w:cstheme="minorBidi"/>
      <w:szCs w:val="22"/>
    </w:rPr>
  </w:style>
  <w:style w:type="paragraph" w:customStyle="1" w:styleId="173">
    <w:name w:val="双柳正文文本"/>
    <w:qFormat/>
    <w:uiPriority w:val="0"/>
    <w:pPr>
      <w:widowControl w:val="0"/>
      <w:wordWrap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table" w:customStyle="1" w:styleId="174">
    <w:name w:val="W"/>
    <w:basedOn w:val="29"/>
    <w:autoRedefine/>
    <w:qFormat/>
    <w:uiPriority w:val="99"/>
    <w:pPr>
      <w:adjustRightInd w:val="0"/>
      <w:snapToGrid w:val="0"/>
      <w:jc w:val="center"/>
    </w:pPr>
    <w:rPr>
      <w:rFonts w:cstheme="minorBidi"/>
      <w:sz w:val="21"/>
    </w:rPr>
    <w:tblPr>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
    <w:trPr>
      <w:jc w:val="center"/>
    </w:trPr>
    <w:tcPr>
      <w:vAlign w:val="center"/>
    </w:tcPr>
    <w:tblStylePr w:type="firstRow">
      <w:rPr>
        <w:rFonts w:ascii="Times New Roman" w:hAnsi="Times New Roman" w:eastAsia="宋体"/>
        <w:b/>
        <w:i w:val="0"/>
        <w:sz w:val="21"/>
      </w:rPr>
      <w:tcPr>
        <w:shd w:val="clear" w:color="auto" w:fill="D6DCE4" w:themeFill="text2" w:themeFillTint="33"/>
      </w:tcPr>
    </w:tblStylePr>
  </w:style>
  <w:style w:type="paragraph" w:customStyle="1" w:styleId="175">
    <w:name w:val="图表文字"/>
    <w:basedOn w:val="1"/>
    <w:next w:val="1"/>
    <w:qFormat/>
    <w:uiPriority w:val="0"/>
    <w:pPr>
      <w:spacing w:line="240" w:lineRule="auto"/>
      <w:ind w:firstLine="0" w:firstLineChars="0"/>
      <w:jc w:val="center"/>
      <w:textAlignment w:val="bottom"/>
    </w:pPr>
    <w:rPr>
      <w:rFonts w:ascii="仿宋_GB2312" w:hAnsi="仿宋_GB2312" w:eastAsia="仿宋_GB2312" w:cs="仿宋_GB2312"/>
      <w:kern w:val="0"/>
      <w:sz w:val="21"/>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4" Type="http://schemas.openxmlformats.org/officeDocument/2006/relationships/fontTable" Target="fontTable.xml"/><Relationship Id="rId73" Type="http://schemas.openxmlformats.org/officeDocument/2006/relationships/numbering" Target="numbering.xml"/><Relationship Id="rId72" Type="http://schemas.openxmlformats.org/officeDocument/2006/relationships/customXml" Target="../customXml/item1.xml"/><Relationship Id="rId71" Type="http://schemas.openxmlformats.org/officeDocument/2006/relationships/image" Target="media/image57.png"/><Relationship Id="rId70" Type="http://schemas.openxmlformats.org/officeDocument/2006/relationships/image" Target="media/image56.png"/><Relationship Id="rId7" Type="http://schemas.openxmlformats.org/officeDocument/2006/relationships/header" Target="header2.xml"/><Relationship Id="rId69" Type="http://schemas.openxmlformats.org/officeDocument/2006/relationships/image" Target="media/image55.jpeg"/><Relationship Id="rId68" Type="http://schemas.openxmlformats.org/officeDocument/2006/relationships/image" Target="media/image54.jpeg"/><Relationship Id="rId67" Type="http://schemas.openxmlformats.org/officeDocument/2006/relationships/image" Target="media/image53.png"/><Relationship Id="rId66" Type="http://schemas.openxmlformats.org/officeDocument/2006/relationships/image" Target="media/image52.png"/><Relationship Id="rId65" Type="http://schemas.openxmlformats.org/officeDocument/2006/relationships/image" Target="media/image51.png"/><Relationship Id="rId64" Type="http://schemas.openxmlformats.org/officeDocument/2006/relationships/image" Target="media/image50.jpeg"/><Relationship Id="rId63" Type="http://schemas.openxmlformats.org/officeDocument/2006/relationships/image" Target="media/image49.jpeg"/><Relationship Id="rId62" Type="http://schemas.openxmlformats.org/officeDocument/2006/relationships/image" Target="media/image48.jpeg"/><Relationship Id="rId61" Type="http://schemas.openxmlformats.org/officeDocument/2006/relationships/image" Target="media/image47.jpeg"/><Relationship Id="rId60" Type="http://schemas.openxmlformats.org/officeDocument/2006/relationships/image" Target="media/image46.jpeg"/><Relationship Id="rId6" Type="http://schemas.openxmlformats.org/officeDocument/2006/relationships/footer" Target="footer1.xml"/><Relationship Id="rId59" Type="http://schemas.openxmlformats.org/officeDocument/2006/relationships/image" Target="media/image45.png"/><Relationship Id="rId58" Type="http://schemas.openxmlformats.org/officeDocument/2006/relationships/image" Target="media/image44.png"/><Relationship Id="rId57" Type="http://schemas.openxmlformats.org/officeDocument/2006/relationships/image" Target="media/image43.png"/><Relationship Id="rId56" Type="http://schemas.openxmlformats.org/officeDocument/2006/relationships/image" Target="media/image42.png"/><Relationship Id="rId55" Type="http://schemas.openxmlformats.org/officeDocument/2006/relationships/image" Target="media/image41.png"/><Relationship Id="rId54" Type="http://schemas.openxmlformats.org/officeDocument/2006/relationships/image" Target="media/image40.png"/><Relationship Id="rId53" Type="http://schemas.openxmlformats.org/officeDocument/2006/relationships/image" Target="media/image39.png"/><Relationship Id="rId52" Type="http://schemas.openxmlformats.org/officeDocument/2006/relationships/image" Target="media/image38.png"/><Relationship Id="rId51" Type="http://schemas.openxmlformats.org/officeDocument/2006/relationships/image" Target="media/image37.png"/><Relationship Id="rId50" Type="http://schemas.openxmlformats.org/officeDocument/2006/relationships/image" Target="media/image36.png"/><Relationship Id="rId5" Type="http://schemas.openxmlformats.org/officeDocument/2006/relationships/header" Target="header1.xml"/><Relationship Id="rId49" Type="http://schemas.openxmlformats.org/officeDocument/2006/relationships/image" Target="media/image35.png"/><Relationship Id="rId48" Type="http://schemas.openxmlformats.org/officeDocument/2006/relationships/image" Target="media/image34.png"/><Relationship Id="rId47" Type="http://schemas.openxmlformats.org/officeDocument/2006/relationships/image" Target="media/image33.png"/><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endnotes" Target="endnotes.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footnotes" Target="footnotes.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em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extobjs>
    <extobj name="ECB019B1-382A-4266-B25C-5B523AA43C14-2">
      <extobjdata type="ECB019B1-382A-4266-B25C-5B523AA43C14" data="ewoJIkZpbGVJZCIgOiAiMjI5OTAwNzU0ODAwIiwKCSJHcm91cElkIiA6ICI0NDE2NDQxODAiLAoJIkltYWdlIiA6ICJpVkJPUncwS0dnb0FBQUFOU1VoRVVnQUFCQUFBQUFMaENBWUFBQURCMWRhZUFBQUFBWE5TUjBJQXJzNGM2UUFBSUFCSlJFRlVlSnpzM1hWMEZGY2Z4dkVuUWhJSWtnREYzWUlXbHdMRm9VZ0ZhWkZDb1ZoeEtNWGRuUUpGaTd0VUtPNVFuQmRvYVhGM3QwQUNoUGp1K3dkaG0yV2pGTmdtOC8yY2s5UHNuVHQzZnBNY1RqclAzTGtqQV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NQi80OTk4TmhvLytiZ2tuZ0FBQUFCSlJVNUVya0pnZ2c9PSIsCgkiVGhlbWUiIDogIiIsCgkiVHlwZSIgOiAiZmxvdyIsCgkiVXNlcklkIiA6ICI0MDc2NjMxMDI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123</Pages>
  <Words>5584</Words>
  <Characters>6585</Characters>
  <Lines>551</Lines>
  <Paragraphs>155</Paragraphs>
  <TotalTime>0</TotalTime>
  <ScaleCrop>false</ScaleCrop>
  <LinksUpToDate>false</LinksUpToDate>
  <CharactersWithSpaces>6825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2019-09-24T00:51:00Z</dcterms:created>
  <dc:creator>一头小野牛</dc:creator>
  <cp:lastModifiedBy>杭州渝港机械施工有限公司</cp:lastModifiedBy>
  <cp:lastPrinted>2025-03-22T02:27:00Z</cp:lastPrinted>
  <dcterms:modified xsi:type="dcterms:W3CDTF">2026-03-02T08:11:46Z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E80893DA753F47B68261DE354BCBBEEB_13</vt:lpwstr>
  </property>
  <property fmtid="{D5CDD505-2E9C-101B-9397-08002B2CF9AE}" pid="4" name="KSOTemplateDocerSaveRecord">
    <vt:lpwstr>eyJoZGlkIjoiYjNhNmFhNjMwYzJiZmY0YzA5ZjEwOTY2YWYzYjdmYTAiLCJ1c2VySWQiOiIyMDEyMTQ5OSJ9</vt:lpwstr>
  </property>
</Properties>
</file>