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54C03E">
      <w:pPr>
        <w:pStyle w:val="12"/>
        <w:ind w:firstLine="240"/>
        <w:rPr>
          <w:rFonts w:hint="default"/>
        </w:rPr>
      </w:pPr>
    </w:p>
    <w:p w14:paraId="105FDBAD">
      <w:pPr>
        <w:ind w:firstLine="480"/>
        <w:rPr>
          <w:rFonts w:hint="eastAsia" w:ascii="黑体" w:hAnsi="黑体" w:eastAsia="黑体" w:cs="黑体"/>
          <w:sz w:val="28"/>
          <w:szCs w:val="28"/>
        </w:rPr>
      </w:pPr>
      <w:r>
        <w:rPr>
          <w:rFonts w:hint="eastAsia"/>
        </w:rPr>
        <w:t xml:space="preserve">                                          </w:t>
      </w:r>
      <w:r>
        <w:rPr>
          <w:rFonts w:hint="eastAsia" w:ascii="黑体" w:hAnsi="黑体" w:eastAsia="黑体" w:cs="黑体"/>
          <w:sz w:val="28"/>
          <w:szCs w:val="28"/>
        </w:rPr>
        <w:t xml:space="preserve">方案编号 </w:t>
      </w:r>
      <w:r>
        <w:rPr>
          <w:rFonts w:ascii="黑体" w:hAnsi="黑体" w:eastAsia="黑体"/>
          <w:color w:val="000000" w:themeColor="text1"/>
          <w:sz w:val="28"/>
          <w:szCs w:val="28"/>
          <w14:textFill>
            <w14:solidFill>
              <w14:schemeClr w14:val="tx1"/>
            </w14:solidFill>
          </w14:textFill>
        </w:rPr>
        <w:t>XJLQ-</w:t>
      </w:r>
      <w:r>
        <w:rPr>
          <w:rFonts w:hint="eastAsia" w:ascii="黑体" w:hAnsi="黑体" w:eastAsia="黑体"/>
          <w:color w:val="000000" w:themeColor="text1"/>
          <w:sz w:val="28"/>
          <w:szCs w:val="28"/>
          <w14:textFill>
            <w14:solidFill>
              <w14:schemeClr w14:val="tx1"/>
            </w14:solidFill>
          </w14:textFill>
        </w:rPr>
        <w:t>QTFPZ</w:t>
      </w:r>
      <w:r>
        <w:rPr>
          <w:rFonts w:ascii="黑体" w:hAnsi="黑体" w:eastAsia="黑体"/>
          <w:color w:val="000000" w:themeColor="text1"/>
          <w:sz w:val="28"/>
          <w:szCs w:val="28"/>
          <w14:textFill>
            <w14:solidFill>
              <w14:schemeClr w14:val="tx1"/>
            </w14:solidFill>
          </w14:textFill>
        </w:rPr>
        <w:t>-</w:t>
      </w:r>
      <w:r>
        <w:rPr>
          <w:rFonts w:hint="eastAsia" w:ascii="黑体" w:hAnsi="黑体" w:eastAsia="黑体"/>
          <w:color w:val="000000" w:themeColor="text1"/>
          <w:sz w:val="28"/>
          <w:szCs w:val="28"/>
          <w14:textFill>
            <w14:solidFill>
              <w14:schemeClr w14:val="tx1"/>
            </w14:solidFill>
          </w14:textFill>
        </w:rPr>
        <w:t>25-2</w:t>
      </w:r>
    </w:p>
    <w:p w14:paraId="487B2475">
      <w:pPr>
        <w:ind w:firstLine="480"/>
      </w:pPr>
    </w:p>
    <w:p w14:paraId="37328794">
      <w:pPr>
        <w:pStyle w:val="86"/>
        <w:rPr>
          <w:color w:val="000000" w:themeColor="text1"/>
          <w14:textFill>
            <w14:solidFill>
              <w14:schemeClr w14:val="tx1"/>
            </w14:solidFill>
          </w14:textFill>
        </w:rPr>
      </w:pPr>
      <w:bookmarkStart w:id="0" w:name="_Toc16523"/>
      <w:bookmarkStart w:id="1" w:name="_Toc25515"/>
      <w:bookmarkStart w:id="2" w:name="_Toc19348"/>
      <w:r>
        <w:rPr>
          <w:rFonts w:hint="eastAsia"/>
          <w:color w:val="000000" w:themeColor="text1"/>
          <w14:textFill>
            <w14:solidFill>
              <w14:schemeClr w14:val="tx1"/>
            </w14:solidFill>
          </w14:textFill>
        </w:rPr>
        <w:t>彭州市龙兴寺片区PZ2024-16地块商住建设项目</w:t>
      </w:r>
    </w:p>
    <w:p w14:paraId="288801E6">
      <w:pPr>
        <w:ind w:firstLine="643"/>
        <w:jc w:val="center"/>
        <w:rPr>
          <w:rFonts w:hint="eastAsia" w:ascii="宋体" w:hAnsi="宋体" w:cs="宋体"/>
          <w:b/>
          <w:bCs/>
          <w:sz w:val="32"/>
          <w:szCs w:val="32"/>
        </w:rPr>
      </w:pPr>
      <w:r>
        <w:rPr>
          <w:rFonts w:hint="eastAsia" w:ascii="宋体" w:hAnsi="宋体" w:cs="宋体"/>
          <w:b/>
          <w:bCs/>
          <w:sz w:val="32"/>
          <w:szCs w:val="32"/>
        </w:rPr>
        <w:t>群塔防碰撞施工方案</w:t>
      </w:r>
      <w:bookmarkEnd w:id="0"/>
      <w:bookmarkEnd w:id="1"/>
      <w:bookmarkEnd w:id="2"/>
    </w:p>
    <w:p w14:paraId="04BD92D3">
      <w:pPr>
        <w:ind w:firstLine="562" w:firstLineChars="201"/>
        <w:jc w:val="left"/>
        <w:rPr>
          <w:rFonts w:hint="eastAsia" w:ascii="仿宋" w:hAnsi="仿宋" w:eastAsia="仿宋"/>
          <w:sz w:val="28"/>
          <w:szCs w:val="28"/>
        </w:rPr>
      </w:pPr>
    </w:p>
    <w:p w14:paraId="77B659F4">
      <w:pPr>
        <w:ind w:firstLine="562" w:firstLineChars="201"/>
        <w:jc w:val="center"/>
        <w:rPr>
          <w:rFonts w:hint="eastAsia" w:ascii="仿宋" w:hAnsi="仿宋" w:eastAsia="仿宋"/>
          <w:sz w:val="28"/>
          <w:szCs w:val="28"/>
        </w:rPr>
      </w:pPr>
      <w:r>
        <w:rPr>
          <w:bCs/>
          <w:color w:val="000000" w:themeColor="text1"/>
          <w:sz w:val="28"/>
          <w:szCs w:val="28"/>
          <w14:textFill>
            <w14:solidFill>
              <w14:schemeClr w14:val="tx1"/>
            </w14:solidFill>
          </w14:textFill>
        </w:rPr>
        <w:drawing>
          <wp:inline distT="0" distB="0" distL="114300" distR="114300">
            <wp:extent cx="2103120" cy="2700655"/>
            <wp:effectExtent l="0" t="0" r="11430" b="444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21"/>
                    <a:stretch>
                      <a:fillRect/>
                    </a:stretch>
                  </pic:blipFill>
                  <pic:spPr>
                    <a:xfrm>
                      <a:off x="0" y="0"/>
                      <a:ext cx="2103120" cy="2700655"/>
                    </a:xfrm>
                    <a:prstGeom prst="rect">
                      <a:avLst/>
                    </a:prstGeom>
                  </pic:spPr>
                </pic:pic>
              </a:graphicData>
            </a:graphic>
          </wp:inline>
        </w:drawing>
      </w:r>
    </w:p>
    <w:p w14:paraId="29A5D36A">
      <w:pPr>
        <w:ind w:firstLine="565" w:firstLineChars="201"/>
        <w:jc w:val="left"/>
        <w:rPr>
          <w:rFonts w:hint="eastAsia" w:ascii="仿宋" w:hAnsi="仿宋" w:eastAsia="仿宋"/>
          <w:b/>
          <w:sz w:val="28"/>
          <w:szCs w:val="28"/>
        </w:rPr>
      </w:pPr>
      <w:r>
        <w:rPr>
          <w:rFonts w:hint="eastAsia" w:ascii="仿宋" w:hAnsi="仿宋" w:eastAsia="仿宋"/>
          <w:b/>
          <w:sz w:val="28"/>
          <w:szCs w:val="28"/>
        </w:rPr>
        <w:t xml:space="preserve">                                </w:t>
      </w:r>
    </w:p>
    <w:p w14:paraId="59AC4107">
      <w:pPr>
        <w:ind w:firstLine="565" w:firstLineChars="201"/>
        <w:jc w:val="left"/>
        <w:rPr>
          <w:rFonts w:hint="eastAsia" w:ascii="仿宋" w:hAnsi="仿宋" w:eastAsia="仿宋"/>
          <w:b/>
          <w:sz w:val="28"/>
          <w:szCs w:val="28"/>
        </w:rPr>
      </w:pPr>
    </w:p>
    <w:p w14:paraId="40479A3C">
      <w:pPr>
        <w:pStyle w:val="11"/>
        <w:ind w:firstLine="562"/>
        <w:rPr>
          <w:rFonts w:hint="eastAsia" w:ascii="仿宋" w:hAnsi="仿宋" w:eastAsia="仿宋"/>
          <w:b/>
          <w:sz w:val="28"/>
          <w:szCs w:val="28"/>
        </w:rPr>
      </w:pPr>
    </w:p>
    <w:p w14:paraId="15F4D0D5">
      <w:pPr>
        <w:pStyle w:val="12"/>
        <w:ind w:firstLine="281"/>
        <w:rPr>
          <w:rFonts w:ascii="仿宋" w:hAnsi="仿宋" w:eastAsia="仿宋"/>
          <w:b/>
          <w:sz w:val="28"/>
          <w:szCs w:val="28"/>
        </w:rPr>
      </w:pPr>
    </w:p>
    <w:p w14:paraId="6BFC3778">
      <w:pPr>
        <w:pStyle w:val="12"/>
        <w:ind w:firstLine="281"/>
        <w:rPr>
          <w:rFonts w:ascii="仿宋" w:hAnsi="仿宋" w:eastAsia="仿宋"/>
          <w:b/>
          <w:sz w:val="28"/>
          <w:szCs w:val="28"/>
        </w:rPr>
      </w:pPr>
    </w:p>
    <w:p w14:paraId="45E8EA5C">
      <w:pPr>
        <w:pStyle w:val="12"/>
        <w:ind w:firstLine="281"/>
        <w:rPr>
          <w:rFonts w:ascii="仿宋" w:hAnsi="仿宋" w:eastAsia="仿宋"/>
          <w:b/>
          <w:sz w:val="28"/>
          <w:szCs w:val="28"/>
        </w:rPr>
      </w:pPr>
    </w:p>
    <w:p w14:paraId="13739754">
      <w:pPr>
        <w:ind w:firstLine="0" w:firstLineChars="0"/>
        <w:jc w:val="left"/>
        <w:rPr>
          <w:rFonts w:hint="eastAsia" w:ascii="仿宋" w:hAnsi="仿宋" w:eastAsia="仿宋"/>
          <w:b/>
          <w:sz w:val="28"/>
          <w:szCs w:val="28"/>
        </w:rPr>
      </w:pPr>
    </w:p>
    <w:p w14:paraId="54812511">
      <w:pPr>
        <w:ind w:firstLine="0" w:firstLineChars="0"/>
        <w:jc w:val="center"/>
        <w:rPr>
          <w:b/>
          <w:color w:val="000000" w:themeColor="text1"/>
          <w:sz w:val="28"/>
          <w:szCs w:val="28"/>
          <w14:textFill>
            <w14:solidFill>
              <w14:schemeClr w14:val="tx1"/>
            </w14:solidFill>
          </w14:textFill>
        </w:rPr>
      </w:pPr>
      <w:bookmarkStart w:id="3" w:name="_Toc9647"/>
      <w:r>
        <w:rPr>
          <w:rFonts w:hint="eastAsia"/>
          <w:b/>
          <w:color w:val="000000" w:themeColor="text1"/>
          <w:sz w:val="28"/>
          <w:szCs w:val="28"/>
          <w14:textFill>
            <w14:solidFill>
              <w14:schemeClr w14:val="tx1"/>
            </w14:solidFill>
          </w14:textFill>
        </w:rPr>
        <w:t>中交第二航务工程局有限公司</w:t>
      </w:r>
      <w:bookmarkEnd w:id="3"/>
    </w:p>
    <w:p w14:paraId="7977D5D0">
      <w:pPr>
        <w:ind w:firstLine="565" w:firstLineChars="201"/>
        <w:jc w:val="center"/>
        <w:rPr>
          <w:rFonts w:hint="eastAsia" w:ascii="宋体" w:hAnsi="宋体" w:cs="宋体"/>
          <w:b/>
          <w:sz w:val="28"/>
          <w:szCs w:val="28"/>
        </w:rPr>
      </w:pPr>
      <w:r>
        <w:rPr>
          <w:rFonts w:hint="eastAsia" w:ascii="宋体" w:hAnsi="宋体" w:cs="宋体"/>
          <w:b/>
          <w:sz w:val="28"/>
          <w:szCs w:val="28"/>
        </w:rPr>
        <w:t>彭州市龙兴寺片区PZ2024-16地块商住建设项目</w:t>
      </w:r>
    </w:p>
    <w:p w14:paraId="05528833">
      <w:pPr>
        <w:ind w:firstLine="565" w:firstLineChars="201"/>
        <w:jc w:val="center"/>
        <w:rPr>
          <w:b/>
          <w:color w:val="000000"/>
          <w:sz w:val="48"/>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18" w:right="1418" w:bottom="1418" w:left="1418" w:header="851" w:footer="992" w:gutter="0"/>
          <w:cols w:space="425" w:num="1"/>
          <w:docGrid w:linePitch="498" w:charSpace="17788"/>
        </w:sectPr>
      </w:pPr>
      <w:r>
        <w:rPr>
          <w:rFonts w:hint="eastAsia" w:ascii="宋体" w:hAnsi="宋体" w:cs="宋体"/>
          <w:b/>
          <w:sz w:val="28"/>
          <w:szCs w:val="28"/>
        </w:rPr>
        <w:t>2025</w:t>
      </w:r>
      <w:r>
        <w:rPr>
          <w:rFonts w:hint="eastAsia" w:ascii="宋体" w:hAnsi="宋体" w:cs="宋体"/>
          <w:b/>
          <w:sz w:val="28"/>
          <w:szCs w:val="28"/>
        </w:rPr>
        <w:tab/>
      </w:r>
      <w:r>
        <w:rPr>
          <w:rFonts w:hint="eastAsia" w:ascii="宋体" w:hAnsi="宋体" w:cs="宋体"/>
          <w:b/>
          <w:sz w:val="28"/>
          <w:szCs w:val="28"/>
        </w:rPr>
        <w:t xml:space="preserve"> 年 7 月</w:t>
      </w:r>
      <w:bookmarkStart w:id="4" w:name="_Toc276521510"/>
      <w:bookmarkEnd w:id="4"/>
      <w:bookmarkStart w:id="5" w:name="_Toc277275498"/>
      <w:bookmarkEnd w:id="5"/>
      <w:bookmarkStart w:id="6" w:name="_Toc271909489"/>
      <w:bookmarkEnd w:id="6"/>
      <w:r>
        <w:rPr>
          <w:rFonts w:hint="eastAsia" w:ascii="宋体" w:hAnsi="宋体" w:cs="宋体"/>
          <w:b/>
          <w:sz w:val="28"/>
          <w:szCs w:val="28"/>
        </w:rPr>
        <w:t xml:space="preserve">  </w:t>
      </w:r>
    </w:p>
    <w:p w14:paraId="4A3FB4EA">
      <w:pPr>
        <w:pStyle w:val="11"/>
        <w:ind w:firstLine="480"/>
      </w:pPr>
    </w:p>
    <w:p w14:paraId="090C4B2E">
      <w:pPr>
        <w:pStyle w:val="86"/>
        <w:rPr>
          <w:color w:val="000000" w:themeColor="text1"/>
          <w14:textFill>
            <w14:solidFill>
              <w14:schemeClr w14:val="tx1"/>
            </w14:solidFill>
          </w14:textFill>
        </w:rPr>
      </w:pPr>
    </w:p>
    <w:p w14:paraId="37ACD2D7">
      <w:pPr>
        <w:pStyle w:val="86"/>
        <w:rPr>
          <w:color w:val="000000" w:themeColor="text1"/>
          <w14:textFill>
            <w14:solidFill>
              <w14:schemeClr w14:val="tx1"/>
            </w14:solidFill>
          </w14:textFill>
        </w:rPr>
      </w:pPr>
      <w:r>
        <w:rPr>
          <w:rFonts w:hint="eastAsia"/>
          <w:color w:val="000000" w:themeColor="text1"/>
          <w14:textFill>
            <w14:solidFill>
              <w14:schemeClr w14:val="tx1"/>
            </w14:solidFill>
          </w14:textFill>
        </w:rPr>
        <w:t>彭州市龙兴寺片区PZ2024-16地块商住建设项目</w:t>
      </w:r>
    </w:p>
    <w:p w14:paraId="7C21659B">
      <w:pPr>
        <w:ind w:firstLine="646" w:firstLineChars="201"/>
        <w:jc w:val="center"/>
        <w:rPr>
          <w:rFonts w:hint="eastAsia" w:ascii="宋体" w:hAnsi="宋体" w:cs="宋体"/>
          <w:b/>
          <w:bCs/>
          <w:sz w:val="32"/>
          <w:szCs w:val="32"/>
        </w:rPr>
      </w:pPr>
      <w:r>
        <w:rPr>
          <w:rFonts w:hint="eastAsia" w:ascii="宋体" w:hAnsi="宋体" w:cs="宋体"/>
          <w:b/>
          <w:bCs/>
          <w:sz w:val="32"/>
          <w:szCs w:val="32"/>
        </w:rPr>
        <w:t>群塔防碰撞施工方案</w:t>
      </w:r>
    </w:p>
    <w:p w14:paraId="2843F3E8">
      <w:pPr>
        <w:ind w:firstLine="482" w:firstLineChars="201"/>
        <w:jc w:val="left"/>
        <w:rPr>
          <w:rFonts w:hint="eastAsia" w:ascii="仿宋" w:hAnsi="仿宋" w:eastAsia="仿宋"/>
          <w:b/>
          <w:sz w:val="28"/>
          <w:szCs w:val="28"/>
        </w:rPr>
      </w:pPr>
      <w:r>
        <w:drawing>
          <wp:inline distT="0" distB="0" distL="0" distR="0">
            <wp:extent cx="5759450" cy="3531235"/>
            <wp:effectExtent l="0" t="0" r="12700" b="1206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22"/>
                    <a:stretch>
                      <a:fillRect/>
                    </a:stretch>
                  </pic:blipFill>
                  <pic:spPr>
                    <a:xfrm>
                      <a:off x="0" y="0"/>
                      <a:ext cx="5759450" cy="3531235"/>
                    </a:xfrm>
                    <a:prstGeom prst="rect">
                      <a:avLst/>
                    </a:prstGeom>
                  </pic:spPr>
                </pic:pic>
              </a:graphicData>
            </a:graphic>
          </wp:inline>
        </w:drawing>
      </w:r>
    </w:p>
    <w:p w14:paraId="51F0C3DA">
      <w:pPr>
        <w:pStyle w:val="82"/>
        <w:rPr>
          <w:color w:val="auto"/>
        </w:rPr>
      </w:pPr>
    </w:p>
    <w:p w14:paraId="1C96615B">
      <w:pPr>
        <w:spacing w:line="480" w:lineRule="auto"/>
        <w:ind w:firstLine="2800" w:firstLineChars="1000"/>
        <w:jc w:val="left"/>
        <w:rPr>
          <w:bCs/>
          <w:sz w:val="28"/>
          <w:szCs w:val="28"/>
        </w:rPr>
      </w:pPr>
      <w:r>
        <w:rPr>
          <w:rFonts w:hint="eastAsia"/>
          <w:bCs/>
          <w:sz w:val="28"/>
          <w:szCs w:val="28"/>
        </w:rPr>
        <w:t xml:space="preserve">编 制：  </w:t>
      </w:r>
      <w:r>
        <w:rPr>
          <w:rFonts w:hint="eastAsia"/>
          <w:bCs/>
          <w:sz w:val="28"/>
          <w:szCs w:val="28"/>
          <w:u w:val="single"/>
        </w:rPr>
        <w:t xml:space="preserve">                    </w:t>
      </w:r>
    </w:p>
    <w:p w14:paraId="5021ADC2">
      <w:pPr>
        <w:spacing w:line="480" w:lineRule="auto"/>
        <w:ind w:firstLine="562" w:firstLineChars="201"/>
        <w:jc w:val="left"/>
        <w:rPr>
          <w:bCs/>
          <w:sz w:val="28"/>
          <w:szCs w:val="28"/>
        </w:rPr>
      </w:pPr>
      <w:r>
        <w:rPr>
          <w:rFonts w:hint="eastAsia"/>
          <w:bCs/>
          <w:sz w:val="28"/>
          <w:szCs w:val="28"/>
        </w:rPr>
        <w:t xml:space="preserve">                审 核：  </w:t>
      </w:r>
      <w:r>
        <w:rPr>
          <w:rFonts w:hint="eastAsia"/>
          <w:bCs/>
          <w:sz w:val="28"/>
          <w:szCs w:val="28"/>
          <w:u w:val="single"/>
        </w:rPr>
        <w:t xml:space="preserve">                    </w:t>
      </w:r>
    </w:p>
    <w:p w14:paraId="3713D32E">
      <w:pPr>
        <w:spacing w:line="480" w:lineRule="auto"/>
        <w:ind w:firstLine="562" w:firstLineChars="201"/>
        <w:jc w:val="left"/>
        <w:rPr>
          <w:bCs/>
          <w:sz w:val="28"/>
          <w:szCs w:val="28"/>
        </w:rPr>
      </w:pPr>
      <w:r>
        <w:rPr>
          <w:rFonts w:hint="eastAsia"/>
          <w:bCs/>
          <w:sz w:val="28"/>
          <w:szCs w:val="28"/>
        </w:rPr>
        <w:t xml:space="preserve">                审 批：  </w:t>
      </w:r>
      <w:r>
        <w:rPr>
          <w:rFonts w:hint="eastAsia"/>
          <w:bCs/>
          <w:sz w:val="28"/>
          <w:szCs w:val="28"/>
          <w:u w:val="single"/>
        </w:rPr>
        <w:t xml:space="preserve">                    </w:t>
      </w:r>
    </w:p>
    <w:p w14:paraId="0E994E2D">
      <w:pPr>
        <w:ind w:firstLine="0" w:firstLineChars="0"/>
        <w:rPr>
          <w:b/>
          <w:sz w:val="48"/>
          <w:szCs w:val="32"/>
        </w:rPr>
      </w:pPr>
    </w:p>
    <w:p w14:paraId="2A58CC3F">
      <w:pPr>
        <w:pStyle w:val="82"/>
        <w:rPr>
          <w:b/>
          <w:color w:val="auto"/>
          <w:sz w:val="48"/>
          <w:szCs w:val="32"/>
        </w:rPr>
      </w:pPr>
    </w:p>
    <w:p w14:paraId="2BA053B2">
      <w:pPr>
        <w:pStyle w:val="82"/>
        <w:spacing w:line="360" w:lineRule="auto"/>
        <w:jc w:val="center"/>
        <w:rPr>
          <w:b/>
          <w:color w:val="auto"/>
          <w:sz w:val="36"/>
          <w:szCs w:val="36"/>
        </w:rPr>
      </w:pPr>
      <w:r>
        <w:rPr>
          <w:b/>
          <w:color w:val="auto"/>
          <w:sz w:val="32"/>
          <w:szCs w:val="32"/>
        </w:rPr>
        <w:t xml:space="preserve">     </w:t>
      </w:r>
      <w:r>
        <w:rPr>
          <w:b/>
          <w:color w:val="auto"/>
          <w:sz w:val="28"/>
          <w:szCs w:val="28"/>
        </w:rPr>
        <w:t xml:space="preserve"> </w:t>
      </w:r>
      <w:r>
        <w:rPr>
          <w:b/>
          <w:color w:val="auto"/>
          <w:sz w:val="36"/>
          <w:szCs w:val="36"/>
        </w:rPr>
        <w:t>四川科斗文智能装备有限公司</w:t>
      </w:r>
    </w:p>
    <w:p w14:paraId="40B7A017">
      <w:pPr>
        <w:ind w:firstLine="2530" w:firstLineChars="700"/>
        <w:rPr>
          <w:rFonts w:hint="eastAsia" w:ascii="宋体" w:hAnsi="宋体" w:cs="宋体"/>
          <w:b/>
          <w:color w:val="000000"/>
          <w:sz w:val="28"/>
          <w:szCs w:val="28"/>
        </w:rPr>
      </w:pPr>
      <w:r>
        <w:rPr>
          <w:rFonts w:hint="eastAsia"/>
          <w:b/>
          <w:sz w:val="36"/>
          <w:szCs w:val="36"/>
        </w:rPr>
        <w:t xml:space="preserve">      </w:t>
      </w:r>
      <w:r>
        <w:rPr>
          <w:b/>
          <w:sz w:val="36"/>
          <w:szCs w:val="36"/>
        </w:rPr>
        <w:t>202</w:t>
      </w:r>
      <w:r>
        <w:rPr>
          <w:rFonts w:hint="eastAsia"/>
          <w:b/>
          <w:sz w:val="36"/>
          <w:szCs w:val="36"/>
        </w:rPr>
        <w:t>5年</w:t>
      </w:r>
      <w:r>
        <w:rPr>
          <w:b/>
          <w:sz w:val="36"/>
          <w:szCs w:val="36"/>
        </w:rPr>
        <w:t>0</w:t>
      </w:r>
      <w:r>
        <w:rPr>
          <w:rFonts w:hint="eastAsia"/>
          <w:b/>
          <w:sz w:val="36"/>
          <w:szCs w:val="36"/>
        </w:rPr>
        <w:t>7月</w:t>
      </w:r>
    </w:p>
    <w:p w14:paraId="5F8576AF">
      <w:pPr>
        <w:pStyle w:val="12"/>
        <w:ind w:firstLine="0" w:firstLineChars="0"/>
        <w:jc w:val="center"/>
        <w:rPr>
          <w:rFonts w:ascii="宋体" w:hAnsi="宋体" w:cs="宋体"/>
          <w:b/>
          <w:color w:val="000000"/>
          <w:sz w:val="28"/>
          <w:szCs w:val="28"/>
        </w:rPr>
        <w:sectPr>
          <w:footerReference r:id="rId11" w:type="default"/>
          <w:pgSz w:w="11906" w:h="16838"/>
          <w:pgMar w:top="1418" w:right="1418" w:bottom="1418" w:left="1418" w:header="851" w:footer="992" w:gutter="0"/>
          <w:cols w:space="425" w:num="1"/>
          <w:docGrid w:linePitch="498" w:charSpace="17788"/>
        </w:sectPr>
      </w:pPr>
    </w:p>
    <w:p w14:paraId="1E26F9BC">
      <w:pPr>
        <w:ind w:firstLine="0" w:firstLineChars="0"/>
        <w:jc w:val="center"/>
        <w:rPr>
          <w:b/>
          <w:bCs/>
          <w:sz w:val="32"/>
          <w:szCs w:val="32"/>
        </w:rPr>
      </w:pPr>
      <w:r>
        <w:rPr>
          <w:rFonts w:hint="eastAsia"/>
          <w:b/>
          <w:bCs/>
          <w:sz w:val="32"/>
          <w:szCs w:val="32"/>
        </w:rPr>
        <w:t>目        录</w:t>
      </w:r>
    </w:p>
    <w:sdt>
      <w:sdtPr>
        <w:rPr>
          <w:rFonts w:ascii="宋体" w:hAnsi="宋体"/>
          <w:sz w:val="21"/>
        </w:rPr>
        <w:id w:val="147464968"/>
        <w15:color w:val="DBDBDB"/>
        <w:docPartObj>
          <w:docPartGallery w:val="Table of Contents"/>
          <w:docPartUnique/>
        </w:docPartObj>
      </w:sdtPr>
      <w:sdtEndPr>
        <w:rPr>
          <w:rFonts w:ascii="宋体" w:hAnsi="宋体"/>
          <w:b/>
          <w:sz w:val="21"/>
        </w:rPr>
      </w:sdtEndPr>
      <w:sdtContent>
        <w:p w14:paraId="450DCC6B">
          <w:pPr>
            <w:spacing w:line="240" w:lineRule="auto"/>
            <w:ind w:firstLine="420" w:firstLineChars="0"/>
            <w:jc w:val="center"/>
            <w:rPr>
              <w:rFonts w:ascii="Times New Roman" w:hAnsi="Times New Roman" w:eastAsia="宋体" w:cs="Times New Roman"/>
              <w:b/>
              <w:kern w:val="2"/>
              <w:sz w:val="24"/>
              <w:szCs w:val="21"/>
              <w:lang w:val="en-US" w:eastAsia="zh-CN" w:bidi="ar-SA"/>
            </w:rPr>
          </w:pPr>
          <w:bookmarkStart w:id="7" w:name="_Toc4539"/>
          <w:r>
            <w:fldChar w:fldCharType="begin"/>
          </w:r>
          <w:r>
            <w:instrText xml:space="preserve">TOC \o "1-2" \h \u </w:instrText>
          </w:r>
          <w:r>
            <w:fldChar w:fldCharType="separate"/>
          </w:r>
        </w:p>
        <w:p w14:paraId="3A5A481A">
          <w:pPr>
            <w:pStyle w:val="24"/>
            <w:tabs>
              <w:tab w:val="right" w:leader="dot" w:pos="8306"/>
            </w:tabs>
          </w:pPr>
          <w:r>
            <w:fldChar w:fldCharType="begin"/>
          </w:r>
          <w:r>
            <w:instrText xml:space="preserve"> HYPERLINK \l _Toc27476 </w:instrText>
          </w:r>
          <w:r>
            <w:fldChar w:fldCharType="separate"/>
          </w:r>
          <w:r>
            <w:rPr>
              <w:rFonts w:hint="default" w:ascii="宋体" w:hAnsi="宋体" w:eastAsia="宋体" w:cs="宋体"/>
            </w:rPr>
            <w:t xml:space="preserve">1 </w:t>
          </w:r>
          <w:r>
            <w:rPr>
              <w:rFonts w:hint="eastAsia"/>
            </w:rPr>
            <w:t>编制说明、依据及适用范围</w:t>
          </w:r>
          <w:r>
            <w:tab/>
          </w:r>
          <w:r>
            <w:fldChar w:fldCharType="begin"/>
          </w:r>
          <w:r>
            <w:instrText xml:space="preserve"> PAGEREF _Toc27476 \h </w:instrText>
          </w:r>
          <w:r>
            <w:fldChar w:fldCharType="separate"/>
          </w:r>
          <w:r>
            <w:t>1</w:t>
          </w:r>
          <w:r>
            <w:fldChar w:fldCharType="end"/>
          </w:r>
          <w:r>
            <w:fldChar w:fldCharType="end"/>
          </w:r>
        </w:p>
        <w:p w14:paraId="1EAEAFD4">
          <w:pPr>
            <w:pStyle w:val="28"/>
            <w:tabs>
              <w:tab w:val="right" w:leader="dot" w:pos="8306"/>
              <w:tab w:val="clear" w:pos="9060"/>
            </w:tabs>
          </w:pPr>
          <w:r>
            <w:fldChar w:fldCharType="begin"/>
          </w:r>
          <w:r>
            <w:instrText xml:space="preserve"> HYPERLINK \l _Toc5114 </w:instrText>
          </w:r>
          <w:r>
            <w:fldChar w:fldCharType="separate"/>
          </w:r>
          <w:r>
            <w:rPr>
              <w:rFonts w:hint="default" w:ascii="宋体" w:hAnsi="宋体" w:eastAsia="宋体" w:cs="宋体"/>
              <w:szCs w:val="24"/>
            </w:rPr>
            <w:t xml:space="preserve">1.1 </w:t>
          </w:r>
          <w:r>
            <w:rPr>
              <w:rFonts w:hint="eastAsia"/>
            </w:rPr>
            <w:t>编制说明</w:t>
          </w:r>
          <w:r>
            <w:tab/>
          </w:r>
          <w:r>
            <w:fldChar w:fldCharType="begin"/>
          </w:r>
          <w:r>
            <w:instrText xml:space="preserve"> PAGEREF _Toc5114 \h </w:instrText>
          </w:r>
          <w:r>
            <w:fldChar w:fldCharType="separate"/>
          </w:r>
          <w:r>
            <w:t>1</w:t>
          </w:r>
          <w:r>
            <w:fldChar w:fldCharType="end"/>
          </w:r>
          <w:r>
            <w:fldChar w:fldCharType="end"/>
          </w:r>
        </w:p>
        <w:p w14:paraId="13A76D75">
          <w:pPr>
            <w:pStyle w:val="28"/>
            <w:tabs>
              <w:tab w:val="right" w:leader="dot" w:pos="8306"/>
              <w:tab w:val="clear" w:pos="9060"/>
            </w:tabs>
          </w:pPr>
          <w:r>
            <w:fldChar w:fldCharType="begin"/>
          </w:r>
          <w:r>
            <w:instrText xml:space="preserve"> HYPERLINK \l _Toc5192 </w:instrText>
          </w:r>
          <w:r>
            <w:fldChar w:fldCharType="separate"/>
          </w:r>
          <w:r>
            <w:rPr>
              <w:rFonts w:hint="default" w:ascii="宋体" w:hAnsi="宋体" w:eastAsia="宋体" w:cs="宋体"/>
              <w:szCs w:val="24"/>
            </w:rPr>
            <w:t xml:space="preserve">1.2 </w:t>
          </w:r>
          <w:r>
            <w:rPr>
              <w:rFonts w:hint="eastAsia"/>
            </w:rPr>
            <w:t>编制依据</w:t>
          </w:r>
          <w:r>
            <w:tab/>
          </w:r>
          <w:r>
            <w:fldChar w:fldCharType="begin"/>
          </w:r>
          <w:r>
            <w:instrText xml:space="preserve"> PAGEREF _Toc5192 \h </w:instrText>
          </w:r>
          <w:r>
            <w:fldChar w:fldCharType="separate"/>
          </w:r>
          <w:r>
            <w:t>1</w:t>
          </w:r>
          <w:r>
            <w:fldChar w:fldCharType="end"/>
          </w:r>
          <w:r>
            <w:fldChar w:fldCharType="end"/>
          </w:r>
        </w:p>
        <w:p w14:paraId="78CA4A92">
          <w:pPr>
            <w:pStyle w:val="28"/>
            <w:tabs>
              <w:tab w:val="right" w:leader="dot" w:pos="8306"/>
              <w:tab w:val="clear" w:pos="9060"/>
            </w:tabs>
          </w:pPr>
          <w:r>
            <w:fldChar w:fldCharType="begin"/>
          </w:r>
          <w:r>
            <w:instrText xml:space="preserve"> HYPERLINK \l _Toc658 </w:instrText>
          </w:r>
          <w:r>
            <w:fldChar w:fldCharType="separate"/>
          </w:r>
          <w:r>
            <w:rPr>
              <w:rFonts w:hint="default" w:ascii="宋体" w:hAnsi="宋体" w:eastAsia="宋体" w:cs="宋体"/>
              <w:szCs w:val="24"/>
            </w:rPr>
            <w:t xml:space="preserve">1.3 </w:t>
          </w:r>
          <w:r>
            <w:rPr>
              <w:rFonts w:hint="eastAsia"/>
            </w:rPr>
            <w:t>适用范围</w:t>
          </w:r>
          <w:r>
            <w:tab/>
          </w:r>
          <w:r>
            <w:fldChar w:fldCharType="begin"/>
          </w:r>
          <w:r>
            <w:instrText xml:space="preserve"> PAGEREF _Toc658 \h </w:instrText>
          </w:r>
          <w:r>
            <w:fldChar w:fldCharType="separate"/>
          </w:r>
          <w:r>
            <w:t>2</w:t>
          </w:r>
          <w:r>
            <w:fldChar w:fldCharType="end"/>
          </w:r>
          <w:r>
            <w:fldChar w:fldCharType="end"/>
          </w:r>
        </w:p>
        <w:p w14:paraId="40400F78">
          <w:pPr>
            <w:pStyle w:val="24"/>
            <w:tabs>
              <w:tab w:val="right" w:leader="dot" w:pos="8306"/>
            </w:tabs>
          </w:pPr>
          <w:r>
            <w:fldChar w:fldCharType="begin"/>
          </w:r>
          <w:r>
            <w:instrText xml:space="preserve"> HYPERLINK \l _Toc4167 </w:instrText>
          </w:r>
          <w:r>
            <w:fldChar w:fldCharType="separate"/>
          </w:r>
          <w:r>
            <w:rPr>
              <w:rFonts w:hint="default" w:ascii="宋体" w:hAnsi="宋体" w:eastAsia="宋体" w:cs="宋体"/>
            </w:rPr>
            <w:t xml:space="preserve">2 </w:t>
          </w:r>
          <w:r>
            <w:rPr>
              <w:rFonts w:hint="eastAsia"/>
            </w:rPr>
            <w:t>工程概况</w:t>
          </w:r>
          <w:r>
            <w:tab/>
          </w:r>
          <w:r>
            <w:fldChar w:fldCharType="begin"/>
          </w:r>
          <w:r>
            <w:instrText xml:space="preserve"> PAGEREF _Toc4167 \h </w:instrText>
          </w:r>
          <w:r>
            <w:fldChar w:fldCharType="separate"/>
          </w:r>
          <w:r>
            <w:t>3</w:t>
          </w:r>
          <w:r>
            <w:fldChar w:fldCharType="end"/>
          </w:r>
          <w:r>
            <w:fldChar w:fldCharType="end"/>
          </w:r>
        </w:p>
        <w:p w14:paraId="32492967">
          <w:pPr>
            <w:pStyle w:val="28"/>
            <w:tabs>
              <w:tab w:val="right" w:leader="dot" w:pos="8306"/>
              <w:tab w:val="clear" w:pos="9060"/>
            </w:tabs>
          </w:pPr>
          <w:r>
            <w:fldChar w:fldCharType="begin"/>
          </w:r>
          <w:r>
            <w:instrText xml:space="preserve"> HYPERLINK \l _Toc10970 </w:instrText>
          </w:r>
          <w:r>
            <w:fldChar w:fldCharType="separate"/>
          </w:r>
          <w:r>
            <w:rPr>
              <w:rFonts w:hint="default" w:ascii="宋体" w:hAnsi="宋体" w:eastAsia="宋体" w:cs="宋体"/>
              <w:szCs w:val="24"/>
            </w:rPr>
            <w:t xml:space="preserve">2.1 </w:t>
          </w:r>
          <w:r>
            <w:rPr>
              <w:rFonts w:hint="eastAsia"/>
            </w:rPr>
            <w:t>工程概况</w:t>
          </w:r>
          <w:r>
            <w:tab/>
          </w:r>
          <w:r>
            <w:fldChar w:fldCharType="begin"/>
          </w:r>
          <w:r>
            <w:instrText xml:space="preserve"> PAGEREF _Toc10970 \h </w:instrText>
          </w:r>
          <w:r>
            <w:fldChar w:fldCharType="separate"/>
          </w:r>
          <w:r>
            <w:t>3</w:t>
          </w:r>
          <w:r>
            <w:fldChar w:fldCharType="end"/>
          </w:r>
          <w:r>
            <w:fldChar w:fldCharType="end"/>
          </w:r>
        </w:p>
        <w:p w14:paraId="4B48A4CE">
          <w:pPr>
            <w:pStyle w:val="28"/>
            <w:tabs>
              <w:tab w:val="right" w:leader="dot" w:pos="8306"/>
              <w:tab w:val="clear" w:pos="9060"/>
            </w:tabs>
          </w:pPr>
          <w:r>
            <w:fldChar w:fldCharType="begin"/>
          </w:r>
          <w:r>
            <w:instrText xml:space="preserve"> HYPERLINK \l _Toc26555 </w:instrText>
          </w:r>
          <w:r>
            <w:fldChar w:fldCharType="separate"/>
          </w:r>
          <w:r>
            <w:rPr>
              <w:rFonts w:hint="default" w:ascii="宋体" w:hAnsi="宋体" w:eastAsia="宋体" w:cs="宋体"/>
              <w:szCs w:val="24"/>
            </w:rPr>
            <w:t xml:space="preserve">2.2 </w:t>
          </w:r>
          <w:r>
            <w:rPr>
              <w:rFonts w:hint="eastAsia"/>
            </w:rPr>
            <w:t>工程特点</w:t>
          </w:r>
          <w:r>
            <w:tab/>
          </w:r>
          <w:r>
            <w:fldChar w:fldCharType="begin"/>
          </w:r>
          <w:r>
            <w:instrText xml:space="preserve"> PAGEREF _Toc26555 \h </w:instrText>
          </w:r>
          <w:r>
            <w:fldChar w:fldCharType="separate"/>
          </w:r>
          <w:r>
            <w:t>3</w:t>
          </w:r>
          <w:r>
            <w:fldChar w:fldCharType="end"/>
          </w:r>
          <w:r>
            <w:fldChar w:fldCharType="end"/>
          </w:r>
        </w:p>
        <w:p w14:paraId="30F520BE">
          <w:pPr>
            <w:pStyle w:val="28"/>
            <w:tabs>
              <w:tab w:val="right" w:leader="dot" w:pos="8306"/>
              <w:tab w:val="clear" w:pos="9060"/>
            </w:tabs>
          </w:pPr>
          <w:r>
            <w:fldChar w:fldCharType="begin"/>
          </w:r>
          <w:r>
            <w:instrText xml:space="preserve"> HYPERLINK \l _Toc17469 </w:instrText>
          </w:r>
          <w:r>
            <w:fldChar w:fldCharType="separate"/>
          </w:r>
          <w:r>
            <w:rPr>
              <w:rFonts w:hint="default" w:ascii="宋体" w:hAnsi="宋体" w:eastAsia="宋体" w:cs="宋体"/>
              <w:szCs w:val="24"/>
            </w:rPr>
            <w:t xml:space="preserve">2.3 </w:t>
          </w:r>
          <w:r>
            <w:rPr>
              <w:rFonts w:hint="eastAsia"/>
            </w:rPr>
            <w:t>施工平面布置</w:t>
          </w:r>
          <w:r>
            <w:tab/>
          </w:r>
          <w:r>
            <w:fldChar w:fldCharType="begin"/>
          </w:r>
          <w:r>
            <w:instrText xml:space="preserve"> PAGEREF _Toc17469 \h </w:instrText>
          </w:r>
          <w:r>
            <w:fldChar w:fldCharType="separate"/>
          </w:r>
          <w:r>
            <w:t>4</w:t>
          </w:r>
          <w:r>
            <w:fldChar w:fldCharType="end"/>
          </w:r>
          <w:r>
            <w:fldChar w:fldCharType="end"/>
          </w:r>
        </w:p>
        <w:p w14:paraId="7252F046">
          <w:pPr>
            <w:pStyle w:val="28"/>
            <w:tabs>
              <w:tab w:val="right" w:leader="dot" w:pos="8306"/>
              <w:tab w:val="clear" w:pos="9060"/>
            </w:tabs>
          </w:pPr>
          <w:r>
            <w:fldChar w:fldCharType="begin"/>
          </w:r>
          <w:r>
            <w:instrText xml:space="preserve"> HYPERLINK \l _Toc2684 </w:instrText>
          </w:r>
          <w:r>
            <w:fldChar w:fldCharType="separate"/>
          </w:r>
          <w:r>
            <w:rPr>
              <w:rFonts w:hint="default" w:ascii="宋体" w:hAnsi="宋体" w:eastAsia="宋体" w:cs="宋体"/>
              <w:szCs w:val="24"/>
            </w:rPr>
            <w:t xml:space="preserve">2.4 </w:t>
          </w:r>
          <w:r>
            <w:rPr>
              <w:rFonts w:hint="eastAsia"/>
            </w:rPr>
            <w:t>施工要求</w:t>
          </w:r>
          <w:r>
            <w:tab/>
          </w:r>
          <w:r>
            <w:fldChar w:fldCharType="begin"/>
          </w:r>
          <w:r>
            <w:instrText xml:space="preserve"> PAGEREF _Toc2684 \h </w:instrText>
          </w:r>
          <w:r>
            <w:fldChar w:fldCharType="separate"/>
          </w:r>
          <w:r>
            <w:t>5</w:t>
          </w:r>
          <w:r>
            <w:fldChar w:fldCharType="end"/>
          </w:r>
          <w:r>
            <w:fldChar w:fldCharType="end"/>
          </w:r>
        </w:p>
        <w:p w14:paraId="1B263E2A">
          <w:pPr>
            <w:pStyle w:val="28"/>
            <w:tabs>
              <w:tab w:val="right" w:leader="dot" w:pos="8306"/>
              <w:tab w:val="clear" w:pos="9060"/>
            </w:tabs>
          </w:pPr>
          <w:r>
            <w:fldChar w:fldCharType="begin"/>
          </w:r>
          <w:r>
            <w:instrText xml:space="preserve"> HYPERLINK \l _Toc9438 </w:instrText>
          </w:r>
          <w:r>
            <w:fldChar w:fldCharType="separate"/>
          </w:r>
          <w:r>
            <w:rPr>
              <w:rFonts w:hint="default" w:ascii="宋体" w:hAnsi="宋体" w:eastAsia="宋体" w:cs="宋体"/>
              <w:szCs w:val="24"/>
            </w:rPr>
            <w:t xml:space="preserve">2.5 </w:t>
          </w:r>
          <w:r>
            <w:rPr>
              <w:rFonts w:hint="eastAsia"/>
            </w:rPr>
            <w:t>技术保证条件</w:t>
          </w:r>
          <w:r>
            <w:tab/>
          </w:r>
          <w:r>
            <w:fldChar w:fldCharType="begin"/>
          </w:r>
          <w:r>
            <w:instrText xml:space="preserve"> PAGEREF _Toc9438 \h </w:instrText>
          </w:r>
          <w:r>
            <w:fldChar w:fldCharType="separate"/>
          </w:r>
          <w:r>
            <w:t>5</w:t>
          </w:r>
          <w:r>
            <w:fldChar w:fldCharType="end"/>
          </w:r>
          <w:r>
            <w:fldChar w:fldCharType="end"/>
          </w:r>
        </w:p>
        <w:p w14:paraId="7DE48D94">
          <w:pPr>
            <w:pStyle w:val="24"/>
            <w:tabs>
              <w:tab w:val="right" w:leader="dot" w:pos="8306"/>
            </w:tabs>
          </w:pPr>
          <w:r>
            <w:fldChar w:fldCharType="begin"/>
          </w:r>
          <w:r>
            <w:instrText xml:space="preserve"> HYPERLINK \l _Toc29326 </w:instrText>
          </w:r>
          <w:r>
            <w:fldChar w:fldCharType="separate"/>
          </w:r>
          <w:r>
            <w:rPr>
              <w:rFonts w:hint="default" w:ascii="宋体" w:hAnsi="宋体" w:eastAsia="宋体" w:cs="宋体"/>
            </w:rPr>
            <w:t xml:space="preserve">3 </w:t>
          </w:r>
          <w:r>
            <w:rPr>
              <w:rFonts w:hint="eastAsia"/>
            </w:rPr>
            <w:t>施工计划</w:t>
          </w:r>
          <w:r>
            <w:tab/>
          </w:r>
          <w:r>
            <w:fldChar w:fldCharType="begin"/>
          </w:r>
          <w:r>
            <w:instrText xml:space="preserve"> PAGEREF _Toc29326 \h </w:instrText>
          </w:r>
          <w:r>
            <w:fldChar w:fldCharType="separate"/>
          </w:r>
          <w:r>
            <w:t>7</w:t>
          </w:r>
          <w:r>
            <w:fldChar w:fldCharType="end"/>
          </w:r>
          <w:r>
            <w:fldChar w:fldCharType="end"/>
          </w:r>
        </w:p>
        <w:p w14:paraId="56D6ACFC">
          <w:pPr>
            <w:pStyle w:val="28"/>
            <w:tabs>
              <w:tab w:val="right" w:leader="dot" w:pos="8306"/>
              <w:tab w:val="clear" w:pos="9060"/>
            </w:tabs>
          </w:pPr>
          <w:r>
            <w:fldChar w:fldCharType="begin"/>
          </w:r>
          <w:r>
            <w:instrText xml:space="preserve"> HYPERLINK \l _Toc23594 </w:instrText>
          </w:r>
          <w:r>
            <w:fldChar w:fldCharType="separate"/>
          </w:r>
          <w:r>
            <w:rPr>
              <w:rFonts w:hint="default" w:ascii="宋体" w:hAnsi="宋体" w:eastAsia="宋体" w:cs="宋体"/>
              <w:szCs w:val="24"/>
            </w:rPr>
            <w:t xml:space="preserve">3.1 </w:t>
          </w:r>
          <w:r>
            <w:rPr>
              <w:rFonts w:hint="eastAsia"/>
            </w:rPr>
            <w:t>施工进度计划</w:t>
          </w:r>
          <w:r>
            <w:tab/>
          </w:r>
          <w:r>
            <w:fldChar w:fldCharType="begin"/>
          </w:r>
          <w:r>
            <w:instrText xml:space="preserve"> PAGEREF _Toc23594 \h </w:instrText>
          </w:r>
          <w:r>
            <w:fldChar w:fldCharType="separate"/>
          </w:r>
          <w:r>
            <w:t>7</w:t>
          </w:r>
          <w:r>
            <w:fldChar w:fldCharType="end"/>
          </w:r>
          <w:r>
            <w:fldChar w:fldCharType="end"/>
          </w:r>
        </w:p>
        <w:p w14:paraId="15FCB06E">
          <w:pPr>
            <w:pStyle w:val="28"/>
            <w:tabs>
              <w:tab w:val="right" w:leader="dot" w:pos="8306"/>
              <w:tab w:val="clear" w:pos="9060"/>
            </w:tabs>
          </w:pPr>
          <w:r>
            <w:fldChar w:fldCharType="begin"/>
          </w:r>
          <w:r>
            <w:instrText xml:space="preserve"> HYPERLINK \l _Toc13359 </w:instrText>
          </w:r>
          <w:r>
            <w:fldChar w:fldCharType="separate"/>
          </w:r>
          <w:r>
            <w:rPr>
              <w:rFonts w:hint="default" w:ascii="宋体" w:hAnsi="宋体" w:eastAsia="宋体" w:cs="宋体"/>
              <w:szCs w:val="24"/>
            </w:rPr>
            <w:t xml:space="preserve">3.2 </w:t>
          </w:r>
          <w:r>
            <w:rPr>
              <w:rFonts w:hint="eastAsia"/>
            </w:rPr>
            <w:t>材料、设备计划</w:t>
          </w:r>
          <w:r>
            <w:tab/>
          </w:r>
          <w:r>
            <w:fldChar w:fldCharType="begin"/>
          </w:r>
          <w:r>
            <w:instrText xml:space="preserve"> PAGEREF _Toc13359 \h </w:instrText>
          </w:r>
          <w:r>
            <w:fldChar w:fldCharType="separate"/>
          </w:r>
          <w:r>
            <w:t>7</w:t>
          </w:r>
          <w:r>
            <w:fldChar w:fldCharType="end"/>
          </w:r>
          <w:r>
            <w:fldChar w:fldCharType="end"/>
          </w:r>
        </w:p>
        <w:p w14:paraId="2CF50052">
          <w:pPr>
            <w:pStyle w:val="28"/>
            <w:tabs>
              <w:tab w:val="right" w:leader="dot" w:pos="8306"/>
              <w:tab w:val="clear" w:pos="9060"/>
            </w:tabs>
          </w:pPr>
          <w:r>
            <w:fldChar w:fldCharType="begin"/>
          </w:r>
          <w:r>
            <w:instrText xml:space="preserve"> HYPERLINK \l _Toc17219 </w:instrText>
          </w:r>
          <w:r>
            <w:fldChar w:fldCharType="separate"/>
          </w:r>
          <w:r>
            <w:rPr>
              <w:rFonts w:hint="default" w:ascii="宋体" w:hAnsi="宋体" w:eastAsia="宋体" w:cs="宋体"/>
              <w:szCs w:val="24"/>
            </w:rPr>
            <w:t xml:space="preserve">3.3 </w:t>
          </w:r>
          <w:r>
            <w:rPr>
              <w:rFonts w:hint="eastAsia"/>
            </w:rPr>
            <w:t>人员需求计划</w:t>
          </w:r>
          <w:r>
            <w:tab/>
          </w:r>
          <w:r>
            <w:fldChar w:fldCharType="begin"/>
          </w:r>
          <w:r>
            <w:instrText xml:space="preserve"> PAGEREF _Toc17219 \h </w:instrText>
          </w:r>
          <w:r>
            <w:fldChar w:fldCharType="separate"/>
          </w:r>
          <w:r>
            <w:t>7</w:t>
          </w:r>
          <w:r>
            <w:fldChar w:fldCharType="end"/>
          </w:r>
          <w:r>
            <w:fldChar w:fldCharType="end"/>
          </w:r>
        </w:p>
        <w:p w14:paraId="78D2FC34">
          <w:pPr>
            <w:pStyle w:val="24"/>
            <w:tabs>
              <w:tab w:val="right" w:leader="dot" w:pos="8306"/>
            </w:tabs>
          </w:pPr>
          <w:r>
            <w:fldChar w:fldCharType="begin"/>
          </w:r>
          <w:r>
            <w:instrText xml:space="preserve"> HYPERLINK \l _Toc3983 </w:instrText>
          </w:r>
          <w:r>
            <w:fldChar w:fldCharType="separate"/>
          </w:r>
          <w:r>
            <w:rPr>
              <w:rFonts w:hint="default" w:ascii="宋体" w:hAnsi="宋体" w:eastAsia="宋体" w:cs="宋体"/>
            </w:rPr>
            <w:t xml:space="preserve">4 </w:t>
          </w:r>
          <w:r>
            <w:rPr>
              <w:rFonts w:hint="eastAsia"/>
            </w:rPr>
            <w:t>施工工艺技术</w:t>
          </w:r>
          <w:r>
            <w:tab/>
          </w:r>
          <w:r>
            <w:fldChar w:fldCharType="begin"/>
          </w:r>
          <w:r>
            <w:instrText xml:space="preserve"> PAGEREF _Toc3983 \h </w:instrText>
          </w:r>
          <w:r>
            <w:fldChar w:fldCharType="separate"/>
          </w:r>
          <w:r>
            <w:t>9</w:t>
          </w:r>
          <w:r>
            <w:fldChar w:fldCharType="end"/>
          </w:r>
          <w:r>
            <w:fldChar w:fldCharType="end"/>
          </w:r>
        </w:p>
        <w:p w14:paraId="45D2F143">
          <w:pPr>
            <w:pStyle w:val="28"/>
            <w:tabs>
              <w:tab w:val="right" w:leader="dot" w:pos="8306"/>
              <w:tab w:val="clear" w:pos="9060"/>
            </w:tabs>
          </w:pPr>
          <w:r>
            <w:fldChar w:fldCharType="begin"/>
          </w:r>
          <w:r>
            <w:instrText xml:space="preserve"> HYPERLINK \l _Toc16710 </w:instrText>
          </w:r>
          <w:r>
            <w:fldChar w:fldCharType="separate"/>
          </w:r>
          <w:r>
            <w:rPr>
              <w:rFonts w:hint="default" w:ascii="宋体" w:hAnsi="宋体" w:eastAsia="宋体" w:cs="宋体"/>
              <w:szCs w:val="24"/>
            </w:rPr>
            <w:t xml:space="preserve">4.1 </w:t>
          </w:r>
          <w:r>
            <w:rPr>
              <w:rFonts w:hint="eastAsia"/>
            </w:rPr>
            <w:t>施工方案概述</w:t>
          </w:r>
          <w:r>
            <w:tab/>
          </w:r>
          <w:r>
            <w:fldChar w:fldCharType="begin"/>
          </w:r>
          <w:r>
            <w:instrText xml:space="preserve"> PAGEREF _Toc16710 \h </w:instrText>
          </w:r>
          <w:r>
            <w:fldChar w:fldCharType="separate"/>
          </w:r>
          <w:r>
            <w:t>9</w:t>
          </w:r>
          <w:r>
            <w:fldChar w:fldCharType="end"/>
          </w:r>
          <w:r>
            <w:fldChar w:fldCharType="end"/>
          </w:r>
        </w:p>
        <w:p w14:paraId="3490AA57">
          <w:pPr>
            <w:pStyle w:val="28"/>
            <w:tabs>
              <w:tab w:val="right" w:leader="dot" w:pos="8306"/>
              <w:tab w:val="clear" w:pos="9060"/>
            </w:tabs>
          </w:pPr>
          <w:r>
            <w:fldChar w:fldCharType="begin"/>
          </w:r>
          <w:r>
            <w:instrText xml:space="preserve"> HYPERLINK \l _Toc7871 </w:instrText>
          </w:r>
          <w:r>
            <w:fldChar w:fldCharType="separate"/>
          </w:r>
          <w:r>
            <w:rPr>
              <w:rFonts w:hint="default" w:ascii="宋体" w:hAnsi="宋体" w:eastAsia="宋体" w:cs="宋体"/>
              <w:szCs w:val="24"/>
            </w:rPr>
            <w:t xml:space="preserve">4.2 </w:t>
          </w:r>
          <w:r>
            <w:rPr>
              <w:rFonts w:hint="eastAsia"/>
            </w:rPr>
            <w:t>施工准备</w:t>
          </w:r>
          <w:r>
            <w:tab/>
          </w:r>
          <w:r>
            <w:fldChar w:fldCharType="begin"/>
          </w:r>
          <w:r>
            <w:instrText xml:space="preserve"> PAGEREF _Toc7871 \h </w:instrText>
          </w:r>
          <w:r>
            <w:fldChar w:fldCharType="separate"/>
          </w:r>
          <w:r>
            <w:t>9</w:t>
          </w:r>
          <w:r>
            <w:fldChar w:fldCharType="end"/>
          </w:r>
          <w:r>
            <w:fldChar w:fldCharType="end"/>
          </w:r>
        </w:p>
        <w:p w14:paraId="466A5032">
          <w:pPr>
            <w:pStyle w:val="28"/>
            <w:tabs>
              <w:tab w:val="right" w:leader="dot" w:pos="8306"/>
              <w:tab w:val="clear" w:pos="9060"/>
            </w:tabs>
          </w:pPr>
          <w:r>
            <w:fldChar w:fldCharType="begin"/>
          </w:r>
          <w:r>
            <w:instrText xml:space="preserve"> HYPERLINK \l _Toc19237 </w:instrText>
          </w:r>
          <w:r>
            <w:fldChar w:fldCharType="separate"/>
          </w:r>
          <w:r>
            <w:rPr>
              <w:rFonts w:hint="default" w:ascii="宋体" w:hAnsi="宋体" w:eastAsia="宋体" w:cs="宋体"/>
              <w:szCs w:val="24"/>
            </w:rPr>
            <w:t xml:space="preserve">4.3 </w:t>
          </w:r>
          <w:r>
            <w:rPr>
              <w:rFonts w:hint="eastAsia"/>
            </w:rPr>
            <w:t>工艺流程</w:t>
          </w:r>
          <w:r>
            <w:tab/>
          </w:r>
          <w:r>
            <w:fldChar w:fldCharType="begin"/>
          </w:r>
          <w:r>
            <w:instrText xml:space="preserve"> PAGEREF _Toc19237 \h </w:instrText>
          </w:r>
          <w:r>
            <w:fldChar w:fldCharType="separate"/>
          </w:r>
          <w:r>
            <w:t>9</w:t>
          </w:r>
          <w:r>
            <w:fldChar w:fldCharType="end"/>
          </w:r>
          <w:r>
            <w:fldChar w:fldCharType="end"/>
          </w:r>
        </w:p>
        <w:p w14:paraId="40E918A3">
          <w:pPr>
            <w:pStyle w:val="28"/>
            <w:tabs>
              <w:tab w:val="right" w:leader="dot" w:pos="8306"/>
              <w:tab w:val="clear" w:pos="9060"/>
            </w:tabs>
          </w:pPr>
          <w:r>
            <w:fldChar w:fldCharType="begin"/>
          </w:r>
          <w:r>
            <w:instrText xml:space="preserve"> HYPERLINK \l _Toc24942 </w:instrText>
          </w:r>
          <w:r>
            <w:fldChar w:fldCharType="separate"/>
          </w:r>
          <w:r>
            <w:rPr>
              <w:rFonts w:hint="default" w:ascii="宋体" w:hAnsi="宋体" w:eastAsia="宋体" w:cs="宋体"/>
              <w:szCs w:val="24"/>
            </w:rPr>
            <w:t xml:space="preserve">4.4 </w:t>
          </w:r>
          <w:r>
            <w:rPr>
              <w:rFonts w:hint="eastAsia"/>
              <w:szCs w:val="24"/>
            </w:rPr>
            <w:t>施工方案及技术参数</w:t>
          </w:r>
          <w:r>
            <w:tab/>
          </w:r>
          <w:r>
            <w:fldChar w:fldCharType="begin"/>
          </w:r>
          <w:r>
            <w:instrText xml:space="preserve"> PAGEREF _Toc24942 \h </w:instrText>
          </w:r>
          <w:r>
            <w:fldChar w:fldCharType="separate"/>
          </w:r>
          <w:r>
            <w:t>11</w:t>
          </w:r>
          <w:r>
            <w:fldChar w:fldCharType="end"/>
          </w:r>
          <w:r>
            <w:fldChar w:fldCharType="end"/>
          </w:r>
        </w:p>
        <w:p w14:paraId="6320F703">
          <w:pPr>
            <w:pStyle w:val="28"/>
            <w:tabs>
              <w:tab w:val="right" w:leader="dot" w:pos="8306"/>
              <w:tab w:val="clear" w:pos="9060"/>
            </w:tabs>
          </w:pPr>
          <w:r>
            <w:fldChar w:fldCharType="begin"/>
          </w:r>
          <w:r>
            <w:instrText xml:space="preserve"> HYPERLINK \l _Toc20052 </w:instrText>
          </w:r>
          <w:r>
            <w:fldChar w:fldCharType="separate"/>
          </w:r>
          <w:r>
            <w:rPr>
              <w:rFonts w:hint="default" w:ascii="宋体" w:hAnsi="宋体" w:eastAsia="宋体" w:cs="宋体"/>
              <w:szCs w:val="24"/>
            </w:rPr>
            <w:t xml:space="preserve">4.5 </w:t>
          </w:r>
          <w:r>
            <w:rPr>
              <w:rFonts w:hint="eastAsia"/>
              <w:szCs w:val="24"/>
            </w:rPr>
            <w:t>塔吊防碰撞措施</w:t>
          </w:r>
          <w:r>
            <w:tab/>
          </w:r>
          <w:r>
            <w:fldChar w:fldCharType="begin"/>
          </w:r>
          <w:r>
            <w:instrText xml:space="preserve"> PAGEREF _Toc20052 \h </w:instrText>
          </w:r>
          <w:r>
            <w:fldChar w:fldCharType="separate"/>
          </w:r>
          <w:r>
            <w:t>13</w:t>
          </w:r>
          <w:r>
            <w:fldChar w:fldCharType="end"/>
          </w:r>
          <w:r>
            <w:fldChar w:fldCharType="end"/>
          </w:r>
        </w:p>
        <w:p w14:paraId="0E1D438B">
          <w:pPr>
            <w:pStyle w:val="28"/>
            <w:tabs>
              <w:tab w:val="right" w:leader="dot" w:pos="8306"/>
              <w:tab w:val="clear" w:pos="9060"/>
            </w:tabs>
          </w:pPr>
          <w:r>
            <w:fldChar w:fldCharType="begin"/>
          </w:r>
          <w:r>
            <w:instrText xml:space="preserve"> HYPERLINK \l _Toc12754 </w:instrText>
          </w:r>
          <w:r>
            <w:fldChar w:fldCharType="separate"/>
          </w:r>
          <w:r>
            <w:rPr>
              <w:rFonts w:hint="default" w:ascii="宋体" w:hAnsi="宋体" w:eastAsia="宋体" w:cs="宋体"/>
              <w:szCs w:val="24"/>
            </w:rPr>
            <w:t xml:space="preserve">4.6 </w:t>
          </w:r>
          <w:r>
            <w:rPr>
              <w:rFonts w:hint="eastAsia"/>
              <w:szCs w:val="24"/>
            </w:rPr>
            <w:t>检查要求</w:t>
          </w:r>
          <w:r>
            <w:tab/>
          </w:r>
          <w:r>
            <w:fldChar w:fldCharType="begin"/>
          </w:r>
          <w:r>
            <w:instrText xml:space="preserve"> PAGEREF _Toc12754 \h </w:instrText>
          </w:r>
          <w:r>
            <w:fldChar w:fldCharType="separate"/>
          </w:r>
          <w:r>
            <w:t>18</w:t>
          </w:r>
          <w:r>
            <w:fldChar w:fldCharType="end"/>
          </w:r>
          <w:r>
            <w:fldChar w:fldCharType="end"/>
          </w:r>
        </w:p>
        <w:p w14:paraId="587E44D6">
          <w:pPr>
            <w:pStyle w:val="28"/>
            <w:tabs>
              <w:tab w:val="right" w:leader="dot" w:pos="8306"/>
              <w:tab w:val="clear" w:pos="9060"/>
            </w:tabs>
          </w:pPr>
          <w:r>
            <w:fldChar w:fldCharType="begin"/>
          </w:r>
          <w:r>
            <w:instrText xml:space="preserve"> HYPERLINK \l _Toc7286 </w:instrText>
          </w:r>
          <w:r>
            <w:fldChar w:fldCharType="separate"/>
          </w:r>
          <w:r>
            <w:rPr>
              <w:rFonts w:hint="default" w:ascii="宋体" w:hAnsi="宋体" w:eastAsia="宋体" w:cs="宋体"/>
              <w:szCs w:val="24"/>
            </w:rPr>
            <w:t xml:space="preserve">4.7 </w:t>
          </w:r>
          <w:r>
            <w:rPr>
              <w:rFonts w:hint="eastAsia"/>
            </w:rPr>
            <w:t>各塔吊平面关系示意图</w:t>
          </w:r>
          <w:r>
            <w:tab/>
          </w:r>
          <w:r>
            <w:fldChar w:fldCharType="begin"/>
          </w:r>
          <w:r>
            <w:instrText xml:space="preserve"> PAGEREF _Toc7286 \h </w:instrText>
          </w:r>
          <w:r>
            <w:fldChar w:fldCharType="separate"/>
          </w:r>
          <w:r>
            <w:t>19</w:t>
          </w:r>
          <w:r>
            <w:fldChar w:fldCharType="end"/>
          </w:r>
          <w:r>
            <w:fldChar w:fldCharType="end"/>
          </w:r>
        </w:p>
        <w:p w14:paraId="07BD6102">
          <w:pPr>
            <w:pStyle w:val="28"/>
            <w:tabs>
              <w:tab w:val="right" w:leader="dot" w:pos="8306"/>
              <w:tab w:val="clear" w:pos="9060"/>
            </w:tabs>
          </w:pPr>
          <w:r>
            <w:fldChar w:fldCharType="begin"/>
          </w:r>
          <w:r>
            <w:instrText xml:space="preserve"> HYPERLINK \l _Toc8739 </w:instrText>
          </w:r>
          <w:r>
            <w:fldChar w:fldCharType="separate"/>
          </w:r>
          <w:r>
            <w:rPr>
              <w:rFonts w:hint="eastAsia"/>
            </w:rPr>
            <w:t>4.8各塔吊立面避让关系示意图</w:t>
          </w:r>
          <w:r>
            <w:tab/>
          </w:r>
          <w:r>
            <w:fldChar w:fldCharType="begin"/>
          </w:r>
          <w:r>
            <w:instrText xml:space="preserve"> PAGEREF _Toc8739 \h </w:instrText>
          </w:r>
          <w:r>
            <w:fldChar w:fldCharType="separate"/>
          </w:r>
          <w:r>
            <w:t>20</w:t>
          </w:r>
          <w:r>
            <w:fldChar w:fldCharType="end"/>
          </w:r>
          <w:r>
            <w:fldChar w:fldCharType="end"/>
          </w:r>
        </w:p>
        <w:p w14:paraId="07A42D05">
          <w:pPr>
            <w:pStyle w:val="24"/>
            <w:tabs>
              <w:tab w:val="right" w:leader="dot" w:pos="8306"/>
            </w:tabs>
          </w:pPr>
          <w:r>
            <w:fldChar w:fldCharType="begin"/>
          </w:r>
          <w:r>
            <w:instrText xml:space="preserve"> HYPERLINK \l _Toc29054 </w:instrText>
          </w:r>
          <w:r>
            <w:fldChar w:fldCharType="separate"/>
          </w:r>
          <w:r>
            <w:rPr>
              <w:rFonts w:hint="default" w:ascii="宋体" w:hAnsi="宋体" w:eastAsia="宋体" w:cs="宋体"/>
            </w:rPr>
            <w:t xml:space="preserve">5 </w:t>
          </w:r>
          <w:r>
            <w:rPr>
              <w:rFonts w:hint="eastAsia"/>
            </w:rPr>
            <w:t>施工危险源辨识及安全保证措施</w:t>
          </w:r>
          <w:r>
            <w:tab/>
          </w:r>
          <w:r>
            <w:fldChar w:fldCharType="begin"/>
          </w:r>
          <w:r>
            <w:instrText xml:space="preserve"> PAGEREF _Toc29054 \h </w:instrText>
          </w:r>
          <w:r>
            <w:fldChar w:fldCharType="separate"/>
          </w:r>
          <w:r>
            <w:t>21</w:t>
          </w:r>
          <w:r>
            <w:fldChar w:fldCharType="end"/>
          </w:r>
          <w:r>
            <w:fldChar w:fldCharType="end"/>
          </w:r>
        </w:p>
        <w:p w14:paraId="632942B3">
          <w:pPr>
            <w:pStyle w:val="28"/>
            <w:tabs>
              <w:tab w:val="right" w:leader="dot" w:pos="8306"/>
              <w:tab w:val="clear" w:pos="9060"/>
            </w:tabs>
          </w:pPr>
          <w:r>
            <w:fldChar w:fldCharType="begin"/>
          </w:r>
          <w:r>
            <w:instrText xml:space="preserve"> HYPERLINK \l _Toc3772 </w:instrText>
          </w:r>
          <w:r>
            <w:fldChar w:fldCharType="separate"/>
          </w:r>
          <w:r>
            <w:rPr>
              <w:rFonts w:hint="default" w:ascii="宋体" w:hAnsi="宋体" w:eastAsia="宋体" w:cs="宋体"/>
              <w:szCs w:val="24"/>
            </w:rPr>
            <w:t xml:space="preserve">5.1 </w:t>
          </w:r>
          <w:r>
            <w:rPr>
              <w:rFonts w:hint="eastAsia"/>
            </w:rPr>
            <w:t>危险源辨识及分析</w:t>
          </w:r>
          <w:r>
            <w:tab/>
          </w:r>
          <w:r>
            <w:fldChar w:fldCharType="begin"/>
          </w:r>
          <w:r>
            <w:instrText xml:space="preserve"> PAGEREF _Toc3772 \h </w:instrText>
          </w:r>
          <w:r>
            <w:fldChar w:fldCharType="separate"/>
          </w:r>
          <w:r>
            <w:t>21</w:t>
          </w:r>
          <w:r>
            <w:fldChar w:fldCharType="end"/>
          </w:r>
          <w:r>
            <w:fldChar w:fldCharType="end"/>
          </w:r>
        </w:p>
        <w:p w14:paraId="383D83EC">
          <w:pPr>
            <w:pStyle w:val="28"/>
            <w:tabs>
              <w:tab w:val="right" w:leader="dot" w:pos="8306"/>
              <w:tab w:val="clear" w:pos="9060"/>
            </w:tabs>
          </w:pPr>
          <w:r>
            <w:fldChar w:fldCharType="begin"/>
          </w:r>
          <w:r>
            <w:instrText xml:space="preserve"> HYPERLINK \l _Toc20420 </w:instrText>
          </w:r>
          <w:r>
            <w:fldChar w:fldCharType="separate"/>
          </w:r>
          <w:r>
            <w:rPr>
              <w:rFonts w:hint="default" w:ascii="宋体" w:hAnsi="宋体" w:eastAsia="宋体" w:cs="宋体"/>
              <w:szCs w:val="24"/>
            </w:rPr>
            <w:t xml:space="preserve">5.2 </w:t>
          </w:r>
          <w:r>
            <w:rPr>
              <w:rFonts w:hint="eastAsia"/>
            </w:rPr>
            <w:t>组织保障措施</w:t>
          </w:r>
          <w:r>
            <w:tab/>
          </w:r>
          <w:r>
            <w:fldChar w:fldCharType="begin"/>
          </w:r>
          <w:r>
            <w:instrText xml:space="preserve"> PAGEREF _Toc20420 \h </w:instrText>
          </w:r>
          <w:r>
            <w:fldChar w:fldCharType="separate"/>
          </w:r>
          <w:r>
            <w:t>26</w:t>
          </w:r>
          <w:r>
            <w:fldChar w:fldCharType="end"/>
          </w:r>
          <w:r>
            <w:fldChar w:fldCharType="end"/>
          </w:r>
        </w:p>
        <w:p w14:paraId="766193FE">
          <w:pPr>
            <w:pStyle w:val="28"/>
            <w:tabs>
              <w:tab w:val="right" w:leader="dot" w:pos="8306"/>
              <w:tab w:val="clear" w:pos="9060"/>
            </w:tabs>
          </w:pPr>
          <w:r>
            <w:fldChar w:fldCharType="begin"/>
          </w:r>
          <w:r>
            <w:instrText xml:space="preserve"> HYPERLINK \l _Toc21075 </w:instrText>
          </w:r>
          <w:r>
            <w:fldChar w:fldCharType="separate"/>
          </w:r>
          <w:r>
            <w:rPr>
              <w:rFonts w:hint="default" w:ascii="宋体" w:hAnsi="宋体" w:eastAsia="宋体" w:cs="宋体"/>
              <w:szCs w:val="24"/>
            </w:rPr>
            <w:t xml:space="preserve">5.3 </w:t>
          </w:r>
          <w:r>
            <w:rPr>
              <w:rFonts w:hint="eastAsia"/>
            </w:rPr>
            <w:t>技术措施</w:t>
          </w:r>
          <w:r>
            <w:tab/>
          </w:r>
          <w:r>
            <w:fldChar w:fldCharType="begin"/>
          </w:r>
          <w:r>
            <w:instrText xml:space="preserve"> PAGEREF _Toc21075 \h </w:instrText>
          </w:r>
          <w:r>
            <w:fldChar w:fldCharType="separate"/>
          </w:r>
          <w:r>
            <w:t>29</w:t>
          </w:r>
          <w:r>
            <w:fldChar w:fldCharType="end"/>
          </w:r>
          <w:r>
            <w:fldChar w:fldCharType="end"/>
          </w:r>
        </w:p>
        <w:p w14:paraId="6A5C006E">
          <w:pPr>
            <w:pStyle w:val="28"/>
            <w:tabs>
              <w:tab w:val="right" w:leader="dot" w:pos="8306"/>
              <w:tab w:val="clear" w:pos="9060"/>
            </w:tabs>
          </w:pPr>
          <w:r>
            <w:fldChar w:fldCharType="begin"/>
          </w:r>
          <w:r>
            <w:instrText xml:space="preserve"> HYPERLINK \l _Toc2531 </w:instrText>
          </w:r>
          <w:r>
            <w:fldChar w:fldCharType="separate"/>
          </w:r>
          <w:r>
            <w:rPr>
              <w:rFonts w:hint="default" w:ascii="宋体" w:hAnsi="宋体" w:eastAsia="宋体" w:cs="宋体"/>
              <w:szCs w:val="24"/>
            </w:rPr>
            <w:t xml:space="preserve">5.4 </w:t>
          </w:r>
          <w:r>
            <w:rPr>
              <w:rFonts w:hint="eastAsia"/>
            </w:rPr>
            <w:t>监测监控措施</w:t>
          </w:r>
          <w:r>
            <w:tab/>
          </w:r>
          <w:r>
            <w:fldChar w:fldCharType="begin"/>
          </w:r>
          <w:r>
            <w:instrText xml:space="preserve"> PAGEREF _Toc2531 \h </w:instrText>
          </w:r>
          <w:r>
            <w:fldChar w:fldCharType="separate"/>
          </w:r>
          <w:r>
            <w:t>32</w:t>
          </w:r>
          <w:r>
            <w:fldChar w:fldCharType="end"/>
          </w:r>
          <w:r>
            <w:fldChar w:fldCharType="end"/>
          </w:r>
        </w:p>
        <w:p w14:paraId="5D71FC12">
          <w:pPr>
            <w:pStyle w:val="24"/>
            <w:tabs>
              <w:tab w:val="right" w:leader="dot" w:pos="8306"/>
            </w:tabs>
          </w:pPr>
          <w:r>
            <w:fldChar w:fldCharType="begin"/>
          </w:r>
          <w:r>
            <w:instrText xml:space="preserve"> HYPERLINK \l _Toc13548 </w:instrText>
          </w:r>
          <w:r>
            <w:fldChar w:fldCharType="separate"/>
          </w:r>
          <w:r>
            <w:rPr>
              <w:rFonts w:hint="default" w:ascii="宋体" w:hAnsi="宋体" w:eastAsia="宋体" w:cs="宋体"/>
            </w:rPr>
            <w:t xml:space="preserve">6 </w:t>
          </w:r>
          <w:r>
            <w:rPr>
              <w:rFonts w:hint="eastAsia"/>
            </w:rPr>
            <w:t>施工管理及作业人员配备和分工</w:t>
          </w:r>
          <w:r>
            <w:tab/>
          </w:r>
          <w:r>
            <w:fldChar w:fldCharType="begin"/>
          </w:r>
          <w:r>
            <w:instrText xml:space="preserve"> PAGEREF _Toc13548 \h </w:instrText>
          </w:r>
          <w:r>
            <w:fldChar w:fldCharType="separate"/>
          </w:r>
          <w:r>
            <w:t>34</w:t>
          </w:r>
          <w:r>
            <w:fldChar w:fldCharType="end"/>
          </w:r>
          <w:r>
            <w:fldChar w:fldCharType="end"/>
          </w:r>
        </w:p>
        <w:p w14:paraId="24EEF83F">
          <w:pPr>
            <w:pStyle w:val="28"/>
            <w:tabs>
              <w:tab w:val="right" w:leader="dot" w:pos="8306"/>
              <w:tab w:val="clear" w:pos="9060"/>
            </w:tabs>
          </w:pPr>
          <w:r>
            <w:fldChar w:fldCharType="begin"/>
          </w:r>
          <w:r>
            <w:instrText xml:space="preserve"> HYPERLINK \l _Toc20567 </w:instrText>
          </w:r>
          <w:r>
            <w:fldChar w:fldCharType="separate"/>
          </w:r>
          <w:r>
            <w:rPr>
              <w:rFonts w:hint="default" w:ascii="宋体" w:hAnsi="宋体" w:eastAsia="宋体" w:cs="宋体"/>
              <w:szCs w:val="24"/>
            </w:rPr>
            <w:t xml:space="preserve">6.1 </w:t>
          </w:r>
          <w:r>
            <w:rPr>
              <w:rFonts w:hint="eastAsia"/>
            </w:rPr>
            <w:t>施工管理及专职安全生产管理人员</w:t>
          </w:r>
          <w:r>
            <w:tab/>
          </w:r>
          <w:r>
            <w:fldChar w:fldCharType="begin"/>
          </w:r>
          <w:r>
            <w:instrText xml:space="preserve"> PAGEREF _Toc20567 \h </w:instrText>
          </w:r>
          <w:r>
            <w:fldChar w:fldCharType="separate"/>
          </w:r>
          <w:r>
            <w:t>34</w:t>
          </w:r>
          <w:r>
            <w:fldChar w:fldCharType="end"/>
          </w:r>
          <w:r>
            <w:fldChar w:fldCharType="end"/>
          </w:r>
        </w:p>
        <w:p w14:paraId="49AAAC4E">
          <w:pPr>
            <w:pStyle w:val="28"/>
            <w:tabs>
              <w:tab w:val="right" w:leader="dot" w:pos="8306"/>
              <w:tab w:val="clear" w:pos="9060"/>
            </w:tabs>
          </w:pPr>
          <w:r>
            <w:fldChar w:fldCharType="begin"/>
          </w:r>
          <w:r>
            <w:instrText xml:space="preserve"> HYPERLINK \l _Toc13172 </w:instrText>
          </w:r>
          <w:r>
            <w:fldChar w:fldCharType="separate"/>
          </w:r>
          <w:r>
            <w:rPr>
              <w:rFonts w:hint="default" w:ascii="宋体" w:hAnsi="宋体" w:eastAsia="宋体" w:cs="宋体"/>
              <w:szCs w:val="24"/>
            </w:rPr>
            <w:t xml:space="preserve">6.2 </w:t>
          </w:r>
          <w:r>
            <w:rPr>
              <w:rFonts w:hint="eastAsia"/>
            </w:rPr>
            <w:t>特种作业及其他人员</w:t>
          </w:r>
          <w:r>
            <w:tab/>
          </w:r>
          <w:r>
            <w:fldChar w:fldCharType="begin"/>
          </w:r>
          <w:r>
            <w:instrText xml:space="preserve"> PAGEREF _Toc13172 \h </w:instrText>
          </w:r>
          <w:r>
            <w:fldChar w:fldCharType="separate"/>
          </w:r>
          <w:r>
            <w:t>34</w:t>
          </w:r>
          <w:r>
            <w:fldChar w:fldCharType="end"/>
          </w:r>
          <w:r>
            <w:fldChar w:fldCharType="end"/>
          </w:r>
        </w:p>
        <w:p w14:paraId="32E90C4E">
          <w:pPr>
            <w:pStyle w:val="24"/>
            <w:tabs>
              <w:tab w:val="right" w:leader="dot" w:pos="8306"/>
            </w:tabs>
          </w:pPr>
          <w:r>
            <w:fldChar w:fldCharType="begin"/>
          </w:r>
          <w:r>
            <w:instrText xml:space="preserve"> HYPERLINK \l _Toc2353 </w:instrText>
          </w:r>
          <w:r>
            <w:fldChar w:fldCharType="separate"/>
          </w:r>
          <w:r>
            <w:rPr>
              <w:rFonts w:hint="default" w:ascii="宋体" w:hAnsi="宋体" w:eastAsia="宋体" w:cs="宋体"/>
            </w:rPr>
            <w:t xml:space="preserve">7 </w:t>
          </w:r>
          <w:r>
            <w:rPr>
              <w:rFonts w:hint="eastAsia"/>
            </w:rPr>
            <w:t>验收要求</w:t>
          </w:r>
          <w:r>
            <w:tab/>
          </w:r>
          <w:r>
            <w:fldChar w:fldCharType="begin"/>
          </w:r>
          <w:r>
            <w:instrText xml:space="preserve"> PAGEREF _Toc2353 \h </w:instrText>
          </w:r>
          <w:r>
            <w:fldChar w:fldCharType="separate"/>
          </w:r>
          <w:r>
            <w:t>34</w:t>
          </w:r>
          <w:r>
            <w:fldChar w:fldCharType="end"/>
          </w:r>
          <w:r>
            <w:fldChar w:fldCharType="end"/>
          </w:r>
        </w:p>
        <w:p w14:paraId="4739425E">
          <w:pPr>
            <w:pStyle w:val="28"/>
            <w:tabs>
              <w:tab w:val="right" w:leader="dot" w:pos="8306"/>
              <w:tab w:val="clear" w:pos="9060"/>
            </w:tabs>
          </w:pPr>
          <w:r>
            <w:fldChar w:fldCharType="begin"/>
          </w:r>
          <w:r>
            <w:instrText xml:space="preserve"> HYPERLINK \l _Toc27945 </w:instrText>
          </w:r>
          <w:r>
            <w:fldChar w:fldCharType="separate"/>
          </w:r>
          <w:r>
            <w:rPr>
              <w:rFonts w:hint="default" w:ascii="宋体" w:hAnsi="宋体" w:eastAsia="宋体" w:cs="宋体"/>
              <w:szCs w:val="24"/>
            </w:rPr>
            <w:t xml:space="preserve">7.1 </w:t>
          </w:r>
          <w:r>
            <w:rPr>
              <w:rFonts w:hint="eastAsia"/>
            </w:rPr>
            <w:t>验收标准</w:t>
          </w:r>
          <w:r>
            <w:tab/>
          </w:r>
          <w:r>
            <w:fldChar w:fldCharType="begin"/>
          </w:r>
          <w:r>
            <w:instrText xml:space="preserve"> PAGEREF _Toc27945 \h </w:instrText>
          </w:r>
          <w:r>
            <w:fldChar w:fldCharType="separate"/>
          </w:r>
          <w:r>
            <w:t>34</w:t>
          </w:r>
          <w:r>
            <w:fldChar w:fldCharType="end"/>
          </w:r>
          <w:r>
            <w:fldChar w:fldCharType="end"/>
          </w:r>
        </w:p>
        <w:p w14:paraId="59B3C83A">
          <w:pPr>
            <w:pStyle w:val="28"/>
            <w:tabs>
              <w:tab w:val="right" w:leader="dot" w:pos="8306"/>
              <w:tab w:val="clear" w:pos="9060"/>
            </w:tabs>
          </w:pPr>
          <w:r>
            <w:fldChar w:fldCharType="begin"/>
          </w:r>
          <w:r>
            <w:instrText xml:space="preserve"> HYPERLINK \l _Toc10854 </w:instrText>
          </w:r>
          <w:r>
            <w:fldChar w:fldCharType="separate"/>
          </w:r>
          <w:r>
            <w:rPr>
              <w:rFonts w:hint="default" w:ascii="宋体" w:hAnsi="宋体" w:eastAsia="宋体" w:cs="宋体"/>
              <w:szCs w:val="24"/>
            </w:rPr>
            <w:t xml:space="preserve">7.2 </w:t>
          </w:r>
          <w:r>
            <w:rPr>
              <w:rFonts w:hint="eastAsia"/>
            </w:rPr>
            <w:t>验收程序</w:t>
          </w:r>
          <w:r>
            <w:tab/>
          </w:r>
          <w:r>
            <w:fldChar w:fldCharType="begin"/>
          </w:r>
          <w:r>
            <w:instrText xml:space="preserve"> PAGEREF _Toc10854 \h </w:instrText>
          </w:r>
          <w:r>
            <w:fldChar w:fldCharType="separate"/>
          </w:r>
          <w:r>
            <w:t>35</w:t>
          </w:r>
          <w:r>
            <w:fldChar w:fldCharType="end"/>
          </w:r>
          <w:r>
            <w:fldChar w:fldCharType="end"/>
          </w:r>
        </w:p>
        <w:p w14:paraId="4D9CEC1B">
          <w:pPr>
            <w:pStyle w:val="28"/>
            <w:tabs>
              <w:tab w:val="right" w:leader="dot" w:pos="8306"/>
              <w:tab w:val="clear" w:pos="9060"/>
            </w:tabs>
          </w:pPr>
          <w:r>
            <w:fldChar w:fldCharType="begin"/>
          </w:r>
          <w:r>
            <w:instrText xml:space="preserve"> HYPERLINK \l _Toc11571 </w:instrText>
          </w:r>
          <w:r>
            <w:fldChar w:fldCharType="separate"/>
          </w:r>
          <w:r>
            <w:rPr>
              <w:rFonts w:hint="default" w:ascii="宋体" w:hAnsi="宋体" w:eastAsia="宋体" w:cs="宋体"/>
              <w:szCs w:val="24"/>
            </w:rPr>
            <w:t xml:space="preserve">7.3 </w:t>
          </w:r>
          <w:r>
            <w:rPr>
              <w:rFonts w:hint="eastAsia"/>
            </w:rPr>
            <w:t>验收内容</w:t>
          </w:r>
          <w:r>
            <w:tab/>
          </w:r>
          <w:r>
            <w:fldChar w:fldCharType="begin"/>
          </w:r>
          <w:r>
            <w:instrText xml:space="preserve"> PAGEREF _Toc11571 \h </w:instrText>
          </w:r>
          <w:r>
            <w:fldChar w:fldCharType="separate"/>
          </w:r>
          <w:r>
            <w:t>35</w:t>
          </w:r>
          <w:r>
            <w:fldChar w:fldCharType="end"/>
          </w:r>
          <w:r>
            <w:fldChar w:fldCharType="end"/>
          </w:r>
        </w:p>
        <w:p w14:paraId="3086B08B">
          <w:pPr>
            <w:pStyle w:val="28"/>
            <w:tabs>
              <w:tab w:val="right" w:leader="dot" w:pos="8306"/>
              <w:tab w:val="clear" w:pos="9060"/>
            </w:tabs>
          </w:pPr>
          <w:r>
            <w:fldChar w:fldCharType="begin"/>
          </w:r>
          <w:r>
            <w:instrText xml:space="preserve"> HYPERLINK \l _Toc21366 </w:instrText>
          </w:r>
          <w:r>
            <w:fldChar w:fldCharType="separate"/>
          </w:r>
          <w:r>
            <w:rPr>
              <w:rFonts w:hint="default" w:ascii="宋体" w:hAnsi="宋体" w:eastAsia="宋体" w:cs="宋体"/>
              <w:szCs w:val="24"/>
            </w:rPr>
            <w:t xml:space="preserve">7.4 </w:t>
          </w:r>
          <w:r>
            <w:rPr>
              <w:rFonts w:hint="eastAsia"/>
            </w:rPr>
            <w:t>验收人员</w:t>
          </w:r>
          <w:r>
            <w:tab/>
          </w:r>
          <w:r>
            <w:fldChar w:fldCharType="begin"/>
          </w:r>
          <w:r>
            <w:instrText xml:space="preserve"> PAGEREF _Toc21366 \h </w:instrText>
          </w:r>
          <w:r>
            <w:fldChar w:fldCharType="separate"/>
          </w:r>
          <w:r>
            <w:t>41</w:t>
          </w:r>
          <w:r>
            <w:fldChar w:fldCharType="end"/>
          </w:r>
          <w:r>
            <w:fldChar w:fldCharType="end"/>
          </w:r>
        </w:p>
        <w:p w14:paraId="2C9685B3">
          <w:pPr>
            <w:pStyle w:val="24"/>
            <w:tabs>
              <w:tab w:val="right" w:leader="dot" w:pos="8306"/>
            </w:tabs>
          </w:pPr>
          <w:r>
            <w:fldChar w:fldCharType="begin"/>
          </w:r>
          <w:r>
            <w:instrText xml:space="preserve"> HYPERLINK \l _Toc31260 </w:instrText>
          </w:r>
          <w:r>
            <w:fldChar w:fldCharType="separate"/>
          </w:r>
          <w:r>
            <w:rPr>
              <w:rFonts w:hint="default" w:ascii="宋体" w:hAnsi="宋体" w:eastAsia="宋体" w:cs="宋体"/>
            </w:rPr>
            <w:t xml:space="preserve">8 </w:t>
          </w:r>
          <w:r>
            <w:rPr>
              <w:rFonts w:hint="eastAsia"/>
            </w:rPr>
            <w:t>应急处置措施</w:t>
          </w:r>
          <w:r>
            <w:tab/>
          </w:r>
          <w:r>
            <w:fldChar w:fldCharType="begin"/>
          </w:r>
          <w:r>
            <w:instrText xml:space="preserve"> PAGEREF _Toc31260 \h </w:instrText>
          </w:r>
          <w:r>
            <w:fldChar w:fldCharType="separate"/>
          </w:r>
          <w:r>
            <w:t>43</w:t>
          </w:r>
          <w:r>
            <w:fldChar w:fldCharType="end"/>
          </w:r>
          <w:r>
            <w:fldChar w:fldCharType="end"/>
          </w:r>
        </w:p>
        <w:p w14:paraId="35446309">
          <w:pPr>
            <w:pStyle w:val="28"/>
            <w:tabs>
              <w:tab w:val="right" w:leader="dot" w:pos="8306"/>
              <w:tab w:val="clear" w:pos="9060"/>
            </w:tabs>
          </w:pPr>
          <w:r>
            <w:fldChar w:fldCharType="begin"/>
          </w:r>
          <w:r>
            <w:instrText xml:space="preserve"> HYPERLINK \l _Toc2442 </w:instrText>
          </w:r>
          <w:r>
            <w:fldChar w:fldCharType="separate"/>
          </w:r>
          <w:r>
            <w:rPr>
              <w:rFonts w:hint="default" w:ascii="宋体" w:hAnsi="宋体" w:eastAsia="宋体" w:cs="宋体"/>
              <w:szCs w:val="24"/>
            </w:rPr>
            <w:t xml:space="preserve">8.1 </w:t>
          </w:r>
          <w:r>
            <w:rPr>
              <w:rFonts w:hint="eastAsia" w:eastAsia="宋体"/>
            </w:rPr>
            <w:t>组织</w:t>
          </w:r>
          <w:r>
            <w:rPr>
              <w:rFonts w:hint="eastAsia" w:eastAsia="宋体"/>
              <w:lang w:val="en-US" w:eastAsia="zh-CN"/>
            </w:rPr>
            <w:t>机</w:t>
          </w:r>
          <w:r>
            <w:rPr>
              <w:rFonts w:hint="eastAsia" w:eastAsia="宋体"/>
            </w:rPr>
            <w:t>构及职责</w:t>
          </w:r>
          <w:r>
            <w:tab/>
          </w:r>
          <w:r>
            <w:fldChar w:fldCharType="begin"/>
          </w:r>
          <w:r>
            <w:instrText xml:space="preserve"> PAGEREF _Toc2442 \h </w:instrText>
          </w:r>
          <w:r>
            <w:fldChar w:fldCharType="separate"/>
          </w:r>
          <w:r>
            <w:t>43</w:t>
          </w:r>
          <w:r>
            <w:fldChar w:fldCharType="end"/>
          </w:r>
          <w:r>
            <w:fldChar w:fldCharType="end"/>
          </w:r>
        </w:p>
        <w:p w14:paraId="78588F9C">
          <w:pPr>
            <w:pStyle w:val="28"/>
            <w:tabs>
              <w:tab w:val="right" w:leader="dot" w:pos="8306"/>
              <w:tab w:val="clear" w:pos="9060"/>
            </w:tabs>
          </w:pPr>
          <w:r>
            <w:fldChar w:fldCharType="begin"/>
          </w:r>
          <w:r>
            <w:instrText xml:space="preserve"> HYPERLINK \l _Toc8722 </w:instrText>
          </w:r>
          <w:r>
            <w:fldChar w:fldCharType="separate"/>
          </w:r>
          <w:r>
            <w:rPr>
              <w:rFonts w:hint="default" w:ascii="宋体" w:hAnsi="宋体" w:eastAsia="宋体" w:cs="宋体"/>
              <w:szCs w:val="24"/>
            </w:rPr>
            <w:t xml:space="preserve">8.2 </w:t>
          </w:r>
          <w:r>
            <w:rPr>
              <w:rFonts w:hint="eastAsia" w:eastAsia="宋体"/>
            </w:rPr>
            <w:t>预防与预警</w:t>
          </w:r>
          <w:r>
            <w:tab/>
          </w:r>
          <w:r>
            <w:fldChar w:fldCharType="begin"/>
          </w:r>
          <w:r>
            <w:instrText xml:space="preserve"> PAGEREF _Toc8722 \h </w:instrText>
          </w:r>
          <w:r>
            <w:fldChar w:fldCharType="separate"/>
          </w:r>
          <w:r>
            <w:t>44</w:t>
          </w:r>
          <w:r>
            <w:fldChar w:fldCharType="end"/>
          </w:r>
          <w:r>
            <w:fldChar w:fldCharType="end"/>
          </w:r>
        </w:p>
        <w:p w14:paraId="709D021B">
          <w:pPr>
            <w:pStyle w:val="28"/>
            <w:tabs>
              <w:tab w:val="right" w:leader="dot" w:pos="8306"/>
              <w:tab w:val="clear" w:pos="9060"/>
            </w:tabs>
          </w:pPr>
          <w:r>
            <w:fldChar w:fldCharType="begin"/>
          </w:r>
          <w:r>
            <w:instrText xml:space="preserve"> HYPERLINK \l _Toc20787 </w:instrText>
          </w:r>
          <w:r>
            <w:fldChar w:fldCharType="separate"/>
          </w:r>
          <w:r>
            <w:rPr>
              <w:rFonts w:hint="default" w:ascii="宋体" w:hAnsi="宋体" w:eastAsia="宋体" w:cs="宋体"/>
              <w:szCs w:val="24"/>
            </w:rPr>
            <w:t xml:space="preserve">8.3 </w:t>
          </w:r>
          <w:r>
            <w:rPr>
              <w:rFonts w:hint="eastAsia"/>
            </w:rPr>
            <w:t>处置流程</w:t>
          </w:r>
          <w:r>
            <w:tab/>
          </w:r>
          <w:r>
            <w:fldChar w:fldCharType="begin"/>
          </w:r>
          <w:r>
            <w:instrText xml:space="preserve"> PAGEREF _Toc20787 \h </w:instrText>
          </w:r>
          <w:r>
            <w:fldChar w:fldCharType="separate"/>
          </w:r>
          <w:r>
            <w:t>44</w:t>
          </w:r>
          <w:r>
            <w:fldChar w:fldCharType="end"/>
          </w:r>
          <w:r>
            <w:fldChar w:fldCharType="end"/>
          </w:r>
        </w:p>
        <w:p w14:paraId="6AC35588">
          <w:pPr>
            <w:pStyle w:val="28"/>
            <w:tabs>
              <w:tab w:val="right" w:leader="dot" w:pos="8306"/>
              <w:tab w:val="clear" w:pos="9060"/>
            </w:tabs>
          </w:pPr>
          <w:r>
            <w:fldChar w:fldCharType="begin"/>
          </w:r>
          <w:r>
            <w:instrText xml:space="preserve"> HYPERLINK \l _Toc12815 </w:instrText>
          </w:r>
          <w:r>
            <w:fldChar w:fldCharType="separate"/>
          </w:r>
          <w:r>
            <w:rPr>
              <w:rFonts w:hint="default" w:ascii="宋体" w:hAnsi="宋体" w:eastAsia="宋体" w:cs="宋体"/>
              <w:szCs w:val="24"/>
            </w:rPr>
            <w:t xml:space="preserve">8.4 </w:t>
          </w:r>
          <w:r>
            <w:rPr>
              <w:rFonts w:hint="eastAsia"/>
            </w:rPr>
            <w:t>应急处置措施</w:t>
          </w:r>
          <w:r>
            <w:tab/>
          </w:r>
          <w:r>
            <w:fldChar w:fldCharType="begin"/>
          </w:r>
          <w:r>
            <w:instrText xml:space="preserve"> PAGEREF _Toc12815 \h </w:instrText>
          </w:r>
          <w:r>
            <w:fldChar w:fldCharType="separate"/>
          </w:r>
          <w:r>
            <w:t>46</w:t>
          </w:r>
          <w:r>
            <w:fldChar w:fldCharType="end"/>
          </w:r>
          <w:r>
            <w:fldChar w:fldCharType="end"/>
          </w:r>
        </w:p>
        <w:p w14:paraId="24713E26">
          <w:pPr>
            <w:pStyle w:val="28"/>
            <w:tabs>
              <w:tab w:val="right" w:leader="dot" w:pos="8306"/>
              <w:tab w:val="clear" w:pos="9060"/>
            </w:tabs>
          </w:pPr>
          <w:r>
            <w:fldChar w:fldCharType="begin"/>
          </w:r>
          <w:r>
            <w:instrText xml:space="preserve"> HYPERLINK \l _Toc31602 </w:instrText>
          </w:r>
          <w:r>
            <w:fldChar w:fldCharType="separate"/>
          </w:r>
          <w:r>
            <w:rPr>
              <w:rFonts w:hint="default" w:ascii="宋体" w:hAnsi="宋体" w:eastAsia="宋体" w:cs="宋体"/>
              <w:szCs w:val="24"/>
            </w:rPr>
            <w:t xml:space="preserve">8.5 </w:t>
          </w:r>
          <w:r>
            <w:rPr>
              <w:rFonts w:hint="eastAsia"/>
            </w:rPr>
            <w:t>应急车辆、物资及设备</w:t>
          </w:r>
          <w:r>
            <w:tab/>
          </w:r>
          <w:r>
            <w:fldChar w:fldCharType="begin"/>
          </w:r>
          <w:r>
            <w:instrText xml:space="preserve"> PAGEREF _Toc31602 \h </w:instrText>
          </w:r>
          <w:r>
            <w:fldChar w:fldCharType="separate"/>
          </w:r>
          <w:r>
            <w:t>48</w:t>
          </w:r>
          <w:r>
            <w:fldChar w:fldCharType="end"/>
          </w:r>
          <w:r>
            <w:fldChar w:fldCharType="end"/>
          </w:r>
        </w:p>
        <w:p w14:paraId="04BD115E">
          <w:pPr>
            <w:pStyle w:val="28"/>
            <w:tabs>
              <w:tab w:val="right" w:leader="dot" w:pos="8306"/>
              <w:tab w:val="clear" w:pos="9060"/>
            </w:tabs>
          </w:pPr>
          <w:r>
            <w:fldChar w:fldCharType="begin"/>
          </w:r>
          <w:r>
            <w:instrText xml:space="preserve"> HYPERLINK \l _Toc30550 </w:instrText>
          </w:r>
          <w:r>
            <w:fldChar w:fldCharType="separate"/>
          </w:r>
          <w:r>
            <w:rPr>
              <w:rFonts w:hint="default" w:ascii="宋体" w:hAnsi="宋体" w:eastAsia="宋体" w:cs="宋体"/>
              <w:szCs w:val="24"/>
            </w:rPr>
            <w:t xml:space="preserve">8.6 </w:t>
          </w:r>
          <w:r>
            <w:rPr>
              <w:rFonts w:hint="eastAsia"/>
            </w:rPr>
            <w:t>应急医院及线路图</w:t>
          </w:r>
          <w:r>
            <w:tab/>
          </w:r>
          <w:r>
            <w:fldChar w:fldCharType="begin"/>
          </w:r>
          <w:r>
            <w:instrText xml:space="preserve"> PAGEREF _Toc30550 \h </w:instrText>
          </w:r>
          <w:r>
            <w:fldChar w:fldCharType="separate"/>
          </w:r>
          <w:r>
            <w:t>49</w:t>
          </w:r>
          <w:r>
            <w:fldChar w:fldCharType="end"/>
          </w:r>
          <w:r>
            <w:fldChar w:fldCharType="end"/>
          </w:r>
        </w:p>
        <w:p w14:paraId="6EC9CEA7">
          <w:pPr>
            <w:pStyle w:val="28"/>
            <w:tabs>
              <w:tab w:val="right" w:leader="dot" w:pos="8306"/>
              <w:tab w:val="clear" w:pos="9060"/>
            </w:tabs>
          </w:pPr>
          <w:r>
            <w:fldChar w:fldCharType="begin"/>
          </w:r>
          <w:r>
            <w:instrText xml:space="preserve"> HYPERLINK \l _Toc26547 </w:instrText>
          </w:r>
          <w:r>
            <w:fldChar w:fldCharType="separate"/>
          </w:r>
          <w:r>
            <w:rPr>
              <w:rFonts w:hint="default" w:ascii="宋体" w:hAnsi="宋体" w:eastAsia="宋体" w:cs="宋体"/>
              <w:szCs w:val="24"/>
            </w:rPr>
            <w:t xml:space="preserve">8.7 </w:t>
          </w:r>
          <w:r>
            <w:rPr>
              <w:rFonts w:hint="eastAsia"/>
            </w:rPr>
            <w:t>事故善后及恢复生产</w:t>
          </w:r>
          <w:r>
            <w:tab/>
          </w:r>
          <w:r>
            <w:fldChar w:fldCharType="begin"/>
          </w:r>
          <w:r>
            <w:instrText xml:space="preserve"> PAGEREF _Toc26547 \h </w:instrText>
          </w:r>
          <w:r>
            <w:fldChar w:fldCharType="separate"/>
          </w:r>
          <w:r>
            <w:t>50</w:t>
          </w:r>
          <w:r>
            <w:fldChar w:fldCharType="end"/>
          </w:r>
          <w:r>
            <w:fldChar w:fldCharType="end"/>
          </w:r>
        </w:p>
        <w:p w14:paraId="1D63F957">
          <w:pPr>
            <w:pStyle w:val="24"/>
            <w:tabs>
              <w:tab w:val="right" w:leader="dot" w:pos="8306"/>
            </w:tabs>
          </w:pPr>
          <w:r>
            <w:fldChar w:fldCharType="begin"/>
          </w:r>
          <w:r>
            <w:instrText xml:space="preserve"> HYPERLINK \l _Toc26100 </w:instrText>
          </w:r>
          <w:r>
            <w:fldChar w:fldCharType="separate"/>
          </w:r>
          <w:r>
            <w:rPr>
              <w:rFonts w:hint="default" w:ascii="宋体" w:hAnsi="宋体" w:eastAsia="宋体" w:cs="宋体"/>
            </w:rPr>
            <w:t xml:space="preserve">9 </w:t>
          </w:r>
          <w:r>
            <w:rPr>
              <w:rFonts w:hint="eastAsia"/>
            </w:rPr>
            <w:t>绿色及文明施工</w:t>
          </w:r>
          <w:r>
            <w:tab/>
          </w:r>
          <w:r>
            <w:fldChar w:fldCharType="begin"/>
          </w:r>
          <w:r>
            <w:instrText xml:space="preserve"> PAGEREF _Toc26100 \h </w:instrText>
          </w:r>
          <w:r>
            <w:fldChar w:fldCharType="separate"/>
          </w:r>
          <w:r>
            <w:t>52</w:t>
          </w:r>
          <w:r>
            <w:fldChar w:fldCharType="end"/>
          </w:r>
          <w:r>
            <w:fldChar w:fldCharType="end"/>
          </w:r>
        </w:p>
        <w:p w14:paraId="3859E673">
          <w:pPr>
            <w:pStyle w:val="28"/>
            <w:tabs>
              <w:tab w:val="right" w:leader="dot" w:pos="8306"/>
              <w:tab w:val="clear" w:pos="9060"/>
            </w:tabs>
          </w:pPr>
          <w:r>
            <w:fldChar w:fldCharType="begin"/>
          </w:r>
          <w:r>
            <w:instrText xml:space="preserve"> HYPERLINK \l _Toc19161 </w:instrText>
          </w:r>
          <w:r>
            <w:fldChar w:fldCharType="separate"/>
          </w:r>
          <w:r>
            <w:rPr>
              <w:rFonts w:hint="default" w:ascii="宋体" w:hAnsi="宋体" w:eastAsia="宋体" w:cs="宋体"/>
              <w:szCs w:val="24"/>
            </w:rPr>
            <w:t xml:space="preserve">9.1 </w:t>
          </w:r>
          <w:r>
            <w:rPr>
              <w:rFonts w:hint="eastAsia"/>
            </w:rPr>
            <w:t>绿色施工管理组织机构图</w:t>
          </w:r>
          <w:r>
            <w:tab/>
          </w:r>
          <w:r>
            <w:fldChar w:fldCharType="begin"/>
          </w:r>
          <w:r>
            <w:instrText xml:space="preserve"> PAGEREF _Toc19161 \h </w:instrText>
          </w:r>
          <w:r>
            <w:fldChar w:fldCharType="separate"/>
          </w:r>
          <w:r>
            <w:t>52</w:t>
          </w:r>
          <w:r>
            <w:fldChar w:fldCharType="end"/>
          </w:r>
          <w:r>
            <w:fldChar w:fldCharType="end"/>
          </w:r>
        </w:p>
        <w:p w14:paraId="7A4DE342">
          <w:pPr>
            <w:pStyle w:val="28"/>
            <w:tabs>
              <w:tab w:val="right" w:leader="dot" w:pos="8306"/>
              <w:tab w:val="clear" w:pos="9060"/>
            </w:tabs>
          </w:pPr>
          <w:r>
            <w:fldChar w:fldCharType="begin"/>
          </w:r>
          <w:r>
            <w:instrText xml:space="preserve"> HYPERLINK \l _Toc21536 </w:instrText>
          </w:r>
          <w:r>
            <w:fldChar w:fldCharType="separate"/>
          </w:r>
          <w:r>
            <w:rPr>
              <w:rFonts w:hint="default" w:ascii="宋体" w:hAnsi="宋体" w:eastAsia="宋体" w:cs="宋体"/>
              <w:szCs w:val="24"/>
            </w:rPr>
            <w:t xml:space="preserve">9.2 </w:t>
          </w:r>
          <w:r>
            <w:rPr>
              <w:rFonts w:hint="eastAsia"/>
            </w:rPr>
            <w:t>绿色施工管理保证体系</w:t>
          </w:r>
          <w:r>
            <w:tab/>
          </w:r>
          <w:r>
            <w:fldChar w:fldCharType="begin"/>
          </w:r>
          <w:r>
            <w:instrText xml:space="preserve"> PAGEREF _Toc21536 \h </w:instrText>
          </w:r>
          <w:r>
            <w:fldChar w:fldCharType="separate"/>
          </w:r>
          <w:r>
            <w:t>52</w:t>
          </w:r>
          <w:r>
            <w:fldChar w:fldCharType="end"/>
          </w:r>
          <w:r>
            <w:fldChar w:fldCharType="end"/>
          </w:r>
        </w:p>
        <w:p w14:paraId="6B0B9EBB">
          <w:pPr>
            <w:pStyle w:val="28"/>
            <w:tabs>
              <w:tab w:val="right" w:leader="dot" w:pos="8306"/>
              <w:tab w:val="clear" w:pos="9060"/>
            </w:tabs>
          </w:pPr>
          <w:r>
            <w:fldChar w:fldCharType="begin"/>
          </w:r>
          <w:r>
            <w:instrText xml:space="preserve"> HYPERLINK \l _Toc19354 </w:instrText>
          </w:r>
          <w:r>
            <w:fldChar w:fldCharType="separate"/>
          </w:r>
          <w:r>
            <w:rPr>
              <w:rFonts w:hint="default" w:ascii="宋体" w:hAnsi="宋体" w:eastAsia="宋体" w:cs="宋体"/>
              <w:szCs w:val="24"/>
            </w:rPr>
            <w:t xml:space="preserve">9.3 </w:t>
          </w:r>
          <w:r>
            <w:rPr>
              <w:rFonts w:hint="eastAsia"/>
            </w:rPr>
            <w:t>绿色施工四节一环保措施</w:t>
          </w:r>
          <w:r>
            <w:tab/>
          </w:r>
          <w:r>
            <w:fldChar w:fldCharType="begin"/>
          </w:r>
          <w:r>
            <w:instrText xml:space="preserve"> PAGEREF _Toc19354 \h </w:instrText>
          </w:r>
          <w:r>
            <w:fldChar w:fldCharType="separate"/>
          </w:r>
          <w:r>
            <w:t>53</w:t>
          </w:r>
          <w:r>
            <w:fldChar w:fldCharType="end"/>
          </w:r>
          <w:r>
            <w:fldChar w:fldCharType="end"/>
          </w:r>
        </w:p>
        <w:p w14:paraId="4024AEA4">
          <w:pPr>
            <w:spacing w:line="240" w:lineRule="auto"/>
            <w:ind w:firstLine="0" w:firstLineChars="0"/>
            <w:jc w:val="center"/>
            <w:rPr>
              <w:b/>
            </w:rPr>
            <w:sectPr>
              <w:headerReference r:id="rId12" w:type="default"/>
              <w:footerReference r:id="rId13" w:type="default"/>
              <w:pgSz w:w="11906" w:h="16838"/>
              <w:pgMar w:top="1440" w:right="1800" w:bottom="1440" w:left="1800" w:header="851" w:footer="992" w:gutter="0"/>
              <w:pgNumType w:start="1"/>
              <w:cols w:space="425" w:num="1"/>
              <w:docGrid w:type="lines" w:linePitch="312" w:charSpace="0"/>
            </w:sectPr>
          </w:pPr>
          <w:r>
            <w:rPr>
              <w:b/>
            </w:rPr>
            <w:fldChar w:fldCharType="end"/>
          </w:r>
        </w:p>
      </w:sdtContent>
    </w:sdt>
    <w:p w14:paraId="5A4CA1D8">
      <w:pPr>
        <w:ind w:firstLine="482"/>
        <w:rPr>
          <w:b/>
        </w:rPr>
      </w:pPr>
    </w:p>
    <w:p w14:paraId="48E9B442">
      <w:pPr>
        <w:pStyle w:val="2"/>
        <w:spacing w:before="156" w:after="156"/>
        <w:ind w:firstLine="643"/>
      </w:pPr>
      <w:bookmarkStart w:id="8" w:name="_Toc27476"/>
      <w:r>
        <w:rPr>
          <w:rFonts w:hint="eastAsia"/>
        </w:rPr>
        <w:t>编制说明、依据及适用范围</w:t>
      </w:r>
      <w:bookmarkEnd w:id="7"/>
      <w:bookmarkEnd w:id="8"/>
    </w:p>
    <w:p w14:paraId="48B52B2E">
      <w:pPr>
        <w:pStyle w:val="3"/>
        <w:spacing w:before="156" w:after="156"/>
        <w:ind w:firstLine="562"/>
      </w:pPr>
      <w:bookmarkStart w:id="9" w:name="_Toc5114"/>
      <w:bookmarkStart w:id="10" w:name="_Toc20424"/>
      <w:r>
        <w:rPr>
          <w:rFonts w:hint="eastAsia"/>
        </w:rPr>
        <w:t>编制说明</w:t>
      </w:r>
      <w:bookmarkEnd w:id="9"/>
      <w:bookmarkEnd w:id="10"/>
    </w:p>
    <w:p w14:paraId="6946706E">
      <w:pPr>
        <w:pStyle w:val="76"/>
      </w:pPr>
      <w:r>
        <w:rPr>
          <w:rFonts w:hint="eastAsia"/>
        </w:rPr>
        <w:t>本工程以满足设计要求为目标，按照“施工科学、组织合理，措施得力”的指导思想，遵循下列原则编制本施工方案：</w:t>
      </w:r>
    </w:p>
    <w:p w14:paraId="4E541B4E">
      <w:pPr>
        <w:pStyle w:val="76"/>
      </w:pPr>
      <w:r>
        <w:rPr>
          <w:rFonts w:hint="eastAsia"/>
        </w:rPr>
        <w:t>（1）严格执行国家及成都市政府所制定有关塔吊工程法律、法规及相关管理条例。</w:t>
      </w:r>
    </w:p>
    <w:p w14:paraId="0BA85608">
      <w:pPr>
        <w:pStyle w:val="76"/>
      </w:pPr>
      <w:r>
        <w:rPr>
          <w:rFonts w:hint="eastAsia"/>
        </w:rPr>
        <w:t>（2）根据本合同段总体施工进度计划安排，有针对性对塔吊工程施工项目采取安全技术措施。</w:t>
      </w:r>
    </w:p>
    <w:p w14:paraId="53F92A73">
      <w:pPr>
        <w:pStyle w:val="76"/>
      </w:pPr>
      <w:r>
        <w:rPr>
          <w:rFonts w:hint="eastAsia"/>
        </w:rPr>
        <w:t>（3）以成熟的施工技术、先进的设备及得力的保障措施确保塔吊工程施工安全及质量，按期提供一个优质的工程产品。</w:t>
      </w:r>
    </w:p>
    <w:p w14:paraId="18DE6ACD">
      <w:pPr>
        <w:pStyle w:val="76"/>
      </w:pPr>
      <w:r>
        <w:rPr>
          <w:rFonts w:hint="eastAsia"/>
        </w:rPr>
        <w:t>（4）建立健全消防、安全、保卫及健康体系，以人为本，维护和保障施工人员的安全与健康。</w:t>
      </w:r>
    </w:p>
    <w:p w14:paraId="27B3F8F7">
      <w:pPr>
        <w:pStyle w:val="3"/>
        <w:spacing w:before="156" w:after="156"/>
        <w:ind w:firstLine="562"/>
      </w:pPr>
      <w:bookmarkStart w:id="11" w:name="_Toc10820"/>
      <w:bookmarkStart w:id="12" w:name="_Toc5192"/>
      <w:r>
        <w:rPr>
          <w:rFonts w:hint="eastAsia"/>
        </w:rPr>
        <w:t>编制依据</w:t>
      </w:r>
      <w:bookmarkEnd w:id="11"/>
      <w:bookmarkEnd w:id="12"/>
    </w:p>
    <w:p w14:paraId="3E62E1F0">
      <w:pPr>
        <w:pStyle w:val="76"/>
      </w:pPr>
      <w:r>
        <w:rPr>
          <w:rFonts w:hint="eastAsia"/>
        </w:rPr>
        <w:t>（1）公司相关管理文件</w:t>
      </w:r>
    </w:p>
    <w:p w14:paraId="72829597">
      <w:pPr>
        <w:pStyle w:val="76"/>
      </w:pPr>
      <w:r>
        <w:rPr>
          <w:rFonts w:hint="eastAsia"/>
        </w:rPr>
        <w:t>（2）主要</w:t>
      </w:r>
      <w:r>
        <w:rPr>
          <w:color w:val="000000"/>
        </w:rPr>
        <w:t>法律法规、标准、规范</w:t>
      </w:r>
    </w:p>
    <w:p w14:paraId="16B1C728">
      <w:pPr>
        <w:ind w:firstLine="0" w:firstLineChars="0"/>
        <w:jc w:val="center"/>
        <w:rPr>
          <w:b/>
        </w:rPr>
      </w:pPr>
      <w:r>
        <w:rPr>
          <w:rFonts w:hint="eastAsia"/>
          <w:b/>
        </w:rPr>
        <w:t>表</w:t>
      </w:r>
      <w:r>
        <w:rPr>
          <w:b/>
        </w:rPr>
        <w:t>1.</w:t>
      </w:r>
      <w:r>
        <w:rPr>
          <w:rFonts w:hint="eastAsia"/>
          <w:b/>
        </w:rPr>
        <w:t>2-1</w:t>
      </w:r>
      <w:r>
        <w:rPr>
          <w:b/>
        </w:rPr>
        <w:t>主要规范一览表</w:t>
      </w:r>
    </w:p>
    <w:tbl>
      <w:tblPr>
        <w:tblStyle w:val="33"/>
        <w:tblW w:w="940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18"/>
        <w:gridCol w:w="5315"/>
        <w:gridCol w:w="2767"/>
      </w:tblGrid>
      <w:tr w14:paraId="23ED4B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blHeader/>
        </w:trPr>
        <w:tc>
          <w:tcPr>
            <w:tcW w:w="1318" w:type="dxa"/>
            <w:shd w:val="clear" w:color="auto" w:fill="auto"/>
            <w:vAlign w:val="center"/>
          </w:tcPr>
          <w:p w14:paraId="3D320267">
            <w:pPr>
              <w:pStyle w:val="77"/>
            </w:pPr>
            <w:r>
              <w:rPr>
                <w:rFonts w:hint="eastAsia"/>
              </w:rPr>
              <w:t>类别</w:t>
            </w:r>
          </w:p>
        </w:tc>
        <w:tc>
          <w:tcPr>
            <w:tcW w:w="5315" w:type="dxa"/>
            <w:shd w:val="clear" w:color="auto" w:fill="auto"/>
            <w:vAlign w:val="center"/>
          </w:tcPr>
          <w:p w14:paraId="4292FE16">
            <w:pPr>
              <w:pStyle w:val="77"/>
            </w:pPr>
            <w:r>
              <w:rPr>
                <w:rFonts w:hint="eastAsia"/>
              </w:rPr>
              <w:t>名称</w:t>
            </w:r>
          </w:p>
        </w:tc>
        <w:tc>
          <w:tcPr>
            <w:tcW w:w="2767" w:type="dxa"/>
            <w:shd w:val="clear" w:color="auto" w:fill="auto"/>
            <w:vAlign w:val="center"/>
          </w:tcPr>
          <w:p w14:paraId="1C2A7593">
            <w:pPr>
              <w:pStyle w:val="77"/>
            </w:pPr>
            <w:r>
              <w:rPr>
                <w:rFonts w:hint="eastAsia"/>
              </w:rPr>
              <w:t>编号</w:t>
            </w:r>
          </w:p>
        </w:tc>
      </w:tr>
      <w:tr w14:paraId="3B862F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318" w:type="dxa"/>
            <w:shd w:val="clear" w:color="auto" w:fill="auto"/>
            <w:vAlign w:val="center"/>
          </w:tcPr>
          <w:p w14:paraId="616C3DE6">
            <w:pPr>
              <w:pStyle w:val="77"/>
            </w:pPr>
            <w:r>
              <w:rPr>
                <w:rFonts w:hint="eastAsia"/>
              </w:rPr>
              <w:t>规范</w:t>
            </w:r>
          </w:p>
        </w:tc>
        <w:tc>
          <w:tcPr>
            <w:tcW w:w="5315" w:type="dxa"/>
            <w:shd w:val="clear" w:color="auto" w:fill="auto"/>
            <w:vAlign w:val="center"/>
          </w:tcPr>
          <w:p w14:paraId="108F7920">
            <w:pPr>
              <w:pStyle w:val="78"/>
              <w:ind w:firstLine="480"/>
            </w:pPr>
            <w:r>
              <w:rPr>
                <w:rFonts w:hint="eastAsia" w:hAnsi="宋体" w:cs="宋体"/>
              </w:rPr>
              <w:t xml:space="preserve">《中华人民共和国特种设备安全法》   </w:t>
            </w:r>
          </w:p>
        </w:tc>
        <w:tc>
          <w:tcPr>
            <w:tcW w:w="2767" w:type="dxa"/>
            <w:shd w:val="clear" w:color="auto" w:fill="auto"/>
            <w:vAlign w:val="center"/>
          </w:tcPr>
          <w:p w14:paraId="6B26688F">
            <w:pPr>
              <w:pStyle w:val="78"/>
              <w:rPr>
                <w:highlight w:val="yellow"/>
              </w:rPr>
            </w:pPr>
            <w:r>
              <w:rPr>
                <w:rFonts w:hint="eastAsia" w:hAnsi="宋体" w:cs="宋体"/>
                <w:szCs w:val="24"/>
              </w:rPr>
              <w:t>主席令第四号</w:t>
            </w:r>
          </w:p>
        </w:tc>
      </w:tr>
      <w:tr w14:paraId="436049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318" w:type="dxa"/>
            <w:shd w:val="clear" w:color="auto" w:fill="auto"/>
            <w:vAlign w:val="center"/>
          </w:tcPr>
          <w:p w14:paraId="25C73421">
            <w:pPr>
              <w:pStyle w:val="77"/>
            </w:pPr>
            <w:r>
              <w:rPr>
                <w:rFonts w:hint="eastAsia"/>
              </w:rPr>
              <w:t>规范</w:t>
            </w:r>
          </w:p>
        </w:tc>
        <w:tc>
          <w:tcPr>
            <w:tcW w:w="5315" w:type="dxa"/>
            <w:shd w:val="clear" w:color="auto" w:fill="auto"/>
            <w:vAlign w:val="center"/>
          </w:tcPr>
          <w:p w14:paraId="662790E1">
            <w:pPr>
              <w:pStyle w:val="78"/>
              <w:ind w:firstLine="480"/>
            </w:pPr>
            <w:r>
              <w:rPr>
                <w:rFonts w:hint="eastAsia" w:ascii="Times New Roman" w:hAnsi="Times New Roman"/>
              </w:rPr>
              <w:t xml:space="preserve">《建筑施工塔式起重机安装、使用、拆卸安全技术规程》 </w:t>
            </w:r>
          </w:p>
        </w:tc>
        <w:tc>
          <w:tcPr>
            <w:tcW w:w="2767" w:type="dxa"/>
            <w:shd w:val="clear" w:color="auto" w:fill="auto"/>
            <w:vAlign w:val="center"/>
          </w:tcPr>
          <w:p w14:paraId="16EDFF1A">
            <w:pPr>
              <w:pStyle w:val="78"/>
              <w:rPr>
                <w:highlight w:val="yellow"/>
              </w:rPr>
            </w:pPr>
            <w:r>
              <w:rPr>
                <w:rFonts w:hint="eastAsia" w:ascii="Times New Roman" w:hAnsi="Times New Roman"/>
              </w:rPr>
              <w:t>JGJ 196-2020</w:t>
            </w:r>
          </w:p>
        </w:tc>
      </w:tr>
      <w:tr w14:paraId="1D3974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318" w:type="dxa"/>
            <w:shd w:val="clear" w:color="auto" w:fill="auto"/>
            <w:vAlign w:val="center"/>
          </w:tcPr>
          <w:p w14:paraId="5FEFE6FF">
            <w:pPr>
              <w:pStyle w:val="77"/>
            </w:pPr>
            <w:r>
              <w:rPr>
                <w:rFonts w:hint="eastAsia"/>
              </w:rPr>
              <w:t>规范</w:t>
            </w:r>
          </w:p>
        </w:tc>
        <w:tc>
          <w:tcPr>
            <w:tcW w:w="5315" w:type="dxa"/>
            <w:shd w:val="clear" w:color="auto" w:fill="auto"/>
            <w:vAlign w:val="center"/>
          </w:tcPr>
          <w:p w14:paraId="117DB362">
            <w:pPr>
              <w:pStyle w:val="78"/>
              <w:ind w:firstLine="480"/>
            </w:pPr>
            <w:r>
              <w:rPr>
                <w:rFonts w:hint="eastAsia" w:ascii="Times New Roman" w:hAnsi="Times New Roman"/>
              </w:rPr>
              <w:t xml:space="preserve">《塔式起重机安全规程》  </w:t>
            </w:r>
          </w:p>
        </w:tc>
        <w:tc>
          <w:tcPr>
            <w:tcW w:w="2767" w:type="dxa"/>
            <w:shd w:val="clear" w:color="auto" w:fill="auto"/>
            <w:vAlign w:val="center"/>
          </w:tcPr>
          <w:p w14:paraId="1E577BEA">
            <w:pPr>
              <w:pStyle w:val="78"/>
            </w:pPr>
            <w:r>
              <w:rPr>
                <w:rFonts w:hint="eastAsia" w:ascii="Times New Roman" w:hAnsi="Times New Roman"/>
              </w:rPr>
              <w:t>GB 5144-2022</w:t>
            </w:r>
          </w:p>
        </w:tc>
      </w:tr>
      <w:tr w14:paraId="22DA0D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318" w:type="dxa"/>
            <w:shd w:val="clear" w:color="auto" w:fill="auto"/>
            <w:vAlign w:val="center"/>
          </w:tcPr>
          <w:p w14:paraId="402A0C8E">
            <w:pPr>
              <w:pStyle w:val="77"/>
            </w:pPr>
            <w:r>
              <w:rPr>
                <w:rFonts w:hint="eastAsia"/>
              </w:rPr>
              <w:t>规范</w:t>
            </w:r>
          </w:p>
        </w:tc>
        <w:tc>
          <w:tcPr>
            <w:tcW w:w="5315" w:type="dxa"/>
            <w:shd w:val="clear" w:color="auto" w:fill="auto"/>
            <w:vAlign w:val="center"/>
          </w:tcPr>
          <w:p w14:paraId="28307E40">
            <w:pPr>
              <w:pStyle w:val="78"/>
              <w:ind w:firstLine="480"/>
            </w:pPr>
            <w:r>
              <w:rPr>
                <w:rFonts w:hint="eastAsia" w:ascii="Times New Roman" w:hAnsi="Times New Roman"/>
              </w:rPr>
              <w:t xml:space="preserve">《建筑施工高处作业安全技术规范》 </w:t>
            </w:r>
          </w:p>
        </w:tc>
        <w:tc>
          <w:tcPr>
            <w:tcW w:w="2767" w:type="dxa"/>
            <w:shd w:val="clear" w:color="auto" w:fill="auto"/>
            <w:vAlign w:val="center"/>
          </w:tcPr>
          <w:p w14:paraId="67682ED8">
            <w:pPr>
              <w:pStyle w:val="78"/>
            </w:pPr>
            <w:r>
              <w:rPr>
                <w:rFonts w:hint="eastAsia" w:ascii="Times New Roman" w:hAnsi="Times New Roman"/>
              </w:rPr>
              <w:t>JGJ 80-2016</w:t>
            </w:r>
          </w:p>
        </w:tc>
      </w:tr>
      <w:tr w14:paraId="4DFD19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318" w:type="dxa"/>
            <w:shd w:val="clear" w:color="auto" w:fill="auto"/>
            <w:vAlign w:val="center"/>
          </w:tcPr>
          <w:p w14:paraId="223B48F6">
            <w:pPr>
              <w:pStyle w:val="77"/>
            </w:pPr>
            <w:r>
              <w:rPr>
                <w:rFonts w:hint="eastAsia"/>
              </w:rPr>
              <w:t>规范</w:t>
            </w:r>
          </w:p>
        </w:tc>
        <w:tc>
          <w:tcPr>
            <w:tcW w:w="5315" w:type="dxa"/>
            <w:shd w:val="clear" w:color="auto" w:fill="auto"/>
            <w:vAlign w:val="center"/>
          </w:tcPr>
          <w:p w14:paraId="576AD0BE">
            <w:pPr>
              <w:pStyle w:val="78"/>
              <w:ind w:firstLine="480"/>
            </w:pPr>
            <w:r>
              <w:rPr>
                <w:rFonts w:hint="eastAsia" w:ascii="Times New Roman" w:hAnsi="Times New Roman"/>
              </w:rPr>
              <w:t xml:space="preserve">《建筑机械使用安全技术规程》 </w:t>
            </w:r>
          </w:p>
        </w:tc>
        <w:tc>
          <w:tcPr>
            <w:tcW w:w="2767" w:type="dxa"/>
            <w:shd w:val="clear" w:color="auto" w:fill="auto"/>
            <w:vAlign w:val="center"/>
          </w:tcPr>
          <w:p w14:paraId="37D6FEE3">
            <w:pPr>
              <w:pStyle w:val="78"/>
            </w:pPr>
            <w:r>
              <w:rPr>
                <w:rFonts w:hint="eastAsia" w:ascii="Times New Roman" w:hAnsi="Times New Roman"/>
              </w:rPr>
              <w:t>JGJ46-2020</w:t>
            </w:r>
          </w:p>
        </w:tc>
      </w:tr>
      <w:tr w14:paraId="72821D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318" w:type="dxa"/>
            <w:shd w:val="clear" w:color="auto" w:fill="auto"/>
            <w:vAlign w:val="center"/>
          </w:tcPr>
          <w:p w14:paraId="01CB8881">
            <w:pPr>
              <w:pStyle w:val="77"/>
            </w:pPr>
            <w:r>
              <w:rPr>
                <w:rFonts w:hint="eastAsia"/>
              </w:rPr>
              <w:t>规范</w:t>
            </w:r>
          </w:p>
        </w:tc>
        <w:tc>
          <w:tcPr>
            <w:tcW w:w="5315" w:type="dxa"/>
            <w:shd w:val="clear" w:color="auto" w:fill="auto"/>
            <w:vAlign w:val="center"/>
          </w:tcPr>
          <w:p w14:paraId="78407DC0">
            <w:pPr>
              <w:pStyle w:val="78"/>
              <w:ind w:firstLine="480"/>
            </w:pPr>
            <w:r>
              <w:rPr>
                <w:rFonts w:hint="eastAsia" w:ascii="Times New Roman" w:hAnsi="Times New Roman"/>
              </w:rPr>
              <w:t xml:space="preserve">《施工现场临时用电安全技术规范》 </w:t>
            </w:r>
          </w:p>
        </w:tc>
        <w:tc>
          <w:tcPr>
            <w:tcW w:w="2767" w:type="dxa"/>
            <w:shd w:val="clear" w:color="auto" w:fill="auto"/>
            <w:vAlign w:val="center"/>
          </w:tcPr>
          <w:p w14:paraId="5D251421">
            <w:pPr>
              <w:pStyle w:val="78"/>
            </w:pPr>
            <w:r>
              <w:rPr>
                <w:rFonts w:hint="eastAsia" w:ascii="Times New Roman" w:hAnsi="Times New Roman"/>
              </w:rPr>
              <w:t>JGJ46-2020</w:t>
            </w:r>
          </w:p>
        </w:tc>
      </w:tr>
      <w:tr w14:paraId="558926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318" w:type="dxa"/>
            <w:shd w:val="clear" w:color="auto" w:fill="auto"/>
            <w:vAlign w:val="center"/>
          </w:tcPr>
          <w:p w14:paraId="04B6F1E5">
            <w:pPr>
              <w:pStyle w:val="77"/>
            </w:pPr>
            <w:r>
              <w:rPr>
                <w:rFonts w:hint="eastAsia"/>
              </w:rPr>
              <w:t>规范</w:t>
            </w:r>
          </w:p>
        </w:tc>
        <w:tc>
          <w:tcPr>
            <w:tcW w:w="5315" w:type="dxa"/>
            <w:shd w:val="clear" w:color="auto" w:fill="auto"/>
            <w:vAlign w:val="center"/>
          </w:tcPr>
          <w:p w14:paraId="796A9A5B">
            <w:pPr>
              <w:pStyle w:val="78"/>
              <w:ind w:firstLine="480"/>
            </w:pPr>
            <w:r>
              <w:rPr>
                <w:rFonts w:hint="eastAsia" w:ascii="Times New Roman" w:hAnsi="Times New Roman"/>
              </w:rPr>
              <w:t xml:space="preserve">《建设工程安全生产管理条例》 </w:t>
            </w:r>
          </w:p>
        </w:tc>
        <w:tc>
          <w:tcPr>
            <w:tcW w:w="2767" w:type="dxa"/>
            <w:shd w:val="clear" w:color="auto" w:fill="auto"/>
            <w:vAlign w:val="center"/>
          </w:tcPr>
          <w:p w14:paraId="09B08FCB">
            <w:pPr>
              <w:pStyle w:val="78"/>
            </w:pPr>
            <w:r>
              <w:rPr>
                <w:rFonts w:hint="eastAsia" w:ascii="Times New Roman" w:hAnsi="Times New Roman"/>
              </w:rPr>
              <w:t>国务院第393号令</w:t>
            </w:r>
          </w:p>
        </w:tc>
      </w:tr>
      <w:tr w14:paraId="6215F2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318" w:type="dxa"/>
            <w:shd w:val="clear" w:color="auto" w:fill="auto"/>
            <w:vAlign w:val="center"/>
          </w:tcPr>
          <w:p w14:paraId="099AC335">
            <w:pPr>
              <w:pStyle w:val="77"/>
            </w:pPr>
            <w:r>
              <w:rPr>
                <w:rFonts w:hint="eastAsia"/>
              </w:rPr>
              <w:t>规范</w:t>
            </w:r>
          </w:p>
        </w:tc>
        <w:tc>
          <w:tcPr>
            <w:tcW w:w="5315" w:type="dxa"/>
            <w:shd w:val="clear" w:color="auto" w:fill="auto"/>
            <w:vAlign w:val="center"/>
          </w:tcPr>
          <w:p w14:paraId="113F72E4">
            <w:pPr>
              <w:pStyle w:val="78"/>
              <w:ind w:firstLine="480"/>
            </w:pPr>
            <w:r>
              <w:rPr>
                <w:rFonts w:hint="eastAsia" w:ascii="Times New Roman" w:hAnsi="Times New Roman"/>
              </w:rPr>
              <w:t xml:space="preserve">《重要用途钢丝绳》 </w:t>
            </w:r>
          </w:p>
        </w:tc>
        <w:tc>
          <w:tcPr>
            <w:tcW w:w="2767" w:type="dxa"/>
            <w:shd w:val="clear" w:color="auto" w:fill="auto"/>
            <w:vAlign w:val="center"/>
          </w:tcPr>
          <w:p w14:paraId="4A2755DE">
            <w:pPr>
              <w:pStyle w:val="78"/>
            </w:pPr>
            <w:r>
              <w:rPr>
                <w:rFonts w:hint="eastAsia" w:ascii="Times New Roman" w:hAnsi="Times New Roman"/>
              </w:rPr>
              <w:t>GB 8918-2006</w:t>
            </w:r>
          </w:p>
        </w:tc>
      </w:tr>
      <w:tr w14:paraId="00275B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318" w:type="dxa"/>
            <w:shd w:val="clear" w:color="auto" w:fill="auto"/>
            <w:vAlign w:val="center"/>
          </w:tcPr>
          <w:p w14:paraId="7F08C653">
            <w:pPr>
              <w:pStyle w:val="77"/>
            </w:pPr>
            <w:r>
              <w:rPr>
                <w:rFonts w:hint="eastAsia"/>
              </w:rPr>
              <w:t>规范</w:t>
            </w:r>
          </w:p>
        </w:tc>
        <w:tc>
          <w:tcPr>
            <w:tcW w:w="5315" w:type="dxa"/>
            <w:shd w:val="clear" w:color="auto" w:fill="auto"/>
            <w:vAlign w:val="center"/>
          </w:tcPr>
          <w:p w14:paraId="0EAD49D4">
            <w:pPr>
              <w:pStyle w:val="78"/>
              <w:ind w:firstLine="480"/>
              <w:rPr>
                <w:rFonts w:ascii="Times New Roman" w:hAnsi="Times New Roman"/>
              </w:rPr>
            </w:pPr>
            <w:r>
              <w:rPr>
                <w:rFonts w:hint="eastAsia" w:ascii="Times New Roman" w:hAnsi="Times New Roman"/>
              </w:rPr>
              <w:t xml:space="preserve">《建筑起重机械安全监督管理规定》 </w:t>
            </w:r>
          </w:p>
        </w:tc>
        <w:tc>
          <w:tcPr>
            <w:tcW w:w="2767" w:type="dxa"/>
            <w:shd w:val="clear" w:color="auto" w:fill="auto"/>
            <w:vAlign w:val="center"/>
          </w:tcPr>
          <w:p w14:paraId="28F5FE3E">
            <w:pPr>
              <w:pStyle w:val="78"/>
              <w:rPr>
                <w:rFonts w:ascii="Times New Roman" w:hAnsi="Times New Roman"/>
              </w:rPr>
            </w:pPr>
            <w:r>
              <w:rPr>
                <w:rFonts w:hint="eastAsia" w:ascii="Times New Roman" w:hAnsi="Times New Roman"/>
              </w:rPr>
              <w:t>建设部第166号令</w:t>
            </w:r>
          </w:p>
        </w:tc>
      </w:tr>
      <w:tr w14:paraId="0F0A30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318" w:type="dxa"/>
            <w:shd w:val="clear" w:color="auto" w:fill="auto"/>
            <w:vAlign w:val="center"/>
          </w:tcPr>
          <w:p w14:paraId="00E0BDB7">
            <w:pPr>
              <w:pStyle w:val="77"/>
            </w:pPr>
            <w:r>
              <w:rPr>
                <w:rFonts w:hint="eastAsia"/>
              </w:rPr>
              <w:t>/</w:t>
            </w:r>
          </w:p>
        </w:tc>
        <w:tc>
          <w:tcPr>
            <w:tcW w:w="5315" w:type="dxa"/>
            <w:shd w:val="clear" w:color="auto" w:fill="auto"/>
            <w:vAlign w:val="center"/>
          </w:tcPr>
          <w:p w14:paraId="48DAC117">
            <w:pPr>
              <w:pStyle w:val="109"/>
              <w:ind w:firstLine="480"/>
              <w:rPr>
                <w:rFonts w:ascii="Times New Roman" w:hAnsi="Times New Roman" w:cs="Times New Roman"/>
                <w:color w:val="auto"/>
                <w:kern w:val="2"/>
              </w:rPr>
            </w:pPr>
            <w:r>
              <w:rPr>
                <w:rFonts w:hint="eastAsia" w:ascii="Times New Roman" w:hAnsi="Times New Roman" w:cs="Times New Roman"/>
                <w:color w:val="auto"/>
                <w:kern w:val="2"/>
              </w:rPr>
              <w:t>《</w:t>
            </w:r>
            <w:r>
              <w:rPr>
                <w:rFonts w:hint="eastAsia" w:ascii="Times New Roman" w:hAnsi="Times New Roman" w:cs="Times New Roman"/>
                <w:color w:val="auto"/>
                <w:kern w:val="2"/>
                <w:lang w:val="en-US" w:eastAsia="zh-CN"/>
              </w:rPr>
              <w:t>XGT6015-8S1</w:t>
            </w:r>
            <w:r>
              <w:rPr>
                <w:rFonts w:hint="eastAsia" w:ascii="Times New Roman" w:hAnsi="Times New Roman" w:cs="Times New Roman"/>
                <w:color w:val="auto"/>
                <w:kern w:val="2"/>
              </w:rPr>
              <w:t>塔式起重机使用说明书》</w:t>
            </w:r>
          </w:p>
        </w:tc>
        <w:tc>
          <w:tcPr>
            <w:tcW w:w="2767" w:type="dxa"/>
            <w:shd w:val="clear" w:color="auto" w:fill="auto"/>
            <w:vAlign w:val="center"/>
          </w:tcPr>
          <w:p w14:paraId="0B2E6CA2">
            <w:pPr>
              <w:pStyle w:val="78"/>
              <w:ind w:firstLine="1200" w:firstLineChars="500"/>
              <w:jc w:val="both"/>
              <w:rPr>
                <w:rFonts w:ascii="Times New Roman" w:hAnsi="Times New Roman"/>
              </w:rPr>
            </w:pPr>
            <w:r>
              <w:rPr>
                <w:rFonts w:hint="eastAsia" w:ascii="Times New Roman" w:hAnsi="Times New Roman"/>
              </w:rPr>
              <w:t>/</w:t>
            </w:r>
          </w:p>
        </w:tc>
      </w:tr>
      <w:tr w14:paraId="5A1D2C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318" w:type="dxa"/>
            <w:shd w:val="clear" w:color="auto" w:fill="auto"/>
            <w:vAlign w:val="center"/>
          </w:tcPr>
          <w:p w14:paraId="70CBC5D8">
            <w:pPr>
              <w:pStyle w:val="77"/>
              <w:rPr>
                <w:rFonts w:hint="eastAsia"/>
              </w:rPr>
            </w:pPr>
            <w:r>
              <w:rPr>
                <w:rFonts w:hint="eastAsia"/>
              </w:rPr>
              <w:t>/</w:t>
            </w:r>
          </w:p>
        </w:tc>
        <w:tc>
          <w:tcPr>
            <w:tcW w:w="5315" w:type="dxa"/>
            <w:shd w:val="clear" w:color="auto" w:fill="auto"/>
            <w:vAlign w:val="center"/>
          </w:tcPr>
          <w:p w14:paraId="14F6472A">
            <w:pPr>
              <w:pStyle w:val="109"/>
              <w:ind w:firstLine="480"/>
              <w:rPr>
                <w:rFonts w:hint="eastAsia" w:ascii="Times New Roman" w:hAnsi="Times New Roman" w:cs="Times New Roman"/>
                <w:color w:val="auto"/>
                <w:kern w:val="2"/>
              </w:rPr>
            </w:pPr>
            <w:r>
              <w:rPr>
                <w:rFonts w:hint="eastAsia" w:ascii="Times New Roman" w:hAnsi="Times New Roman" w:cs="Times New Roman"/>
                <w:color w:val="auto"/>
                <w:kern w:val="2"/>
              </w:rPr>
              <w:t>《</w:t>
            </w:r>
            <w:r>
              <w:rPr>
                <w:rFonts w:hint="eastAsia" w:ascii="Times New Roman" w:hAnsi="Times New Roman" w:cs="Times New Roman"/>
                <w:color w:val="auto"/>
                <w:kern w:val="2"/>
                <w:lang w:val="en-US" w:eastAsia="zh-CN"/>
              </w:rPr>
              <w:t>XGT6013-6S1</w:t>
            </w:r>
            <w:r>
              <w:rPr>
                <w:rFonts w:hint="eastAsia" w:ascii="Times New Roman" w:hAnsi="Times New Roman" w:cs="Times New Roman"/>
                <w:color w:val="auto"/>
                <w:kern w:val="2"/>
              </w:rPr>
              <w:t>塔式起重机使用说明书》</w:t>
            </w:r>
          </w:p>
        </w:tc>
        <w:tc>
          <w:tcPr>
            <w:tcW w:w="2767" w:type="dxa"/>
            <w:shd w:val="clear" w:color="auto" w:fill="auto"/>
            <w:vAlign w:val="center"/>
          </w:tcPr>
          <w:p w14:paraId="61AA912F">
            <w:pPr>
              <w:pStyle w:val="78"/>
              <w:ind w:firstLine="1200" w:firstLineChars="500"/>
              <w:jc w:val="both"/>
              <w:rPr>
                <w:rFonts w:hint="eastAsia" w:ascii="Times New Roman" w:hAnsi="Times New Roman"/>
              </w:rPr>
            </w:pPr>
          </w:p>
        </w:tc>
      </w:tr>
    </w:tbl>
    <w:p w14:paraId="3446001B">
      <w:pPr>
        <w:pStyle w:val="11"/>
        <w:ind w:firstLine="0" w:firstLineChars="0"/>
      </w:pPr>
    </w:p>
    <w:p w14:paraId="53E68B77">
      <w:pPr>
        <w:pStyle w:val="3"/>
        <w:spacing w:before="156" w:after="156"/>
        <w:ind w:firstLine="562"/>
      </w:pPr>
      <w:bookmarkStart w:id="13" w:name="_Toc8472"/>
      <w:bookmarkStart w:id="14" w:name="_Toc658"/>
      <w:r>
        <w:rPr>
          <w:rFonts w:hint="eastAsia"/>
        </w:rPr>
        <w:t>适用范围</w:t>
      </w:r>
      <w:bookmarkEnd w:id="13"/>
      <w:bookmarkEnd w:id="14"/>
    </w:p>
    <w:p w14:paraId="4E812B39">
      <w:pPr>
        <w:spacing w:before="156" w:beforeLines="50" w:after="156" w:afterLines="50"/>
        <w:ind w:firstLine="480"/>
      </w:pPr>
      <w:bookmarkStart w:id="15" w:name="_Toc19114"/>
      <w:bookmarkStart w:id="16" w:name="_Toc22257"/>
      <w:bookmarkStart w:id="17" w:name="_Toc29268"/>
      <w:bookmarkStart w:id="18" w:name="_Toc24056"/>
      <w:r>
        <w:rPr>
          <w:rFonts w:hint="eastAsia"/>
          <w:kern w:val="0"/>
          <w:szCs w:val="20"/>
        </w:rPr>
        <w:t>本方案适用于中交第二航务工程局彭州市龙兴寺片区PZ2024-16地块商住建设项目施工期间，涉及的塔式起重机群塔作业的施工。</w:t>
      </w:r>
      <w:bookmarkEnd w:id="15"/>
      <w:bookmarkEnd w:id="16"/>
      <w:bookmarkEnd w:id="17"/>
      <w:bookmarkEnd w:id="18"/>
      <w:r>
        <w:rPr>
          <w:rFonts w:hint="eastAsia"/>
        </w:rPr>
        <w:br w:type="page"/>
      </w:r>
    </w:p>
    <w:p w14:paraId="4C63FF20">
      <w:pPr>
        <w:pStyle w:val="2"/>
        <w:spacing w:before="156" w:after="156"/>
        <w:ind w:firstLine="643"/>
      </w:pPr>
      <w:bookmarkStart w:id="19" w:name="_Toc4167"/>
      <w:r>
        <w:rPr>
          <w:rFonts w:hint="eastAsia"/>
        </w:rPr>
        <w:t>工程概况</w:t>
      </w:r>
      <w:bookmarkEnd w:id="19"/>
    </w:p>
    <w:p w14:paraId="333F4B2A">
      <w:pPr>
        <w:pStyle w:val="3"/>
        <w:spacing w:before="156" w:after="156"/>
        <w:ind w:firstLine="562"/>
      </w:pPr>
      <w:bookmarkStart w:id="20" w:name="_Toc10970"/>
      <w:r>
        <w:rPr>
          <w:rFonts w:hint="eastAsia"/>
        </w:rPr>
        <w:t>工程概况</w:t>
      </w:r>
      <w:bookmarkEnd w:id="20"/>
    </w:p>
    <w:p w14:paraId="1E334A40">
      <w:pPr>
        <w:pStyle w:val="4"/>
        <w:spacing w:before="156"/>
        <w:ind w:firstLine="482"/>
      </w:pPr>
      <w:r>
        <w:rPr>
          <w:rFonts w:hint="eastAsia"/>
        </w:rPr>
        <w:t>项目概况</w:t>
      </w:r>
    </w:p>
    <w:p w14:paraId="30B4315F">
      <w:pPr>
        <w:pStyle w:val="32"/>
        <w:ind w:left="480" w:firstLine="480"/>
        <w:rPr>
          <w:rFonts w:hint="eastAsia" w:hAnsi="宋体" w:cs="宋体"/>
          <w:kern w:val="0"/>
          <w:szCs w:val="24"/>
        </w:rPr>
      </w:pPr>
      <w:r>
        <w:rPr>
          <w:rFonts w:hint="eastAsia" w:hAnsi="宋体" w:cs="宋体"/>
          <w:kern w:val="0"/>
          <w:szCs w:val="24"/>
        </w:rPr>
        <w:t>本工程位于彭州市龙兴寺商圈龙锦大道、延秀路、民业路和滨河南路间。项目16号地块用地面积32485.82㎡，总建面56296.17㎡，该地块东侧为建成小区-龙锦小区。北临官渠郊野公园和人民渠(饮用水水源，贯穿彭州全境)。南临龙兴寺水街(彭州新名片，彭州版“太古里")。西侧为建成小区-水岸名都。中间为弹性道路和河道绿廊。16号地块为项目一期，17号地块为项目2期。</w:t>
      </w:r>
    </w:p>
    <w:p w14:paraId="0BD6E53A">
      <w:pPr>
        <w:ind w:firstLine="422"/>
        <w:jc w:val="center"/>
        <w:rPr>
          <w:rFonts w:hint="eastAsia" w:ascii="仿宋" w:hAnsi="仿宋" w:eastAsia="仿宋"/>
          <w:b/>
          <w:sz w:val="21"/>
        </w:rPr>
      </w:pPr>
      <w:bookmarkStart w:id="21" w:name="_Toc53563931"/>
      <w:r>
        <w:rPr>
          <w:rFonts w:hint="eastAsia" w:ascii="仿宋" w:hAnsi="仿宋" w:eastAsia="仿宋"/>
          <w:b/>
          <w:sz w:val="21"/>
        </w:rPr>
        <w:t>表</w:t>
      </w:r>
      <w:r>
        <w:rPr>
          <w:rFonts w:ascii="仿宋" w:hAnsi="仿宋" w:eastAsia="仿宋"/>
          <w:b/>
          <w:sz w:val="21"/>
        </w:rPr>
        <w:t>2.1-1</w:t>
      </w:r>
      <w:r>
        <w:rPr>
          <w:rFonts w:hint="eastAsia" w:ascii="仿宋" w:hAnsi="仿宋" w:eastAsia="仿宋"/>
          <w:b/>
          <w:sz w:val="21"/>
        </w:rPr>
        <w:t>建筑概况表</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6095"/>
      </w:tblGrid>
      <w:tr w14:paraId="609FD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vAlign w:val="center"/>
          </w:tcPr>
          <w:p w14:paraId="4E24A222">
            <w:pPr>
              <w:pStyle w:val="80"/>
              <w:ind w:firstLine="0" w:firstLineChars="0"/>
              <w:jc w:val="center"/>
              <w:rPr>
                <w:rFonts w:eastAsia="仿宋"/>
                <w:bCs/>
                <w:szCs w:val="24"/>
              </w:rPr>
            </w:pPr>
            <w:r>
              <w:rPr>
                <w:rFonts w:hint="eastAsia" w:eastAsia="仿宋"/>
                <w:bCs/>
                <w:szCs w:val="24"/>
              </w:rPr>
              <w:t>工程名称</w:t>
            </w:r>
          </w:p>
        </w:tc>
        <w:tc>
          <w:tcPr>
            <w:tcW w:w="6095" w:type="dxa"/>
            <w:vAlign w:val="center"/>
          </w:tcPr>
          <w:p w14:paraId="6E6CD7CD">
            <w:pPr>
              <w:tabs>
                <w:tab w:val="left" w:pos="2100"/>
              </w:tabs>
              <w:adjustRightInd w:val="0"/>
              <w:snapToGrid w:val="0"/>
              <w:spacing w:line="460" w:lineRule="exact"/>
              <w:ind w:firstLine="480"/>
              <w:jc w:val="left"/>
              <w:rPr>
                <w:rFonts w:eastAsia="仿宋"/>
                <w:bCs/>
                <w:szCs w:val="24"/>
              </w:rPr>
            </w:pPr>
            <w:r>
              <w:rPr>
                <w:rFonts w:hint="eastAsia" w:ascii="仿宋" w:hAnsi="仿宋" w:eastAsia="仿宋" w:cs="宋体"/>
              </w:rPr>
              <w:t>彭州市龙兴寺片区 PZ2024-16 地块商住建设项目</w:t>
            </w:r>
          </w:p>
        </w:tc>
      </w:tr>
      <w:tr w14:paraId="35978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vAlign w:val="center"/>
          </w:tcPr>
          <w:p w14:paraId="6E322979">
            <w:pPr>
              <w:pStyle w:val="80"/>
              <w:ind w:firstLine="0" w:firstLineChars="0"/>
              <w:jc w:val="center"/>
              <w:rPr>
                <w:rFonts w:eastAsia="仿宋"/>
                <w:bCs/>
                <w:szCs w:val="24"/>
              </w:rPr>
            </w:pPr>
            <w:r>
              <w:rPr>
                <w:rFonts w:hint="eastAsia" w:eastAsia="仿宋"/>
                <w:bCs/>
                <w:szCs w:val="24"/>
              </w:rPr>
              <w:t>工程地点</w:t>
            </w:r>
          </w:p>
        </w:tc>
        <w:tc>
          <w:tcPr>
            <w:tcW w:w="6095" w:type="dxa"/>
            <w:vAlign w:val="center"/>
          </w:tcPr>
          <w:p w14:paraId="156DEFDC">
            <w:pPr>
              <w:tabs>
                <w:tab w:val="left" w:pos="2100"/>
              </w:tabs>
              <w:adjustRightInd w:val="0"/>
              <w:snapToGrid w:val="0"/>
              <w:spacing w:line="460" w:lineRule="exact"/>
              <w:ind w:firstLine="480"/>
              <w:jc w:val="left"/>
              <w:rPr>
                <w:rFonts w:eastAsia="仿宋"/>
                <w:bCs/>
                <w:szCs w:val="24"/>
              </w:rPr>
            </w:pPr>
            <w:r>
              <w:rPr>
                <w:rFonts w:hint="eastAsia" w:ascii="仿宋" w:hAnsi="仿宋" w:eastAsia="仿宋" w:cs="宋体"/>
              </w:rPr>
              <w:t>成都市彭州区</w:t>
            </w:r>
          </w:p>
        </w:tc>
      </w:tr>
      <w:tr w14:paraId="28440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vAlign w:val="center"/>
          </w:tcPr>
          <w:p w14:paraId="118DCD12">
            <w:pPr>
              <w:pStyle w:val="80"/>
              <w:ind w:firstLine="0" w:firstLineChars="0"/>
              <w:jc w:val="center"/>
              <w:rPr>
                <w:rFonts w:eastAsia="仿宋"/>
                <w:bCs/>
                <w:szCs w:val="24"/>
              </w:rPr>
            </w:pPr>
            <w:r>
              <w:rPr>
                <w:rFonts w:hint="eastAsia" w:eastAsia="仿宋"/>
                <w:bCs/>
                <w:szCs w:val="24"/>
              </w:rPr>
              <w:t>建设单位</w:t>
            </w:r>
          </w:p>
        </w:tc>
        <w:tc>
          <w:tcPr>
            <w:tcW w:w="6095" w:type="dxa"/>
            <w:vAlign w:val="center"/>
          </w:tcPr>
          <w:p w14:paraId="0800F858">
            <w:pPr>
              <w:tabs>
                <w:tab w:val="left" w:pos="2100"/>
              </w:tabs>
              <w:adjustRightInd w:val="0"/>
              <w:snapToGrid w:val="0"/>
              <w:spacing w:line="460" w:lineRule="exact"/>
              <w:ind w:firstLine="480"/>
              <w:jc w:val="left"/>
              <w:rPr>
                <w:rFonts w:eastAsia="仿宋"/>
                <w:bCs/>
                <w:szCs w:val="24"/>
              </w:rPr>
            </w:pPr>
            <w:r>
              <w:rPr>
                <w:rFonts w:hint="eastAsia" w:ascii="仿宋" w:hAnsi="仿宋" w:eastAsia="仿宋" w:cs="宋体"/>
              </w:rPr>
              <w:t>成都中宜蓉彭置业有限公司</w:t>
            </w:r>
          </w:p>
        </w:tc>
      </w:tr>
      <w:tr w14:paraId="05A15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vAlign w:val="center"/>
          </w:tcPr>
          <w:p w14:paraId="541D6A0F">
            <w:pPr>
              <w:pStyle w:val="80"/>
              <w:ind w:firstLine="0" w:firstLineChars="0"/>
              <w:jc w:val="center"/>
              <w:rPr>
                <w:rFonts w:eastAsia="仿宋"/>
                <w:bCs/>
                <w:szCs w:val="24"/>
              </w:rPr>
            </w:pPr>
            <w:r>
              <w:rPr>
                <w:rFonts w:hint="eastAsia" w:eastAsia="仿宋"/>
                <w:bCs/>
                <w:szCs w:val="24"/>
              </w:rPr>
              <w:t>监理单位</w:t>
            </w:r>
          </w:p>
        </w:tc>
        <w:tc>
          <w:tcPr>
            <w:tcW w:w="6095" w:type="dxa"/>
            <w:vAlign w:val="center"/>
          </w:tcPr>
          <w:p w14:paraId="077A9B38">
            <w:pPr>
              <w:tabs>
                <w:tab w:val="left" w:pos="2100"/>
              </w:tabs>
              <w:adjustRightInd w:val="0"/>
              <w:snapToGrid w:val="0"/>
              <w:spacing w:line="460" w:lineRule="exact"/>
              <w:ind w:firstLine="480"/>
              <w:jc w:val="left"/>
              <w:rPr>
                <w:rFonts w:eastAsia="仿宋"/>
                <w:bCs/>
                <w:szCs w:val="24"/>
              </w:rPr>
            </w:pPr>
            <w:r>
              <w:rPr>
                <w:rFonts w:hint="eastAsia" w:ascii="仿宋" w:hAnsi="仿宋" w:eastAsia="仿宋" w:cs="宋体"/>
              </w:rPr>
              <w:t>四川省川建勘察设计院有限公司</w:t>
            </w:r>
          </w:p>
        </w:tc>
      </w:tr>
      <w:tr w14:paraId="07870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vAlign w:val="center"/>
          </w:tcPr>
          <w:p w14:paraId="19ADB216">
            <w:pPr>
              <w:pStyle w:val="80"/>
              <w:ind w:firstLine="0" w:firstLineChars="0"/>
              <w:jc w:val="center"/>
              <w:rPr>
                <w:rFonts w:eastAsia="仿宋"/>
                <w:bCs/>
                <w:szCs w:val="24"/>
              </w:rPr>
            </w:pPr>
            <w:r>
              <w:rPr>
                <w:rFonts w:hint="eastAsia" w:eastAsia="仿宋"/>
                <w:bCs/>
                <w:szCs w:val="24"/>
              </w:rPr>
              <w:t>施工单位</w:t>
            </w:r>
          </w:p>
        </w:tc>
        <w:tc>
          <w:tcPr>
            <w:tcW w:w="6095" w:type="dxa"/>
            <w:vAlign w:val="center"/>
          </w:tcPr>
          <w:p w14:paraId="3795C3D8">
            <w:pPr>
              <w:tabs>
                <w:tab w:val="left" w:pos="2100"/>
              </w:tabs>
              <w:adjustRightInd w:val="0"/>
              <w:snapToGrid w:val="0"/>
              <w:spacing w:line="460" w:lineRule="exact"/>
              <w:ind w:firstLine="480"/>
              <w:jc w:val="left"/>
              <w:rPr>
                <w:rFonts w:eastAsia="仿宋"/>
                <w:bCs/>
                <w:szCs w:val="24"/>
              </w:rPr>
            </w:pPr>
            <w:r>
              <w:rPr>
                <w:rFonts w:hint="eastAsia" w:ascii="仿宋" w:hAnsi="仿宋" w:eastAsia="仿宋" w:cs="宋体"/>
              </w:rPr>
              <w:t>中交第二航务工程局有限公司</w:t>
            </w:r>
          </w:p>
        </w:tc>
      </w:tr>
      <w:tr w14:paraId="00DB1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vAlign w:val="center"/>
          </w:tcPr>
          <w:p w14:paraId="61CDCD9B">
            <w:pPr>
              <w:pStyle w:val="80"/>
              <w:ind w:firstLine="0" w:firstLineChars="0"/>
              <w:jc w:val="center"/>
              <w:rPr>
                <w:rFonts w:eastAsia="仿宋"/>
                <w:bCs/>
                <w:szCs w:val="24"/>
              </w:rPr>
            </w:pPr>
            <w:r>
              <w:rPr>
                <w:rFonts w:hint="eastAsia" w:eastAsia="仿宋"/>
                <w:bCs/>
                <w:szCs w:val="24"/>
              </w:rPr>
              <w:t>质量要求</w:t>
            </w:r>
          </w:p>
        </w:tc>
        <w:tc>
          <w:tcPr>
            <w:tcW w:w="6095" w:type="dxa"/>
            <w:vAlign w:val="center"/>
          </w:tcPr>
          <w:p w14:paraId="2F559252">
            <w:pPr>
              <w:tabs>
                <w:tab w:val="left" w:pos="2100"/>
              </w:tabs>
              <w:adjustRightInd w:val="0"/>
              <w:snapToGrid w:val="0"/>
              <w:spacing w:line="460" w:lineRule="exact"/>
              <w:ind w:firstLine="0" w:firstLineChars="0"/>
              <w:rPr>
                <w:rFonts w:eastAsia="仿宋"/>
                <w:bCs/>
                <w:szCs w:val="24"/>
              </w:rPr>
            </w:pPr>
            <w:r>
              <w:rPr>
                <w:rFonts w:hint="eastAsia" w:ascii="仿宋" w:hAnsi="仿宋" w:eastAsia="仿宋" w:cs="宋体"/>
              </w:rPr>
              <w:t>所有单体项目的分项分部工程合格率100%，一次性交验合格率100%，自评、监理、建设单位评定工程质量优良</w:t>
            </w:r>
          </w:p>
        </w:tc>
      </w:tr>
      <w:tr w14:paraId="4210E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vAlign w:val="center"/>
          </w:tcPr>
          <w:p w14:paraId="6F89F82A">
            <w:pPr>
              <w:pStyle w:val="80"/>
              <w:ind w:firstLine="0" w:firstLineChars="0"/>
              <w:jc w:val="center"/>
              <w:rPr>
                <w:rFonts w:eastAsia="仿宋"/>
                <w:bCs/>
                <w:szCs w:val="24"/>
              </w:rPr>
            </w:pPr>
            <w:r>
              <w:rPr>
                <w:rFonts w:hint="eastAsia" w:eastAsia="仿宋"/>
                <w:bCs/>
                <w:szCs w:val="24"/>
              </w:rPr>
              <w:t>安全、环境要求</w:t>
            </w:r>
          </w:p>
        </w:tc>
        <w:tc>
          <w:tcPr>
            <w:tcW w:w="6095" w:type="dxa"/>
            <w:vAlign w:val="center"/>
          </w:tcPr>
          <w:p w14:paraId="1B024B56">
            <w:pPr>
              <w:tabs>
                <w:tab w:val="left" w:pos="2100"/>
              </w:tabs>
              <w:adjustRightInd w:val="0"/>
              <w:snapToGrid w:val="0"/>
              <w:spacing w:line="460" w:lineRule="exact"/>
              <w:ind w:firstLine="0" w:firstLineChars="0"/>
              <w:rPr>
                <w:rFonts w:eastAsia="仿宋"/>
                <w:bCs/>
                <w:szCs w:val="24"/>
              </w:rPr>
            </w:pPr>
            <w:r>
              <w:rPr>
                <w:rFonts w:hint="eastAsia" w:ascii="仿宋" w:hAnsi="仿宋" w:eastAsia="仿宋" w:cs="宋体"/>
              </w:rPr>
              <w:t>死亡事故为零；重大设备、火灾、爆炸事故为零；重伤事故为零；做好环境保护，确保环保不扣分。</w:t>
            </w:r>
          </w:p>
        </w:tc>
      </w:tr>
      <w:bookmarkEnd w:id="21"/>
    </w:tbl>
    <w:p w14:paraId="1E591DB0">
      <w:pPr>
        <w:pStyle w:val="4"/>
        <w:spacing w:before="156"/>
        <w:ind w:firstLine="482"/>
      </w:pPr>
      <w:r>
        <w:rPr>
          <w:rFonts w:hint="eastAsia"/>
        </w:rPr>
        <w:t>塔式起重机工程概况</w:t>
      </w:r>
    </w:p>
    <w:p w14:paraId="5BD498AA">
      <w:pPr>
        <w:ind w:firstLine="480"/>
      </w:pPr>
      <w:r>
        <w:rPr>
          <w:rFonts w:hint="eastAsia"/>
        </w:rPr>
        <w:t>本工程共安装1</w:t>
      </w:r>
      <w:r>
        <w:t>台</w:t>
      </w:r>
      <w:r>
        <w:rPr>
          <w:rFonts w:hint="eastAsia"/>
          <w:szCs w:val="24"/>
        </w:rPr>
        <w:t>XGT6013-6S1</w:t>
      </w:r>
      <w:r>
        <w:t>塔式起重机</w:t>
      </w:r>
      <w:r>
        <w:rPr>
          <w:rFonts w:hint="eastAsia"/>
        </w:rPr>
        <w:t>，2台XGT6015-8S1</w:t>
      </w:r>
      <w:r>
        <w:t>塔式起重机</w:t>
      </w:r>
      <w:r>
        <w:rPr>
          <w:rFonts w:hint="eastAsia"/>
        </w:rPr>
        <w:t>，塔吊安装高度在26m~40m之间，塔吊安装臂长均为60m。</w:t>
      </w:r>
    </w:p>
    <w:p w14:paraId="05F1A6A6">
      <w:pPr>
        <w:pStyle w:val="3"/>
        <w:spacing w:before="156" w:after="156"/>
        <w:ind w:firstLine="562"/>
      </w:pPr>
      <w:bookmarkStart w:id="22" w:name="_Toc12889"/>
      <w:bookmarkStart w:id="23" w:name="_Toc17377"/>
      <w:bookmarkStart w:id="24" w:name="_Toc26555"/>
      <w:bookmarkStart w:id="25" w:name="_Toc7040_WPSOffice_Level2"/>
      <w:bookmarkStart w:id="26" w:name="_Toc16826"/>
      <w:bookmarkStart w:id="27" w:name="_Toc28671"/>
      <w:bookmarkStart w:id="28" w:name="_Toc2723"/>
      <w:bookmarkStart w:id="29" w:name="_Toc23252"/>
      <w:bookmarkStart w:id="30" w:name="_Toc17689"/>
      <w:bookmarkStart w:id="31" w:name="_Toc11038"/>
      <w:bookmarkStart w:id="32" w:name="_Toc29935"/>
      <w:bookmarkStart w:id="33" w:name="_Toc23277"/>
      <w:bookmarkStart w:id="34" w:name="_Toc2876_WPSOffice_Level2"/>
      <w:r>
        <w:rPr>
          <w:rFonts w:hint="eastAsia"/>
        </w:rPr>
        <w:t>工程特点</w:t>
      </w:r>
      <w:bookmarkEnd w:id="22"/>
      <w:bookmarkEnd w:id="23"/>
      <w:bookmarkEnd w:id="24"/>
      <w:bookmarkEnd w:id="25"/>
      <w:bookmarkEnd w:id="26"/>
      <w:bookmarkEnd w:id="27"/>
      <w:bookmarkEnd w:id="28"/>
      <w:bookmarkEnd w:id="29"/>
    </w:p>
    <w:p w14:paraId="2292EF92">
      <w:pPr>
        <w:ind w:firstLine="480"/>
      </w:pPr>
      <w:bookmarkStart w:id="35" w:name="_Toc2948"/>
      <w:bookmarkStart w:id="36" w:name="_Toc25648"/>
      <w:r>
        <w:rPr>
          <w:rFonts w:hint="eastAsia"/>
        </w:rPr>
        <w:t>（1）区域内同时运行的塔吊较多，每台塔吊运行时都会受到相邻塔吊的影响，方案中分别采取了水平上限位、垂直上错开、大臂减幅、进度上调后、运行中限制等措施予以保障运行的安全；</w:t>
      </w:r>
    </w:p>
    <w:p w14:paraId="79FD6F87">
      <w:pPr>
        <w:ind w:firstLine="480"/>
      </w:pPr>
      <w:r>
        <w:rPr>
          <w:rFonts w:hint="eastAsia"/>
        </w:rPr>
        <w:t>（2）分项工程的重难点：本工程工期紧张，多塔吊同时运行，如何防止施工过程中多个塔吊交叉作业导致碰撞是本方案的重点。</w:t>
      </w:r>
    </w:p>
    <w:p w14:paraId="0AAC96CA">
      <w:pPr>
        <w:pStyle w:val="3"/>
        <w:spacing w:before="156" w:after="156"/>
        <w:ind w:firstLine="562"/>
      </w:pPr>
      <w:bookmarkStart w:id="37" w:name="_Toc17469"/>
      <w:r>
        <w:rPr>
          <w:rFonts w:hint="eastAsia"/>
        </w:rPr>
        <w:t>施工平面布置</w:t>
      </w:r>
      <w:bookmarkEnd w:id="30"/>
      <w:bookmarkEnd w:id="31"/>
      <w:bookmarkEnd w:id="32"/>
      <w:bookmarkEnd w:id="33"/>
      <w:bookmarkEnd w:id="34"/>
      <w:bookmarkEnd w:id="35"/>
      <w:bookmarkEnd w:id="36"/>
      <w:bookmarkEnd w:id="37"/>
    </w:p>
    <w:p w14:paraId="1A2189E5">
      <w:pPr>
        <w:widowControl/>
        <w:ind w:firstLine="480"/>
        <w:jc w:val="left"/>
      </w:pPr>
      <w:bookmarkStart w:id="38" w:name="_Toc29044"/>
      <w:bookmarkStart w:id="39" w:name="_Toc4046_WPSOffice_Level2"/>
      <w:bookmarkStart w:id="40" w:name="_Toc24276"/>
      <w:bookmarkStart w:id="41" w:name="_Toc31811"/>
      <w:bookmarkStart w:id="42" w:name="_Toc18973"/>
      <w:bookmarkStart w:id="43" w:name="_Toc15392"/>
      <w:bookmarkStart w:id="44" w:name="_Toc22985"/>
      <w:r>
        <w:drawing>
          <wp:inline distT="0" distB="0" distL="114300" distR="114300">
            <wp:extent cx="5268595" cy="3701415"/>
            <wp:effectExtent l="0" t="0" r="8255" b="1333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23"/>
                    <a:stretch>
                      <a:fillRect/>
                    </a:stretch>
                  </pic:blipFill>
                  <pic:spPr>
                    <a:xfrm>
                      <a:off x="0" y="0"/>
                      <a:ext cx="5268595" cy="3701415"/>
                    </a:xfrm>
                    <a:prstGeom prst="rect">
                      <a:avLst/>
                    </a:prstGeom>
                    <a:noFill/>
                    <a:ln>
                      <a:noFill/>
                    </a:ln>
                  </pic:spPr>
                </pic:pic>
              </a:graphicData>
            </a:graphic>
          </wp:inline>
        </w:drawing>
      </w:r>
    </w:p>
    <w:p w14:paraId="13B3C6BF">
      <w:pPr>
        <w:ind w:firstLine="422"/>
        <w:jc w:val="center"/>
        <w:rPr>
          <w:rFonts w:hint="eastAsia"/>
          <w:b/>
          <w:bCs/>
          <w:sz w:val="21"/>
        </w:rPr>
      </w:pPr>
      <w:r>
        <w:rPr>
          <w:rFonts w:hint="eastAsia"/>
          <w:b/>
          <w:bCs/>
          <w:sz w:val="21"/>
        </w:rPr>
        <w:t>图2.3-1塔吊平面布置图</w:t>
      </w:r>
    </w:p>
    <w:p w14:paraId="72DC5BD5">
      <w:pPr>
        <w:pStyle w:val="4"/>
        <w:spacing w:before="156"/>
        <w:ind w:firstLine="482"/>
      </w:pPr>
      <w:r>
        <w:rPr>
          <w:rFonts w:hint="eastAsia"/>
        </w:rPr>
        <w:t>塔吊作业立面图</w:t>
      </w:r>
    </w:p>
    <w:p w14:paraId="1CA4B0A8">
      <w:pPr>
        <w:pStyle w:val="13"/>
        <w:ind w:firstLine="480"/>
        <w:rPr>
          <w:rFonts w:hint="eastAsia" w:eastAsia="宋体"/>
          <w:lang w:eastAsia="zh-CN"/>
        </w:rPr>
      </w:pPr>
      <w:r>
        <w:rPr>
          <w:rFonts w:hint="eastAsia" w:eastAsia="宋体"/>
          <w:lang w:eastAsia="zh-CN"/>
        </w:rPr>
        <w:drawing>
          <wp:inline distT="0" distB="0" distL="114300" distR="114300">
            <wp:extent cx="5590540" cy="1446530"/>
            <wp:effectExtent l="0" t="0" r="10160" b="1270"/>
            <wp:docPr id="6" name="图片 6" descr="121) Model (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21) Model (1)_1"/>
                    <pic:cNvPicPr>
                      <a:picLocks noChangeAspect="1"/>
                    </pic:cNvPicPr>
                  </pic:nvPicPr>
                  <pic:blipFill>
                    <a:blip r:embed="rId24"/>
                    <a:srcRect t="32394" b="31011"/>
                    <a:stretch>
                      <a:fillRect/>
                    </a:stretch>
                  </pic:blipFill>
                  <pic:spPr>
                    <a:xfrm>
                      <a:off x="0" y="0"/>
                      <a:ext cx="5590540" cy="1446530"/>
                    </a:xfrm>
                    <a:prstGeom prst="rect">
                      <a:avLst/>
                    </a:prstGeom>
                  </pic:spPr>
                </pic:pic>
              </a:graphicData>
            </a:graphic>
          </wp:inline>
        </w:drawing>
      </w:r>
    </w:p>
    <w:p w14:paraId="7519DEBE">
      <w:pPr>
        <w:ind w:firstLine="422"/>
        <w:jc w:val="center"/>
      </w:pPr>
      <w:r>
        <w:rPr>
          <w:rFonts w:hint="eastAsia"/>
          <w:b/>
          <w:bCs/>
          <w:sz w:val="21"/>
        </w:rPr>
        <w:t>图2.3-1塔吊立面作业图</w:t>
      </w:r>
    </w:p>
    <w:p w14:paraId="7C830453">
      <w:pPr>
        <w:pStyle w:val="109"/>
        <w:snapToGrid/>
        <w:ind w:firstLine="496"/>
        <w:jc w:val="both"/>
        <w:rPr>
          <w:rFonts w:hint="eastAsia"/>
          <w:b/>
          <w:bCs/>
          <w:spacing w:val="4"/>
        </w:rPr>
      </w:pPr>
      <w:r>
        <w:rPr>
          <w:rFonts w:hint="eastAsia"/>
          <w:spacing w:val="4"/>
        </w:rPr>
        <w:t>根据塔机平面布置示意图及现场的施工情况，以保证塔机使用时的安全。各塔机安装高度立面示意图如下；</w:t>
      </w:r>
    </w:p>
    <w:tbl>
      <w:tblPr>
        <w:tblStyle w:val="34"/>
        <w:tblW w:w="88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4135"/>
        <w:gridCol w:w="457"/>
        <w:gridCol w:w="3825"/>
      </w:tblGrid>
      <w:tr w14:paraId="318B7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7" w:hRule="atLeast"/>
        </w:trPr>
        <w:tc>
          <w:tcPr>
            <w:tcW w:w="479" w:type="dxa"/>
          </w:tcPr>
          <w:p w14:paraId="19D6A81E">
            <w:pPr>
              <w:pStyle w:val="110"/>
              <w:ind w:firstLine="0" w:firstLineChars="0"/>
            </w:pPr>
            <w:r>
              <w:rPr>
                <w:rFonts w:hint="eastAsia"/>
              </w:rPr>
              <w:t>2#塔吊</w:t>
            </w:r>
          </w:p>
          <w:p w14:paraId="14707D0B">
            <w:pPr>
              <w:pStyle w:val="110"/>
              <w:ind w:firstLine="0" w:firstLineChars="0"/>
            </w:pPr>
            <w:r>
              <w:rPr>
                <w:rFonts w:hint="eastAsia"/>
                <w:lang w:val="en-US" w:eastAsia="zh-CN"/>
              </w:rPr>
              <w:t>60</w:t>
            </w:r>
            <w:r>
              <w:rPr>
                <w:rFonts w:hint="eastAsia"/>
              </w:rPr>
              <w:t>m</w:t>
            </w:r>
          </w:p>
          <w:p w14:paraId="77E0A693">
            <w:pPr>
              <w:pStyle w:val="110"/>
              <w:ind w:firstLine="0" w:firstLineChars="0"/>
            </w:pPr>
            <w:r>
              <w:rPr>
                <w:rFonts w:hint="eastAsia"/>
              </w:rPr>
              <w:t>臂</w:t>
            </w:r>
          </w:p>
        </w:tc>
        <w:tc>
          <w:tcPr>
            <w:tcW w:w="4135" w:type="dxa"/>
          </w:tcPr>
          <w:p w14:paraId="795D9053">
            <w:pPr>
              <w:pStyle w:val="110"/>
              <w:ind w:firstLine="0" w:firstLineChars="0"/>
              <w:jc w:val="both"/>
            </w:pPr>
          </w:p>
          <w:p w14:paraId="5CFEF27D">
            <w:pPr>
              <w:pStyle w:val="110"/>
              <w:ind w:firstLine="0" w:firstLineChars="0"/>
              <w:jc w:val="both"/>
            </w:pPr>
            <w:r>
              <w:drawing>
                <wp:inline distT="0" distB="0" distL="114300" distR="114300">
                  <wp:extent cx="2481580" cy="1356995"/>
                  <wp:effectExtent l="0" t="0" r="13970" b="146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5"/>
                          <a:stretch>
                            <a:fillRect/>
                          </a:stretch>
                        </pic:blipFill>
                        <pic:spPr>
                          <a:xfrm>
                            <a:off x="0" y="0"/>
                            <a:ext cx="2481580" cy="1356995"/>
                          </a:xfrm>
                          <a:prstGeom prst="rect">
                            <a:avLst/>
                          </a:prstGeom>
                          <a:noFill/>
                          <a:ln>
                            <a:noFill/>
                          </a:ln>
                        </pic:spPr>
                      </pic:pic>
                    </a:graphicData>
                  </a:graphic>
                </wp:inline>
              </w:drawing>
            </w:r>
          </w:p>
        </w:tc>
        <w:tc>
          <w:tcPr>
            <w:tcW w:w="457" w:type="dxa"/>
          </w:tcPr>
          <w:p w14:paraId="6C16E1DF">
            <w:pPr>
              <w:pStyle w:val="110"/>
              <w:ind w:firstLine="480"/>
            </w:pPr>
            <w:r>
              <w:rPr>
                <w:rFonts w:hint="eastAsia"/>
              </w:rPr>
              <w:t>13#塔吊</w:t>
            </w:r>
          </w:p>
          <w:p w14:paraId="6E9DEED1">
            <w:pPr>
              <w:pStyle w:val="110"/>
              <w:ind w:firstLine="0" w:firstLineChars="0"/>
            </w:pPr>
            <w:r>
              <w:rPr>
                <w:rFonts w:hint="eastAsia"/>
                <w:lang w:val="en-US" w:eastAsia="zh-CN"/>
              </w:rPr>
              <w:t>60</w:t>
            </w:r>
            <w:r>
              <w:rPr>
                <w:rFonts w:hint="eastAsia"/>
              </w:rPr>
              <w:t>m</w:t>
            </w:r>
          </w:p>
          <w:p w14:paraId="352A3529">
            <w:pPr>
              <w:pStyle w:val="110"/>
              <w:ind w:firstLine="0" w:firstLineChars="0"/>
            </w:pPr>
            <w:r>
              <w:rPr>
                <w:rFonts w:hint="eastAsia"/>
              </w:rPr>
              <w:t>臂</w:t>
            </w:r>
          </w:p>
          <w:p w14:paraId="4372FD4B">
            <w:pPr>
              <w:pStyle w:val="110"/>
              <w:ind w:firstLine="0" w:firstLineChars="0"/>
            </w:pPr>
          </w:p>
        </w:tc>
        <w:tc>
          <w:tcPr>
            <w:tcW w:w="3825" w:type="dxa"/>
          </w:tcPr>
          <w:p w14:paraId="50D7F359">
            <w:pPr>
              <w:pStyle w:val="110"/>
              <w:ind w:firstLine="0" w:firstLineChars="0"/>
              <w:jc w:val="center"/>
            </w:pPr>
          </w:p>
          <w:p w14:paraId="299590E7">
            <w:pPr>
              <w:pStyle w:val="110"/>
              <w:ind w:firstLine="0" w:firstLineChars="0"/>
              <w:jc w:val="center"/>
            </w:pPr>
          </w:p>
          <w:p w14:paraId="04DD1C18">
            <w:pPr>
              <w:pStyle w:val="110"/>
              <w:ind w:firstLine="0" w:firstLineChars="0"/>
              <w:jc w:val="center"/>
            </w:pPr>
            <w:r>
              <w:drawing>
                <wp:inline distT="0" distB="0" distL="114300" distR="114300">
                  <wp:extent cx="2283460" cy="982980"/>
                  <wp:effectExtent l="0" t="0" r="254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6"/>
                          <a:stretch>
                            <a:fillRect/>
                          </a:stretch>
                        </pic:blipFill>
                        <pic:spPr>
                          <a:xfrm>
                            <a:off x="0" y="0"/>
                            <a:ext cx="2283460" cy="982980"/>
                          </a:xfrm>
                          <a:prstGeom prst="rect">
                            <a:avLst/>
                          </a:prstGeom>
                          <a:noFill/>
                          <a:ln>
                            <a:noFill/>
                          </a:ln>
                        </pic:spPr>
                      </pic:pic>
                    </a:graphicData>
                  </a:graphic>
                </wp:inline>
              </w:drawing>
            </w:r>
          </w:p>
        </w:tc>
      </w:tr>
      <w:tr w14:paraId="7CEAA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7" w:hRule="atLeast"/>
        </w:trPr>
        <w:tc>
          <w:tcPr>
            <w:tcW w:w="479" w:type="dxa"/>
          </w:tcPr>
          <w:p w14:paraId="1F062411">
            <w:pPr>
              <w:pStyle w:val="110"/>
              <w:ind w:firstLine="480"/>
            </w:pPr>
            <w:r>
              <w:rPr>
                <w:rFonts w:hint="eastAsia"/>
              </w:rPr>
              <w:t>4</w:t>
            </w:r>
            <w:r>
              <w:rPr>
                <w:rFonts w:hint="eastAsia"/>
                <w:lang w:val="en-US" w:eastAsia="zh-CN"/>
              </w:rPr>
              <w:t>4</w:t>
            </w:r>
            <w:r>
              <w:rPr>
                <w:rFonts w:hint="eastAsia"/>
              </w:rPr>
              <w:t>#塔吊</w:t>
            </w:r>
          </w:p>
          <w:p w14:paraId="1926C770">
            <w:pPr>
              <w:pStyle w:val="110"/>
              <w:ind w:firstLine="0" w:firstLineChars="0"/>
            </w:pPr>
            <w:r>
              <w:rPr>
                <w:rFonts w:hint="eastAsia"/>
                <w:lang w:val="en-US" w:eastAsia="zh-CN"/>
              </w:rPr>
              <w:t>60</w:t>
            </w:r>
            <w:r>
              <w:rPr>
                <w:rFonts w:hint="eastAsia"/>
              </w:rPr>
              <w:t>m</w:t>
            </w:r>
          </w:p>
          <w:p w14:paraId="6BC60AC7">
            <w:pPr>
              <w:pStyle w:val="110"/>
              <w:ind w:left="0" w:leftChars="0" w:firstLine="0" w:firstLineChars="0"/>
            </w:pPr>
            <w:r>
              <w:rPr>
                <w:rFonts w:hint="eastAsia"/>
              </w:rPr>
              <w:t>臂</w:t>
            </w:r>
          </w:p>
        </w:tc>
        <w:tc>
          <w:tcPr>
            <w:tcW w:w="4135" w:type="dxa"/>
          </w:tcPr>
          <w:p w14:paraId="279858EC">
            <w:pPr>
              <w:pStyle w:val="110"/>
              <w:ind w:firstLine="0" w:firstLineChars="0"/>
              <w:jc w:val="center"/>
            </w:pPr>
            <w:r>
              <w:drawing>
                <wp:inline distT="0" distB="0" distL="114300" distR="114300">
                  <wp:extent cx="2531110" cy="1589405"/>
                  <wp:effectExtent l="0" t="0" r="2540" b="1079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27"/>
                          <a:stretch>
                            <a:fillRect/>
                          </a:stretch>
                        </pic:blipFill>
                        <pic:spPr>
                          <a:xfrm>
                            <a:off x="0" y="0"/>
                            <a:ext cx="2531110" cy="1589405"/>
                          </a:xfrm>
                          <a:prstGeom prst="rect">
                            <a:avLst/>
                          </a:prstGeom>
                          <a:noFill/>
                          <a:ln>
                            <a:noFill/>
                          </a:ln>
                        </pic:spPr>
                      </pic:pic>
                    </a:graphicData>
                  </a:graphic>
                </wp:inline>
              </w:drawing>
            </w:r>
          </w:p>
        </w:tc>
        <w:tc>
          <w:tcPr>
            <w:tcW w:w="457" w:type="dxa"/>
          </w:tcPr>
          <w:p w14:paraId="606AD95A">
            <w:pPr>
              <w:pStyle w:val="110"/>
              <w:ind w:firstLine="0" w:firstLineChars="0"/>
            </w:pPr>
          </w:p>
          <w:p w14:paraId="7E213BCA">
            <w:pPr>
              <w:pStyle w:val="110"/>
              <w:ind w:firstLine="480"/>
            </w:pPr>
            <w:r>
              <w:rPr>
                <w:rFonts w:hint="eastAsia"/>
              </w:rPr>
              <w:t>臂</w:t>
            </w:r>
          </w:p>
        </w:tc>
        <w:tc>
          <w:tcPr>
            <w:tcW w:w="3825" w:type="dxa"/>
          </w:tcPr>
          <w:p w14:paraId="5BFFBC60">
            <w:pPr>
              <w:pStyle w:val="110"/>
              <w:ind w:firstLine="0" w:firstLineChars="0"/>
            </w:pPr>
          </w:p>
        </w:tc>
      </w:tr>
    </w:tbl>
    <w:p w14:paraId="4B21DE3C">
      <w:pPr>
        <w:ind w:firstLine="422"/>
        <w:jc w:val="center"/>
        <w:rPr>
          <w:rFonts w:hint="eastAsia" w:ascii="Times New Roman" w:hAnsi="Times New Roman" w:eastAsia="宋体" w:cs="Times New Roman"/>
          <w:b/>
          <w:bCs/>
          <w:sz w:val="21"/>
        </w:rPr>
      </w:pPr>
      <w:r>
        <w:rPr>
          <w:rFonts w:hint="eastAsia"/>
          <w:b/>
          <w:bCs/>
          <w:sz w:val="21"/>
        </w:rPr>
        <w:t>图2.3</w:t>
      </w:r>
      <w:r>
        <w:rPr>
          <w:rFonts w:hint="eastAsia"/>
          <w:b/>
          <w:bCs/>
          <w:sz w:val="21"/>
          <w:lang w:val="en-US" w:eastAsia="zh-CN"/>
        </w:rPr>
        <w:t>-</w:t>
      </w:r>
      <w:r>
        <w:rPr>
          <w:rFonts w:hint="eastAsia"/>
          <w:b/>
          <w:bCs/>
          <w:sz w:val="21"/>
        </w:rPr>
        <w:t>2　塔</w:t>
      </w:r>
      <w:r>
        <w:rPr>
          <w:rFonts w:hint="eastAsia" w:ascii="Times New Roman" w:hAnsi="Times New Roman" w:eastAsia="宋体" w:cs="Times New Roman"/>
          <w:b/>
          <w:bCs/>
          <w:sz w:val="21"/>
        </w:rPr>
        <w:t>机立面高度布置示意图</w:t>
      </w:r>
    </w:p>
    <w:p w14:paraId="6D578427">
      <w:pPr>
        <w:pStyle w:val="3"/>
        <w:spacing w:before="156" w:after="156"/>
        <w:ind w:firstLine="562"/>
      </w:pPr>
      <w:bookmarkStart w:id="45" w:name="_Toc2684"/>
      <w:r>
        <w:rPr>
          <w:rFonts w:hint="eastAsia"/>
        </w:rPr>
        <w:t>施工要求</w:t>
      </w:r>
      <w:bookmarkEnd w:id="38"/>
      <w:bookmarkEnd w:id="39"/>
      <w:bookmarkEnd w:id="40"/>
      <w:bookmarkEnd w:id="41"/>
      <w:bookmarkEnd w:id="42"/>
      <w:bookmarkEnd w:id="43"/>
      <w:bookmarkEnd w:id="44"/>
      <w:bookmarkEnd w:id="45"/>
    </w:p>
    <w:p w14:paraId="5175BCA2">
      <w:pPr>
        <w:ind w:firstLine="480"/>
      </w:pPr>
      <w:r>
        <w:rPr>
          <w:rFonts w:hint="eastAsia"/>
        </w:rPr>
        <w:t>要在符合质量安全前提下，同时在保证工期时间内圆满完成工程施工。</w:t>
      </w:r>
    </w:p>
    <w:p w14:paraId="2CD2856B">
      <w:pPr>
        <w:pStyle w:val="3"/>
        <w:spacing w:before="156" w:after="156"/>
        <w:ind w:firstLine="562"/>
      </w:pPr>
      <w:bookmarkStart w:id="46" w:name="_Toc30248"/>
      <w:bookmarkStart w:id="47" w:name="_Toc30509"/>
      <w:bookmarkStart w:id="48" w:name="_Toc25968"/>
      <w:bookmarkStart w:id="49" w:name="_Toc6334"/>
      <w:bookmarkStart w:id="50" w:name="_Toc9438"/>
      <w:bookmarkStart w:id="51" w:name="_Toc3176"/>
      <w:bookmarkStart w:id="52" w:name="_Toc1908"/>
      <w:bookmarkStart w:id="53" w:name="_Toc560_WPSOffice_Level2"/>
      <w:r>
        <w:rPr>
          <w:rFonts w:hint="eastAsia"/>
        </w:rPr>
        <w:t>技术保证条件</w:t>
      </w:r>
      <w:bookmarkEnd w:id="46"/>
      <w:bookmarkEnd w:id="47"/>
      <w:bookmarkEnd w:id="48"/>
      <w:bookmarkEnd w:id="49"/>
      <w:bookmarkEnd w:id="50"/>
      <w:bookmarkEnd w:id="51"/>
      <w:bookmarkEnd w:id="52"/>
      <w:bookmarkEnd w:id="53"/>
    </w:p>
    <w:p w14:paraId="2355294C">
      <w:pPr>
        <w:pStyle w:val="4"/>
        <w:spacing w:before="156"/>
        <w:ind w:firstLine="482"/>
      </w:pPr>
      <w:bookmarkStart w:id="54" w:name="_Toc9676"/>
      <w:r>
        <w:rPr>
          <w:rFonts w:hint="eastAsia"/>
        </w:rPr>
        <w:t>技术保证</w:t>
      </w:r>
      <w:bookmarkEnd w:id="54"/>
    </w:p>
    <w:p w14:paraId="151E10C5">
      <w:pPr>
        <w:ind w:firstLine="480"/>
      </w:pPr>
      <w:bookmarkStart w:id="55" w:name="_Toc31780"/>
      <w:r>
        <w:rPr>
          <w:rFonts w:hint="eastAsia"/>
          <w:color w:val="000000" w:themeColor="text1"/>
          <w14:textFill>
            <w14:solidFill>
              <w14:schemeClr w14:val="tx1"/>
            </w14:solidFill>
          </w14:textFill>
        </w:rPr>
        <w:t>塔吊施工前，需完成土地勘测及场地平整工作，并编制专项施工方案，预测施工过程可能出现的风险，审批完成后</w:t>
      </w:r>
      <w:r>
        <w:rPr>
          <w:rFonts w:hint="eastAsia"/>
        </w:rPr>
        <w:t>作为工程施工的指导性文件。方案审批完成后，应及时进行一级技术交底，并协助工长及班组长完成二三级技术交底。组织有关人员对施工工艺、设计要求、规范要求进行学习。</w:t>
      </w:r>
    </w:p>
    <w:p w14:paraId="3D7605F8">
      <w:pPr>
        <w:pStyle w:val="4"/>
        <w:spacing w:before="156"/>
        <w:ind w:firstLine="482"/>
      </w:pPr>
      <w:r>
        <w:rPr>
          <w:rFonts w:hint="eastAsia"/>
        </w:rPr>
        <w:t>现场施工保证</w:t>
      </w:r>
      <w:bookmarkEnd w:id="55"/>
    </w:p>
    <w:p w14:paraId="73CFE1F8">
      <w:pPr>
        <w:ind w:firstLine="480"/>
      </w:pPr>
      <w:bookmarkStart w:id="56" w:name="_Toc20361"/>
      <w:bookmarkStart w:id="57" w:name="_Toc7040_WPSOffice_Level1"/>
      <w:bookmarkStart w:id="58" w:name="_Toc6272"/>
      <w:bookmarkStart w:id="59" w:name="_Toc26098"/>
      <w:bookmarkStart w:id="60" w:name="_Toc19234"/>
      <w:bookmarkStart w:id="61" w:name="_Toc25511"/>
      <w:bookmarkStart w:id="62" w:name="_Toc5253"/>
      <w:r>
        <w:rPr>
          <w:rFonts w:hint="eastAsia"/>
        </w:rPr>
        <w:t>1、塔吊司机持证上岗，身体健康，严格遵守塔机作业相关要求。</w:t>
      </w:r>
      <w:bookmarkEnd w:id="56"/>
    </w:p>
    <w:p w14:paraId="091CCFFF">
      <w:pPr>
        <w:ind w:firstLine="480"/>
      </w:pPr>
      <w:r>
        <w:rPr>
          <w:rFonts w:hint="eastAsia"/>
        </w:rPr>
        <w:t>2、确保每台塔机配备2名司索工、1名信号工，塔机司机遵照信号工的指挥进行操作。</w:t>
      </w:r>
    </w:p>
    <w:p w14:paraId="31642881">
      <w:pPr>
        <w:ind w:firstLine="480"/>
      </w:pPr>
      <w:bookmarkStart w:id="63" w:name="_Toc5345"/>
      <w:r>
        <w:rPr>
          <w:rFonts w:hint="eastAsia"/>
        </w:rPr>
        <w:t>3、配备足够的通讯器材，以保证沟通畅通。</w:t>
      </w:r>
      <w:bookmarkEnd w:id="63"/>
    </w:p>
    <w:p w14:paraId="6A729F8C">
      <w:pPr>
        <w:ind w:firstLine="480"/>
      </w:pPr>
      <w:r>
        <w:rPr>
          <w:rFonts w:hint="eastAsia"/>
        </w:rPr>
        <w:t>4、安全员与机械管理员严格监督塔吊运行，制定相关奖惩制度，对遵章守纪人员进行奖励，加大对违章操作的惩治。</w:t>
      </w:r>
    </w:p>
    <w:p w14:paraId="4A5FB106">
      <w:pPr>
        <w:pStyle w:val="2"/>
        <w:spacing w:before="156" w:after="156"/>
        <w:ind w:firstLine="643"/>
        <w:sectPr>
          <w:pgSz w:w="11906" w:h="16838"/>
          <w:pgMar w:top="1440" w:right="1800" w:bottom="1440" w:left="1800" w:header="851" w:footer="992" w:gutter="0"/>
          <w:pgNumType w:start="1"/>
          <w:cols w:space="425" w:num="1"/>
          <w:docGrid w:type="lines" w:linePitch="312" w:charSpace="0"/>
        </w:sectPr>
      </w:pPr>
    </w:p>
    <w:p w14:paraId="541713FC">
      <w:pPr>
        <w:pStyle w:val="2"/>
        <w:spacing w:before="156" w:after="156"/>
        <w:ind w:firstLine="643"/>
      </w:pPr>
      <w:bookmarkStart w:id="64" w:name="_Toc29326"/>
      <w:r>
        <w:rPr>
          <w:rFonts w:hint="eastAsia"/>
        </w:rPr>
        <w:t>施工计划</w:t>
      </w:r>
      <w:bookmarkEnd w:id="57"/>
      <w:bookmarkEnd w:id="58"/>
      <w:bookmarkEnd w:id="59"/>
      <w:bookmarkEnd w:id="60"/>
      <w:bookmarkEnd w:id="61"/>
      <w:bookmarkEnd w:id="62"/>
      <w:bookmarkEnd w:id="64"/>
    </w:p>
    <w:p w14:paraId="14669E77">
      <w:pPr>
        <w:pStyle w:val="3"/>
        <w:spacing w:before="156" w:after="156"/>
        <w:ind w:firstLine="562"/>
      </w:pPr>
      <w:bookmarkStart w:id="65" w:name="_Toc21212"/>
      <w:bookmarkStart w:id="66" w:name="_Toc3779"/>
      <w:bookmarkStart w:id="67" w:name="_Toc19878"/>
      <w:bookmarkStart w:id="68" w:name="_Toc1059"/>
      <w:bookmarkStart w:id="69" w:name="_Toc6158"/>
      <w:bookmarkStart w:id="70" w:name="_Toc22533_WPSOffice_Level2"/>
      <w:bookmarkStart w:id="71" w:name="_Toc23594"/>
      <w:bookmarkStart w:id="72" w:name="_Toc9425"/>
      <w:r>
        <w:rPr>
          <w:rFonts w:hint="eastAsia"/>
        </w:rPr>
        <w:t>施工进度计划</w:t>
      </w:r>
      <w:bookmarkEnd w:id="65"/>
      <w:bookmarkEnd w:id="66"/>
      <w:bookmarkEnd w:id="67"/>
      <w:bookmarkEnd w:id="68"/>
      <w:bookmarkEnd w:id="69"/>
      <w:bookmarkEnd w:id="70"/>
      <w:bookmarkEnd w:id="71"/>
      <w:bookmarkEnd w:id="72"/>
    </w:p>
    <w:p w14:paraId="3FD9EEA2">
      <w:pPr>
        <w:ind w:firstLine="0" w:firstLineChars="0"/>
        <w:jc w:val="center"/>
      </w:pPr>
      <w:r>
        <w:rPr>
          <w:rFonts w:hint="eastAsia"/>
          <w:b/>
        </w:rPr>
        <w:t>表3.1-1塔吊安拆施工进度计划表</w:t>
      </w:r>
    </w:p>
    <w:tbl>
      <w:tblPr>
        <w:tblStyle w:val="33"/>
        <w:tblW w:w="8498"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63"/>
        <w:gridCol w:w="1676"/>
        <w:gridCol w:w="1328"/>
        <w:gridCol w:w="1356"/>
        <w:gridCol w:w="1441"/>
        <w:gridCol w:w="1634"/>
      </w:tblGrid>
      <w:tr w14:paraId="710A9BA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jc w:val="center"/>
        </w:trPr>
        <w:tc>
          <w:tcPr>
            <w:tcW w:w="1063" w:type="dxa"/>
            <w:vMerge w:val="restart"/>
            <w:tcBorders>
              <w:tl2br w:val="nil"/>
              <w:tr2bl w:val="nil"/>
            </w:tcBorders>
            <w:shd w:val="clear" w:color="auto" w:fill="auto"/>
            <w:vAlign w:val="center"/>
          </w:tcPr>
          <w:p w14:paraId="26A4878F">
            <w:pPr>
              <w:pStyle w:val="50"/>
              <w:adjustRightInd w:val="0"/>
              <w:snapToGrid w:val="0"/>
              <w:rPr>
                <w:rFonts w:ascii="宋体" w:hAnsi="宋体" w:cs="宋体"/>
                <w:szCs w:val="21"/>
              </w:rPr>
            </w:pPr>
            <w:r>
              <w:rPr>
                <w:rFonts w:ascii="宋体" w:hAnsi="宋体" w:cs="宋体"/>
                <w:szCs w:val="21"/>
              </w:rPr>
              <w:t>现场编号</w:t>
            </w:r>
          </w:p>
        </w:tc>
        <w:tc>
          <w:tcPr>
            <w:tcW w:w="1676" w:type="dxa"/>
            <w:vMerge w:val="restart"/>
            <w:tcBorders>
              <w:tl2br w:val="nil"/>
              <w:tr2bl w:val="nil"/>
            </w:tcBorders>
            <w:shd w:val="clear" w:color="auto" w:fill="auto"/>
            <w:vAlign w:val="center"/>
          </w:tcPr>
          <w:p w14:paraId="10F1301A">
            <w:pPr>
              <w:pStyle w:val="50"/>
              <w:adjustRightInd w:val="0"/>
              <w:snapToGrid w:val="0"/>
              <w:rPr>
                <w:rFonts w:ascii="宋体" w:hAnsi="宋体" w:cs="宋体"/>
                <w:szCs w:val="21"/>
              </w:rPr>
            </w:pPr>
            <w:r>
              <w:rPr>
                <w:rFonts w:ascii="宋体" w:hAnsi="宋体" w:cs="宋体"/>
                <w:szCs w:val="21"/>
              </w:rPr>
              <w:t>塔吊型号</w:t>
            </w:r>
          </w:p>
        </w:tc>
        <w:tc>
          <w:tcPr>
            <w:tcW w:w="2684" w:type="dxa"/>
            <w:gridSpan w:val="2"/>
            <w:tcBorders>
              <w:tl2br w:val="nil"/>
              <w:tr2bl w:val="nil"/>
            </w:tcBorders>
            <w:shd w:val="clear" w:color="auto" w:fill="auto"/>
            <w:vAlign w:val="center"/>
          </w:tcPr>
          <w:p w14:paraId="0FCEFCF0">
            <w:pPr>
              <w:pStyle w:val="50"/>
              <w:adjustRightInd w:val="0"/>
              <w:snapToGrid w:val="0"/>
              <w:rPr>
                <w:rFonts w:ascii="宋体" w:hAnsi="宋体" w:cs="宋体"/>
                <w:szCs w:val="21"/>
              </w:rPr>
            </w:pPr>
            <w:r>
              <w:rPr>
                <w:rFonts w:ascii="宋体" w:hAnsi="宋体" w:cs="宋体"/>
                <w:szCs w:val="21"/>
              </w:rPr>
              <w:t>安装作业</w:t>
            </w:r>
          </w:p>
        </w:tc>
        <w:tc>
          <w:tcPr>
            <w:tcW w:w="3075" w:type="dxa"/>
            <w:gridSpan w:val="2"/>
            <w:tcBorders>
              <w:tl2br w:val="nil"/>
              <w:tr2bl w:val="nil"/>
            </w:tcBorders>
            <w:shd w:val="clear" w:color="auto" w:fill="auto"/>
            <w:vAlign w:val="center"/>
          </w:tcPr>
          <w:p w14:paraId="12CA2C1A">
            <w:pPr>
              <w:pStyle w:val="50"/>
              <w:adjustRightInd w:val="0"/>
              <w:snapToGrid w:val="0"/>
              <w:rPr>
                <w:rFonts w:ascii="宋体" w:hAnsi="宋体" w:cs="宋体"/>
                <w:szCs w:val="21"/>
              </w:rPr>
            </w:pPr>
            <w:r>
              <w:rPr>
                <w:rFonts w:ascii="宋体" w:hAnsi="宋体" w:cs="宋体"/>
                <w:szCs w:val="21"/>
              </w:rPr>
              <w:t>拆除作业</w:t>
            </w:r>
          </w:p>
        </w:tc>
      </w:tr>
      <w:tr w14:paraId="094603D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1063" w:type="dxa"/>
            <w:vMerge w:val="continue"/>
            <w:tcBorders>
              <w:tl2br w:val="nil"/>
              <w:tr2bl w:val="nil"/>
            </w:tcBorders>
            <w:shd w:val="clear" w:color="auto" w:fill="auto"/>
            <w:vAlign w:val="center"/>
          </w:tcPr>
          <w:p w14:paraId="3F02A7C4">
            <w:pPr>
              <w:pStyle w:val="50"/>
              <w:adjustRightInd w:val="0"/>
              <w:snapToGrid w:val="0"/>
              <w:rPr>
                <w:rFonts w:ascii="宋体" w:hAnsi="宋体" w:cs="宋体"/>
                <w:szCs w:val="21"/>
              </w:rPr>
            </w:pPr>
          </w:p>
        </w:tc>
        <w:tc>
          <w:tcPr>
            <w:tcW w:w="1676" w:type="dxa"/>
            <w:vMerge w:val="continue"/>
            <w:tcBorders>
              <w:tl2br w:val="nil"/>
              <w:tr2bl w:val="nil"/>
            </w:tcBorders>
            <w:shd w:val="clear" w:color="auto" w:fill="auto"/>
            <w:vAlign w:val="center"/>
          </w:tcPr>
          <w:p w14:paraId="63EAF054">
            <w:pPr>
              <w:pStyle w:val="50"/>
              <w:adjustRightInd w:val="0"/>
              <w:snapToGrid w:val="0"/>
              <w:rPr>
                <w:rFonts w:ascii="宋体" w:hAnsi="宋体" w:cs="宋体"/>
                <w:szCs w:val="21"/>
              </w:rPr>
            </w:pPr>
          </w:p>
        </w:tc>
        <w:tc>
          <w:tcPr>
            <w:tcW w:w="1328" w:type="dxa"/>
            <w:tcBorders>
              <w:tl2br w:val="nil"/>
              <w:tr2bl w:val="nil"/>
            </w:tcBorders>
            <w:shd w:val="clear" w:color="auto" w:fill="auto"/>
            <w:vAlign w:val="center"/>
          </w:tcPr>
          <w:p w14:paraId="4712B675">
            <w:pPr>
              <w:pStyle w:val="50"/>
              <w:adjustRightInd w:val="0"/>
              <w:snapToGrid w:val="0"/>
              <w:rPr>
                <w:rFonts w:ascii="宋体" w:hAnsi="宋体" w:cs="宋体"/>
                <w:szCs w:val="21"/>
              </w:rPr>
            </w:pPr>
            <w:r>
              <w:rPr>
                <w:rFonts w:ascii="宋体" w:hAnsi="宋体" w:cs="宋体"/>
                <w:szCs w:val="21"/>
              </w:rPr>
              <w:t>开始安装</w:t>
            </w:r>
          </w:p>
        </w:tc>
        <w:tc>
          <w:tcPr>
            <w:tcW w:w="1356" w:type="dxa"/>
            <w:tcBorders>
              <w:tl2br w:val="nil"/>
              <w:tr2bl w:val="nil"/>
            </w:tcBorders>
            <w:shd w:val="clear" w:color="auto" w:fill="auto"/>
            <w:vAlign w:val="center"/>
          </w:tcPr>
          <w:p w14:paraId="33EE8E95">
            <w:pPr>
              <w:pStyle w:val="50"/>
              <w:adjustRightInd w:val="0"/>
              <w:snapToGrid w:val="0"/>
              <w:rPr>
                <w:rFonts w:ascii="宋体" w:hAnsi="宋体" w:cs="宋体"/>
                <w:szCs w:val="21"/>
              </w:rPr>
            </w:pPr>
            <w:r>
              <w:rPr>
                <w:rFonts w:ascii="宋体" w:hAnsi="宋体" w:cs="宋体"/>
                <w:szCs w:val="21"/>
              </w:rPr>
              <w:t>投入使用</w:t>
            </w:r>
          </w:p>
        </w:tc>
        <w:tc>
          <w:tcPr>
            <w:tcW w:w="1441" w:type="dxa"/>
            <w:tcBorders>
              <w:tl2br w:val="nil"/>
              <w:tr2bl w:val="nil"/>
            </w:tcBorders>
            <w:shd w:val="clear" w:color="auto" w:fill="auto"/>
            <w:vAlign w:val="center"/>
          </w:tcPr>
          <w:p w14:paraId="61E0A911">
            <w:pPr>
              <w:pStyle w:val="50"/>
              <w:adjustRightInd w:val="0"/>
              <w:snapToGrid w:val="0"/>
              <w:rPr>
                <w:rFonts w:ascii="宋体" w:hAnsi="宋体" w:cs="宋体"/>
                <w:szCs w:val="21"/>
              </w:rPr>
            </w:pPr>
            <w:r>
              <w:rPr>
                <w:rFonts w:ascii="宋体" w:hAnsi="宋体" w:cs="宋体"/>
                <w:szCs w:val="21"/>
              </w:rPr>
              <w:t>停止使用</w:t>
            </w:r>
          </w:p>
        </w:tc>
        <w:tc>
          <w:tcPr>
            <w:tcW w:w="1634" w:type="dxa"/>
            <w:tcBorders>
              <w:tl2br w:val="nil"/>
              <w:tr2bl w:val="nil"/>
            </w:tcBorders>
            <w:shd w:val="clear" w:color="auto" w:fill="auto"/>
            <w:vAlign w:val="center"/>
          </w:tcPr>
          <w:p w14:paraId="02C2E133">
            <w:pPr>
              <w:pStyle w:val="50"/>
              <w:adjustRightInd w:val="0"/>
              <w:snapToGrid w:val="0"/>
              <w:rPr>
                <w:rFonts w:ascii="宋体" w:hAnsi="宋体" w:cs="宋体"/>
                <w:szCs w:val="21"/>
              </w:rPr>
            </w:pPr>
            <w:r>
              <w:rPr>
                <w:rFonts w:ascii="宋体" w:hAnsi="宋体" w:cs="宋体"/>
                <w:szCs w:val="21"/>
              </w:rPr>
              <w:t>拆除完成</w:t>
            </w:r>
          </w:p>
        </w:tc>
      </w:tr>
      <w:tr w14:paraId="48BEA93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063" w:type="dxa"/>
            <w:tcBorders>
              <w:tl2br w:val="nil"/>
              <w:tr2bl w:val="nil"/>
            </w:tcBorders>
            <w:shd w:val="clear" w:color="auto" w:fill="auto"/>
            <w:vAlign w:val="center"/>
          </w:tcPr>
          <w:p w14:paraId="5E0E56A7">
            <w:pPr>
              <w:pStyle w:val="50"/>
              <w:adjustRightInd w:val="0"/>
              <w:snapToGrid w:val="0"/>
              <w:rPr>
                <w:rFonts w:ascii="宋体" w:hAnsi="宋体" w:cs="宋体"/>
                <w:snapToGrid w:val="0"/>
                <w:kern w:val="0"/>
                <w:szCs w:val="21"/>
              </w:rPr>
            </w:pPr>
            <w:r>
              <w:rPr>
                <w:rFonts w:ascii="宋体" w:hAnsi="宋体" w:cs="宋体"/>
                <w:szCs w:val="21"/>
              </w:rPr>
              <w:t>2#</w:t>
            </w:r>
          </w:p>
        </w:tc>
        <w:tc>
          <w:tcPr>
            <w:tcW w:w="1676" w:type="dxa"/>
            <w:tcBorders>
              <w:tl2br w:val="nil"/>
              <w:tr2bl w:val="nil"/>
            </w:tcBorders>
            <w:shd w:val="clear" w:color="auto" w:fill="auto"/>
            <w:vAlign w:val="center"/>
          </w:tcPr>
          <w:p w14:paraId="671F25B0">
            <w:pPr>
              <w:adjustRightInd w:val="0"/>
              <w:snapToGrid w:val="0"/>
              <w:ind w:firstLine="0" w:firstLineChars="0"/>
              <w:rPr>
                <w:rFonts w:hint="eastAsia" w:ascii="宋体" w:hAnsi="宋体" w:cs="宋体"/>
                <w:snapToGrid w:val="0"/>
                <w:kern w:val="0"/>
                <w:sz w:val="21"/>
              </w:rPr>
            </w:pPr>
            <w:r>
              <w:rPr>
                <w:rFonts w:hint="eastAsia" w:ascii="宋体" w:hAnsi="宋体" w:cs="宋体"/>
                <w:sz w:val="21"/>
              </w:rPr>
              <w:t>XGT6015-8S1型</w:t>
            </w:r>
          </w:p>
        </w:tc>
        <w:tc>
          <w:tcPr>
            <w:tcW w:w="1328" w:type="dxa"/>
            <w:tcBorders>
              <w:tl2br w:val="nil"/>
              <w:tr2bl w:val="nil"/>
            </w:tcBorders>
            <w:shd w:val="clear" w:color="auto" w:fill="auto"/>
            <w:vAlign w:val="center"/>
          </w:tcPr>
          <w:p w14:paraId="30F5CA79">
            <w:pPr>
              <w:pStyle w:val="50"/>
              <w:adjustRightInd w:val="0"/>
              <w:snapToGrid w:val="0"/>
              <w:rPr>
                <w:rFonts w:ascii="宋体" w:hAnsi="宋体" w:cs="宋体"/>
                <w:snapToGrid w:val="0"/>
                <w:kern w:val="0"/>
                <w:szCs w:val="21"/>
              </w:rPr>
            </w:pPr>
          </w:p>
        </w:tc>
        <w:tc>
          <w:tcPr>
            <w:tcW w:w="1356" w:type="dxa"/>
            <w:tcBorders>
              <w:tl2br w:val="nil"/>
              <w:tr2bl w:val="nil"/>
            </w:tcBorders>
            <w:shd w:val="clear" w:color="auto" w:fill="auto"/>
            <w:vAlign w:val="center"/>
          </w:tcPr>
          <w:p w14:paraId="60654F42">
            <w:pPr>
              <w:pStyle w:val="50"/>
              <w:adjustRightInd w:val="0"/>
              <w:snapToGrid w:val="0"/>
              <w:ind w:firstLine="0" w:firstLineChars="0"/>
              <w:rPr>
                <w:rFonts w:ascii="宋体" w:hAnsi="宋体" w:cs="宋体"/>
                <w:snapToGrid w:val="0"/>
                <w:kern w:val="0"/>
                <w:szCs w:val="21"/>
              </w:rPr>
            </w:pPr>
          </w:p>
        </w:tc>
        <w:tc>
          <w:tcPr>
            <w:tcW w:w="1441" w:type="dxa"/>
            <w:tcBorders>
              <w:tl2br w:val="nil"/>
              <w:tr2bl w:val="nil"/>
            </w:tcBorders>
            <w:shd w:val="clear" w:color="auto" w:fill="auto"/>
            <w:vAlign w:val="center"/>
          </w:tcPr>
          <w:p w14:paraId="299E85DF">
            <w:pPr>
              <w:pStyle w:val="50"/>
              <w:adjustRightInd w:val="0"/>
              <w:snapToGrid w:val="0"/>
              <w:ind w:firstLine="0" w:firstLineChars="0"/>
              <w:rPr>
                <w:rFonts w:ascii="宋体" w:hAnsi="宋体" w:cs="宋体"/>
                <w:snapToGrid w:val="0"/>
                <w:kern w:val="0"/>
                <w:szCs w:val="21"/>
              </w:rPr>
            </w:pPr>
          </w:p>
        </w:tc>
        <w:tc>
          <w:tcPr>
            <w:tcW w:w="1634" w:type="dxa"/>
            <w:tcBorders>
              <w:tl2br w:val="nil"/>
              <w:tr2bl w:val="nil"/>
            </w:tcBorders>
            <w:shd w:val="clear" w:color="auto" w:fill="auto"/>
            <w:vAlign w:val="center"/>
          </w:tcPr>
          <w:p w14:paraId="41828F42">
            <w:pPr>
              <w:pStyle w:val="50"/>
              <w:adjustRightInd w:val="0"/>
              <w:snapToGrid w:val="0"/>
              <w:ind w:firstLine="0" w:firstLineChars="0"/>
              <w:rPr>
                <w:rFonts w:ascii="宋体" w:hAnsi="宋体" w:cs="宋体"/>
                <w:snapToGrid w:val="0"/>
                <w:kern w:val="0"/>
                <w:szCs w:val="21"/>
              </w:rPr>
            </w:pPr>
          </w:p>
        </w:tc>
      </w:tr>
      <w:tr w14:paraId="4B02C83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1063" w:type="dxa"/>
            <w:tcBorders>
              <w:tl2br w:val="nil"/>
              <w:tr2bl w:val="nil"/>
            </w:tcBorders>
            <w:shd w:val="clear" w:color="auto" w:fill="auto"/>
            <w:vAlign w:val="center"/>
          </w:tcPr>
          <w:p w14:paraId="556FC0A9">
            <w:pPr>
              <w:pStyle w:val="50"/>
              <w:adjustRightInd w:val="0"/>
              <w:snapToGrid w:val="0"/>
              <w:rPr>
                <w:rFonts w:ascii="宋体" w:hAnsi="宋体" w:cs="宋体"/>
                <w:snapToGrid w:val="0"/>
                <w:kern w:val="0"/>
                <w:szCs w:val="21"/>
              </w:rPr>
            </w:pPr>
            <w:r>
              <w:rPr>
                <w:rFonts w:ascii="宋体" w:hAnsi="宋体" w:cs="宋体"/>
                <w:szCs w:val="21"/>
              </w:rPr>
              <w:t>3#</w:t>
            </w:r>
          </w:p>
        </w:tc>
        <w:tc>
          <w:tcPr>
            <w:tcW w:w="1676" w:type="dxa"/>
            <w:tcBorders>
              <w:tl2br w:val="nil"/>
              <w:tr2bl w:val="nil"/>
            </w:tcBorders>
            <w:shd w:val="clear" w:color="auto" w:fill="auto"/>
            <w:vAlign w:val="center"/>
          </w:tcPr>
          <w:p w14:paraId="3B3EE704">
            <w:pPr>
              <w:adjustRightInd w:val="0"/>
              <w:snapToGrid w:val="0"/>
              <w:ind w:firstLine="0" w:firstLineChars="0"/>
              <w:rPr>
                <w:rFonts w:hint="eastAsia" w:ascii="宋体" w:hAnsi="宋体" w:cs="宋体"/>
                <w:snapToGrid w:val="0"/>
                <w:kern w:val="0"/>
                <w:sz w:val="21"/>
              </w:rPr>
            </w:pPr>
            <w:r>
              <w:rPr>
                <w:rFonts w:hint="eastAsia" w:ascii="宋体" w:hAnsi="宋体" w:cs="宋体"/>
                <w:sz w:val="21"/>
              </w:rPr>
              <w:t>XGT601</w:t>
            </w:r>
            <w:r>
              <w:rPr>
                <w:rFonts w:hint="eastAsia" w:ascii="宋体" w:hAnsi="宋体" w:cs="宋体"/>
                <w:sz w:val="21"/>
                <w:lang w:val="en-US" w:eastAsia="zh-CN"/>
              </w:rPr>
              <w:t>3</w:t>
            </w:r>
            <w:r>
              <w:rPr>
                <w:rFonts w:hint="eastAsia" w:ascii="宋体" w:hAnsi="宋体" w:cs="宋体"/>
                <w:sz w:val="21"/>
              </w:rPr>
              <w:t>-</w:t>
            </w:r>
            <w:r>
              <w:rPr>
                <w:rFonts w:hint="eastAsia" w:ascii="宋体" w:hAnsi="宋体" w:cs="宋体"/>
                <w:sz w:val="21"/>
                <w:lang w:val="en-US" w:eastAsia="zh-CN"/>
              </w:rPr>
              <w:t>6</w:t>
            </w:r>
            <w:r>
              <w:rPr>
                <w:rFonts w:hint="eastAsia" w:ascii="宋体" w:hAnsi="宋体" w:cs="宋体"/>
                <w:sz w:val="21"/>
              </w:rPr>
              <w:t>S1型</w:t>
            </w:r>
          </w:p>
        </w:tc>
        <w:tc>
          <w:tcPr>
            <w:tcW w:w="1328" w:type="dxa"/>
            <w:tcBorders>
              <w:tl2br w:val="nil"/>
              <w:tr2bl w:val="nil"/>
            </w:tcBorders>
            <w:shd w:val="clear" w:color="auto" w:fill="auto"/>
            <w:vAlign w:val="center"/>
          </w:tcPr>
          <w:p w14:paraId="77315333">
            <w:pPr>
              <w:pStyle w:val="50"/>
              <w:adjustRightInd w:val="0"/>
              <w:snapToGrid w:val="0"/>
              <w:rPr>
                <w:rFonts w:ascii="宋体" w:hAnsi="宋体" w:cs="宋体"/>
                <w:snapToGrid w:val="0"/>
                <w:kern w:val="0"/>
                <w:szCs w:val="21"/>
              </w:rPr>
            </w:pPr>
          </w:p>
        </w:tc>
        <w:tc>
          <w:tcPr>
            <w:tcW w:w="1356" w:type="dxa"/>
            <w:tcBorders>
              <w:tl2br w:val="nil"/>
              <w:tr2bl w:val="nil"/>
            </w:tcBorders>
            <w:shd w:val="clear" w:color="auto" w:fill="auto"/>
            <w:vAlign w:val="center"/>
          </w:tcPr>
          <w:p w14:paraId="3A51C80F">
            <w:pPr>
              <w:pStyle w:val="50"/>
              <w:adjustRightInd w:val="0"/>
              <w:snapToGrid w:val="0"/>
              <w:ind w:firstLine="0" w:firstLineChars="0"/>
              <w:rPr>
                <w:rFonts w:ascii="宋体" w:hAnsi="宋体" w:cs="宋体"/>
                <w:snapToGrid w:val="0"/>
                <w:kern w:val="0"/>
                <w:szCs w:val="21"/>
              </w:rPr>
            </w:pPr>
          </w:p>
        </w:tc>
        <w:tc>
          <w:tcPr>
            <w:tcW w:w="1441" w:type="dxa"/>
            <w:tcBorders>
              <w:tl2br w:val="nil"/>
              <w:tr2bl w:val="nil"/>
            </w:tcBorders>
            <w:shd w:val="clear" w:color="auto" w:fill="auto"/>
            <w:vAlign w:val="center"/>
          </w:tcPr>
          <w:p w14:paraId="6E74BD17">
            <w:pPr>
              <w:pStyle w:val="50"/>
              <w:adjustRightInd w:val="0"/>
              <w:snapToGrid w:val="0"/>
              <w:ind w:firstLine="0" w:firstLineChars="0"/>
              <w:rPr>
                <w:rFonts w:ascii="宋体" w:hAnsi="宋体" w:cs="宋体"/>
                <w:snapToGrid w:val="0"/>
                <w:kern w:val="0"/>
                <w:szCs w:val="21"/>
              </w:rPr>
            </w:pPr>
          </w:p>
        </w:tc>
        <w:tc>
          <w:tcPr>
            <w:tcW w:w="1634" w:type="dxa"/>
            <w:tcBorders>
              <w:tl2br w:val="nil"/>
              <w:tr2bl w:val="nil"/>
            </w:tcBorders>
            <w:shd w:val="clear" w:color="auto" w:fill="auto"/>
            <w:vAlign w:val="center"/>
          </w:tcPr>
          <w:p w14:paraId="0F870CCD">
            <w:pPr>
              <w:pStyle w:val="50"/>
              <w:adjustRightInd w:val="0"/>
              <w:snapToGrid w:val="0"/>
              <w:ind w:firstLine="0" w:firstLineChars="0"/>
              <w:rPr>
                <w:rFonts w:ascii="宋体" w:hAnsi="宋体" w:cs="宋体"/>
                <w:snapToGrid w:val="0"/>
                <w:kern w:val="0"/>
                <w:szCs w:val="21"/>
              </w:rPr>
            </w:pPr>
          </w:p>
        </w:tc>
      </w:tr>
      <w:tr w14:paraId="6D9D450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1063" w:type="dxa"/>
            <w:tcBorders>
              <w:tl2br w:val="nil"/>
              <w:tr2bl w:val="nil"/>
            </w:tcBorders>
            <w:shd w:val="clear" w:color="auto" w:fill="auto"/>
            <w:vAlign w:val="center"/>
          </w:tcPr>
          <w:p w14:paraId="44C9066F">
            <w:pPr>
              <w:pStyle w:val="50"/>
              <w:adjustRightInd w:val="0"/>
              <w:snapToGrid w:val="0"/>
              <w:rPr>
                <w:rFonts w:ascii="宋体" w:hAnsi="宋体" w:cs="宋体"/>
                <w:snapToGrid w:val="0"/>
                <w:kern w:val="0"/>
                <w:szCs w:val="21"/>
              </w:rPr>
            </w:pPr>
            <w:r>
              <w:rPr>
                <w:rFonts w:ascii="宋体" w:hAnsi="宋体" w:cs="宋体"/>
                <w:szCs w:val="21"/>
              </w:rPr>
              <w:t>4#</w:t>
            </w:r>
          </w:p>
        </w:tc>
        <w:tc>
          <w:tcPr>
            <w:tcW w:w="1676" w:type="dxa"/>
            <w:tcBorders>
              <w:tl2br w:val="nil"/>
              <w:tr2bl w:val="nil"/>
            </w:tcBorders>
            <w:shd w:val="clear" w:color="auto" w:fill="auto"/>
            <w:vAlign w:val="center"/>
          </w:tcPr>
          <w:p w14:paraId="6F08993A">
            <w:pPr>
              <w:adjustRightInd w:val="0"/>
              <w:snapToGrid w:val="0"/>
              <w:ind w:firstLine="0" w:firstLineChars="0"/>
              <w:rPr>
                <w:rFonts w:hint="eastAsia" w:ascii="宋体" w:hAnsi="宋体" w:cs="宋体"/>
                <w:snapToGrid w:val="0"/>
                <w:kern w:val="0"/>
                <w:sz w:val="21"/>
              </w:rPr>
            </w:pPr>
            <w:r>
              <w:rPr>
                <w:rFonts w:hint="eastAsia" w:ascii="宋体" w:hAnsi="宋体" w:cs="宋体"/>
                <w:sz w:val="21"/>
              </w:rPr>
              <w:t>XGT6015-8S1型</w:t>
            </w:r>
          </w:p>
        </w:tc>
        <w:tc>
          <w:tcPr>
            <w:tcW w:w="1328" w:type="dxa"/>
            <w:tcBorders>
              <w:tl2br w:val="nil"/>
              <w:tr2bl w:val="nil"/>
            </w:tcBorders>
            <w:shd w:val="clear" w:color="auto" w:fill="auto"/>
            <w:vAlign w:val="center"/>
          </w:tcPr>
          <w:p w14:paraId="37EB3C28">
            <w:pPr>
              <w:pStyle w:val="50"/>
              <w:adjustRightInd w:val="0"/>
              <w:snapToGrid w:val="0"/>
              <w:rPr>
                <w:rFonts w:ascii="宋体" w:hAnsi="宋体" w:cs="宋体"/>
                <w:snapToGrid w:val="0"/>
                <w:kern w:val="0"/>
                <w:szCs w:val="21"/>
              </w:rPr>
            </w:pPr>
          </w:p>
        </w:tc>
        <w:tc>
          <w:tcPr>
            <w:tcW w:w="1356" w:type="dxa"/>
            <w:tcBorders>
              <w:tl2br w:val="nil"/>
              <w:tr2bl w:val="nil"/>
            </w:tcBorders>
            <w:shd w:val="clear" w:color="auto" w:fill="auto"/>
            <w:vAlign w:val="center"/>
          </w:tcPr>
          <w:p w14:paraId="566FAE8F">
            <w:pPr>
              <w:pStyle w:val="50"/>
              <w:adjustRightInd w:val="0"/>
              <w:snapToGrid w:val="0"/>
              <w:ind w:firstLine="0" w:firstLineChars="0"/>
              <w:rPr>
                <w:rFonts w:ascii="宋体" w:hAnsi="宋体" w:cs="宋体"/>
                <w:snapToGrid w:val="0"/>
                <w:kern w:val="0"/>
                <w:szCs w:val="21"/>
              </w:rPr>
            </w:pPr>
          </w:p>
        </w:tc>
        <w:tc>
          <w:tcPr>
            <w:tcW w:w="1441" w:type="dxa"/>
            <w:tcBorders>
              <w:tl2br w:val="nil"/>
              <w:tr2bl w:val="nil"/>
            </w:tcBorders>
            <w:shd w:val="clear" w:color="auto" w:fill="auto"/>
            <w:vAlign w:val="center"/>
          </w:tcPr>
          <w:p w14:paraId="15889099">
            <w:pPr>
              <w:pStyle w:val="50"/>
              <w:adjustRightInd w:val="0"/>
              <w:snapToGrid w:val="0"/>
              <w:ind w:firstLine="0" w:firstLineChars="0"/>
              <w:rPr>
                <w:rFonts w:ascii="宋体" w:hAnsi="宋体" w:cs="宋体"/>
                <w:snapToGrid w:val="0"/>
                <w:kern w:val="0"/>
                <w:szCs w:val="21"/>
              </w:rPr>
            </w:pPr>
          </w:p>
        </w:tc>
        <w:tc>
          <w:tcPr>
            <w:tcW w:w="1634" w:type="dxa"/>
            <w:tcBorders>
              <w:tl2br w:val="nil"/>
              <w:tr2bl w:val="nil"/>
            </w:tcBorders>
            <w:shd w:val="clear" w:color="auto" w:fill="auto"/>
            <w:vAlign w:val="center"/>
          </w:tcPr>
          <w:p w14:paraId="331FFF98">
            <w:pPr>
              <w:pStyle w:val="50"/>
              <w:adjustRightInd w:val="0"/>
              <w:snapToGrid w:val="0"/>
              <w:ind w:firstLine="0" w:firstLineChars="0"/>
              <w:rPr>
                <w:rFonts w:ascii="宋体" w:hAnsi="宋体" w:cs="宋体"/>
                <w:snapToGrid w:val="0"/>
                <w:kern w:val="0"/>
                <w:szCs w:val="21"/>
              </w:rPr>
            </w:pPr>
          </w:p>
        </w:tc>
      </w:tr>
    </w:tbl>
    <w:p w14:paraId="456E2371">
      <w:pPr>
        <w:pStyle w:val="3"/>
        <w:spacing w:before="156" w:after="156"/>
        <w:ind w:firstLine="562"/>
      </w:pPr>
      <w:bookmarkStart w:id="73" w:name="_Toc783_WPSOffice_Level2"/>
      <w:bookmarkStart w:id="74" w:name="_Toc7363"/>
      <w:bookmarkStart w:id="75" w:name="_Toc25651"/>
      <w:bookmarkStart w:id="76" w:name="_Toc12934"/>
      <w:bookmarkStart w:id="77" w:name="_Toc13359"/>
      <w:bookmarkStart w:id="78" w:name="_Toc4462"/>
      <w:bookmarkStart w:id="79" w:name="_Toc317"/>
      <w:bookmarkStart w:id="80" w:name="_Toc20488"/>
      <w:r>
        <w:rPr>
          <w:rFonts w:hint="eastAsia"/>
        </w:rPr>
        <w:t>材料、设备计划</w:t>
      </w:r>
      <w:bookmarkEnd w:id="73"/>
      <w:bookmarkEnd w:id="74"/>
      <w:bookmarkEnd w:id="75"/>
      <w:bookmarkEnd w:id="76"/>
      <w:bookmarkEnd w:id="77"/>
      <w:bookmarkEnd w:id="78"/>
      <w:bookmarkEnd w:id="79"/>
      <w:bookmarkEnd w:id="80"/>
    </w:p>
    <w:p w14:paraId="2D52704E">
      <w:pPr>
        <w:ind w:firstLine="0" w:firstLineChars="0"/>
        <w:jc w:val="center"/>
      </w:pPr>
      <w:r>
        <w:rPr>
          <w:rFonts w:hint="eastAsia"/>
          <w:b/>
        </w:rPr>
        <w:t>表3.2-1塔吊安拆施工进度计划表</w:t>
      </w:r>
    </w:p>
    <w:tbl>
      <w:tblPr>
        <w:tblStyle w:val="33"/>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478"/>
        <w:gridCol w:w="1082"/>
        <w:gridCol w:w="926"/>
        <w:gridCol w:w="773"/>
        <w:gridCol w:w="3264"/>
      </w:tblGrid>
      <w:tr w14:paraId="006F871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4" w:hRule="exact"/>
          <w:jc w:val="center"/>
        </w:trPr>
        <w:tc>
          <w:tcPr>
            <w:tcW w:w="960" w:type="dxa"/>
            <w:tcBorders>
              <w:tl2br w:val="nil"/>
              <w:tr2bl w:val="nil"/>
            </w:tcBorders>
            <w:vAlign w:val="center"/>
          </w:tcPr>
          <w:p w14:paraId="4EAB3A66">
            <w:pPr>
              <w:pStyle w:val="59"/>
              <w:rPr>
                <w:rFonts w:hint="eastAsia"/>
                <w:b/>
                <w:bCs/>
              </w:rPr>
            </w:pPr>
            <w:bookmarkStart w:id="81" w:name="_Toc27679_WPSOffice_Level2"/>
            <w:bookmarkStart w:id="82" w:name="_Toc23256"/>
            <w:bookmarkStart w:id="83" w:name="_Toc1292"/>
            <w:bookmarkStart w:id="84" w:name="_Toc21727"/>
            <w:bookmarkStart w:id="85" w:name="_Toc30746"/>
            <w:bookmarkStart w:id="86" w:name="_Toc14700"/>
            <w:bookmarkStart w:id="87" w:name="_Toc25533"/>
            <w:r>
              <w:rPr>
                <w:rFonts w:hint="eastAsia"/>
              </w:rPr>
              <w:t>序号</w:t>
            </w:r>
          </w:p>
        </w:tc>
        <w:tc>
          <w:tcPr>
            <w:tcW w:w="1478" w:type="dxa"/>
            <w:tcBorders>
              <w:tl2br w:val="nil"/>
              <w:tr2bl w:val="nil"/>
            </w:tcBorders>
            <w:vAlign w:val="center"/>
          </w:tcPr>
          <w:p w14:paraId="19EC41A2">
            <w:pPr>
              <w:pStyle w:val="59"/>
              <w:rPr>
                <w:rFonts w:hint="eastAsia"/>
                <w:b/>
                <w:bCs/>
              </w:rPr>
            </w:pPr>
            <w:r>
              <w:rPr>
                <w:rFonts w:hint="eastAsia"/>
              </w:rPr>
              <w:t>名称</w:t>
            </w:r>
          </w:p>
        </w:tc>
        <w:tc>
          <w:tcPr>
            <w:tcW w:w="1082" w:type="dxa"/>
            <w:tcBorders>
              <w:tl2br w:val="nil"/>
              <w:tr2bl w:val="nil"/>
            </w:tcBorders>
            <w:vAlign w:val="center"/>
          </w:tcPr>
          <w:p w14:paraId="179EB0E1">
            <w:pPr>
              <w:pStyle w:val="59"/>
              <w:rPr>
                <w:rFonts w:hint="eastAsia"/>
                <w:b/>
                <w:bCs/>
              </w:rPr>
            </w:pPr>
            <w:r>
              <w:rPr>
                <w:rFonts w:hint="eastAsia"/>
              </w:rPr>
              <w:t>规格</w:t>
            </w:r>
          </w:p>
        </w:tc>
        <w:tc>
          <w:tcPr>
            <w:tcW w:w="926" w:type="dxa"/>
            <w:tcBorders>
              <w:tl2br w:val="nil"/>
              <w:tr2bl w:val="nil"/>
            </w:tcBorders>
            <w:vAlign w:val="center"/>
          </w:tcPr>
          <w:p w14:paraId="3DF47716">
            <w:pPr>
              <w:pStyle w:val="59"/>
              <w:rPr>
                <w:rFonts w:hint="eastAsia"/>
                <w:b/>
                <w:bCs/>
              </w:rPr>
            </w:pPr>
            <w:r>
              <w:rPr>
                <w:rFonts w:hint="eastAsia"/>
              </w:rPr>
              <w:t>单位</w:t>
            </w:r>
          </w:p>
        </w:tc>
        <w:tc>
          <w:tcPr>
            <w:tcW w:w="773" w:type="dxa"/>
            <w:tcBorders>
              <w:tl2br w:val="nil"/>
              <w:tr2bl w:val="nil"/>
            </w:tcBorders>
            <w:vAlign w:val="center"/>
          </w:tcPr>
          <w:p w14:paraId="66896E8B">
            <w:pPr>
              <w:pStyle w:val="59"/>
              <w:rPr>
                <w:rFonts w:hint="eastAsia"/>
                <w:b/>
                <w:bCs/>
              </w:rPr>
            </w:pPr>
            <w:r>
              <w:rPr>
                <w:rFonts w:hint="eastAsia"/>
              </w:rPr>
              <w:t>数量</w:t>
            </w:r>
          </w:p>
        </w:tc>
        <w:tc>
          <w:tcPr>
            <w:tcW w:w="3264" w:type="dxa"/>
            <w:tcBorders>
              <w:tl2br w:val="nil"/>
              <w:tr2bl w:val="nil"/>
            </w:tcBorders>
            <w:vAlign w:val="center"/>
          </w:tcPr>
          <w:p w14:paraId="4162A562">
            <w:pPr>
              <w:pStyle w:val="59"/>
              <w:rPr>
                <w:rFonts w:hint="eastAsia"/>
                <w:b/>
                <w:bCs/>
              </w:rPr>
            </w:pPr>
            <w:r>
              <w:rPr>
                <w:rFonts w:hint="eastAsia"/>
              </w:rPr>
              <w:t>备注</w:t>
            </w:r>
          </w:p>
        </w:tc>
      </w:tr>
      <w:tr w14:paraId="1ED7F72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4" w:hRule="exact"/>
          <w:jc w:val="center"/>
        </w:trPr>
        <w:tc>
          <w:tcPr>
            <w:tcW w:w="960" w:type="dxa"/>
            <w:tcBorders>
              <w:tl2br w:val="nil"/>
              <w:tr2bl w:val="nil"/>
            </w:tcBorders>
            <w:vAlign w:val="center"/>
          </w:tcPr>
          <w:p w14:paraId="519EDCDE">
            <w:pPr>
              <w:pStyle w:val="59"/>
              <w:rPr>
                <w:rFonts w:hint="eastAsia"/>
              </w:rPr>
            </w:pPr>
            <w:r>
              <w:rPr>
                <w:rFonts w:hint="eastAsia"/>
              </w:rPr>
              <w:t>1</w:t>
            </w:r>
          </w:p>
        </w:tc>
        <w:tc>
          <w:tcPr>
            <w:tcW w:w="1478" w:type="dxa"/>
            <w:tcBorders>
              <w:tl2br w:val="nil"/>
              <w:tr2bl w:val="nil"/>
            </w:tcBorders>
            <w:vAlign w:val="center"/>
          </w:tcPr>
          <w:p w14:paraId="568C041E">
            <w:pPr>
              <w:pStyle w:val="59"/>
              <w:rPr>
                <w:rFonts w:hint="eastAsia"/>
                <w:b/>
                <w:bCs/>
              </w:rPr>
            </w:pPr>
            <w:r>
              <w:rPr>
                <w:rFonts w:hint="eastAsia"/>
              </w:rPr>
              <w:t>水准仪</w:t>
            </w:r>
          </w:p>
        </w:tc>
        <w:tc>
          <w:tcPr>
            <w:tcW w:w="1082" w:type="dxa"/>
            <w:tcBorders>
              <w:tl2br w:val="nil"/>
              <w:tr2bl w:val="nil"/>
            </w:tcBorders>
            <w:vAlign w:val="center"/>
          </w:tcPr>
          <w:p w14:paraId="5486E58A">
            <w:pPr>
              <w:pStyle w:val="59"/>
              <w:rPr>
                <w:rFonts w:hint="eastAsia"/>
                <w:b/>
                <w:bCs/>
              </w:rPr>
            </w:pPr>
            <w:r>
              <w:rPr>
                <w:rFonts w:hint="eastAsia"/>
              </w:rPr>
              <w:t>NA2</w:t>
            </w:r>
          </w:p>
        </w:tc>
        <w:tc>
          <w:tcPr>
            <w:tcW w:w="926" w:type="dxa"/>
            <w:tcBorders>
              <w:tl2br w:val="nil"/>
              <w:tr2bl w:val="nil"/>
            </w:tcBorders>
            <w:vAlign w:val="center"/>
          </w:tcPr>
          <w:p w14:paraId="5620B586">
            <w:pPr>
              <w:pStyle w:val="59"/>
              <w:rPr>
                <w:rFonts w:hint="eastAsia"/>
              </w:rPr>
            </w:pPr>
            <w:r>
              <w:rPr>
                <w:rFonts w:hint="eastAsia"/>
              </w:rPr>
              <w:t>台</w:t>
            </w:r>
          </w:p>
        </w:tc>
        <w:tc>
          <w:tcPr>
            <w:tcW w:w="773" w:type="dxa"/>
            <w:tcBorders>
              <w:tl2br w:val="nil"/>
              <w:tr2bl w:val="nil"/>
            </w:tcBorders>
            <w:vAlign w:val="center"/>
          </w:tcPr>
          <w:p w14:paraId="3FE0C014">
            <w:pPr>
              <w:pStyle w:val="59"/>
              <w:rPr>
                <w:rFonts w:hint="eastAsia"/>
              </w:rPr>
            </w:pPr>
            <w:r>
              <w:rPr>
                <w:rFonts w:hint="eastAsia"/>
              </w:rPr>
              <w:t>1</w:t>
            </w:r>
          </w:p>
        </w:tc>
        <w:tc>
          <w:tcPr>
            <w:tcW w:w="3264" w:type="dxa"/>
            <w:tcBorders>
              <w:tl2br w:val="nil"/>
              <w:tr2bl w:val="nil"/>
            </w:tcBorders>
            <w:vAlign w:val="center"/>
          </w:tcPr>
          <w:p w14:paraId="2C359669">
            <w:pPr>
              <w:pStyle w:val="59"/>
              <w:rPr>
                <w:rFonts w:hint="eastAsia"/>
                <w:b/>
                <w:bCs/>
              </w:rPr>
            </w:pPr>
            <w:r>
              <w:rPr>
                <w:rFonts w:hint="eastAsia"/>
              </w:rPr>
              <w:t>检验合格并在有效期内</w:t>
            </w:r>
          </w:p>
        </w:tc>
      </w:tr>
      <w:tr w14:paraId="074185B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4" w:hRule="exact"/>
          <w:jc w:val="center"/>
        </w:trPr>
        <w:tc>
          <w:tcPr>
            <w:tcW w:w="960" w:type="dxa"/>
            <w:tcBorders>
              <w:tl2br w:val="nil"/>
              <w:tr2bl w:val="nil"/>
            </w:tcBorders>
            <w:vAlign w:val="center"/>
          </w:tcPr>
          <w:p w14:paraId="5E30CE02">
            <w:pPr>
              <w:pStyle w:val="59"/>
              <w:rPr>
                <w:rFonts w:hint="eastAsia"/>
              </w:rPr>
            </w:pPr>
            <w:r>
              <w:rPr>
                <w:rFonts w:hint="eastAsia"/>
              </w:rPr>
              <w:t>2</w:t>
            </w:r>
          </w:p>
        </w:tc>
        <w:tc>
          <w:tcPr>
            <w:tcW w:w="1478" w:type="dxa"/>
            <w:tcBorders>
              <w:tl2br w:val="nil"/>
              <w:tr2bl w:val="nil"/>
            </w:tcBorders>
            <w:vAlign w:val="center"/>
          </w:tcPr>
          <w:p w14:paraId="115C09D5">
            <w:pPr>
              <w:pStyle w:val="59"/>
              <w:rPr>
                <w:rFonts w:hint="eastAsia"/>
                <w:b/>
                <w:bCs/>
              </w:rPr>
            </w:pPr>
            <w:r>
              <w:rPr>
                <w:rFonts w:hint="eastAsia"/>
              </w:rPr>
              <w:t>经纬仪</w:t>
            </w:r>
          </w:p>
        </w:tc>
        <w:tc>
          <w:tcPr>
            <w:tcW w:w="1082" w:type="dxa"/>
            <w:tcBorders>
              <w:tl2br w:val="nil"/>
              <w:tr2bl w:val="nil"/>
            </w:tcBorders>
            <w:vAlign w:val="center"/>
          </w:tcPr>
          <w:p w14:paraId="12F1E176">
            <w:pPr>
              <w:pStyle w:val="59"/>
              <w:rPr>
                <w:rFonts w:hint="eastAsia"/>
                <w:b/>
                <w:bCs/>
              </w:rPr>
            </w:pPr>
            <w:r>
              <w:rPr>
                <w:rFonts w:hint="eastAsia"/>
              </w:rPr>
              <w:t>TDJ2E</w:t>
            </w:r>
          </w:p>
        </w:tc>
        <w:tc>
          <w:tcPr>
            <w:tcW w:w="926" w:type="dxa"/>
            <w:tcBorders>
              <w:tl2br w:val="nil"/>
              <w:tr2bl w:val="nil"/>
            </w:tcBorders>
            <w:vAlign w:val="center"/>
          </w:tcPr>
          <w:p w14:paraId="64631E5E">
            <w:pPr>
              <w:pStyle w:val="59"/>
              <w:rPr>
                <w:rFonts w:hint="eastAsia"/>
              </w:rPr>
            </w:pPr>
            <w:r>
              <w:rPr>
                <w:rFonts w:hint="eastAsia"/>
              </w:rPr>
              <w:t>台</w:t>
            </w:r>
          </w:p>
        </w:tc>
        <w:tc>
          <w:tcPr>
            <w:tcW w:w="773" w:type="dxa"/>
            <w:tcBorders>
              <w:tl2br w:val="nil"/>
              <w:tr2bl w:val="nil"/>
            </w:tcBorders>
            <w:vAlign w:val="center"/>
          </w:tcPr>
          <w:p w14:paraId="4990E652">
            <w:pPr>
              <w:pStyle w:val="59"/>
              <w:rPr>
                <w:rFonts w:hint="eastAsia"/>
              </w:rPr>
            </w:pPr>
            <w:r>
              <w:rPr>
                <w:rFonts w:hint="eastAsia"/>
              </w:rPr>
              <w:t>1</w:t>
            </w:r>
          </w:p>
        </w:tc>
        <w:tc>
          <w:tcPr>
            <w:tcW w:w="3264" w:type="dxa"/>
            <w:tcBorders>
              <w:tl2br w:val="nil"/>
              <w:tr2bl w:val="nil"/>
            </w:tcBorders>
            <w:vAlign w:val="center"/>
          </w:tcPr>
          <w:p w14:paraId="56E0C063">
            <w:pPr>
              <w:pStyle w:val="59"/>
              <w:rPr>
                <w:rFonts w:hint="eastAsia"/>
                <w:b/>
                <w:bCs/>
              </w:rPr>
            </w:pPr>
            <w:r>
              <w:rPr>
                <w:rFonts w:hint="eastAsia"/>
              </w:rPr>
              <w:t>检验合格并在有效期内</w:t>
            </w:r>
          </w:p>
        </w:tc>
      </w:tr>
      <w:tr w14:paraId="2D51005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4" w:hRule="exact"/>
          <w:jc w:val="center"/>
        </w:trPr>
        <w:tc>
          <w:tcPr>
            <w:tcW w:w="960" w:type="dxa"/>
            <w:tcBorders>
              <w:tl2br w:val="nil"/>
              <w:tr2bl w:val="nil"/>
            </w:tcBorders>
            <w:vAlign w:val="center"/>
          </w:tcPr>
          <w:p w14:paraId="77B25DBE">
            <w:pPr>
              <w:pStyle w:val="59"/>
              <w:rPr>
                <w:rFonts w:hint="eastAsia"/>
              </w:rPr>
            </w:pPr>
            <w:r>
              <w:rPr>
                <w:rFonts w:hint="eastAsia"/>
              </w:rPr>
              <w:t>3</w:t>
            </w:r>
          </w:p>
        </w:tc>
        <w:tc>
          <w:tcPr>
            <w:tcW w:w="1478" w:type="dxa"/>
            <w:tcBorders>
              <w:tl2br w:val="nil"/>
              <w:tr2bl w:val="nil"/>
            </w:tcBorders>
            <w:vAlign w:val="center"/>
          </w:tcPr>
          <w:p w14:paraId="10C333B1">
            <w:pPr>
              <w:pStyle w:val="59"/>
              <w:rPr>
                <w:rFonts w:hint="eastAsia"/>
                <w:b/>
                <w:bCs/>
              </w:rPr>
            </w:pPr>
            <w:r>
              <w:rPr>
                <w:rFonts w:hint="eastAsia"/>
              </w:rPr>
              <w:t>安全带</w:t>
            </w:r>
          </w:p>
        </w:tc>
        <w:tc>
          <w:tcPr>
            <w:tcW w:w="1082" w:type="dxa"/>
            <w:tcBorders>
              <w:tl2br w:val="nil"/>
              <w:tr2bl w:val="nil"/>
            </w:tcBorders>
            <w:vAlign w:val="center"/>
          </w:tcPr>
          <w:p w14:paraId="2BA2D5E8">
            <w:pPr>
              <w:pStyle w:val="59"/>
              <w:rPr>
                <w:rFonts w:hint="eastAsia"/>
                <w:b/>
                <w:bCs/>
              </w:rPr>
            </w:pPr>
            <w:r>
              <w:rPr>
                <w:rFonts w:hint="eastAsia"/>
              </w:rPr>
              <w:t>通用</w:t>
            </w:r>
          </w:p>
        </w:tc>
        <w:tc>
          <w:tcPr>
            <w:tcW w:w="926" w:type="dxa"/>
            <w:tcBorders>
              <w:tl2br w:val="nil"/>
              <w:tr2bl w:val="nil"/>
            </w:tcBorders>
            <w:vAlign w:val="center"/>
          </w:tcPr>
          <w:p w14:paraId="20F4FF7F">
            <w:pPr>
              <w:pStyle w:val="59"/>
              <w:rPr>
                <w:rFonts w:hint="eastAsia"/>
              </w:rPr>
            </w:pPr>
            <w:r>
              <w:rPr>
                <w:rFonts w:hint="eastAsia"/>
              </w:rPr>
              <w:t>根</w:t>
            </w:r>
          </w:p>
        </w:tc>
        <w:tc>
          <w:tcPr>
            <w:tcW w:w="773" w:type="dxa"/>
            <w:tcBorders>
              <w:tl2br w:val="nil"/>
              <w:tr2bl w:val="nil"/>
            </w:tcBorders>
            <w:vAlign w:val="center"/>
          </w:tcPr>
          <w:p w14:paraId="71FA7949">
            <w:pPr>
              <w:pStyle w:val="59"/>
              <w:rPr>
                <w:rFonts w:hint="eastAsia"/>
              </w:rPr>
            </w:pPr>
            <w:r>
              <w:rPr>
                <w:rFonts w:hint="eastAsia"/>
              </w:rPr>
              <w:t>6</w:t>
            </w:r>
          </w:p>
        </w:tc>
        <w:tc>
          <w:tcPr>
            <w:tcW w:w="3264" w:type="dxa"/>
            <w:tcBorders>
              <w:tl2br w:val="nil"/>
              <w:tr2bl w:val="nil"/>
            </w:tcBorders>
            <w:vAlign w:val="center"/>
          </w:tcPr>
          <w:p w14:paraId="310BD0AB">
            <w:pPr>
              <w:pStyle w:val="59"/>
              <w:rPr>
                <w:rFonts w:hint="eastAsia"/>
              </w:rPr>
            </w:pPr>
          </w:p>
        </w:tc>
      </w:tr>
      <w:tr w14:paraId="6CD2726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504" w:hRule="exact"/>
          <w:jc w:val="center"/>
        </w:trPr>
        <w:tc>
          <w:tcPr>
            <w:tcW w:w="960" w:type="dxa"/>
            <w:tcBorders>
              <w:tl2br w:val="nil"/>
              <w:tr2bl w:val="nil"/>
            </w:tcBorders>
            <w:vAlign w:val="center"/>
          </w:tcPr>
          <w:p w14:paraId="17880498">
            <w:pPr>
              <w:pStyle w:val="59"/>
              <w:rPr>
                <w:rFonts w:hint="eastAsia"/>
              </w:rPr>
            </w:pPr>
            <w:r>
              <w:rPr>
                <w:rFonts w:hint="eastAsia"/>
              </w:rPr>
              <w:t>4</w:t>
            </w:r>
          </w:p>
        </w:tc>
        <w:tc>
          <w:tcPr>
            <w:tcW w:w="1478" w:type="dxa"/>
            <w:tcBorders>
              <w:tl2br w:val="nil"/>
              <w:tr2bl w:val="nil"/>
            </w:tcBorders>
            <w:vAlign w:val="center"/>
          </w:tcPr>
          <w:p w14:paraId="58250B04">
            <w:pPr>
              <w:pStyle w:val="59"/>
              <w:rPr>
                <w:rFonts w:hint="eastAsia"/>
                <w:b/>
                <w:bCs/>
              </w:rPr>
            </w:pPr>
            <w:r>
              <w:rPr>
                <w:rFonts w:hint="eastAsia"/>
              </w:rPr>
              <w:t>安全帽</w:t>
            </w:r>
          </w:p>
        </w:tc>
        <w:tc>
          <w:tcPr>
            <w:tcW w:w="1082" w:type="dxa"/>
            <w:tcBorders>
              <w:tl2br w:val="nil"/>
              <w:tr2bl w:val="nil"/>
            </w:tcBorders>
            <w:vAlign w:val="center"/>
          </w:tcPr>
          <w:p w14:paraId="20248374">
            <w:pPr>
              <w:pStyle w:val="59"/>
              <w:rPr>
                <w:rFonts w:hint="eastAsia"/>
                <w:b/>
                <w:bCs/>
              </w:rPr>
            </w:pPr>
            <w:r>
              <w:rPr>
                <w:rFonts w:hint="eastAsia"/>
              </w:rPr>
              <w:t>通用</w:t>
            </w:r>
          </w:p>
        </w:tc>
        <w:tc>
          <w:tcPr>
            <w:tcW w:w="926" w:type="dxa"/>
            <w:tcBorders>
              <w:tl2br w:val="nil"/>
              <w:tr2bl w:val="nil"/>
            </w:tcBorders>
            <w:vAlign w:val="center"/>
          </w:tcPr>
          <w:p w14:paraId="33D3BB4E">
            <w:pPr>
              <w:pStyle w:val="59"/>
              <w:rPr>
                <w:rFonts w:hint="eastAsia"/>
              </w:rPr>
            </w:pPr>
            <w:r>
              <w:rPr>
                <w:rFonts w:hint="eastAsia"/>
              </w:rPr>
              <w:t>顶</w:t>
            </w:r>
          </w:p>
        </w:tc>
        <w:tc>
          <w:tcPr>
            <w:tcW w:w="773" w:type="dxa"/>
            <w:tcBorders>
              <w:tl2br w:val="nil"/>
              <w:tr2bl w:val="nil"/>
            </w:tcBorders>
            <w:vAlign w:val="center"/>
          </w:tcPr>
          <w:p w14:paraId="5CC561B9">
            <w:pPr>
              <w:pStyle w:val="59"/>
              <w:rPr>
                <w:rFonts w:hint="eastAsia"/>
              </w:rPr>
            </w:pPr>
            <w:r>
              <w:rPr>
                <w:rFonts w:hint="eastAsia"/>
              </w:rPr>
              <w:t>6</w:t>
            </w:r>
          </w:p>
        </w:tc>
        <w:tc>
          <w:tcPr>
            <w:tcW w:w="3264" w:type="dxa"/>
            <w:tcBorders>
              <w:tl2br w:val="nil"/>
              <w:tr2bl w:val="nil"/>
            </w:tcBorders>
            <w:vAlign w:val="center"/>
          </w:tcPr>
          <w:p w14:paraId="1B42CD80">
            <w:pPr>
              <w:pStyle w:val="59"/>
              <w:rPr>
                <w:rFonts w:hint="eastAsia"/>
              </w:rPr>
            </w:pPr>
          </w:p>
        </w:tc>
      </w:tr>
      <w:tr w14:paraId="46D579D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4" w:hRule="exact"/>
          <w:jc w:val="center"/>
        </w:trPr>
        <w:tc>
          <w:tcPr>
            <w:tcW w:w="960" w:type="dxa"/>
            <w:tcBorders>
              <w:tl2br w:val="nil"/>
              <w:tr2bl w:val="nil"/>
            </w:tcBorders>
            <w:vAlign w:val="center"/>
          </w:tcPr>
          <w:p w14:paraId="607CB203">
            <w:pPr>
              <w:pStyle w:val="59"/>
              <w:rPr>
                <w:rFonts w:hint="eastAsia"/>
              </w:rPr>
            </w:pPr>
            <w:r>
              <w:rPr>
                <w:rFonts w:hint="eastAsia"/>
              </w:rPr>
              <w:t>5</w:t>
            </w:r>
          </w:p>
        </w:tc>
        <w:tc>
          <w:tcPr>
            <w:tcW w:w="1478" w:type="dxa"/>
            <w:tcBorders>
              <w:tl2br w:val="nil"/>
              <w:tr2bl w:val="nil"/>
            </w:tcBorders>
            <w:vAlign w:val="center"/>
          </w:tcPr>
          <w:p w14:paraId="2AC60504">
            <w:pPr>
              <w:pStyle w:val="59"/>
              <w:rPr>
                <w:rFonts w:hint="eastAsia"/>
                <w:b/>
                <w:bCs/>
              </w:rPr>
            </w:pPr>
            <w:r>
              <w:rPr>
                <w:rFonts w:hint="eastAsia"/>
              </w:rPr>
              <w:t>对讲机</w:t>
            </w:r>
          </w:p>
        </w:tc>
        <w:tc>
          <w:tcPr>
            <w:tcW w:w="1082" w:type="dxa"/>
            <w:tcBorders>
              <w:tl2br w:val="nil"/>
              <w:tr2bl w:val="nil"/>
            </w:tcBorders>
            <w:vAlign w:val="center"/>
          </w:tcPr>
          <w:p w14:paraId="09BB41D3">
            <w:pPr>
              <w:pStyle w:val="59"/>
              <w:rPr>
                <w:rFonts w:hint="eastAsia"/>
                <w:b/>
                <w:bCs/>
              </w:rPr>
            </w:pPr>
            <w:r>
              <w:rPr>
                <w:rFonts w:hint="eastAsia"/>
              </w:rPr>
              <w:t>通用</w:t>
            </w:r>
          </w:p>
        </w:tc>
        <w:tc>
          <w:tcPr>
            <w:tcW w:w="926" w:type="dxa"/>
            <w:tcBorders>
              <w:tl2br w:val="nil"/>
              <w:tr2bl w:val="nil"/>
            </w:tcBorders>
            <w:vAlign w:val="center"/>
          </w:tcPr>
          <w:p w14:paraId="6FD8E72F">
            <w:pPr>
              <w:pStyle w:val="59"/>
              <w:rPr>
                <w:rFonts w:hint="eastAsia"/>
              </w:rPr>
            </w:pPr>
            <w:r>
              <w:rPr>
                <w:rFonts w:hint="eastAsia"/>
              </w:rPr>
              <w:t>台</w:t>
            </w:r>
          </w:p>
        </w:tc>
        <w:tc>
          <w:tcPr>
            <w:tcW w:w="773" w:type="dxa"/>
            <w:tcBorders>
              <w:tl2br w:val="nil"/>
              <w:tr2bl w:val="nil"/>
            </w:tcBorders>
            <w:vAlign w:val="center"/>
          </w:tcPr>
          <w:p w14:paraId="6F29E45E">
            <w:pPr>
              <w:pStyle w:val="59"/>
              <w:rPr>
                <w:rFonts w:hint="eastAsia"/>
              </w:rPr>
            </w:pPr>
            <w:r>
              <w:rPr>
                <w:rFonts w:hint="eastAsia"/>
              </w:rPr>
              <w:t>6</w:t>
            </w:r>
          </w:p>
        </w:tc>
        <w:tc>
          <w:tcPr>
            <w:tcW w:w="3264" w:type="dxa"/>
            <w:tcBorders>
              <w:tl2br w:val="nil"/>
              <w:tr2bl w:val="nil"/>
            </w:tcBorders>
            <w:vAlign w:val="center"/>
          </w:tcPr>
          <w:p w14:paraId="352AD260">
            <w:pPr>
              <w:pStyle w:val="59"/>
              <w:rPr>
                <w:rFonts w:hint="eastAsia"/>
              </w:rPr>
            </w:pPr>
          </w:p>
        </w:tc>
      </w:tr>
      <w:tr w14:paraId="3844EE8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4" w:hRule="exact"/>
          <w:jc w:val="center"/>
        </w:trPr>
        <w:tc>
          <w:tcPr>
            <w:tcW w:w="960" w:type="dxa"/>
            <w:tcBorders>
              <w:tl2br w:val="nil"/>
              <w:tr2bl w:val="nil"/>
            </w:tcBorders>
            <w:vAlign w:val="center"/>
          </w:tcPr>
          <w:p w14:paraId="06AF8266">
            <w:pPr>
              <w:pStyle w:val="59"/>
              <w:rPr>
                <w:rFonts w:hint="eastAsia"/>
              </w:rPr>
            </w:pPr>
            <w:r>
              <w:rPr>
                <w:rFonts w:hint="eastAsia"/>
              </w:rPr>
              <w:t>6</w:t>
            </w:r>
          </w:p>
        </w:tc>
        <w:tc>
          <w:tcPr>
            <w:tcW w:w="1478" w:type="dxa"/>
            <w:tcBorders>
              <w:tl2br w:val="nil"/>
              <w:tr2bl w:val="nil"/>
            </w:tcBorders>
            <w:vAlign w:val="center"/>
          </w:tcPr>
          <w:p w14:paraId="162A485E">
            <w:pPr>
              <w:pStyle w:val="59"/>
              <w:rPr>
                <w:rFonts w:hint="eastAsia"/>
                <w:b/>
                <w:bCs/>
              </w:rPr>
            </w:pPr>
            <w:r>
              <w:rPr>
                <w:rFonts w:hint="eastAsia"/>
              </w:rPr>
              <w:t>棕绳</w:t>
            </w:r>
          </w:p>
        </w:tc>
        <w:tc>
          <w:tcPr>
            <w:tcW w:w="1082" w:type="dxa"/>
            <w:tcBorders>
              <w:tl2br w:val="nil"/>
              <w:tr2bl w:val="nil"/>
            </w:tcBorders>
            <w:vAlign w:val="center"/>
          </w:tcPr>
          <w:p w14:paraId="6F26F24C">
            <w:pPr>
              <w:pStyle w:val="59"/>
              <w:rPr>
                <w:rFonts w:hint="eastAsia"/>
                <w:b/>
                <w:bCs/>
              </w:rPr>
            </w:pPr>
            <w:r>
              <w:rPr>
                <w:rFonts w:hint="eastAsia"/>
              </w:rPr>
              <w:t>Φ18</w:t>
            </w:r>
          </w:p>
        </w:tc>
        <w:tc>
          <w:tcPr>
            <w:tcW w:w="926" w:type="dxa"/>
            <w:tcBorders>
              <w:tl2br w:val="nil"/>
              <w:tr2bl w:val="nil"/>
            </w:tcBorders>
            <w:vAlign w:val="center"/>
          </w:tcPr>
          <w:p w14:paraId="442A37A2">
            <w:pPr>
              <w:pStyle w:val="59"/>
              <w:rPr>
                <w:rFonts w:hint="eastAsia"/>
              </w:rPr>
            </w:pPr>
            <w:r>
              <w:rPr>
                <w:rFonts w:hint="eastAsia"/>
              </w:rPr>
              <w:t>m</w:t>
            </w:r>
          </w:p>
        </w:tc>
        <w:tc>
          <w:tcPr>
            <w:tcW w:w="773" w:type="dxa"/>
            <w:tcBorders>
              <w:tl2br w:val="nil"/>
              <w:tr2bl w:val="nil"/>
            </w:tcBorders>
            <w:vAlign w:val="center"/>
          </w:tcPr>
          <w:p w14:paraId="22A51C98">
            <w:pPr>
              <w:pStyle w:val="59"/>
              <w:rPr>
                <w:rFonts w:hint="eastAsia"/>
                <w:b/>
                <w:bCs/>
              </w:rPr>
            </w:pPr>
            <w:r>
              <w:rPr>
                <w:rFonts w:hint="eastAsia"/>
              </w:rPr>
              <w:t>50</w:t>
            </w:r>
          </w:p>
        </w:tc>
        <w:tc>
          <w:tcPr>
            <w:tcW w:w="3264" w:type="dxa"/>
            <w:tcBorders>
              <w:tl2br w:val="nil"/>
              <w:tr2bl w:val="nil"/>
            </w:tcBorders>
            <w:vAlign w:val="center"/>
          </w:tcPr>
          <w:p w14:paraId="3346A56C">
            <w:pPr>
              <w:pStyle w:val="59"/>
              <w:rPr>
                <w:rFonts w:hint="eastAsia"/>
              </w:rPr>
            </w:pPr>
          </w:p>
        </w:tc>
      </w:tr>
      <w:tr w14:paraId="2DD687C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4" w:hRule="exact"/>
          <w:jc w:val="center"/>
        </w:trPr>
        <w:tc>
          <w:tcPr>
            <w:tcW w:w="960" w:type="dxa"/>
            <w:tcBorders>
              <w:tl2br w:val="nil"/>
              <w:tr2bl w:val="nil"/>
            </w:tcBorders>
            <w:vAlign w:val="center"/>
          </w:tcPr>
          <w:p w14:paraId="477FD07E">
            <w:pPr>
              <w:pStyle w:val="59"/>
              <w:rPr>
                <w:rFonts w:hint="eastAsia"/>
              </w:rPr>
            </w:pPr>
            <w:r>
              <w:rPr>
                <w:rFonts w:hint="eastAsia"/>
              </w:rPr>
              <w:t>7</w:t>
            </w:r>
          </w:p>
        </w:tc>
        <w:tc>
          <w:tcPr>
            <w:tcW w:w="1478" w:type="dxa"/>
            <w:tcBorders>
              <w:tl2br w:val="nil"/>
              <w:tr2bl w:val="nil"/>
            </w:tcBorders>
            <w:vAlign w:val="center"/>
          </w:tcPr>
          <w:p w14:paraId="0D6E39A2">
            <w:pPr>
              <w:pStyle w:val="59"/>
              <w:rPr>
                <w:rFonts w:hint="eastAsia"/>
                <w:b/>
                <w:bCs/>
              </w:rPr>
            </w:pPr>
            <w:r>
              <w:rPr>
                <w:rFonts w:hint="eastAsia"/>
              </w:rPr>
              <w:t>警示带</w:t>
            </w:r>
          </w:p>
        </w:tc>
        <w:tc>
          <w:tcPr>
            <w:tcW w:w="1082" w:type="dxa"/>
            <w:tcBorders>
              <w:tl2br w:val="nil"/>
              <w:tr2bl w:val="nil"/>
            </w:tcBorders>
            <w:vAlign w:val="center"/>
          </w:tcPr>
          <w:p w14:paraId="58A5B6BE">
            <w:pPr>
              <w:pStyle w:val="59"/>
              <w:rPr>
                <w:rFonts w:hint="eastAsia"/>
                <w:b/>
                <w:bCs/>
              </w:rPr>
            </w:pPr>
            <w:r>
              <w:rPr>
                <w:rFonts w:hint="eastAsia"/>
              </w:rPr>
              <w:t>通用</w:t>
            </w:r>
          </w:p>
        </w:tc>
        <w:tc>
          <w:tcPr>
            <w:tcW w:w="926" w:type="dxa"/>
            <w:tcBorders>
              <w:tl2br w:val="nil"/>
              <w:tr2bl w:val="nil"/>
            </w:tcBorders>
            <w:vAlign w:val="center"/>
          </w:tcPr>
          <w:p w14:paraId="68608E62">
            <w:pPr>
              <w:pStyle w:val="59"/>
              <w:rPr>
                <w:rFonts w:hint="eastAsia"/>
              </w:rPr>
            </w:pPr>
            <w:r>
              <w:rPr>
                <w:rFonts w:hint="eastAsia"/>
              </w:rPr>
              <w:t>m</w:t>
            </w:r>
          </w:p>
        </w:tc>
        <w:tc>
          <w:tcPr>
            <w:tcW w:w="773" w:type="dxa"/>
            <w:tcBorders>
              <w:tl2br w:val="nil"/>
              <w:tr2bl w:val="nil"/>
            </w:tcBorders>
            <w:vAlign w:val="center"/>
          </w:tcPr>
          <w:p w14:paraId="5B432D00">
            <w:pPr>
              <w:pStyle w:val="59"/>
              <w:rPr>
                <w:rFonts w:hint="eastAsia"/>
                <w:b/>
                <w:bCs/>
              </w:rPr>
            </w:pPr>
            <w:r>
              <w:rPr>
                <w:rFonts w:hint="eastAsia"/>
              </w:rPr>
              <w:t>500</w:t>
            </w:r>
          </w:p>
        </w:tc>
        <w:tc>
          <w:tcPr>
            <w:tcW w:w="3264" w:type="dxa"/>
            <w:tcBorders>
              <w:tl2br w:val="nil"/>
              <w:tr2bl w:val="nil"/>
            </w:tcBorders>
            <w:vAlign w:val="center"/>
          </w:tcPr>
          <w:p w14:paraId="3B224C51">
            <w:pPr>
              <w:pStyle w:val="59"/>
              <w:rPr>
                <w:rFonts w:hint="eastAsia"/>
              </w:rPr>
            </w:pPr>
          </w:p>
        </w:tc>
      </w:tr>
      <w:tr w14:paraId="0A9258E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32" w:hRule="exact"/>
          <w:jc w:val="center"/>
        </w:trPr>
        <w:tc>
          <w:tcPr>
            <w:tcW w:w="960" w:type="dxa"/>
            <w:tcBorders>
              <w:tl2br w:val="nil"/>
              <w:tr2bl w:val="nil"/>
            </w:tcBorders>
            <w:vAlign w:val="center"/>
          </w:tcPr>
          <w:p w14:paraId="1A24D583">
            <w:pPr>
              <w:pStyle w:val="59"/>
              <w:rPr>
                <w:rFonts w:hint="eastAsia"/>
              </w:rPr>
            </w:pPr>
            <w:r>
              <w:rPr>
                <w:rFonts w:hint="eastAsia"/>
              </w:rPr>
              <w:t>8</w:t>
            </w:r>
          </w:p>
        </w:tc>
        <w:tc>
          <w:tcPr>
            <w:tcW w:w="1478" w:type="dxa"/>
            <w:tcBorders>
              <w:tl2br w:val="nil"/>
              <w:tr2bl w:val="nil"/>
            </w:tcBorders>
            <w:vAlign w:val="center"/>
          </w:tcPr>
          <w:p w14:paraId="121FB6BE">
            <w:pPr>
              <w:pStyle w:val="59"/>
              <w:rPr>
                <w:rFonts w:hint="eastAsia"/>
                <w:b/>
                <w:bCs/>
              </w:rPr>
            </w:pPr>
            <w:r>
              <w:rPr>
                <w:rFonts w:hint="eastAsia"/>
              </w:rPr>
              <w:t>安全网</w:t>
            </w:r>
          </w:p>
        </w:tc>
        <w:tc>
          <w:tcPr>
            <w:tcW w:w="1082" w:type="dxa"/>
            <w:tcBorders>
              <w:tl2br w:val="nil"/>
              <w:tr2bl w:val="nil"/>
            </w:tcBorders>
            <w:vAlign w:val="center"/>
          </w:tcPr>
          <w:p w14:paraId="65B25AAF">
            <w:pPr>
              <w:pStyle w:val="59"/>
              <w:rPr>
                <w:rFonts w:hint="eastAsia"/>
                <w:b/>
                <w:bCs/>
              </w:rPr>
            </w:pPr>
            <w:r>
              <w:rPr>
                <w:rFonts w:hint="eastAsia"/>
              </w:rPr>
              <w:t>通用</w:t>
            </w:r>
          </w:p>
        </w:tc>
        <w:tc>
          <w:tcPr>
            <w:tcW w:w="926" w:type="dxa"/>
            <w:tcBorders>
              <w:tl2br w:val="nil"/>
              <w:tr2bl w:val="nil"/>
            </w:tcBorders>
            <w:vAlign w:val="center"/>
          </w:tcPr>
          <w:p w14:paraId="064DC63E">
            <w:pPr>
              <w:pStyle w:val="59"/>
              <w:rPr>
                <w:rFonts w:hint="eastAsia"/>
              </w:rPr>
            </w:pPr>
            <w:r>
              <w:rPr>
                <w:rFonts w:hint="eastAsia"/>
              </w:rPr>
              <w:t>套</w:t>
            </w:r>
          </w:p>
        </w:tc>
        <w:tc>
          <w:tcPr>
            <w:tcW w:w="773" w:type="dxa"/>
            <w:tcBorders>
              <w:tl2br w:val="nil"/>
              <w:tr2bl w:val="nil"/>
            </w:tcBorders>
            <w:vAlign w:val="center"/>
          </w:tcPr>
          <w:p w14:paraId="70BAE3C1">
            <w:pPr>
              <w:pStyle w:val="59"/>
              <w:rPr>
                <w:rFonts w:hint="eastAsia"/>
              </w:rPr>
            </w:pPr>
            <w:r>
              <w:rPr>
                <w:rFonts w:hint="eastAsia"/>
              </w:rPr>
              <w:t>1</w:t>
            </w:r>
          </w:p>
        </w:tc>
        <w:tc>
          <w:tcPr>
            <w:tcW w:w="3264" w:type="dxa"/>
            <w:tcBorders>
              <w:tl2br w:val="nil"/>
              <w:tr2bl w:val="nil"/>
            </w:tcBorders>
            <w:vAlign w:val="center"/>
          </w:tcPr>
          <w:p w14:paraId="4CC05BE6">
            <w:pPr>
              <w:pStyle w:val="59"/>
              <w:rPr>
                <w:rFonts w:hint="eastAsia"/>
              </w:rPr>
            </w:pPr>
          </w:p>
        </w:tc>
      </w:tr>
      <w:tr w14:paraId="7111B46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72" w:hRule="exact"/>
          <w:jc w:val="center"/>
        </w:trPr>
        <w:tc>
          <w:tcPr>
            <w:tcW w:w="960" w:type="dxa"/>
            <w:tcBorders>
              <w:tl2br w:val="nil"/>
              <w:tr2bl w:val="nil"/>
            </w:tcBorders>
            <w:vAlign w:val="center"/>
          </w:tcPr>
          <w:p w14:paraId="2B69614C">
            <w:pPr>
              <w:pStyle w:val="59"/>
              <w:rPr>
                <w:rFonts w:hint="eastAsia"/>
              </w:rPr>
            </w:pPr>
            <w:r>
              <w:rPr>
                <w:rFonts w:hint="eastAsia"/>
              </w:rPr>
              <w:t>9</w:t>
            </w:r>
          </w:p>
        </w:tc>
        <w:tc>
          <w:tcPr>
            <w:tcW w:w="1478" w:type="dxa"/>
            <w:tcBorders>
              <w:tl2br w:val="nil"/>
              <w:tr2bl w:val="nil"/>
            </w:tcBorders>
            <w:vAlign w:val="center"/>
          </w:tcPr>
          <w:p w14:paraId="04C6701D">
            <w:pPr>
              <w:pStyle w:val="59"/>
              <w:rPr>
                <w:rFonts w:hint="eastAsia"/>
                <w:b/>
                <w:bCs/>
              </w:rPr>
            </w:pPr>
            <w:r>
              <w:rPr>
                <w:rFonts w:hint="eastAsia"/>
              </w:rPr>
              <w:t>防滑手套</w:t>
            </w:r>
          </w:p>
        </w:tc>
        <w:tc>
          <w:tcPr>
            <w:tcW w:w="1082" w:type="dxa"/>
            <w:tcBorders>
              <w:tl2br w:val="nil"/>
              <w:tr2bl w:val="nil"/>
            </w:tcBorders>
            <w:vAlign w:val="center"/>
          </w:tcPr>
          <w:p w14:paraId="4BC7B14C">
            <w:pPr>
              <w:pStyle w:val="59"/>
              <w:rPr>
                <w:rFonts w:hint="eastAsia"/>
                <w:b/>
                <w:bCs/>
              </w:rPr>
            </w:pPr>
            <w:r>
              <w:rPr>
                <w:rFonts w:hint="eastAsia"/>
              </w:rPr>
              <w:t>通用</w:t>
            </w:r>
          </w:p>
        </w:tc>
        <w:tc>
          <w:tcPr>
            <w:tcW w:w="926" w:type="dxa"/>
            <w:tcBorders>
              <w:tl2br w:val="nil"/>
              <w:tr2bl w:val="nil"/>
            </w:tcBorders>
            <w:vAlign w:val="center"/>
          </w:tcPr>
          <w:p w14:paraId="46E98341">
            <w:pPr>
              <w:pStyle w:val="59"/>
              <w:rPr>
                <w:rFonts w:hint="eastAsia"/>
              </w:rPr>
            </w:pPr>
            <w:r>
              <w:rPr>
                <w:rFonts w:hint="eastAsia"/>
              </w:rPr>
              <w:t>双</w:t>
            </w:r>
          </w:p>
        </w:tc>
        <w:tc>
          <w:tcPr>
            <w:tcW w:w="773" w:type="dxa"/>
            <w:tcBorders>
              <w:tl2br w:val="nil"/>
              <w:tr2bl w:val="nil"/>
            </w:tcBorders>
            <w:vAlign w:val="center"/>
          </w:tcPr>
          <w:p w14:paraId="075D3BDE">
            <w:pPr>
              <w:pStyle w:val="59"/>
              <w:rPr>
                <w:rFonts w:hint="eastAsia"/>
                <w:b/>
                <w:bCs/>
              </w:rPr>
            </w:pPr>
            <w:r>
              <w:rPr>
                <w:rFonts w:hint="eastAsia"/>
              </w:rPr>
              <w:t>12</w:t>
            </w:r>
          </w:p>
        </w:tc>
        <w:tc>
          <w:tcPr>
            <w:tcW w:w="3264" w:type="dxa"/>
            <w:tcBorders>
              <w:tl2br w:val="nil"/>
              <w:tr2bl w:val="nil"/>
            </w:tcBorders>
            <w:vAlign w:val="center"/>
          </w:tcPr>
          <w:p w14:paraId="1ECE72AA">
            <w:pPr>
              <w:pStyle w:val="59"/>
              <w:rPr>
                <w:rFonts w:hint="eastAsia"/>
              </w:rPr>
            </w:pPr>
          </w:p>
        </w:tc>
      </w:tr>
      <w:bookmarkEnd w:id="81"/>
      <w:bookmarkEnd w:id="82"/>
      <w:bookmarkEnd w:id="83"/>
      <w:bookmarkEnd w:id="84"/>
      <w:bookmarkEnd w:id="85"/>
      <w:bookmarkEnd w:id="86"/>
      <w:bookmarkEnd w:id="87"/>
    </w:tbl>
    <w:p w14:paraId="4F41D829">
      <w:pPr>
        <w:pStyle w:val="3"/>
        <w:spacing w:before="156" w:after="156"/>
        <w:ind w:firstLine="562"/>
      </w:pPr>
      <w:bookmarkStart w:id="88" w:name="_Toc17219"/>
      <w:r>
        <w:rPr>
          <w:rFonts w:hint="eastAsia"/>
        </w:rPr>
        <w:t>人员需求计划</w:t>
      </w:r>
      <w:bookmarkEnd w:id="88"/>
    </w:p>
    <w:p w14:paraId="2C0E7E87">
      <w:pPr>
        <w:ind w:firstLine="0" w:firstLineChars="0"/>
        <w:jc w:val="center"/>
      </w:pPr>
      <w:r>
        <w:rPr>
          <w:rFonts w:hint="eastAsia"/>
          <w:b/>
        </w:rPr>
        <w:t>表3.3 -1塔吊施工人员需求计划表</w:t>
      </w:r>
    </w:p>
    <w:tbl>
      <w:tblPr>
        <w:tblStyle w:val="33"/>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2625"/>
        <w:gridCol w:w="4746"/>
      </w:tblGrid>
      <w:tr w14:paraId="70C0608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151" w:type="dxa"/>
            <w:tcBorders>
              <w:tl2br w:val="nil"/>
              <w:tr2bl w:val="nil"/>
            </w:tcBorders>
            <w:vAlign w:val="center"/>
          </w:tcPr>
          <w:p w14:paraId="4318CE85">
            <w:pPr>
              <w:spacing w:line="240" w:lineRule="auto"/>
              <w:ind w:firstLine="0" w:firstLineChars="0"/>
              <w:jc w:val="center"/>
              <w:rPr>
                <w:rFonts w:hint="eastAsia" w:ascii="宋体" w:hAnsi="宋体"/>
              </w:rPr>
            </w:pPr>
            <w:r>
              <w:rPr>
                <w:rFonts w:hint="eastAsia" w:ascii="宋体" w:hAnsi="宋体"/>
              </w:rPr>
              <w:t>序 号</w:t>
            </w:r>
          </w:p>
        </w:tc>
        <w:tc>
          <w:tcPr>
            <w:tcW w:w="2625" w:type="dxa"/>
            <w:tcBorders>
              <w:tl2br w:val="nil"/>
              <w:tr2bl w:val="nil"/>
            </w:tcBorders>
            <w:vAlign w:val="center"/>
          </w:tcPr>
          <w:p w14:paraId="29B7971D">
            <w:pPr>
              <w:ind w:firstLine="0" w:firstLineChars="0"/>
              <w:jc w:val="center"/>
              <w:rPr>
                <w:rFonts w:hint="eastAsia" w:ascii="宋体" w:hAnsi="宋体"/>
              </w:rPr>
            </w:pPr>
            <w:r>
              <w:rPr>
                <w:rFonts w:hint="eastAsia" w:ascii="宋体" w:hAnsi="宋体"/>
              </w:rPr>
              <w:t>工 种</w:t>
            </w:r>
          </w:p>
        </w:tc>
        <w:tc>
          <w:tcPr>
            <w:tcW w:w="4746" w:type="dxa"/>
            <w:tcBorders>
              <w:tl2br w:val="nil"/>
              <w:tr2bl w:val="nil"/>
            </w:tcBorders>
            <w:vAlign w:val="center"/>
          </w:tcPr>
          <w:p w14:paraId="032D025D">
            <w:pPr>
              <w:spacing w:line="240" w:lineRule="auto"/>
              <w:ind w:firstLine="0" w:firstLineChars="0"/>
              <w:jc w:val="center"/>
              <w:rPr>
                <w:rFonts w:hint="eastAsia" w:ascii="宋体" w:hAnsi="宋体"/>
              </w:rPr>
            </w:pPr>
            <w:r>
              <w:rPr>
                <w:rFonts w:hint="eastAsia" w:ascii="宋体" w:hAnsi="宋体"/>
              </w:rPr>
              <w:t>数量</w:t>
            </w:r>
          </w:p>
        </w:tc>
      </w:tr>
      <w:tr w14:paraId="7522D1F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151" w:type="dxa"/>
            <w:tcBorders>
              <w:tl2br w:val="nil"/>
              <w:tr2bl w:val="nil"/>
            </w:tcBorders>
            <w:vAlign w:val="center"/>
          </w:tcPr>
          <w:p w14:paraId="1F451F53">
            <w:pPr>
              <w:spacing w:line="240" w:lineRule="auto"/>
              <w:ind w:firstLine="0" w:firstLineChars="0"/>
              <w:jc w:val="center"/>
              <w:rPr>
                <w:rFonts w:hint="eastAsia" w:ascii="宋体" w:hAnsi="宋体"/>
              </w:rPr>
            </w:pPr>
            <w:r>
              <w:rPr>
                <w:rFonts w:hint="eastAsia" w:ascii="宋体" w:hAnsi="宋体"/>
              </w:rPr>
              <w:t>1</w:t>
            </w:r>
          </w:p>
        </w:tc>
        <w:tc>
          <w:tcPr>
            <w:tcW w:w="2625" w:type="dxa"/>
            <w:tcBorders>
              <w:tl2br w:val="nil"/>
              <w:tr2bl w:val="nil"/>
            </w:tcBorders>
            <w:vAlign w:val="center"/>
          </w:tcPr>
          <w:p w14:paraId="39CF87BF">
            <w:pPr>
              <w:ind w:firstLine="0" w:firstLineChars="0"/>
              <w:jc w:val="center"/>
              <w:rPr>
                <w:rFonts w:hint="eastAsia" w:ascii="宋体" w:hAnsi="宋体"/>
              </w:rPr>
            </w:pPr>
            <w:r>
              <w:rPr>
                <w:rFonts w:hint="eastAsia" w:ascii="宋体" w:hAnsi="宋体"/>
              </w:rPr>
              <w:t>管理人员</w:t>
            </w:r>
          </w:p>
        </w:tc>
        <w:tc>
          <w:tcPr>
            <w:tcW w:w="4746" w:type="dxa"/>
            <w:tcBorders>
              <w:tl2br w:val="nil"/>
              <w:tr2bl w:val="nil"/>
            </w:tcBorders>
            <w:vAlign w:val="center"/>
          </w:tcPr>
          <w:p w14:paraId="699786FF">
            <w:pPr>
              <w:spacing w:line="240" w:lineRule="auto"/>
              <w:ind w:firstLine="0" w:firstLineChars="0"/>
              <w:jc w:val="center"/>
              <w:rPr>
                <w:rFonts w:hint="eastAsia" w:ascii="宋体" w:hAnsi="宋体" w:eastAsia="宋体"/>
                <w:lang w:eastAsia="zh-CN"/>
              </w:rPr>
            </w:pPr>
            <w:r>
              <w:rPr>
                <w:rFonts w:hint="eastAsia" w:ascii="宋体" w:hAnsi="宋体"/>
                <w:lang w:val="en-US" w:eastAsia="zh-CN"/>
              </w:rPr>
              <w:t>3</w:t>
            </w:r>
          </w:p>
        </w:tc>
      </w:tr>
      <w:tr w14:paraId="507C762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151" w:type="dxa"/>
            <w:tcBorders>
              <w:tl2br w:val="nil"/>
              <w:tr2bl w:val="nil"/>
            </w:tcBorders>
            <w:vAlign w:val="center"/>
          </w:tcPr>
          <w:p w14:paraId="53DD7E5E">
            <w:pPr>
              <w:spacing w:line="240" w:lineRule="auto"/>
              <w:ind w:firstLine="0" w:firstLineChars="0"/>
              <w:jc w:val="center"/>
              <w:rPr>
                <w:rFonts w:hint="eastAsia" w:ascii="宋体" w:hAnsi="宋体"/>
              </w:rPr>
            </w:pPr>
            <w:r>
              <w:rPr>
                <w:rFonts w:hint="eastAsia" w:ascii="宋体" w:hAnsi="宋体"/>
              </w:rPr>
              <w:t>2</w:t>
            </w:r>
          </w:p>
        </w:tc>
        <w:tc>
          <w:tcPr>
            <w:tcW w:w="2625" w:type="dxa"/>
            <w:tcBorders>
              <w:tl2br w:val="nil"/>
              <w:tr2bl w:val="nil"/>
            </w:tcBorders>
            <w:vAlign w:val="center"/>
          </w:tcPr>
          <w:p w14:paraId="7345B862">
            <w:pPr>
              <w:ind w:firstLine="0" w:firstLineChars="0"/>
              <w:jc w:val="center"/>
              <w:rPr>
                <w:rFonts w:hint="eastAsia" w:ascii="宋体" w:hAnsi="宋体"/>
              </w:rPr>
            </w:pPr>
            <w:r>
              <w:rPr>
                <w:rFonts w:hint="eastAsia" w:ascii="宋体" w:hAnsi="宋体"/>
              </w:rPr>
              <w:t>塔司</w:t>
            </w:r>
          </w:p>
        </w:tc>
        <w:tc>
          <w:tcPr>
            <w:tcW w:w="4746" w:type="dxa"/>
            <w:tcBorders>
              <w:tl2br w:val="nil"/>
              <w:tr2bl w:val="nil"/>
            </w:tcBorders>
            <w:vAlign w:val="center"/>
          </w:tcPr>
          <w:p w14:paraId="54BF7871">
            <w:pPr>
              <w:spacing w:line="240" w:lineRule="auto"/>
              <w:ind w:firstLine="0" w:firstLineChars="0"/>
              <w:jc w:val="center"/>
              <w:rPr>
                <w:rFonts w:hint="eastAsia" w:ascii="宋体" w:hAnsi="宋体" w:eastAsia="宋体"/>
                <w:lang w:val="en-US" w:eastAsia="zh-CN"/>
              </w:rPr>
            </w:pPr>
            <w:r>
              <w:rPr>
                <w:rFonts w:hint="eastAsia" w:ascii="宋体" w:hAnsi="宋体"/>
                <w:lang w:val="en-US" w:eastAsia="zh-CN"/>
              </w:rPr>
              <w:t>1</w:t>
            </w:r>
          </w:p>
        </w:tc>
      </w:tr>
      <w:tr w14:paraId="29CA11A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1151" w:type="dxa"/>
            <w:tcBorders>
              <w:tl2br w:val="nil"/>
              <w:tr2bl w:val="nil"/>
            </w:tcBorders>
            <w:vAlign w:val="center"/>
          </w:tcPr>
          <w:p w14:paraId="51CE37C5">
            <w:pPr>
              <w:spacing w:line="240" w:lineRule="auto"/>
              <w:ind w:firstLine="0" w:firstLineChars="0"/>
              <w:jc w:val="center"/>
              <w:rPr>
                <w:rFonts w:hint="eastAsia" w:ascii="宋体" w:hAnsi="宋体"/>
              </w:rPr>
            </w:pPr>
            <w:r>
              <w:rPr>
                <w:rFonts w:hint="eastAsia" w:ascii="宋体" w:hAnsi="宋体"/>
              </w:rPr>
              <w:t>3</w:t>
            </w:r>
          </w:p>
        </w:tc>
        <w:tc>
          <w:tcPr>
            <w:tcW w:w="2625" w:type="dxa"/>
            <w:tcBorders>
              <w:tl2br w:val="nil"/>
              <w:tr2bl w:val="nil"/>
            </w:tcBorders>
            <w:vAlign w:val="center"/>
          </w:tcPr>
          <w:p w14:paraId="6F3E6CD6">
            <w:pPr>
              <w:ind w:firstLine="0" w:firstLineChars="0"/>
              <w:jc w:val="center"/>
              <w:rPr>
                <w:rFonts w:hint="eastAsia" w:ascii="宋体" w:hAnsi="宋体"/>
              </w:rPr>
            </w:pPr>
            <w:r>
              <w:rPr>
                <w:rFonts w:hint="eastAsia" w:ascii="宋体" w:hAnsi="宋体"/>
              </w:rPr>
              <w:t>信号工</w:t>
            </w:r>
          </w:p>
        </w:tc>
        <w:tc>
          <w:tcPr>
            <w:tcW w:w="4746" w:type="dxa"/>
            <w:tcBorders>
              <w:tl2br w:val="nil"/>
              <w:tr2bl w:val="nil"/>
            </w:tcBorders>
            <w:vAlign w:val="center"/>
          </w:tcPr>
          <w:p w14:paraId="48E239A4">
            <w:pPr>
              <w:spacing w:line="240" w:lineRule="auto"/>
              <w:ind w:firstLine="0" w:firstLineChars="0"/>
              <w:jc w:val="center"/>
              <w:rPr>
                <w:rFonts w:hint="default" w:ascii="宋体" w:hAnsi="宋体" w:eastAsia="宋体"/>
                <w:lang w:val="en-US" w:eastAsia="zh-CN"/>
              </w:rPr>
            </w:pPr>
            <w:r>
              <w:rPr>
                <w:rFonts w:hint="eastAsia" w:ascii="宋体" w:hAnsi="宋体"/>
                <w:lang w:val="en-US" w:eastAsia="zh-CN"/>
              </w:rPr>
              <w:t>5</w:t>
            </w:r>
          </w:p>
        </w:tc>
      </w:tr>
    </w:tbl>
    <w:p w14:paraId="48135183">
      <w:pPr>
        <w:spacing w:before="156" w:beforeLines="50" w:after="156" w:afterLines="50"/>
        <w:ind w:firstLine="480"/>
      </w:pPr>
      <w:r>
        <w:rPr>
          <w:rFonts w:hint="eastAsia"/>
        </w:rPr>
        <w:br w:type="page"/>
      </w:r>
    </w:p>
    <w:p w14:paraId="282AEA61">
      <w:pPr>
        <w:pStyle w:val="2"/>
        <w:spacing w:before="156" w:after="156"/>
        <w:ind w:firstLine="643"/>
      </w:pPr>
      <w:bookmarkStart w:id="89" w:name="_Toc13371"/>
      <w:bookmarkStart w:id="90" w:name="_Toc2876_WPSOffice_Level1"/>
      <w:bookmarkStart w:id="91" w:name="_Toc32738"/>
      <w:bookmarkStart w:id="92" w:name="_Toc18764"/>
      <w:bookmarkStart w:id="93" w:name="_Toc3983"/>
      <w:bookmarkStart w:id="94" w:name="_Toc20151"/>
      <w:bookmarkStart w:id="95" w:name="_Toc1057"/>
      <w:r>
        <w:rPr>
          <w:rFonts w:hint="eastAsia"/>
        </w:rPr>
        <w:t>施工工艺技术</w:t>
      </w:r>
      <w:bookmarkEnd w:id="89"/>
      <w:bookmarkEnd w:id="90"/>
      <w:bookmarkEnd w:id="91"/>
      <w:bookmarkEnd w:id="92"/>
      <w:bookmarkEnd w:id="93"/>
      <w:bookmarkEnd w:id="94"/>
      <w:bookmarkEnd w:id="95"/>
    </w:p>
    <w:p w14:paraId="116E5246">
      <w:pPr>
        <w:pStyle w:val="3"/>
        <w:spacing w:before="156" w:after="156"/>
        <w:ind w:firstLine="562"/>
      </w:pPr>
      <w:bookmarkStart w:id="96" w:name="_Toc5555"/>
      <w:bookmarkStart w:id="97" w:name="_Toc29657"/>
      <w:bookmarkStart w:id="98" w:name="_Toc16710"/>
      <w:bookmarkStart w:id="99" w:name="_Toc32275_WPSOffice_Level2"/>
      <w:bookmarkStart w:id="100" w:name="_Toc2911"/>
      <w:bookmarkStart w:id="101" w:name="_Toc10053"/>
      <w:bookmarkStart w:id="102" w:name="_Toc11075"/>
      <w:bookmarkStart w:id="103" w:name="_Toc25282"/>
      <w:r>
        <w:rPr>
          <w:rFonts w:hint="eastAsia"/>
        </w:rPr>
        <w:t>施工方案</w:t>
      </w:r>
      <w:bookmarkEnd w:id="96"/>
      <w:bookmarkEnd w:id="97"/>
      <w:r>
        <w:rPr>
          <w:rFonts w:hint="eastAsia"/>
        </w:rPr>
        <w:t>概述</w:t>
      </w:r>
      <w:bookmarkEnd w:id="98"/>
    </w:p>
    <w:p w14:paraId="5057026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1、塔吊尽量覆盖整个施工区域，减少盲区；</w:t>
      </w:r>
    </w:p>
    <w:p w14:paraId="3503DB0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2、塔吊最大起重量能满足施工要求；</w:t>
      </w:r>
    </w:p>
    <w:p w14:paraId="6FF6321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3、保证每台塔吊的工作效率，即不闲置又能满足施工吊运要求；</w:t>
      </w:r>
    </w:p>
    <w:p w14:paraId="52ECB66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4、充分考虑塔吊安装和拆除所需空间，满足塔吊安拆的要求；</w:t>
      </w:r>
    </w:p>
    <w:p w14:paraId="5E1E9F01">
      <w:pPr>
        <w:ind w:firstLine="480"/>
      </w:pPr>
      <w:r>
        <w:rPr>
          <w:rFonts w:hint="eastAsia"/>
          <w:color w:val="000000" w:themeColor="text1"/>
          <w14:textFill>
            <w14:solidFill>
              <w14:schemeClr w14:val="tx1"/>
            </w14:solidFill>
          </w14:textFill>
        </w:rPr>
        <w:t>5、充分考虑到塔吊的高度和平面位置上的避让，同时考虑到和周围拟建建筑之间的避让，满足设备安全运行的要求。</w:t>
      </w:r>
    </w:p>
    <w:bookmarkEnd w:id="99"/>
    <w:bookmarkEnd w:id="100"/>
    <w:bookmarkEnd w:id="101"/>
    <w:bookmarkEnd w:id="102"/>
    <w:bookmarkEnd w:id="103"/>
    <w:p w14:paraId="57C6C06E">
      <w:pPr>
        <w:pStyle w:val="3"/>
        <w:spacing w:before="156" w:after="156"/>
        <w:ind w:firstLine="562"/>
      </w:pPr>
      <w:bookmarkStart w:id="104" w:name="_Toc7871"/>
      <w:r>
        <w:rPr>
          <w:rFonts w:hint="eastAsia"/>
        </w:rPr>
        <w:t>施工准备</w:t>
      </w:r>
      <w:bookmarkEnd w:id="104"/>
    </w:p>
    <w:p w14:paraId="7ED11858">
      <w:pPr>
        <w:numPr>
          <w:ilvl w:val="0"/>
          <w:numId w:val="4"/>
        </w:num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根据本工程实际情况，现场共配备3台塔吊，选用XTG6015-8S1型号塔吊，安装臂长均为60米，塔吊基础自土方开挖及地基处理阶段即可进行。以下为塔吊基础施工各塔吊选型：</w:t>
      </w:r>
    </w:p>
    <w:p w14:paraId="369FE6C0">
      <w:pPr>
        <w:spacing w:after="156" w:afterLines="50"/>
        <w:ind w:firstLine="0" w:firstLineChars="0"/>
        <w:jc w:val="center"/>
        <w:rPr>
          <w:sz w:val="21"/>
        </w:rPr>
      </w:pPr>
      <w:r>
        <w:rPr>
          <w:rFonts w:hint="eastAsia"/>
          <w:b/>
          <w:sz w:val="21"/>
        </w:rPr>
        <w:t>表4</w:t>
      </w:r>
      <w:r>
        <w:rPr>
          <w:b/>
          <w:sz w:val="21"/>
        </w:rPr>
        <w:t>.</w:t>
      </w:r>
      <w:r>
        <w:rPr>
          <w:rFonts w:hint="eastAsia"/>
          <w:b/>
          <w:sz w:val="21"/>
        </w:rPr>
        <w:t>2-1塔吊选型及参数一览</w:t>
      </w:r>
      <w:r>
        <w:rPr>
          <w:b/>
          <w:sz w:val="21"/>
        </w:rPr>
        <w:t>表</w:t>
      </w:r>
    </w:p>
    <w:tbl>
      <w:tblPr>
        <w:tblStyle w:val="34"/>
        <w:tblW w:w="8812" w:type="dxa"/>
        <w:tblInd w:w="11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393"/>
        <w:gridCol w:w="642"/>
        <w:gridCol w:w="908"/>
        <w:gridCol w:w="1175"/>
        <w:gridCol w:w="900"/>
        <w:gridCol w:w="1050"/>
        <w:gridCol w:w="2069"/>
      </w:tblGrid>
      <w:tr w14:paraId="6C6E1D2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675" w:type="dxa"/>
            <w:tcBorders>
              <w:tl2br w:val="nil"/>
              <w:tr2bl w:val="nil"/>
            </w:tcBorders>
          </w:tcPr>
          <w:p w14:paraId="2F64141D">
            <w:pPr>
              <w:pStyle w:val="13"/>
              <w:spacing w:line="240" w:lineRule="auto"/>
              <w:ind w:firstLine="0" w:firstLineChars="0"/>
              <w:jc w:val="center"/>
              <w:rPr>
                <w:rFonts w:ascii="宋体" w:hAnsi="宋体" w:cs="宋体"/>
                <w:sz w:val="21"/>
              </w:rPr>
            </w:pPr>
            <w:r>
              <w:rPr>
                <w:rFonts w:ascii="宋体" w:hAnsi="宋体" w:cs="宋体"/>
                <w:sz w:val="21"/>
              </w:rPr>
              <w:t>序号</w:t>
            </w:r>
          </w:p>
        </w:tc>
        <w:tc>
          <w:tcPr>
            <w:tcW w:w="1393" w:type="dxa"/>
            <w:tcBorders>
              <w:tl2br w:val="nil"/>
              <w:tr2bl w:val="nil"/>
            </w:tcBorders>
          </w:tcPr>
          <w:p w14:paraId="2D647780">
            <w:pPr>
              <w:pStyle w:val="13"/>
              <w:spacing w:line="240" w:lineRule="auto"/>
              <w:ind w:firstLine="0" w:firstLineChars="0"/>
              <w:jc w:val="center"/>
              <w:rPr>
                <w:rFonts w:ascii="宋体" w:hAnsi="宋体" w:cs="宋体"/>
                <w:sz w:val="21"/>
              </w:rPr>
            </w:pPr>
            <w:r>
              <w:rPr>
                <w:rFonts w:ascii="宋体" w:hAnsi="宋体" w:cs="宋体"/>
                <w:sz w:val="21"/>
              </w:rPr>
              <w:t>塔吊型号</w:t>
            </w:r>
          </w:p>
        </w:tc>
        <w:tc>
          <w:tcPr>
            <w:tcW w:w="642" w:type="dxa"/>
            <w:tcBorders>
              <w:tl2br w:val="nil"/>
              <w:tr2bl w:val="nil"/>
            </w:tcBorders>
          </w:tcPr>
          <w:p w14:paraId="0249309C">
            <w:pPr>
              <w:pStyle w:val="13"/>
              <w:spacing w:line="240" w:lineRule="auto"/>
              <w:ind w:firstLine="0" w:firstLineChars="0"/>
              <w:jc w:val="center"/>
              <w:rPr>
                <w:rFonts w:ascii="宋体" w:hAnsi="宋体" w:cs="宋体"/>
                <w:sz w:val="21"/>
              </w:rPr>
            </w:pPr>
            <w:r>
              <w:rPr>
                <w:rFonts w:ascii="宋体" w:hAnsi="宋体" w:cs="宋体"/>
                <w:sz w:val="21"/>
              </w:rPr>
              <w:t>臂长</w:t>
            </w:r>
          </w:p>
        </w:tc>
        <w:tc>
          <w:tcPr>
            <w:tcW w:w="908" w:type="dxa"/>
            <w:tcBorders>
              <w:tl2br w:val="nil"/>
              <w:tr2bl w:val="nil"/>
            </w:tcBorders>
          </w:tcPr>
          <w:p w14:paraId="4CDA929C">
            <w:pPr>
              <w:pStyle w:val="13"/>
              <w:spacing w:line="240" w:lineRule="auto"/>
              <w:ind w:firstLine="0" w:firstLineChars="0"/>
              <w:jc w:val="center"/>
              <w:rPr>
                <w:rFonts w:ascii="宋体" w:hAnsi="宋体" w:cs="宋体"/>
                <w:sz w:val="21"/>
              </w:rPr>
            </w:pPr>
            <w:r>
              <w:rPr>
                <w:rFonts w:ascii="宋体" w:hAnsi="宋体" w:cs="宋体"/>
                <w:sz w:val="21"/>
              </w:rPr>
              <w:t>独立高度（m）</w:t>
            </w:r>
          </w:p>
        </w:tc>
        <w:tc>
          <w:tcPr>
            <w:tcW w:w="1175" w:type="dxa"/>
            <w:tcBorders>
              <w:tl2br w:val="nil"/>
              <w:tr2bl w:val="nil"/>
            </w:tcBorders>
          </w:tcPr>
          <w:p w14:paraId="78373E84">
            <w:pPr>
              <w:pStyle w:val="13"/>
              <w:spacing w:line="240" w:lineRule="auto"/>
              <w:ind w:firstLine="0" w:firstLineChars="0"/>
              <w:jc w:val="center"/>
              <w:rPr>
                <w:rFonts w:ascii="宋体" w:hAnsi="宋体" w:cs="宋体"/>
                <w:sz w:val="21"/>
              </w:rPr>
            </w:pPr>
            <w:r>
              <w:rPr>
                <w:rFonts w:ascii="宋体" w:hAnsi="宋体" w:cs="宋体"/>
                <w:sz w:val="21"/>
              </w:rPr>
              <w:t>最大起升高度（m）</w:t>
            </w:r>
          </w:p>
        </w:tc>
        <w:tc>
          <w:tcPr>
            <w:tcW w:w="900" w:type="dxa"/>
            <w:tcBorders>
              <w:tl2br w:val="nil"/>
              <w:tr2bl w:val="nil"/>
            </w:tcBorders>
          </w:tcPr>
          <w:p w14:paraId="7A66489C">
            <w:pPr>
              <w:pStyle w:val="13"/>
              <w:spacing w:line="240" w:lineRule="auto"/>
              <w:ind w:firstLine="0" w:firstLineChars="0"/>
              <w:jc w:val="center"/>
              <w:rPr>
                <w:rFonts w:ascii="宋体" w:hAnsi="宋体" w:cs="宋体"/>
                <w:sz w:val="21"/>
              </w:rPr>
            </w:pPr>
            <w:r>
              <w:rPr>
                <w:rFonts w:ascii="宋体" w:hAnsi="宋体" w:cs="宋体"/>
                <w:sz w:val="21"/>
              </w:rPr>
              <w:t>最大吊重（t）</w:t>
            </w:r>
          </w:p>
        </w:tc>
        <w:tc>
          <w:tcPr>
            <w:tcW w:w="1050" w:type="dxa"/>
            <w:tcBorders>
              <w:tl2br w:val="nil"/>
              <w:tr2bl w:val="nil"/>
            </w:tcBorders>
          </w:tcPr>
          <w:p w14:paraId="40FC6FD9">
            <w:pPr>
              <w:pStyle w:val="13"/>
              <w:spacing w:line="240" w:lineRule="auto"/>
              <w:ind w:firstLine="0" w:firstLineChars="0"/>
              <w:jc w:val="center"/>
              <w:rPr>
                <w:rFonts w:ascii="宋体" w:hAnsi="宋体" w:cs="宋体"/>
                <w:sz w:val="21"/>
              </w:rPr>
            </w:pPr>
            <w:r>
              <w:rPr>
                <w:rFonts w:ascii="宋体" w:hAnsi="宋体" w:cs="宋体"/>
                <w:sz w:val="21"/>
              </w:rPr>
              <w:t>最长臂吊重（t）</w:t>
            </w:r>
          </w:p>
        </w:tc>
        <w:tc>
          <w:tcPr>
            <w:tcW w:w="2069" w:type="dxa"/>
            <w:tcBorders>
              <w:tl2br w:val="nil"/>
              <w:tr2bl w:val="nil"/>
            </w:tcBorders>
          </w:tcPr>
          <w:p w14:paraId="2F5BB651">
            <w:pPr>
              <w:pStyle w:val="13"/>
              <w:spacing w:line="240" w:lineRule="auto"/>
              <w:ind w:firstLine="0" w:firstLineChars="0"/>
              <w:jc w:val="center"/>
              <w:rPr>
                <w:rFonts w:ascii="宋体" w:hAnsi="宋体" w:cs="宋体"/>
                <w:sz w:val="21"/>
              </w:rPr>
            </w:pPr>
            <w:r>
              <w:rPr>
                <w:rFonts w:ascii="宋体" w:hAnsi="宋体" w:cs="宋体"/>
                <w:sz w:val="21"/>
              </w:rPr>
              <w:t>标准节尺寸（m）</w:t>
            </w:r>
          </w:p>
        </w:tc>
      </w:tr>
      <w:tr w14:paraId="06B83B2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675" w:type="dxa"/>
            <w:tcBorders>
              <w:tl2br w:val="nil"/>
              <w:tr2bl w:val="nil"/>
            </w:tcBorders>
          </w:tcPr>
          <w:p w14:paraId="5760AE24">
            <w:pPr>
              <w:pStyle w:val="13"/>
              <w:spacing w:line="240" w:lineRule="auto"/>
              <w:ind w:firstLine="0" w:firstLineChars="0"/>
              <w:jc w:val="center"/>
              <w:rPr>
                <w:rFonts w:ascii="宋体" w:hAnsi="宋体" w:cs="宋体"/>
                <w:sz w:val="21"/>
              </w:rPr>
            </w:pPr>
            <w:r>
              <w:rPr>
                <w:rFonts w:ascii="宋体" w:hAnsi="宋体" w:cs="宋体"/>
                <w:sz w:val="21"/>
              </w:rPr>
              <w:t>2</w:t>
            </w:r>
          </w:p>
        </w:tc>
        <w:tc>
          <w:tcPr>
            <w:tcW w:w="1393" w:type="dxa"/>
            <w:tcBorders>
              <w:tl2br w:val="nil"/>
              <w:tr2bl w:val="nil"/>
            </w:tcBorders>
          </w:tcPr>
          <w:p w14:paraId="3305809B">
            <w:pPr>
              <w:spacing w:line="240" w:lineRule="auto"/>
              <w:ind w:firstLine="0" w:firstLineChars="0"/>
              <w:rPr>
                <w:rFonts w:hint="eastAsia" w:ascii="宋体" w:hAnsi="宋体" w:eastAsia="宋体" w:cs="宋体"/>
                <w:sz w:val="21"/>
                <w:lang w:eastAsia="zh-CN"/>
              </w:rPr>
            </w:pPr>
            <w:r>
              <w:rPr>
                <w:rFonts w:hint="eastAsia" w:ascii="宋体" w:hAnsi="宋体" w:cs="宋体"/>
                <w:color w:val="000000" w:themeColor="text1"/>
                <w:sz w:val="21"/>
                <w:lang w:eastAsia="zh-CN"/>
                <w14:textFill>
                  <w14:solidFill>
                    <w14:schemeClr w14:val="tx1"/>
                  </w14:solidFill>
                </w14:textFill>
              </w:rPr>
              <w:t>XTG6015-8S1</w:t>
            </w:r>
          </w:p>
        </w:tc>
        <w:tc>
          <w:tcPr>
            <w:tcW w:w="642" w:type="dxa"/>
            <w:tcBorders>
              <w:tl2br w:val="nil"/>
              <w:tr2bl w:val="nil"/>
            </w:tcBorders>
          </w:tcPr>
          <w:p w14:paraId="752398DD">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lang w:val="en-US" w:eastAsia="zh-CN"/>
              </w:rPr>
            </w:pPr>
            <w:r>
              <w:rPr>
                <w:rFonts w:hint="eastAsia" w:ascii="宋体" w:hAnsi="宋体" w:cs="宋体"/>
                <w:sz w:val="21"/>
                <w:lang w:val="en-US" w:eastAsia="zh-CN"/>
              </w:rPr>
              <w:t>60</w:t>
            </w:r>
          </w:p>
        </w:tc>
        <w:tc>
          <w:tcPr>
            <w:tcW w:w="908" w:type="dxa"/>
            <w:tcBorders>
              <w:tl2br w:val="nil"/>
              <w:tr2bl w:val="nil"/>
            </w:tcBorders>
          </w:tcPr>
          <w:p w14:paraId="71AC5F54">
            <w:pPr>
              <w:pStyle w:val="13"/>
              <w:spacing w:line="240" w:lineRule="auto"/>
              <w:ind w:firstLine="0" w:firstLineChars="0"/>
              <w:jc w:val="center"/>
              <w:rPr>
                <w:rFonts w:ascii="宋体" w:hAnsi="宋体" w:cs="宋体"/>
                <w:sz w:val="21"/>
              </w:rPr>
            </w:pPr>
            <w:r>
              <w:rPr>
                <w:rFonts w:ascii="宋体" w:hAnsi="宋体" w:cs="宋体"/>
                <w:sz w:val="21"/>
              </w:rPr>
              <w:t>40</w:t>
            </w:r>
          </w:p>
        </w:tc>
        <w:tc>
          <w:tcPr>
            <w:tcW w:w="1175" w:type="dxa"/>
            <w:tcBorders>
              <w:tl2br w:val="nil"/>
              <w:tr2bl w:val="nil"/>
            </w:tcBorders>
          </w:tcPr>
          <w:p w14:paraId="7CD1FBE5">
            <w:pPr>
              <w:pStyle w:val="13"/>
              <w:spacing w:line="240" w:lineRule="auto"/>
              <w:ind w:firstLine="0" w:firstLineChars="0"/>
              <w:jc w:val="center"/>
              <w:rPr>
                <w:rFonts w:ascii="宋体" w:hAnsi="宋体" w:cs="宋体"/>
                <w:sz w:val="21"/>
              </w:rPr>
            </w:pPr>
            <w:r>
              <w:rPr>
                <w:rFonts w:ascii="宋体" w:hAnsi="宋体" w:cs="宋体"/>
                <w:sz w:val="21"/>
              </w:rPr>
              <w:t>199.6</w:t>
            </w:r>
          </w:p>
        </w:tc>
        <w:tc>
          <w:tcPr>
            <w:tcW w:w="900" w:type="dxa"/>
            <w:tcBorders>
              <w:tl2br w:val="nil"/>
              <w:tr2bl w:val="nil"/>
            </w:tcBorders>
            <w:vAlign w:val="center"/>
          </w:tcPr>
          <w:p w14:paraId="1EB96D11">
            <w:pPr>
              <w:spacing w:line="240" w:lineRule="auto"/>
              <w:ind w:firstLine="0" w:firstLineChars="0"/>
              <w:jc w:val="center"/>
              <w:rPr>
                <w:rFonts w:hint="eastAsia" w:ascii="宋体" w:hAnsi="宋体" w:cs="宋体"/>
                <w:sz w:val="21"/>
              </w:rPr>
            </w:pPr>
            <w:r>
              <w:rPr>
                <w:rFonts w:hint="eastAsia" w:ascii="宋体" w:hAnsi="宋体" w:cs="宋体"/>
                <w:color w:val="000000" w:themeColor="text1"/>
                <w:sz w:val="21"/>
                <w14:textFill>
                  <w14:solidFill>
                    <w14:schemeClr w14:val="tx1"/>
                  </w14:solidFill>
                </w14:textFill>
              </w:rPr>
              <w:t>8</w:t>
            </w:r>
          </w:p>
        </w:tc>
        <w:tc>
          <w:tcPr>
            <w:tcW w:w="1050" w:type="dxa"/>
            <w:tcBorders>
              <w:tl2br w:val="nil"/>
              <w:tr2bl w:val="nil"/>
            </w:tcBorders>
          </w:tcPr>
          <w:p w14:paraId="4A99D5CE">
            <w:pPr>
              <w:pStyle w:val="13"/>
              <w:spacing w:line="240" w:lineRule="auto"/>
              <w:ind w:firstLine="0" w:firstLineChars="0"/>
              <w:jc w:val="center"/>
              <w:rPr>
                <w:rFonts w:hint="default" w:ascii="宋体" w:hAnsi="宋体" w:eastAsia="宋体" w:cs="宋体"/>
                <w:sz w:val="21"/>
                <w:lang w:val="en-US" w:eastAsia="zh-CN"/>
              </w:rPr>
            </w:pPr>
            <w:r>
              <w:rPr>
                <w:rFonts w:hint="eastAsia" w:ascii="宋体" w:hAnsi="宋体" w:cs="宋体"/>
                <w:sz w:val="21"/>
                <w:lang w:val="en-US" w:eastAsia="zh-CN"/>
              </w:rPr>
              <w:t>1.50</w:t>
            </w:r>
          </w:p>
        </w:tc>
        <w:tc>
          <w:tcPr>
            <w:tcW w:w="2069" w:type="dxa"/>
            <w:tcBorders>
              <w:tl2br w:val="nil"/>
              <w:tr2bl w:val="nil"/>
            </w:tcBorders>
          </w:tcPr>
          <w:p w14:paraId="0AAC1542">
            <w:pPr>
              <w:pStyle w:val="13"/>
              <w:spacing w:line="240" w:lineRule="auto"/>
              <w:ind w:firstLine="0" w:firstLineChars="0"/>
              <w:jc w:val="left"/>
              <w:rPr>
                <w:rFonts w:ascii="宋体" w:hAnsi="宋体" w:cs="宋体"/>
                <w:sz w:val="21"/>
              </w:rPr>
            </w:pPr>
            <w:r>
              <w:rPr>
                <w:rFonts w:hint="eastAsia" w:ascii="宋体" w:hAnsi="宋体" w:cs="宋体"/>
                <w:color w:val="000000" w:themeColor="text1"/>
                <w:sz w:val="21"/>
                <w:lang w:val="en-US" w:eastAsia="zh-CN"/>
                <w14:textFill>
                  <w14:solidFill>
                    <w14:schemeClr w14:val="tx1"/>
                  </w14:solidFill>
                </w14:textFill>
              </w:rPr>
              <w:t>1.6</w:t>
            </w:r>
            <w:r>
              <w:rPr>
                <w:rFonts w:ascii="宋体" w:hAnsi="宋体" w:cs="宋体"/>
                <w:color w:val="000000" w:themeColor="text1"/>
                <w:sz w:val="21"/>
                <w14:textFill>
                  <w14:solidFill>
                    <w14:schemeClr w14:val="tx1"/>
                  </w14:solidFill>
                </w14:textFill>
              </w:rPr>
              <w:t>×1.</w:t>
            </w:r>
            <w:r>
              <w:rPr>
                <w:rFonts w:hint="eastAsia" w:ascii="宋体" w:hAnsi="宋体" w:cs="宋体"/>
                <w:color w:val="000000" w:themeColor="text1"/>
                <w:sz w:val="21"/>
                <w:lang w:val="en-US" w:eastAsia="zh-CN"/>
                <w14:textFill>
                  <w14:solidFill>
                    <w14:schemeClr w14:val="tx1"/>
                  </w14:solidFill>
                </w14:textFill>
              </w:rPr>
              <w:t>6</w:t>
            </w:r>
            <w:r>
              <w:rPr>
                <w:rFonts w:ascii="宋体" w:hAnsi="宋体" w:cs="宋体"/>
                <w:color w:val="000000" w:themeColor="text1"/>
                <w:sz w:val="21"/>
                <w14:textFill>
                  <w14:solidFill>
                    <w14:schemeClr w14:val="tx1"/>
                  </w14:solidFill>
                </w14:textFill>
              </w:rPr>
              <w:t>×2.8</w:t>
            </w:r>
          </w:p>
        </w:tc>
      </w:tr>
      <w:tr w14:paraId="6D5DCCB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675" w:type="dxa"/>
            <w:tcBorders>
              <w:tl2br w:val="nil"/>
              <w:tr2bl w:val="nil"/>
            </w:tcBorders>
          </w:tcPr>
          <w:p w14:paraId="64C20728">
            <w:pPr>
              <w:pStyle w:val="13"/>
              <w:spacing w:line="240" w:lineRule="auto"/>
              <w:ind w:firstLine="0" w:firstLineChars="0"/>
              <w:jc w:val="center"/>
              <w:rPr>
                <w:rFonts w:ascii="宋体" w:hAnsi="宋体" w:cs="宋体"/>
                <w:sz w:val="21"/>
              </w:rPr>
            </w:pPr>
            <w:r>
              <w:rPr>
                <w:rFonts w:ascii="宋体" w:hAnsi="宋体" w:cs="宋体"/>
                <w:sz w:val="21"/>
              </w:rPr>
              <w:t>3</w:t>
            </w:r>
          </w:p>
        </w:tc>
        <w:tc>
          <w:tcPr>
            <w:tcW w:w="1393" w:type="dxa"/>
            <w:tcBorders>
              <w:tl2br w:val="nil"/>
              <w:tr2bl w:val="nil"/>
            </w:tcBorders>
          </w:tcPr>
          <w:p w14:paraId="02996805">
            <w:pPr>
              <w:spacing w:line="240" w:lineRule="auto"/>
              <w:ind w:firstLine="0" w:firstLineChars="0"/>
              <w:rPr>
                <w:rFonts w:hint="eastAsia" w:ascii="宋体" w:hAnsi="宋体" w:cs="宋体"/>
                <w:sz w:val="21"/>
              </w:rPr>
            </w:pPr>
            <w:r>
              <w:rPr>
                <w:rFonts w:hint="eastAsia" w:ascii="宋体" w:hAnsi="宋体" w:cs="宋体"/>
                <w:sz w:val="21"/>
              </w:rPr>
              <w:t>XGT601</w:t>
            </w:r>
            <w:r>
              <w:rPr>
                <w:rFonts w:hint="eastAsia" w:ascii="宋体" w:hAnsi="宋体" w:cs="宋体"/>
                <w:sz w:val="21"/>
                <w:lang w:val="en-US" w:eastAsia="zh-CN"/>
              </w:rPr>
              <w:t>3</w:t>
            </w:r>
            <w:r>
              <w:rPr>
                <w:rFonts w:hint="eastAsia" w:ascii="宋体" w:hAnsi="宋体" w:cs="宋体"/>
                <w:sz w:val="21"/>
              </w:rPr>
              <w:t>-</w:t>
            </w:r>
            <w:r>
              <w:rPr>
                <w:rFonts w:hint="eastAsia" w:ascii="宋体" w:hAnsi="宋体" w:cs="宋体"/>
                <w:sz w:val="21"/>
                <w:lang w:val="en-US" w:eastAsia="zh-CN"/>
              </w:rPr>
              <w:t>6</w:t>
            </w:r>
            <w:r>
              <w:rPr>
                <w:rFonts w:hint="eastAsia" w:ascii="宋体" w:hAnsi="宋体" w:cs="宋体"/>
                <w:sz w:val="21"/>
              </w:rPr>
              <w:t>S1</w:t>
            </w:r>
          </w:p>
        </w:tc>
        <w:tc>
          <w:tcPr>
            <w:tcW w:w="642" w:type="dxa"/>
            <w:tcBorders>
              <w:tl2br w:val="nil"/>
              <w:tr2bl w:val="nil"/>
            </w:tcBorders>
          </w:tcPr>
          <w:p w14:paraId="52383D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rPr>
            </w:pPr>
            <w:r>
              <w:rPr>
                <w:rFonts w:hint="eastAsia" w:ascii="宋体" w:hAnsi="宋体" w:cs="宋体"/>
                <w:sz w:val="21"/>
                <w:lang w:val="en-US" w:eastAsia="zh-CN"/>
              </w:rPr>
              <w:t>60</w:t>
            </w:r>
          </w:p>
        </w:tc>
        <w:tc>
          <w:tcPr>
            <w:tcW w:w="908" w:type="dxa"/>
            <w:tcBorders>
              <w:tl2br w:val="nil"/>
              <w:tr2bl w:val="nil"/>
            </w:tcBorders>
          </w:tcPr>
          <w:p w14:paraId="528F5AB0">
            <w:pPr>
              <w:pStyle w:val="13"/>
              <w:spacing w:line="240" w:lineRule="auto"/>
              <w:ind w:firstLine="0" w:firstLineChars="0"/>
              <w:jc w:val="center"/>
              <w:rPr>
                <w:rFonts w:ascii="宋体" w:hAnsi="宋体" w:cs="宋体"/>
                <w:sz w:val="21"/>
              </w:rPr>
            </w:pPr>
            <w:r>
              <w:rPr>
                <w:rFonts w:ascii="宋体" w:hAnsi="宋体" w:cs="宋体"/>
                <w:sz w:val="21"/>
              </w:rPr>
              <w:t>40</w:t>
            </w:r>
          </w:p>
        </w:tc>
        <w:tc>
          <w:tcPr>
            <w:tcW w:w="1175" w:type="dxa"/>
            <w:tcBorders>
              <w:tl2br w:val="nil"/>
              <w:tr2bl w:val="nil"/>
            </w:tcBorders>
          </w:tcPr>
          <w:p w14:paraId="6096E807">
            <w:pPr>
              <w:pStyle w:val="13"/>
              <w:spacing w:line="240" w:lineRule="auto"/>
              <w:ind w:firstLine="0" w:firstLineChars="0"/>
              <w:jc w:val="center"/>
              <w:rPr>
                <w:rFonts w:ascii="宋体" w:hAnsi="宋体" w:cs="宋体"/>
                <w:sz w:val="21"/>
              </w:rPr>
            </w:pPr>
            <w:r>
              <w:rPr>
                <w:rFonts w:ascii="宋体" w:hAnsi="宋体" w:cs="宋体"/>
                <w:sz w:val="21"/>
              </w:rPr>
              <w:t>199.6</w:t>
            </w:r>
          </w:p>
        </w:tc>
        <w:tc>
          <w:tcPr>
            <w:tcW w:w="900" w:type="dxa"/>
            <w:tcBorders>
              <w:tl2br w:val="nil"/>
              <w:tr2bl w:val="nil"/>
            </w:tcBorders>
            <w:vAlign w:val="center"/>
          </w:tcPr>
          <w:p w14:paraId="1850496F">
            <w:pPr>
              <w:spacing w:line="240" w:lineRule="auto"/>
              <w:ind w:firstLine="0" w:firstLineChars="0"/>
              <w:jc w:val="center"/>
              <w:rPr>
                <w:rFonts w:hint="eastAsia" w:ascii="宋体" w:hAnsi="宋体" w:eastAsia="宋体" w:cs="宋体"/>
                <w:sz w:val="21"/>
                <w:lang w:eastAsia="zh-CN"/>
              </w:rPr>
            </w:pPr>
            <w:r>
              <w:rPr>
                <w:rFonts w:hint="eastAsia" w:ascii="宋体" w:hAnsi="宋体" w:cs="宋体"/>
                <w:color w:val="000000" w:themeColor="text1"/>
                <w:sz w:val="21"/>
                <w:lang w:val="en-US" w:eastAsia="zh-CN"/>
                <w14:textFill>
                  <w14:solidFill>
                    <w14:schemeClr w14:val="tx1"/>
                  </w14:solidFill>
                </w14:textFill>
              </w:rPr>
              <w:t>6</w:t>
            </w:r>
          </w:p>
        </w:tc>
        <w:tc>
          <w:tcPr>
            <w:tcW w:w="1050" w:type="dxa"/>
            <w:tcBorders>
              <w:tl2br w:val="nil"/>
              <w:tr2bl w:val="nil"/>
            </w:tcBorders>
          </w:tcPr>
          <w:p w14:paraId="5B1DE896">
            <w:pPr>
              <w:pStyle w:val="13"/>
              <w:spacing w:line="240" w:lineRule="auto"/>
              <w:ind w:firstLine="0" w:firstLineChars="0"/>
              <w:jc w:val="center"/>
              <w:rPr>
                <w:rFonts w:hint="default" w:ascii="宋体" w:hAnsi="宋体" w:eastAsia="宋体" w:cs="宋体"/>
                <w:sz w:val="21"/>
                <w:lang w:val="en-US" w:eastAsia="zh-CN"/>
              </w:rPr>
            </w:pPr>
            <w:r>
              <w:rPr>
                <w:rFonts w:hint="eastAsia" w:ascii="宋体" w:hAnsi="宋体" w:cs="宋体"/>
                <w:sz w:val="21"/>
                <w:lang w:val="en-US" w:eastAsia="zh-CN"/>
              </w:rPr>
              <w:t>1.35</w:t>
            </w:r>
          </w:p>
        </w:tc>
        <w:tc>
          <w:tcPr>
            <w:tcW w:w="2069" w:type="dxa"/>
            <w:tcBorders>
              <w:tl2br w:val="nil"/>
              <w:tr2bl w:val="nil"/>
            </w:tcBorders>
          </w:tcPr>
          <w:p w14:paraId="2570A45A">
            <w:pPr>
              <w:pStyle w:val="13"/>
              <w:spacing w:line="240" w:lineRule="auto"/>
              <w:ind w:firstLine="0" w:firstLineChars="0"/>
              <w:jc w:val="left"/>
              <w:rPr>
                <w:rFonts w:ascii="宋体" w:hAnsi="宋体" w:cs="宋体"/>
                <w:sz w:val="21"/>
              </w:rPr>
            </w:pPr>
            <w:r>
              <w:rPr>
                <w:rFonts w:hint="eastAsia" w:ascii="宋体" w:hAnsi="宋体" w:cs="宋体"/>
                <w:color w:val="000000" w:themeColor="text1"/>
                <w:sz w:val="21"/>
                <w:lang w:val="en-US" w:eastAsia="zh-CN"/>
                <w14:textFill>
                  <w14:solidFill>
                    <w14:schemeClr w14:val="tx1"/>
                  </w14:solidFill>
                </w14:textFill>
              </w:rPr>
              <w:t>1.6</w:t>
            </w:r>
            <w:r>
              <w:rPr>
                <w:rFonts w:ascii="宋体" w:hAnsi="宋体" w:cs="宋体"/>
                <w:color w:val="000000" w:themeColor="text1"/>
                <w:sz w:val="21"/>
                <w14:textFill>
                  <w14:solidFill>
                    <w14:schemeClr w14:val="tx1"/>
                  </w14:solidFill>
                </w14:textFill>
              </w:rPr>
              <w:t>×1.</w:t>
            </w:r>
            <w:r>
              <w:rPr>
                <w:rFonts w:hint="eastAsia" w:ascii="宋体" w:hAnsi="宋体" w:cs="宋体"/>
                <w:color w:val="000000" w:themeColor="text1"/>
                <w:sz w:val="21"/>
                <w:lang w:val="en-US" w:eastAsia="zh-CN"/>
                <w14:textFill>
                  <w14:solidFill>
                    <w14:schemeClr w14:val="tx1"/>
                  </w14:solidFill>
                </w14:textFill>
              </w:rPr>
              <w:t>6</w:t>
            </w:r>
            <w:r>
              <w:rPr>
                <w:rFonts w:ascii="宋体" w:hAnsi="宋体" w:cs="宋体"/>
                <w:color w:val="000000" w:themeColor="text1"/>
                <w:sz w:val="21"/>
                <w14:textFill>
                  <w14:solidFill>
                    <w14:schemeClr w14:val="tx1"/>
                  </w14:solidFill>
                </w14:textFill>
              </w:rPr>
              <w:t>×2.8</w:t>
            </w:r>
          </w:p>
        </w:tc>
      </w:tr>
      <w:tr w14:paraId="1AC723B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675" w:type="dxa"/>
            <w:tcBorders>
              <w:tl2br w:val="nil"/>
              <w:tr2bl w:val="nil"/>
            </w:tcBorders>
          </w:tcPr>
          <w:p w14:paraId="42834EEA">
            <w:pPr>
              <w:pStyle w:val="13"/>
              <w:spacing w:line="240" w:lineRule="auto"/>
              <w:ind w:firstLine="0" w:firstLineChars="0"/>
              <w:jc w:val="center"/>
              <w:rPr>
                <w:rFonts w:ascii="宋体" w:hAnsi="宋体" w:cs="宋体"/>
                <w:sz w:val="21"/>
              </w:rPr>
            </w:pPr>
            <w:r>
              <w:rPr>
                <w:rFonts w:ascii="宋体" w:hAnsi="宋体" w:cs="宋体"/>
                <w:sz w:val="21"/>
              </w:rPr>
              <w:t>4</w:t>
            </w:r>
          </w:p>
        </w:tc>
        <w:tc>
          <w:tcPr>
            <w:tcW w:w="1393" w:type="dxa"/>
            <w:tcBorders>
              <w:tl2br w:val="nil"/>
              <w:tr2bl w:val="nil"/>
            </w:tcBorders>
          </w:tcPr>
          <w:p w14:paraId="427736F5">
            <w:pPr>
              <w:spacing w:line="240" w:lineRule="auto"/>
              <w:ind w:firstLine="0" w:firstLineChars="0"/>
              <w:rPr>
                <w:rFonts w:hint="eastAsia" w:ascii="宋体" w:hAnsi="宋体" w:eastAsia="宋体" w:cs="宋体"/>
                <w:sz w:val="21"/>
                <w:lang w:eastAsia="zh-CN"/>
              </w:rPr>
            </w:pPr>
            <w:r>
              <w:rPr>
                <w:rFonts w:hint="eastAsia" w:ascii="宋体" w:hAnsi="宋体" w:cs="宋体"/>
                <w:color w:val="000000" w:themeColor="text1"/>
                <w:sz w:val="21"/>
                <w:lang w:eastAsia="zh-CN"/>
                <w14:textFill>
                  <w14:solidFill>
                    <w14:schemeClr w14:val="tx1"/>
                  </w14:solidFill>
                </w14:textFill>
              </w:rPr>
              <w:t>XTG6015-8S1</w:t>
            </w:r>
          </w:p>
        </w:tc>
        <w:tc>
          <w:tcPr>
            <w:tcW w:w="642" w:type="dxa"/>
            <w:tcBorders>
              <w:tl2br w:val="nil"/>
              <w:tr2bl w:val="nil"/>
            </w:tcBorders>
          </w:tcPr>
          <w:p w14:paraId="728427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rPr>
            </w:pPr>
            <w:r>
              <w:rPr>
                <w:rFonts w:hint="eastAsia" w:ascii="宋体" w:hAnsi="宋体" w:cs="宋体"/>
                <w:sz w:val="21"/>
                <w:lang w:val="en-US" w:eastAsia="zh-CN"/>
              </w:rPr>
              <w:t>60</w:t>
            </w:r>
          </w:p>
        </w:tc>
        <w:tc>
          <w:tcPr>
            <w:tcW w:w="908" w:type="dxa"/>
            <w:tcBorders>
              <w:tl2br w:val="nil"/>
              <w:tr2bl w:val="nil"/>
            </w:tcBorders>
          </w:tcPr>
          <w:p w14:paraId="52EF12AF">
            <w:pPr>
              <w:pStyle w:val="13"/>
              <w:spacing w:line="240" w:lineRule="auto"/>
              <w:ind w:firstLine="0" w:firstLineChars="0"/>
              <w:jc w:val="center"/>
              <w:rPr>
                <w:rFonts w:ascii="宋体" w:hAnsi="宋体" w:cs="宋体"/>
                <w:sz w:val="21"/>
              </w:rPr>
            </w:pPr>
            <w:r>
              <w:rPr>
                <w:rFonts w:ascii="宋体" w:hAnsi="宋体" w:cs="宋体"/>
                <w:sz w:val="21"/>
              </w:rPr>
              <w:t>40</w:t>
            </w:r>
          </w:p>
        </w:tc>
        <w:tc>
          <w:tcPr>
            <w:tcW w:w="1175" w:type="dxa"/>
            <w:tcBorders>
              <w:tl2br w:val="nil"/>
              <w:tr2bl w:val="nil"/>
            </w:tcBorders>
          </w:tcPr>
          <w:p w14:paraId="38ACAD26">
            <w:pPr>
              <w:pStyle w:val="13"/>
              <w:spacing w:line="240" w:lineRule="auto"/>
              <w:ind w:firstLine="0" w:firstLineChars="0"/>
              <w:jc w:val="center"/>
              <w:rPr>
                <w:rFonts w:ascii="宋体" w:hAnsi="宋体" w:cs="宋体"/>
                <w:sz w:val="21"/>
              </w:rPr>
            </w:pPr>
            <w:r>
              <w:rPr>
                <w:rFonts w:ascii="宋体" w:hAnsi="宋体" w:cs="宋体"/>
                <w:sz w:val="21"/>
              </w:rPr>
              <w:t>199.6</w:t>
            </w:r>
          </w:p>
        </w:tc>
        <w:tc>
          <w:tcPr>
            <w:tcW w:w="900" w:type="dxa"/>
            <w:tcBorders>
              <w:tl2br w:val="nil"/>
              <w:tr2bl w:val="nil"/>
            </w:tcBorders>
            <w:vAlign w:val="center"/>
          </w:tcPr>
          <w:p w14:paraId="537B6205">
            <w:pPr>
              <w:spacing w:line="240" w:lineRule="auto"/>
              <w:ind w:firstLine="0" w:firstLineChars="0"/>
              <w:jc w:val="center"/>
              <w:rPr>
                <w:rFonts w:hint="eastAsia" w:ascii="宋体" w:hAnsi="宋体" w:cs="宋体"/>
                <w:sz w:val="21"/>
              </w:rPr>
            </w:pPr>
            <w:r>
              <w:rPr>
                <w:rFonts w:hint="eastAsia" w:ascii="宋体" w:hAnsi="宋体" w:cs="宋体"/>
                <w:color w:val="000000" w:themeColor="text1"/>
                <w:sz w:val="21"/>
                <w14:textFill>
                  <w14:solidFill>
                    <w14:schemeClr w14:val="tx1"/>
                  </w14:solidFill>
                </w14:textFill>
              </w:rPr>
              <w:t>8</w:t>
            </w:r>
          </w:p>
        </w:tc>
        <w:tc>
          <w:tcPr>
            <w:tcW w:w="1050" w:type="dxa"/>
            <w:tcBorders>
              <w:tl2br w:val="nil"/>
              <w:tr2bl w:val="nil"/>
            </w:tcBorders>
          </w:tcPr>
          <w:p w14:paraId="3F6C4424">
            <w:pPr>
              <w:pStyle w:val="13"/>
              <w:spacing w:line="240" w:lineRule="auto"/>
              <w:ind w:firstLine="0" w:firstLineChars="0"/>
              <w:jc w:val="center"/>
              <w:rPr>
                <w:rFonts w:hint="default" w:ascii="宋体" w:hAnsi="宋体" w:eastAsia="宋体" w:cs="宋体"/>
                <w:sz w:val="21"/>
                <w:lang w:val="en-US" w:eastAsia="zh-CN"/>
              </w:rPr>
            </w:pPr>
            <w:r>
              <w:rPr>
                <w:rFonts w:hint="eastAsia" w:ascii="宋体" w:hAnsi="宋体" w:cs="宋体"/>
                <w:sz w:val="21"/>
                <w:lang w:val="en-US" w:eastAsia="zh-CN"/>
              </w:rPr>
              <w:t>1.50</w:t>
            </w:r>
          </w:p>
        </w:tc>
        <w:tc>
          <w:tcPr>
            <w:tcW w:w="2069" w:type="dxa"/>
            <w:tcBorders>
              <w:tl2br w:val="nil"/>
              <w:tr2bl w:val="nil"/>
            </w:tcBorders>
          </w:tcPr>
          <w:p w14:paraId="377EE941">
            <w:pPr>
              <w:pStyle w:val="13"/>
              <w:spacing w:line="240" w:lineRule="auto"/>
              <w:ind w:firstLine="0" w:firstLineChars="0"/>
              <w:jc w:val="left"/>
              <w:rPr>
                <w:rFonts w:ascii="宋体" w:hAnsi="宋体" w:cs="宋体"/>
                <w:sz w:val="21"/>
              </w:rPr>
            </w:pPr>
            <w:r>
              <w:rPr>
                <w:rFonts w:hint="eastAsia" w:ascii="宋体" w:hAnsi="宋体" w:cs="宋体"/>
                <w:color w:val="000000" w:themeColor="text1"/>
                <w:sz w:val="21"/>
                <w:lang w:val="en-US" w:eastAsia="zh-CN"/>
                <w14:textFill>
                  <w14:solidFill>
                    <w14:schemeClr w14:val="tx1"/>
                  </w14:solidFill>
                </w14:textFill>
              </w:rPr>
              <w:t>1.6</w:t>
            </w:r>
            <w:r>
              <w:rPr>
                <w:rFonts w:ascii="宋体" w:hAnsi="宋体" w:cs="宋体"/>
                <w:color w:val="000000" w:themeColor="text1"/>
                <w:sz w:val="21"/>
                <w14:textFill>
                  <w14:solidFill>
                    <w14:schemeClr w14:val="tx1"/>
                  </w14:solidFill>
                </w14:textFill>
              </w:rPr>
              <w:t>×1.</w:t>
            </w:r>
            <w:r>
              <w:rPr>
                <w:rFonts w:hint="eastAsia" w:ascii="宋体" w:hAnsi="宋体" w:cs="宋体"/>
                <w:color w:val="000000" w:themeColor="text1"/>
                <w:sz w:val="21"/>
                <w:lang w:val="en-US" w:eastAsia="zh-CN"/>
                <w14:textFill>
                  <w14:solidFill>
                    <w14:schemeClr w14:val="tx1"/>
                  </w14:solidFill>
                </w14:textFill>
              </w:rPr>
              <w:t>6</w:t>
            </w:r>
            <w:r>
              <w:rPr>
                <w:rFonts w:ascii="宋体" w:hAnsi="宋体" w:cs="宋体"/>
                <w:color w:val="000000" w:themeColor="text1"/>
                <w:sz w:val="21"/>
                <w14:textFill>
                  <w14:solidFill>
                    <w14:schemeClr w14:val="tx1"/>
                  </w14:solidFill>
                </w14:textFill>
              </w:rPr>
              <w:t>×2.8</w:t>
            </w:r>
          </w:p>
        </w:tc>
      </w:tr>
    </w:tbl>
    <w:p w14:paraId="64B26A7D">
      <w:pPr>
        <w:pStyle w:val="13"/>
        <w:numPr>
          <w:ilvl w:val="0"/>
          <w:numId w:val="5"/>
        </w:numPr>
        <w:ind w:firstLine="480"/>
        <w:rPr>
          <w:rFonts w:hint="default" w:cs="宋体"/>
        </w:rPr>
      </w:pPr>
      <w:r>
        <w:rPr>
          <w:rFonts w:cs="宋体"/>
        </w:rPr>
        <w:t>根据塔机使用说明书，塔机基础采用预埋塔机基座螺栓，现浇 C35钢筋混凝土承台基础，满足塔吊的安装要求。详细情况在塔吊安装方案中予以明确。</w:t>
      </w:r>
    </w:p>
    <w:p w14:paraId="2BAC2809">
      <w:pPr>
        <w:numPr>
          <w:ilvl w:val="0"/>
          <w:numId w:val="5"/>
        </w:numPr>
        <w:ind w:firstLine="480"/>
        <w:rPr>
          <w:rFonts w:cs="宋体"/>
        </w:rPr>
      </w:pPr>
      <w:r>
        <w:rPr>
          <w:rFonts w:hint="eastAsia" w:cs="宋体"/>
        </w:rPr>
        <w:t>为满足现场运输需要，现场共需布置6台塔吊，其平面布置详“塔吊平面布置图”。</w:t>
      </w:r>
    </w:p>
    <w:p w14:paraId="0688A6F5">
      <w:pPr>
        <w:pStyle w:val="3"/>
        <w:spacing w:before="156" w:after="156"/>
        <w:ind w:firstLine="562"/>
      </w:pPr>
      <w:bookmarkStart w:id="105" w:name="_Toc19237"/>
      <w:r>
        <w:rPr>
          <w:rFonts w:hint="eastAsia"/>
        </w:rPr>
        <w:t>工艺流程</w:t>
      </w:r>
      <w:bookmarkEnd w:id="105"/>
    </w:p>
    <w:p w14:paraId="4379B5A2">
      <w:pPr>
        <w:autoSpaceDE w:val="0"/>
        <w:autoSpaceDN w:val="0"/>
        <w:adjustRightInd w:val="0"/>
        <w:ind w:firstLine="482" w:firstLineChars="201"/>
        <w:rPr>
          <w:rFonts w:hint="eastAsia" w:ascii="宋体" w:hAnsi="宋体" w:cs="仿宋"/>
          <w:b/>
          <w:bCs/>
          <w:kern w:val="0"/>
          <w:sz w:val="28"/>
          <w:szCs w:val="28"/>
          <w:lang w:val="zh-TW"/>
        </w:rPr>
      </w:pPr>
      <w:r>
        <w:rPr>
          <w:rFonts w:hint="eastAsia"/>
        </w:rPr>
        <w:t>本工程所设塔吊</w:t>
      </w:r>
      <w:r>
        <w:rPr>
          <w:rFonts w:hint="eastAsia"/>
          <w:lang w:val="en-US" w:eastAsia="zh-CN"/>
        </w:rPr>
        <w:t>3</w:t>
      </w:r>
      <w:r>
        <w:rPr>
          <w:rFonts w:hint="eastAsia"/>
        </w:rPr>
        <w:t>台全部布置在地下室内，基础下卧于底板以下。</w:t>
      </w:r>
      <w:r>
        <w:rPr>
          <w:rFonts w:hint="eastAsia"/>
          <w:lang w:val="zh-TW"/>
        </w:rPr>
        <w:t>塔吊安装流程（</w:t>
      </w:r>
      <w:r>
        <w:rPr>
          <w:rFonts w:hint="eastAsia"/>
        </w:rPr>
        <w:t>主要施工方法详见群塔作业方案</w:t>
      </w:r>
      <w:bookmarkStart w:id="281" w:name="_GoBack"/>
      <w:bookmarkEnd w:id="281"/>
      <w:r>
        <w:rPr>
          <w:rFonts w:hint="eastAsia"/>
        </w:rPr>
        <w:t>）</w:t>
      </w:r>
      <w:r>
        <w:rPr>
          <w:rFonts w:hint="eastAsia"/>
          <w:lang w:val="zh-TW"/>
        </w:rPr>
        <w:t>：</w:t>
      </w:r>
    </w:p>
    <w:p w14:paraId="486B3EF7">
      <w:pPr>
        <w:pStyle w:val="14"/>
        <w:keepNext w:val="0"/>
        <w:keepLines w:val="0"/>
        <w:pageBreakBefore w:val="0"/>
        <w:widowControl w:val="0"/>
        <w:kinsoku/>
        <w:wordWrap/>
        <w:overflowPunct/>
        <w:topLinePunct w:val="0"/>
        <w:autoSpaceDE/>
        <w:autoSpaceDN/>
        <w:bidi w:val="0"/>
        <w:adjustRightInd/>
        <w:snapToGrid/>
        <w:ind w:firstLine="0" w:firstLineChars="0"/>
        <w:jc w:val="center"/>
        <w:textAlignment w:val="auto"/>
      </w:pPr>
      <w:r>
        <w:drawing>
          <wp:inline distT="0" distB="0" distL="114300" distR="114300">
            <wp:extent cx="5272405" cy="2279650"/>
            <wp:effectExtent l="0" t="0" r="4445" b="635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8"/>
                    <a:stretch>
                      <a:fillRect/>
                    </a:stretch>
                  </pic:blipFill>
                  <pic:spPr>
                    <a:xfrm>
                      <a:off x="0" y="0"/>
                      <a:ext cx="5272405" cy="2279650"/>
                    </a:xfrm>
                    <a:prstGeom prst="rect">
                      <a:avLst/>
                    </a:prstGeom>
                    <a:noFill/>
                    <a:ln>
                      <a:noFill/>
                    </a:ln>
                  </pic:spPr>
                </pic:pic>
              </a:graphicData>
            </a:graphic>
          </wp:inline>
        </w:drawing>
      </w:r>
      <w:r>
        <w:t xml:space="preserve">图 </w:t>
      </w:r>
      <w:r>
        <w:fldChar w:fldCharType="begin"/>
      </w:r>
      <w:r>
        <w:instrText xml:space="preserve"> STYLEREF 2 \s </w:instrText>
      </w:r>
      <w:r>
        <w:fldChar w:fldCharType="separate"/>
      </w:r>
      <w:r>
        <w:t>4.3</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 xml:space="preserve"> XGT6015-8S1安装流程</w:t>
      </w:r>
    </w:p>
    <w:p w14:paraId="27E5974E">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p>
    <w:p w14:paraId="59EA7C9A">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drawing>
          <wp:inline distT="0" distB="0" distL="114300" distR="114300">
            <wp:extent cx="5012055" cy="2298700"/>
            <wp:effectExtent l="0" t="0" r="17145" b="635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29"/>
                    <a:stretch>
                      <a:fillRect/>
                    </a:stretch>
                  </pic:blipFill>
                  <pic:spPr>
                    <a:xfrm>
                      <a:off x="0" y="0"/>
                      <a:ext cx="5012055" cy="2298700"/>
                    </a:xfrm>
                    <a:prstGeom prst="rect">
                      <a:avLst/>
                    </a:prstGeom>
                    <a:noFill/>
                    <a:ln>
                      <a:noFill/>
                    </a:ln>
                  </pic:spPr>
                </pic:pic>
              </a:graphicData>
            </a:graphic>
          </wp:inline>
        </w:drawing>
      </w:r>
    </w:p>
    <w:p w14:paraId="6ED833E7">
      <w:pPr>
        <w:pStyle w:val="14"/>
        <w:keepNext w:val="0"/>
        <w:keepLines w:val="0"/>
        <w:pageBreakBefore w:val="0"/>
        <w:widowControl w:val="0"/>
        <w:kinsoku/>
        <w:wordWrap/>
        <w:overflowPunct/>
        <w:topLinePunct w:val="0"/>
        <w:autoSpaceDE/>
        <w:autoSpaceDN/>
        <w:bidi w:val="0"/>
        <w:adjustRightInd/>
        <w:snapToGrid/>
        <w:ind w:firstLine="0" w:firstLineChars="0"/>
        <w:jc w:val="center"/>
        <w:textAlignment w:val="auto"/>
      </w:pPr>
      <w:r>
        <w:t xml:space="preserve">图 </w:t>
      </w:r>
      <w:r>
        <w:fldChar w:fldCharType="begin"/>
      </w:r>
      <w:r>
        <w:instrText xml:space="preserve"> STYLEREF 2 \s </w:instrText>
      </w:r>
      <w:r>
        <w:fldChar w:fldCharType="separate"/>
      </w:r>
      <w:r>
        <w:t>4.3</w:t>
      </w:r>
      <w:r>
        <w:fldChar w:fldCharType="end"/>
      </w:r>
      <w:r>
        <w:rPr>
          <w:rFonts w:hint="eastAsia"/>
          <w:lang w:eastAsia="zh-CN"/>
        </w:rPr>
        <w:t>-</w:t>
      </w:r>
      <w:r>
        <w:fldChar w:fldCharType="begin"/>
      </w:r>
      <w:r>
        <w:instrText xml:space="preserve"> SEQ 图 \* ARABIC \s 2 </w:instrText>
      </w:r>
      <w:r>
        <w:fldChar w:fldCharType="separate"/>
      </w:r>
      <w:r>
        <w:t>2</w:t>
      </w:r>
      <w:r>
        <w:fldChar w:fldCharType="end"/>
      </w:r>
      <w:r>
        <w:rPr>
          <w:rFonts w:hint="eastAsia"/>
          <w:lang w:val="en-US" w:eastAsia="zh-CN"/>
        </w:rPr>
        <w:t xml:space="preserve"> XGT6013-6S1安装流程</w:t>
      </w:r>
    </w:p>
    <w:p w14:paraId="13BB064D">
      <w:pPr>
        <w:pStyle w:val="3"/>
        <w:spacing w:before="156" w:after="156"/>
        <w:ind w:firstLine="482"/>
        <w:rPr>
          <w:sz w:val="24"/>
          <w:szCs w:val="24"/>
        </w:rPr>
      </w:pPr>
      <w:bookmarkStart w:id="106" w:name="_Toc24942"/>
      <w:r>
        <w:rPr>
          <w:rFonts w:hint="eastAsia"/>
          <w:sz w:val="24"/>
          <w:szCs w:val="24"/>
        </w:rPr>
        <w:t>施工方案及技术参数</w:t>
      </w:r>
      <w:bookmarkEnd w:id="106"/>
    </w:p>
    <w:p w14:paraId="08ED7019">
      <w:pPr>
        <w:pStyle w:val="4"/>
        <w:numPr>
          <w:ilvl w:val="2"/>
          <w:numId w:val="0"/>
        </w:numPr>
        <w:spacing w:before="156"/>
        <w:ind w:left="480" w:leftChars="200"/>
      </w:pPr>
      <w:r>
        <w:rPr>
          <w:rFonts w:hint="eastAsia"/>
        </w:rPr>
        <w:t>4.4.1塔吊主要参数</w:t>
      </w:r>
    </w:p>
    <w:p w14:paraId="17F2246F">
      <w:pPr>
        <w:pStyle w:val="32"/>
        <w:keepNext/>
        <w:ind w:left="480" w:firstLine="480"/>
        <w:jc w:val="center"/>
        <w:rPr>
          <w:rFonts w:ascii="Times New Roman"/>
        </w:rPr>
      </w:pPr>
      <w:r>
        <w:t xml:space="preserve">表 </w:t>
      </w:r>
      <w:r>
        <w:rPr>
          <w:rFonts w:hint="eastAsia"/>
        </w:rPr>
        <w:t xml:space="preserve">4.4.1-1 </w:t>
      </w:r>
      <w:r>
        <w:rPr>
          <w:rFonts w:hint="eastAsia" w:ascii="Times New Roman"/>
        </w:rPr>
        <w:t>XGT6015-8S1性能表</w:t>
      </w:r>
    </w:p>
    <w:p w14:paraId="3F6C7663">
      <w:pPr>
        <w:pStyle w:val="32"/>
        <w:spacing w:after="0" w:line="240" w:lineRule="auto"/>
        <w:ind w:left="480" w:firstLine="0" w:firstLineChars="0"/>
        <w:jc w:val="center"/>
      </w:pPr>
      <w:r>
        <w:drawing>
          <wp:inline distT="0" distB="0" distL="114300" distR="114300">
            <wp:extent cx="5273040" cy="5749925"/>
            <wp:effectExtent l="0" t="0" r="3810" b="317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30"/>
                    <a:stretch>
                      <a:fillRect/>
                    </a:stretch>
                  </pic:blipFill>
                  <pic:spPr>
                    <a:xfrm>
                      <a:off x="0" y="0"/>
                      <a:ext cx="5273040" cy="5749925"/>
                    </a:xfrm>
                    <a:prstGeom prst="rect">
                      <a:avLst/>
                    </a:prstGeom>
                    <a:noFill/>
                    <a:ln>
                      <a:noFill/>
                    </a:ln>
                  </pic:spPr>
                </pic:pic>
              </a:graphicData>
            </a:graphic>
          </wp:inline>
        </w:drawing>
      </w:r>
    </w:p>
    <w:p w14:paraId="315D09C9">
      <w:pPr>
        <w:pStyle w:val="32"/>
        <w:spacing w:after="0" w:line="240" w:lineRule="auto"/>
        <w:ind w:left="480" w:firstLine="0" w:firstLineChars="0"/>
        <w:jc w:val="center"/>
      </w:pPr>
      <w:r>
        <w:drawing>
          <wp:inline distT="0" distB="0" distL="114300" distR="114300">
            <wp:extent cx="5267960" cy="1437640"/>
            <wp:effectExtent l="0" t="0" r="8890" b="1016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31"/>
                    <a:stretch>
                      <a:fillRect/>
                    </a:stretch>
                  </pic:blipFill>
                  <pic:spPr>
                    <a:xfrm>
                      <a:off x="0" y="0"/>
                      <a:ext cx="5267960" cy="1437640"/>
                    </a:xfrm>
                    <a:prstGeom prst="rect">
                      <a:avLst/>
                    </a:prstGeom>
                    <a:noFill/>
                    <a:ln>
                      <a:noFill/>
                    </a:ln>
                  </pic:spPr>
                </pic:pic>
              </a:graphicData>
            </a:graphic>
          </wp:inline>
        </w:drawing>
      </w:r>
    </w:p>
    <w:p w14:paraId="21C00D23">
      <w:pPr>
        <w:pStyle w:val="32"/>
        <w:spacing w:after="0" w:line="240" w:lineRule="auto"/>
        <w:ind w:left="480" w:firstLine="0" w:firstLineChars="0"/>
        <w:jc w:val="center"/>
      </w:pPr>
    </w:p>
    <w:p w14:paraId="7B718C38">
      <w:pPr>
        <w:pStyle w:val="32"/>
        <w:spacing w:after="0" w:line="240" w:lineRule="auto"/>
        <w:ind w:left="480" w:firstLine="0" w:firstLineChars="0"/>
        <w:jc w:val="center"/>
      </w:pPr>
    </w:p>
    <w:p w14:paraId="3F06996B">
      <w:pPr>
        <w:pStyle w:val="32"/>
        <w:spacing w:after="0" w:line="240" w:lineRule="auto"/>
        <w:ind w:left="480" w:firstLine="0" w:firstLineChars="0"/>
        <w:jc w:val="center"/>
      </w:pPr>
      <w:r>
        <w:t xml:space="preserve">表 </w:t>
      </w:r>
      <w:r>
        <w:rPr>
          <w:rFonts w:hint="eastAsia"/>
        </w:rPr>
        <w:t xml:space="preserve">4.4.1-2 </w:t>
      </w:r>
      <w:r>
        <w:rPr>
          <w:rFonts w:hint="eastAsia" w:ascii="Times New Roman"/>
        </w:rPr>
        <w:t>XGT6013-6S1性能表</w:t>
      </w:r>
      <w:r>
        <w:drawing>
          <wp:inline distT="0" distB="0" distL="114300" distR="114300">
            <wp:extent cx="5274310" cy="5742305"/>
            <wp:effectExtent l="0" t="0" r="2540" b="1079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32"/>
                    <a:stretch>
                      <a:fillRect/>
                    </a:stretch>
                  </pic:blipFill>
                  <pic:spPr>
                    <a:xfrm>
                      <a:off x="0" y="0"/>
                      <a:ext cx="5274310" cy="5742305"/>
                    </a:xfrm>
                    <a:prstGeom prst="rect">
                      <a:avLst/>
                    </a:prstGeom>
                    <a:noFill/>
                    <a:ln>
                      <a:noFill/>
                    </a:ln>
                  </pic:spPr>
                </pic:pic>
              </a:graphicData>
            </a:graphic>
          </wp:inline>
        </w:drawing>
      </w:r>
      <w:r>
        <w:drawing>
          <wp:inline distT="0" distB="0" distL="114300" distR="114300">
            <wp:extent cx="5273040" cy="1417320"/>
            <wp:effectExtent l="0" t="0" r="3810" b="1143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33"/>
                    <a:stretch>
                      <a:fillRect/>
                    </a:stretch>
                  </pic:blipFill>
                  <pic:spPr>
                    <a:xfrm>
                      <a:off x="0" y="0"/>
                      <a:ext cx="5273040" cy="1417320"/>
                    </a:xfrm>
                    <a:prstGeom prst="rect">
                      <a:avLst/>
                    </a:prstGeom>
                    <a:noFill/>
                    <a:ln>
                      <a:noFill/>
                    </a:ln>
                  </pic:spPr>
                </pic:pic>
              </a:graphicData>
            </a:graphic>
          </wp:inline>
        </w:drawing>
      </w:r>
    </w:p>
    <w:p w14:paraId="7B387575">
      <w:pPr>
        <w:pStyle w:val="4"/>
        <w:numPr>
          <w:ilvl w:val="2"/>
          <w:numId w:val="0"/>
        </w:numPr>
        <w:spacing w:before="156"/>
        <w:ind w:left="480" w:leftChars="200"/>
      </w:pPr>
      <w:r>
        <w:rPr>
          <w:rFonts w:hint="eastAsia"/>
        </w:rPr>
        <w:t>4.4.2塔吊使用高度设计</w:t>
      </w:r>
    </w:p>
    <w:p w14:paraId="3FFF16AB">
      <w:pPr>
        <w:pStyle w:val="114"/>
        <w:spacing w:line="360" w:lineRule="auto"/>
        <w:ind w:firstLine="480"/>
        <w:rPr>
          <w:rFonts w:hint="eastAsia" w:cs="宋体"/>
        </w:rPr>
      </w:pPr>
      <w:r>
        <w:rPr>
          <w:rFonts w:hint="eastAsia" w:cs="宋体"/>
        </w:rPr>
        <w:t>1）确保符合《塔式起重机安全规程》10.5的规定“两台起重机之间的最小架设距离应保证处于低位的起重机臂架端部与另一台起重机的塔身之间至少有2米的距离；处于高位起重机的最低位置的部件（吊钩升至最高点或最高位置的平衡重）与低位的起重机中处于最高位置部件之间的垂直距离不得小于2米”。</w:t>
      </w:r>
    </w:p>
    <w:p w14:paraId="740F0937">
      <w:pPr>
        <w:pStyle w:val="114"/>
        <w:spacing w:line="360" w:lineRule="auto"/>
        <w:ind w:firstLine="480"/>
        <w:rPr>
          <w:rFonts w:hint="eastAsia" w:cs="宋体"/>
          <w:lang w:eastAsia="zh-CN"/>
        </w:rPr>
      </w:pPr>
      <w:r>
        <w:rPr>
          <w:rFonts w:hint="eastAsia" w:cs="宋体"/>
        </w:rPr>
        <w:t>2）确保施工过程中各台塔机之间的安全高差不小于2米</w:t>
      </w:r>
      <w:r>
        <w:rPr>
          <w:rFonts w:hint="eastAsia" w:cs="宋体"/>
          <w:lang w:eastAsia="zh-CN"/>
        </w:rPr>
        <w:t>。</w:t>
      </w:r>
    </w:p>
    <w:p w14:paraId="008C6FF7">
      <w:pPr>
        <w:pStyle w:val="14"/>
      </w:pPr>
      <w:r>
        <w:t xml:space="preserve">表 </w:t>
      </w:r>
      <w:r>
        <w:fldChar w:fldCharType="begin"/>
      </w:r>
      <w:r>
        <w:instrText xml:space="preserve"> STYLEREF 2 \s </w:instrText>
      </w:r>
      <w:r>
        <w:fldChar w:fldCharType="separate"/>
      </w:r>
      <w:r>
        <w:t>4.4</w:t>
      </w:r>
      <w:r>
        <w:fldChar w:fldCharType="end"/>
      </w:r>
      <w:r>
        <w:rPr>
          <w:rFonts w:hint="eastAsia"/>
          <w:lang w:eastAsia="zh-CN"/>
        </w:rPr>
        <w:t>-</w:t>
      </w:r>
      <w:r>
        <w:fldChar w:fldCharType="begin"/>
      </w:r>
      <w:r>
        <w:instrText xml:space="preserve"> SEQ 表 \* ARABIC \s 2 </w:instrText>
      </w:r>
      <w:r>
        <w:fldChar w:fldCharType="separate"/>
      </w:r>
      <w:r>
        <w:t>1</w:t>
      </w:r>
      <w:r>
        <w:fldChar w:fldCharType="end"/>
      </w:r>
      <w:r>
        <w:rPr>
          <w:rFonts w:hint="eastAsia"/>
          <w:lang w:val="en-US" w:eastAsia="zh-CN"/>
        </w:rPr>
        <w:t xml:space="preserve"> </w:t>
      </w:r>
      <w:r>
        <w:rPr>
          <w:rFonts w:hint="eastAsia" w:cs="宋体"/>
        </w:rPr>
        <w:t>塔吊安装高度、平面中心距离、交汇距离情况汇</w:t>
      </w:r>
      <w:r>
        <w:rPr>
          <w:rFonts w:hint="eastAsia" w:cs="宋体"/>
          <w:lang w:val="en-US" w:eastAsia="zh-CN"/>
        </w:rPr>
        <w:t>表</w:t>
      </w:r>
    </w:p>
    <w:tbl>
      <w:tblPr>
        <w:tblStyle w:val="33"/>
        <w:tblW w:w="4998" w:type="pct"/>
        <w:tblInd w:w="0" w:type="dxa"/>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16"/>
        <w:gridCol w:w="1220"/>
        <w:gridCol w:w="774"/>
        <w:gridCol w:w="866"/>
        <w:gridCol w:w="1142"/>
        <w:gridCol w:w="808"/>
        <w:gridCol w:w="791"/>
        <w:gridCol w:w="1491"/>
      </w:tblGrid>
      <w:tr w14:paraId="217CC974">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417" w:type="pct"/>
            <w:vMerge w:val="restart"/>
            <w:tcBorders>
              <w:top w:val="double" w:color="auto" w:sz="2" w:space="0"/>
              <w:left w:val="double" w:color="auto" w:sz="2" w:space="0"/>
              <w:right w:val="single" w:color="auto" w:sz="4" w:space="0"/>
            </w:tcBorders>
            <w:shd w:val="clear" w:color="auto" w:fill="auto"/>
            <w:vAlign w:val="center"/>
          </w:tcPr>
          <w:p w14:paraId="2BDE5C13">
            <w:pPr>
              <w:pStyle w:val="30"/>
              <w:jc w:val="center"/>
              <w:rPr>
                <w:rFonts w:hint="eastAsia" w:ascii="宋体" w:hAnsi="宋体" w:cs="宋体"/>
                <w:sz w:val="21"/>
                <w:szCs w:val="21"/>
              </w:rPr>
            </w:pPr>
            <w:r>
              <w:rPr>
                <w:rFonts w:hint="eastAsia" w:ascii="宋体" w:hAnsi="宋体" w:cs="宋体"/>
                <w:sz w:val="21"/>
                <w:szCs w:val="21"/>
                <w:lang w:bidi="ar"/>
              </w:rPr>
              <w:t>塔吊编号</w:t>
            </w:r>
          </w:p>
        </w:tc>
        <w:tc>
          <w:tcPr>
            <w:tcW w:w="420" w:type="pct"/>
            <w:vMerge w:val="restart"/>
            <w:tcBorders>
              <w:top w:val="double" w:color="auto" w:sz="2" w:space="0"/>
              <w:left w:val="single" w:color="auto" w:sz="4" w:space="0"/>
              <w:right w:val="single" w:color="auto" w:sz="4" w:space="0"/>
            </w:tcBorders>
            <w:shd w:val="clear" w:color="auto" w:fill="auto"/>
            <w:vAlign w:val="center"/>
          </w:tcPr>
          <w:p w14:paraId="0C7F0738">
            <w:pPr>
              <w:pStyle w:val="30"/>
              <w:jc w:val="center"/>
              <w:rPr>
                <w:rFonts w:hint="eastAsia" w:ascii="宋体" w:hAnsi="宋体" w:cs="宋体"/>
                <w:sz w:val="21"/>
                <w:szCs w:val="21"/>
              </w:rPr>
            </w:pPr>
            <w:r>
              <w:rPr>
                <w:rFonts w:hint="eastAsia" w:ascii="宋体" w:hAnsi="宋体" w:cs="宋体"/>
                <w:sz w:val="21"/>
                <w:szCs w:val="21"/>
                <w:lang w:bidi="ar"/>
              </w:rPr>
              <w:t>安装臂长</w:t>
            </w:r>
          </w:p>
          <w:p w14:paraId="0044994F">
            <w:pPr>
              <w:pStyle w:val="30"/>
              <w:jc w:val="center"/>
              <w:rPr>
                <w:rFonts w:hint="eastAsia" w:ascii="宋体" w:hAnsi="宋体" w:cs="宋体"/>
                <w:sz w:val="21"/>
                <w:szCs w:val="21"/>
              </w:rPr>
            </w:pPr>
            <w:r>
              <w:rPr>
                <w:rFonts w:hint="eastAsia" w:ascii="宋体" w:hAnsi="宋体" w:cs="宋体"/>
                <w:sz w:val="21"/>
                <w:szCs w:val="21"/>
                <w:lang w:bidi="ar"/>
              </w:rPr>
              <w:t>m</w:t>
            </w:r>
          </w:p>
        </w:tc>
        <w:tc>
          <w:tcPr>
            <w:tcW w:w="1678" w:type="pct"/>
            <w:gridSpan w:val="3"/>
            <w:tcBorders>
              <w:top w:val="double" w:color="auto" w:sz="2" w:space="0"/>
              <w:left w:val="single" w:color="auto" w:sz="4" w:space="0"/>
              <w:bottom w:val="single" w:color="auto" w:sz="4" w:space="0"/>
              <w:right w:val="single" w:color="auto" w:sz="4" w:space="0"/>
            </w:tcBorders>
            <w:shd w:val="clear" w:color="auto" w:fill="auto"/>
            <w:vAlign w:val="center"/>
          </w:tcPr>
          <w:p w14:paraId="62BA1462">
            <w:pPr>
              <w:pStyle w:val="30"/>
              <w:jc w:val="center"/>
              <w:rPr>
                <w:rFonts w:hint="eastAsia" w:ascii="宋体" w:hAnsi="宋体" w:cs="宋体"/>
                <w:sz w:val="21"/>
                <w:szCs w:val="21"/>
              </w:rPr>
            </w:pPr>
            <w:r>
              <w:rPr>
                <w:rFonts w:hint="eastAsia" w:ascii="宋体" w:hAnsi="宋体" w:cs="宋体"/>
                <w:sz w:val="21"/>
                <w:szCs w:val="21"/>
                <w:lang w:bidi="ar"/>
              </w:rPr>
              <w:t>塔机安装高度</w:t>
            </w:r>
          </w:p>
          <w:p w14:paraId="17ACE5A6">
            <w:pPr>
              <w:pStyle w:val="30"/>
              <w:jc w:val="center"/>
              <w:rPr>
                <w:rFonts w:hint="eastAsia" w:ascii="宋体" w:hAnsi="宋体" w:cs="宋体"/>
                <w:sz w:val="21"/>
                <w:szCs w:val="21"/>
                <w:lang w:bidi="ar"/>
              </w:rPr>
            </w:pPr>
            <w:r>
              <w:rPr>
                <w:rFonts w:hint="eastAsia" w:ascii="宋体" w:hAnsi="宋体" w:cs="宋体"/>
                <w:sz w:val="21"/>
                <w:szCs w:val="21"/>
                <w:lang w:bidi="ar"/>
              </w:rPr>
              <w:t>(自基础顶起算)</w:t>
            </w:r>
          </w:p>
        </w:tc>
        <w:tc>
          <w:tcPr>
            <w:tcW w:w="2483" w:type="pct"/>
            <w:gridSpan w:val="4"/>
            <w:tcBorders>
              <w:top w:val="double" w:color="auto" w:sz="2" w:space="0"/>
              <w:left w:val="single" w:color="auto" w:sz="4" w:space="0"/>
              <w:bottom w:val="single" w:color="auto" w:sz="4" w:space="0"/>
              <w:right w:val="double" w:color="auto" w:sz="2" w:space="0"/>
            </w:tcBorders>
            <w:shd w:val="clear" w:color="auto" w:fill="auto"/>
            <w:vAlign w:val="center"/>
          </w:tcPr>
          <w:p w14:paraId="5EF2BE56">
            <w:pPr>
              <w:pStyle w:val="30"/>
              <w:jc w:val="center"/>
              <w:rPr>
                <w:rFonts w:hint="eastAsia" w:ascii="宋体" w:hAnsi="宋体" w:cs="宋体"/>
                <w:sz w:val="21"/>
                <w:szCs w:val="21"/>
              </w:rPr>
            </w:pPr>
            <w:r>
              <w:rPr>
                <w:rFonts w:hint="eastAsia" w:ascii="宋体" w:hAnsi="宋体" w:cs="宋体"/>
                <w:sz w:val="21"/>
                <w:szCs w:val="21"/>
                <w:lang w:bidi="ar"/>
              </w:rPr>
              <w:t>塔机中心距、交汇距、高差(m)</w:t>
            </w:r>
          </w:p>
        </w:tc>
      </w:tr>
      <w:tr w14:paraId="0EC606E0">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417" w:type="pct"/>
            <w:vMerge w:val="continue"/>
            <w:tcBorders>
              <w:left w:val="double" w:color="auto" w:sz="2" w:space="0"/>
              <w:bottom w:val="single" w:color="auto" w:sz="4" w:space="0"/>
              <w:right w:val="single" w:color="auto" w:sz="4" w:space="0"/>
            </w:tcBorders>
            <w:shd w:val="clear" w:color="auto" w:fill="auto"/>
            <w:vAlign w:val="center"/>
          </w:tcPr>
          <w:p w14:paraId="4B49234F">
            <w:pPr>
              <w:pStyle w:val="30"/>
              <w:jc w:val="center"/>
              <w:rPr>
                <w:rFonts w:hint="eastAsia" w:ascii="宋体" w:hAnsi="宋体" w:cs="宋体"/>
                <w:sz w:val="21"/>
                <w:szCs w:val="21"/>
              </w:rPr>
            </w:pPr>
          </w:p>
        </w:tc>
        <w:tc>
          <w:tcPr>
            <w:tcW w:w="420" w:type="pct"/>
            <w:vMerge w:val="continue"/>
            <w:tcBorders>
              <w:left w:val="single" w:color="auto" w:sz="4" w:space="0"/>
              <w:bottom w:val="single" w:color="auto" w:sz="4" w:space="0"/>
              <w:right w:val="single" w:color="auto" w:sz="4" w:space="0"/>
            </w:tcBorders>
            <w:shd w:val="clear" w:color="auto" w:fill="auto"/>
            <w:vAlign w:val="center"/>
          </w:tcPr>
          <w:p w14:paraId="4FDC6211">
            <w:pPr>
              <w:pStyle w:val="30"/>
              <w:jc w:val="center"/>
              <w:rPr>
                <w:rFonts w:hint="eastAsia" w:ascii="宋体" w:hAnsi="宋体" w:cs="宋体"/>
                <w:sz w:val="21"/>
                <w:szCs w:val="21"/>
              </w:rPr>
            </w:pPr>
          </w:p>
        </w:tc>
        <w:tc>
          <w:tcPr>
            <w:tcW w:w="716" w:type="pct"/>
            <w:tcBorders>
              <w:top w:val="single" w:color="auto" w:sz="4" w:space="0"/>
              <w:left w:val="single" w:color="auto" w:sz="4" w:space="0"/>
              <w:bottom w:val="single" w:color="auto" w:sz="4" w:space="0"/>
              <w:right w:val="single" w:color="auto" w:sz="4" w:space="0"/>
            </w:tcBorders>
            <w:shd w:val="clear" w:color="auto" w:fill="auto"/>
            <w:vAlign w:val="center"/>
          </w:tcPr>
          <w:p w14:paraId="54AB143F">
            <w:pPr>
              <w:pStyle w:val="30"/>
              <w:jc w:val="center"/>
              <w:rPr>
                <w:rFonts w:hint="eastAsia" w:ascii="宋体" w:hAnsi="宋体" w:cs="宋体"/>
                <w:sz w:val="21"/>
                <w:szCs w:val="21"/>
              </w:rPr>
            </w:pPr>
            <w:r>
              <w:rPr>
                <w:rFonts w:hint="eastAsia" w:ascii="宋体" w:hAnsi="宋体" w:cs="宋体"/>
                <w:sz w:val="21"/>
                <w:szCs w:val="21"/>
                <w:lang w:bidi="ar"/>
              </w:rPr>
              <w:t>承台表标高m</w:t>
            </w: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42348835">
            <w:pPr>
              <w:pStyle w:val="30"/>
              <w:jc w:val="center"/>
              <w:rPr>
                <w:rFonts w:hint="eastAsia" w:ascii="宋体" w:hAnsi="宋体" w:cs="宋体"/>
                <w:sz w:val="21"/>
                <w:szCs w:val="21"/>
              </w:rPr>
            </w:pPr>
            <w:r>
              <w:rPr>
                <w:rFonts w:hint="eastAsia" w:ascii="宋体" w:hAnsi="宋体" w:cs="宋体"/>
                <w:sz w:val="21"/>
                <w:szCs w:val="21"/>
                <w:lang w:bidi="ar"/>
              </w:rPr>
              <w:t>初装</w:t>
            </w:r>
          </w:p>
          <w:p w14:paraId="745A327E">
            <w:pPr>
              <w:pStyle w:val="30"/>
              <w:jc w:val="center"/>
              <w:rPr>
                <w:rFonts w:hint="eastAsia" w:ascii="宋体" w:hAnsi="宋体" w:cs="宋体"/>
                <w:sz w:val="21"/>
                <w:szCs w:val="21"/>
              </w:rPr>
            </w:pPr>
            <w:r>
              <w:rPr>
                <w:rFonts w:hint="eastAsia" w:ascii="宋体" w:hAnsi="宋体" w:cs="宋体"/>
                <w:sz w:val="21"/>
                <w:szCs w:val="21"/>
                <w:lang w:bidi="ar"/>
              </w:rPr>
              <w:t>高度m</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434FF26D">
            <w:pPr>
              <w:pStyle w:val="30"/>
              <w:jc w:val="center"/>
              <w:rPr>
                <w:rFonts w:hint="eastAsia" w:ascii="宋体" w:hAnsi="宋体" w:cs="宋体"/>
                <w:sz w:val="21"/>
                <w:szCs w:val="21"/>
              </w:rPr>
            </w:pPr>
            <w:r>
              <w:rPr>
                <w:rFonts w:hint="eastAsia" w:ascii="宋体" w:hAnsi="宋体" w:cs="宋体"/>
                <w:sz w:val="21"/>
                <w:szCs w:val="21"/>
                <w:lang w:bidi="ar"/>
              </w:rPr>
              <w:t>终装高度m</w:t>
            </w:r>
          </w:p>
        </w:tc>
        <w:tc>
          <w:tcPr>
            <w:tcW w:w="670" w:type="pct"/>
            <w:tcBorders>
              <w:top w:val="single" w:color="auto" w:sz="4" w:space="0"/>
              <w:left w:val="single" w:color="auto" w:sz="4" w:space="0"/>
              <w:bottom w:val="single" w:color="auto" w:sz="4" w:space="0"/>
              <w:right w:val="single" w:color="auto" w:sz="4" w:space="0"/>
            </w:tcBorders>
            <w:shd w:val="clear" w:color="auto" w:fill="auto"/>
            <w:vAlign w:val="center"/>
          </w:tcPr>
          <w:p w14:paraId="6D1413BD">
            <w:pPr>
              <w:pStyle w:val="30"/>
              <w:jc w:val="center"/>
              <w:rPr>
                <w:rFonts w:hint="eastAsia" w:ascii="宋体" w:hAnsi="宋体" w:cs="宋体"/>
                <w:sz w:val="21"/>
                <w:szCs w:val="21"/>
              </w:rPr>
            </w:pPr>
            <w:r>
              <w:rPr>
                <w:rFonts w:hint="eastAsia" w:ascii="宋体" w:hAnsi="宋体" w:cs="宋体"/>
                <w:sz w:val="21"/>
                <w:szCs w:val="21"/>
                <w:lang w:bidi="ar"/>
              </w:rPr>
              <w:t>影响塔吊编号</w:t>
            </w:r>
          </w:p>
        </w:tc>
        <w:tc>
          <w:tcPr>
            <w:tcW w:w="474" w:type="pct"/>
            <w:tcBorders>
              <w:top w:val="single" w:color="auto" w:sz="4" w:space="0"/>
              <w:left w:val="single" w:color="auto" w:sz="4" w:space="0"/>
              <w:bottom w:val="single" w:color="auto" w:sz="4" w:space="0"/>
              <w:right w:val="single" w:color="auto" w:sz="4" w:space="0"/>
            </w:tcBorders>
            <w:shd w:val="clear" w:color="auto" w:fill="auto"/>
            <w:vAlign w:val="center"/>
          </w:tcPr>
          <w:p w14:paraId="36463930">
            <w:pPr>
              <w:pStyle w:val="30"/>
              <w:jc w:val="center"/>
              <w:rPr>
                <w:rFonts w:hint="eastAsia" w:ascii="宋体" w:hAnsi="宋体" w:cs="宋体"/>
                <w:sz w:val="21"/>
                <w:szCs w:val="21"/>
              </w:rPr>
            </w:pPr>
            <w:r>
              <w:rPr>
                <w:rFonts w:hint="eastAsia" w:ascii="宋体" w:hAnsi="宋体" w:cs="宋体"/>
                <w:sz w:val="21"/>
                <w:szCs w:val="21"/>
                <w:lang w:bidi="ar"/>
              </w:rPr>
              <w:t>中心距离m</w:t>
            </w:r>
          </w:p>
        </w:tc>
        <w:tc>
          <w:tcPr>
            <w:tcW w:w="464" w:type="pct"/>
            <w:tcBorders>
              <w:top w:val="single" w:color="auto" w:sz="4" w:space="0"/>
              <w:left w:val="single" w:color="auto" w:sz="4" w:space="0"/>
              <w:bottom w:val="single" w:color="auto" w:sz="4" w:space="0"/>
              <w:right w:val="single" w:color="auto" w:sz="4" w:space="0"/>
            </w:tcBorders>
            <w:shd w:val="clear" w:color="auto" w:fill="auto"/>
            <w:vAlign w:val="center"/>
          </w:tcPr>
          <w:p w14:paraId="3F0CC645">
            <w:pPr>
              <w:pStyle w:val="30"/>
              <w:jc w:val="center"/>
              <w:rPr>
                <w:rFonts w:hint="eastAsia" w:ascii="宋体" w:hAnsi="宋体" w:cs="宋体"/>
                <w:sz w:val="21"/>
                <w:szCs w:val="21"/>
              </w:rPr>
            </w:pPr>
            <w:r>
              <w:rPr>
                <w:rFonts w:hint="eastAsia" w:ascii="宋体" w:hAnsi="宋体" w:cs="宋体"/>
                <w:sz w:val="21"/>
                <w:szCs w:val="21"/>
                <w:lang w:bidi="ar"/>
              </w:rPr>
              <w:t>交汇距离m</w:t>
            </w:r>
          </w:p>
        </w:tc>
        <w:tc>
          <w:tcPr>
            <w:tcW w:w="874" w:type="pct"/>
            <w:tcBorders>
              <w:top w:val="single" w:color="auto" w:sz="4" w:space="0"/>
              <w:left w:val="single" w:color="auto" w:sz="4" w:space="0"/>
              <w:bottom w:val="single" w:color="auto" w:sz="4" w:space="0"/>
              <w:right w:val="double" w:color="auto" w:sz="2" w:space="0"/>
            </w:tcBorders>
            <w:shd w:val="clear" w:color="auto" w:fill="auto"/>
            <w:vAlign w:val="center"/>
          </w:tcPr>
          <w:p w14:paraId="681F2B1E">
            <w:pPr>
              <w:pStyle w:val="30"/>
              <w:jc w:val="center"/>
              <w:rPr>
                <w:rFonts w:hint="eastAsia" w:ascii="宋体" w:hAnsi="宋体" w:cs="宋体"/>
                <w:sz w:val="21"/>
                <w:szCs w:val="21"/>
              </w:rPr>
            </w:pPr>
            <w:r>
              <w:rPr>
                <w:rFonts w:hint="eastAsia" w:ascii="宋体" w:hAnsi="宋体" w:cs="宋体"/>
                <w:sz w:val="21"/>
                <w:szCs w:val="21"/>
                <w:lang w:bidi="ar"/>
              </w:rPr>
              <w:t>高差m</w:t>
            </w:r>
          </w:p>
        </w:tc>
      </w:tr>
      <w:tr w14:paraId="40268C3F">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417" w:type="pct"/>
            <w:vMerge w:val="restart"/>
            <w:tcBorders>
              <w:top w:val="single" w:color="auto" w:sz="4" w:space="0"/>
              <w:left w:val="double" w:color="auto" w:sz="2" w:space="0"/>
              <w:right w:val="single" w:color="auto" w:sz="4" w:space="0"/>
            </w:tcBorders>
            <w:shd w:val="clear" w:color="auto" w:fill="auto"/>
            <w:vAlign w:val="center"/>
          </w:tcPr>
          <w:p w14:paraId="5E028535">
            <w:pPr>
              <w:pStyle w:val="30"/>
              <w:jc w:val="center"/>
              <w:rPr>
                <w:rFonts w:hint="eastAsia" w:ascii="宋体" w:hAnsi="宋体" w:cs="宋体"/>
                <w:sz w:val="21"/>
                <w:szCs w:val="21"/>
              </w:rPr>
            </w:pPr>
            <w:r>
              <w:rPr>
                <w:rFonts w:hint="eastAsia" w:ascii="宋体" w:hAnsi="宋体" w:cs="宋体"/>
                <w:sz w:val="21"/>
                <w:szCs w:val="21"/>
                <w:lang w:bidi="ar"/>
              </w:rPr>
              <w:t>2#</w:t>
            </w:r>
          </w:p>
        </w:tc>
        <w:tc>
          <w:tcPr>
            <w:tcW w:w="420" w:type="pct"/>
            <w:vMerge w:val="restart"/>
            <w:tcBorders>
              <w:top w:val="single" w:color="auto" w:sz="4" w:space="0"/>
              <w:left w:val="single" w:color="auto" w:sz="4" w:space="0"/>
              <w:right w:val="single" w:color="auto" w:sz="4" w:space="0"/>
            </w:tcBorders>
            <w:shd w:val="clear" w:color="auto" w:fill="auto"/>
            <w:vAlign w:val="center"/>
          </w:tcPr>
          <w:p w14:paraId="21BD272F">
            <w:pPr>
              <w:pStyle w:val="30"/>
              <w:jc w:val="center"/>
              <w:rPr>
                <w:rFonts w:hint="eastAsia" w:ascii="宋体" w:hAnsi="宋体" w:cs="宋体"/>
                <w:sz w:val="21"/>
                <w:szCs w:val="21"/>
              </w:rPr>
            </w:pPr>
            <w:r>
              <w:rPr>
                <w:rFonts w:hint="eastAsia" w:ascii="宋体" w:hAnsi="宋体" w:cs="宋体"/>
                <w:sz w:val="21"/>
                <w:szCs w:val="21"/>
                <w:lang w:bidi="ar"/>
              </w:rPr>
              <w:t>60</w:t>
            </w:r>
          </w:p>
        </w:tc>
        <w:tc>
          <w:tcPr>
            <w:tcW w:w="716" w:type="pct"/>
            <w:vMerge w:val="restart"/>
            <w:tcBorders>
              <w:top w:val="single" w:color="auto" w:sz="4" w:space="0"/>
              <w:left w:val="single" w:color="auto" w:sz="4" w:space="0"/>
              <w:right w:val="single" w:color="auto" w:sz="4" w:space="0"/>
            </w:tcBorders>
            <w:shd w:val="clear" w:color="auto" w:fill="auto"/>
            <w:vAlign w:val="center"/>
          </w:tcPr>
          <w:p w14:paraId="7095033F">
            <w:pPr>
              <w:spacing w:line="240" w:lineRule="auto"/>
              <w:ind w:firstLine="0" w:firstLineChars="0"/>
              <w:jc w:val="center"/>
              <w:rPr>
                <w:rFonts w:hint="eastAsia" w:ascii="宋体" w:hAnsi="宋体" w:cs="宋体"/>
                <w:sz w:val="21"/>
                <w:lang w:bidi="ar"/>
              </w:rPr>
            </w:pPr>
            <w:r>
              <w:rPr>
                <w:rFonts w:hint="eastAsia" w:ascii="宋体" w:hAnsi="宋体" w:cs="宋体"/>
                <w:sz w:val="21"/>
                <w:lang w:bidi="ar"/>
              </w:rPr>
              <w:t>608.9</w:t>
            </w:r>
          </w:p>
        </w:tc>
        <w:tc>
          <w:tcPr>
            <w:tcW w:w="454" w:type="pct"/>
            <w:vMerge w:val="restart"/>
            <w:tcBorders>
              <w:top w:val="single" w:color="auto" w:sz="4" w:space="0"/>
              <w:left w:val="single" w:color="auto" w:sz="4" w:space="0"/>
              <w:right w:val="single" w:color="auto" w:sz="4" w:space="0"/>
            </w:tcBorders>
            <w:shd w:val="clear" w:color="auto" w:fill="auto"/>
            <w:vAlign w:val="center"/>
          </w:tcPr>
          <w:p w14:paraId="1FAA8B8A">
            <w:pPr>
              <w:pStyle w:val="30"/>
              <w:jc w:val="center"/>
              <w:rPr>
                <w:rFonts w:hint="eastAsia" w:ascii="宋体" w:hAnsi="宋体" w:cs="宋体"/>
                <w:sz w:val="21"/>
                <w:szCs w:val="21"/>
              </w:rPr>
            </w:pPr>
            <w:r>
              <w:rPr>
                <w:rFonts w:hint="eastAsia" w:ascii="宋体" w:hAnsi="宋体" w:cs="宋体"/>
                <w:sz w:val="21"/>
                <w:szCs w:val="21"/>
                <w:lang w:bidi="ar"/>
              </w:rPr>
              <w:t>26</w:t>
            </w:r>
          </w:p>
        </w:tc>
        <w:tc>
          <w:tcPr>
            <w:tcW w:w="508" w:type="pct"/>
            <w:vMerge w:val="restart"/>
            <w:tcBorders>
              <w:top w:val="single" w:color="auto" w:sz="4" w:space="0"/>
              <w:left w:val="single" w:color="auto" w:sz="4" w:space="0"/>
              <w:right w:val="single" w:color="auto" w:sz="4" w:space="0"/>
            </w:tcBorders>
            <w:shd w:val="clear" w:color="auto" w:fill="auto"/>
            <w:vAlign w:val="center"/>
          </w:tcPr>
          <w:p w14:paraId="6CB7E627">
            <w:pPr>
              <w:pStyle w:val="30"/>
              <w:jc w:val="center"/>
              <w:rPr>
                <w:rFonts w:hint="eastAsia" w:ascii="宋体" w:hAnsi="宋体" w:cs="宋体"/>
                <w:sz w:val="21"/>
                <w:szCs w:val="21"/>
              </w:rPr>
            </w:pPr>
            <w:r>
              <w:rPr>
                <w:rFonts w:hint="eastAsia" w:ascii="宋体" w:hAnsi="宋体" w:cs="宋体"/>
                <w:sz w:val="21"/>
                <w:szCs w:val="21"/>
                <w:lang w:bidi="ar"/>
              </w:rPr>
              <w:t>26</w:t>
            </w:r>
          </w:p>
        </w:tc>
        <w:tc>
          <w:tcPr>
            <w:tcW w:w="670" w:type="pct"/>
            <w:tcBorders>
              <w:top w:val="single" w:color="auto" w:sz="4" w:space="0"/>
              <w:left w:val="single" w:color="auto" w:sz="4" w:space="0"/>
              <w:bottom w:val="single" w:color="auto" w:sz="4" w:space="0"/>
              <w:right w:val="single" w:color="auto" w:sz="4" w:space="0"/>
            </w:tcBorders>
            <w:shd w:val="clear" w:color="auto" w:fill="auto"/>
            <w:vAlign w:val="center"/>
          </w:tcPr>
          <w:p w14:paraId="660548C6">
            <w:pPr>
              <w:pStyle w:val="30"/>
              <w:jc w:val="center"/>
              <w:rPr>
                <w:rFonts w:hint="eastAsia" w:ascii="宋体" w:hAnsi="宋体" w:cs="宋体"/>
                <w:sz w:val="21"/>
                <w:szCs w:val="21"/>
              </w:rPr>
            </w:pPr>
            <w:r>
              <w:rPr>
                <w:rFonts w:hint="eastAsia" w:ascii="宋体" w:hAnsi="宋体" w:cs="宋体"/>
                <w:sz w:val="21"/>
                <w:szCs w:val="21"/>
                <w:lang w:bidi="ar"/>
              </w:rPr>
              <w:t>2#-3#</w:t>
            </w:r>
          </w:p>
        </w:tc>
        <w:tc>
          <w:tcPr>
            <w:tcW w:w="474" w:type="pct"/>
            <w:tcBorders>
              <w:top w:val="single" w:color="auto" w:sz="4" w:space="0"/>
              <w:left w:val="single" w:color="auto" w:sz="4" w:space="0"/>
              <w:bottom w:val="single" w:color="auto" w:sz="4" w:space="0"/>
              <w:right w:val="single" w:color="auto" w:sz="4" w:space="0"/>
            </w:tcBorders>
            <w:shd w:val="clear" w:color="auto" w:fill="auto"/>
            <w:vAlign w:val="center"/>
          </w:tcPr>
          <w:p w14:paraId="73C5AF44">
            <w:pPr>
              <w:pStyle w:val="30"/>
              <w:jc w:val="center"/>
              <w:rPr>
                <w:rFonts w:hint="eastAsia" w:ascii="宋体" w:hAnsi="宋体" w:cs="宋体"/>
                <w:sz w:val="21"/>
                <w:szCs w:val="21"/>
              </w:rPr>
            </w:pPr>
            <w:r>
              <w:rPr>
                <w:rFonts w:hint="eastAsia" w:ascii="宋体" w:hAnsi="宋体" w:cs="宋体"/>
                <w:sz w:val="21"/>
                <w:szCs w:val="21"/>
              </w:rPr>
              <w:t>72.52</w:t>
            </w:r>
          </w:p>
        </w:tc>
        <w:tc>
          <w:tcPr>
            <w:tcW w:w="464" w:type="pct"/>
            <w:tcBorders>
              <w:top w:val="single" w:color="auto" w:sz="4" w:space="0"/>
              <w:left w:val="single" w:color="auto" w:sz="4" w:space="0"/>
              <w:bottom w:val="single" w:color="auto" w:sz="4" w:space="0"/>
              <w:right w:val="single" w:color="auto" w:sz="4" w:space="0"/>
            </w:tcBorders>
            <w:shd w:val="clear" w:color="auto" w:fill="auto"/>
            <w:vAlign w:val="center"/>
          </w:tcPr>
          <w:p w14:paraId="01E1ADA8">
            <w:pPr>
              <w:pStyle w:val="30"/>
              <w:jc w:val="center"/>
              <w:rPr>
                <w:rFonts w:hint="eastAsia" w:ascii="宋体" w:hAnsi="宋体" w:cs="宋体"/>
                <w:sz w:val="21"/>
                <w:szCs w:val="21"/>
              </w:rPr>
            </w:pPr>
            <w:r>
              <w:rPr>
                <w:rFonts w:hint="eastAsia" w:ascii="宋体" w:hAnsi="宋体" w:cs="宋体"/>
                <w:sz w:val="21"/>
                <w:szCs w:val="21"/>
              </w:rPr>
              <w:t>49.87</w:t>
            </w:r>
          </w:p>
        </w:tc>
        <w:tc>
          <w:tcPr>
            <w:tcW w:w="874" w:type="pct"/>
            <w:tcBorders>
              <w:top w:val="single" w:color="auto" w:sz="4" w:space="0"/>
              <w:left w:val="single" w:color="auto" w:sz="4" w:space="0"/>
              <w:bottom w:val="single" w:color="auto" w:sz="4" w:space="0"/>
              <w:right w:val="double" w:color="auto" w:sz="2" w:space="0"/>
            </w:tcBorders>
            <w:shd w:val="clear" w:color="auto" w:fill="auto"/>
            <w:vAlign w:val="center"/>
          </w:tcPr>
          <w:p w14:paraId="49CFB383">
            <w:pPr>
              <w:pStyle w:val="30"/>
              <w:jc w:val="center"/>
              <w:rPr>
                <w:rFonts w:hint="eastAsia" w:ascii="宋体" w:hAnsi="宋体" w:cs="宋体"/>
                <w:sz w:val="21"/>
                <w:szCs w:val="21"/>
              </w:rPr>
            </w:pPr>
            <w:r>
              <w:rPr>
                <w:rFonts w:hint="eastAsia" w:ascii="宋体" w:hAnsi="宋体" w:cs="宋体"/>
                <w:sz w:val="21"/>
                <w:szCs w:val="21"/>
              </w:rPr>
              <w:t>2.88</w:t>
            </w:r>
          </w:p>
        </w:tc>
      </w:tr>
      <w:tr w14:paraId="39F6C97E">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417" w:type="pct"/>
            <w:vMerge w:val="continue"/>
            <w:tcBorders>
              <w:left w:val="double" w:color="auto" w:sz="2" w:space="0"/>
              <w:right w:val="single" w:color="auto" w:sz="4" w:space="0"/>
            </w:tcBorders>
            <w:shd w:val="clear" w:color="auto" w:fill="auto"/>
            <w:vAlign w:val="center"/>
          </w:tcPr>
          <w:p w14:paraId="21DF2DB2">
            <w:pPr>
              <w:pStyle w:val="30"/>
              <w:jc w:val="center"/>
              <w:rPr>
                <w:rFonts w:hint="eastAsia" w:ascii="宋体" w:hAnsi="宋体" w:cs="宋体"/>
                <w:sz w:val="21"/>
                <w:szCs w:val="21"/>
              </w:rPr>
            </w:pPr>
          </w:p>
        </w:tc>
        <w:tc>
          <w:tcPr>
            <w:tcW w:w="420" w:type="pct"/>
            <w:vMerge w:val="continue"/>
            <w:tcBorders>
              <w:left w:val="single" w:color="auto" w:sz="4" w:space="0"/>
              <w:right w:val="single" w:color="auto" w:sz="4" w:space="0"/>
            </w:tcBorders>
            <w:shd w:val="clear" w:color="auto" w:fill="auto"/>
            <w:vAlign w:val="center"/>
          </w:tcPr>
          <w:p w14:paraId="09E8D338">
            <w:pPr>
              <w:pStyle w:val="30"/>
              <w:jc w:val="center"/>
              <w:rPr>
                <w:rFonts w:hint="eastAsia" w:ascii="宋体" w:hAnsi="宋体" w:cs="宋体"/>
                <w:sz w:val="21"/>
                <w:szCs w:val="21"/>
              </w:rPr>
            </w:pPr>
          </w:p>
        </w:tc>
        <w:tc>
          <w:tcPr>
            <w:tcW w:w="716" w:type="pct"/>
            <w:vMerge w:val="continue"/>
            <w:tcBorders>
              <w:left w:val="single" w:color="auto" w:sz="4" w:space="0"/>
              <w:right w:val="single" w:color="auto" w:sz="4" w:space="0"/>
            </w:tcBorders>
            <w:shd w:val="clear" w:color="auto" w:fill="auto"/>
            <w:vAlign w:val="center"/>
          </w:tcPr>
          <w:p w14:paraId="43FBBEBF">
            <w:pPr>
              <w:spacing w:line="240" w:lineRule="auto"/>
              <w:ind w:firstLine="0" w:firstLineChars="0"/>
              <w:jc w:val="center"/>
              <w:rPr>
                <w:rFonts w:hint="eastAsia" w:ascii="宋体" w:hAnsi="宋体" w:cs="宋体"/>
                <w:sz w:val="21"/>
                <w:lang w:bidi="ar"/>
              </w:rPr>
            </w:pPr>
          </w:p>
        </w:tc>
        <w:tc>
          <w:tcPr>
            <w:tcW w:w="454" w:type="pct"/>
            <w:vMerge w:val="continue"/>
            <w:tcBorders>
              <w:left w:val="single" w:color="auto" w:sz="4" w:space="0"/>
              <w:right w:val="single" w:color="auto" w:sz="4" w:space="0"/>
            </w:tcBorders>
            <w:shd w:val="clear" w:color="auto" w:fill="auto"/>
            <w:vAlign w:val="center"/>
          </w:tcPr>
          <w:p w14:paraId="2BD17017">
            <w:pPr>
              <w:pStyle w:val="30"/>
              <w:jc w:val="center"/>
              <w:rPr>
                <w:rFonts w:hint="eastAsia" w:ascii="宋体" w:hAnsi="宋体" w:cs="宋体"/>
                <w:sz w:val="21"/>
                <w:szCs w:val="21"/>
              </w:rPr>
            </w:pPr>
          </w:p>
        </w:tc>
        <w:tc>
          <w:tcPr>
            <w:tcW w:w="508" w:type="pct"/>
            <w:vMerge w:val="continue"/>
            <w:tcBorders>
              <w:left w:val="single" w:color="auto" w:sz="4" w:space="0"/>
              <w:right w:val="single" w:color="auto" w:sz="4" w:space="0"/>
            </w:tcBorders>
            <w:shd w:val="clear" w:color="auto" w:fill="auto"/>
            <w:vAlign w:val="center"/>
          </w:tcPr>
          <w:p w14:paraId="1CC5FFDE">
            <w:pPr>
              <w:pStyle w:val="30"/>
              <w:jc w:val="center"/>
              <w:rPr>
                <w:rFonts w:hint="eastAsia" w:ascii="宋体" w:hAnsi="宋体" w:cs="宋体"/>
                <w:sz w:val="21"/>
                <w:szCs w:val="21"/>
              </w:rPr>
            </w:pPr>
          </w:p>
        </w:tc>
        <w:tc>
          <w:tcPr>
            <w:tcW w:w="670" w:type="pct"/>
            <w:tcBorders>
              <w:top w:val="single" w:color="auto" w:sz="4" w:space="0"/>
              <w:left w:val="single" w:color="auto" w:sz="4" w:space="0"/>
              <w:bottom w:val="single" w:color="auto" w:sz="4" w:space="0"/>
              <w:right w:val="single" w:color="auto" w:sz="4" w:space="0"/>
            </w:tcBorders>
            <w:shd w:val="clear" w:color="auto" w:fill="auto"/>
            <w:vAlign w:val="center"/>
          </w:tcPr>
          <w:p w14:paraId="72F5B57F">
            <w:pPr>
              <w:pStyle w:val="30"/>
              <w:jc w:val="center"/>
              <w:rPr>
                <w:rFonts w:hint="eastAsia" w:ascii="宋体" w:hAnsi="宋体" w:cs="宋体"/>
                <w:sz w:val="21"/>
                <w:szCs w:val="21"/>
              </w:rPr>
            </w:pPr>
            <w:r>
              <w:rPr>
                <w:rFonts w:hint="eastAsia" w:ascii="宋体" w:hAnsi="宋体" w:cs="宋体"/>
                <w:sz w:val="21"/>
                <w:szCs w:val="21"/>
                <w:lang w:bidi="ar"/>
              </w:rPr>
              <w:t>2#-4#</w:t>
            </w:r>
          </w:p>
        </w:tc>
        <w:tc>
          <w:tcPr>
            <w:tcW w:w="474" w:type="pct"/>
            <w:tcBorders>
              <w:top w:val="single" w:color="auto" w:sz="4" w:space="0"/>
              <w:left w:val="single" w:color="auto" w:sz="4" w:space="0"/>
              <w:bottom w:val="single" w:color="auto" w:sz="4" w:space="0"/>
              <w:right w:val="single" w:color="auto" w:sz="4" w:space="0"/>
            </w:tcBorders>
            <w:shd w:val="clear" w:color="auto" w:fill="auto"/>
            <w:vAlign w:val="center"/>
          </w:tcPr>
          <w:p w14:paraId="5740BEC6">
            <w:pPr>
              <w:pStyle w:val="30"/>
              <w:jc w:val="center"/>
              <w:rPr>
                <w:rFonts w:hint="eastAsia" w:ascii="宋体" w:hAnsi="宋体" w:cs="宋体"/>
                <w:sz w:val="21"/>
                <w:szCs w:val="21"/>
              </w:rPr>
            </w:pPr>
            <w:r>
              <w:rPr>
                <w:rFonts w:hint="eastAsia" w:ascii="宋体" w:hAnsi="宋体" w:cs="宋体"/>
                <w:sz w:val="21"/>
                <w:szCs w:val="21"/>
              </w:rPr>
              <w:t>64.41</w:t>
            </w:r>
          </w:p>
        </w:tc>
        <w:tc>
          <w:tcPr>
            <w:tcW w:w="464" w:type="pct"/>
            <w:tcBorders>
              <w:top w:val="single" w:color="auto" w:sz="4" w:space="0"/>
              <w:left w:val="single" w:color="auto" w:sz="4" w:space="0"/>
              <w:bottom w:val="single" w:color="auto" w:sz="4" w:space="0"/>
              <w:right w:val="single" w:color="auto" w:sz="4" w:space="0"/>
            </w:tcBorders>
            <w:shd w:val="clear" w:color="auto" w:fill="auto"/>
            <w:vAlign w:val="center"/>
          </w:tcPr>
          <w:p w14:paraId="69E392A9">
            <w:pPr>
              <w:pStyle w:val="30"/>
              <w:jc w:val="center"/>
              <w:rPr>
                <w:rFonts w:hint="eastAsia" w:ascii="宋体" w:hAnsi="宋体" w:cs="宋体"/>
                <w:sz w:val="21"/>
                <w:szCs w:val="21"/>
              </w:rPr>
            </w:pPr>
            <w:r>
              <w:rPr>
                <w:rFonts w:hint="eastAsia" w:ascii="宋体" w:hAnsi="宋体" w:cs="宋体"/>
                <w:sz w:val="21"/>
                <w:szCs w:val="21"/>
              </w:rPr>
              <w:t>57.98</w:t>
            </w:r>
          </w:p>
        </w:tc>
        <w:tc>
          <w:tcPr>
            <w:tcW w:w="874" w:type="pct"/>
            <w:tcBorders>
              <w:top w:val="single" w:color="auto" w:sz="4" w:space="0"/>
              <w:left w:val="single" w:color="auto" w:sz="4" w:space="0"/>
              <w:bottom w:val="single" w:color="auto" w:sz="4" w:space="0"/>
              <w:right w:val="double" w:color="auto" w:sz="2" w:space="0"/>
            </w:tcBorders>
            <w:shd w:val="clear" w:color="auto" w:fill="auto"/>
            <w:vAlign w:val="center"/>
          </w:tcPr>
          <w:p w14:paraId="5A7E4A57">
            <w:pPr>
              <w:pStyle w:val="30"/>
              <w:jc w:val="center"/>
              <w:rPr>
                <w:rFonts w:hint="eastAsia" w:ascii="宋体" w:hAnsi="宋体" w:cs="宋体"/>
                <w:sz w:val="21"/>
                <w:szCs w:val="21"/>
              </w:rPr>
            </w:pPr>
            <w:r>
              <w:rPr>
                <w:rFonts w:hint="eastAsia" w:ascii="宋体" w:hAnsi="宋体" w:cs="宋体"/>
                <w:sz w:val="21"/>
                <w:szCs w:val="21"/>
              </w:rPr>
              <w:t>2.03</w:t>
            </w:r>
          </w:p>
        </w:tc>
      </w:tr>
      <w:tr w14:paraId="5ECA42ED">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417" w:type="pct"/>
            <w:vMerge w:val="restart"/>
            <w:tcBorders>
              <w:top w:val="single" w:color="auto" w:sz="4" w:space="0"/>
              <w:left w:val="double" w:color="auto" w:sz="2" w:space="0"/>
              <w:right w:val="single" w:color="auto" w:sz="4" w:space="0"/>
            </w:tcBorders>
            <w:shd w:val="clear" w:color="auto" w:fill="auto"/>
            <w:vAlign w:val="center"/>
          </w:tcPr>
          <w:p w14:paraId="4B9CB11A">
            <w:pPr>
              <w:pStyle w:val="30"/>
              <w:jc w:val="center"/>
              <w:rPr>
                <w:rFonts w:hint="eastAsia" w:ascii="宋体" w:hAnsi="宋体" w:cs="宋体"/>
                <w:sz w:val="21"/>
                <w:szCs w:val="21"/>
              </w:rPr>
            </w:pPr>
            <w:r>
              <w:rPr>
                <w:rFonts w:hint="eastAsia" w:ascii="宋体" w:hAnsi="宋体" w:cs="宋体"/>
                <w:sz w:val="21"/>
                <w:szCs w:val="21"/>
                <w:lang w:bidi="ar"/>
              </w:rPr>
              <w:t>3#</w:t>
            </w:r>
          </w:p>
        </w:tc>
        <w:tc>
          <w:tcPr>
            <w:tcW w:w="420" w:type="pct"/>
            <w:vMerge w:val="restart"/>
            <w:tcBorders>
              <w:top w:val="single" w:color="auto" w:sz="4" w:space="0"/>
              <w:left w:val="single" w:color="auto" w:sz="4" w:space="0"/>
              <w:right w:val="single" w:color="auto" w:sz="4" w:space="0"/>
            </w:tcBorders>
            <w:shd w:val="clear" w:color="auto" w:fill="auto"/>
            <w:vAlign w:val="center"/>
          </w:tcPr>
          <w:p w14:paraId="5543137A">
            <w:pPr>
              <w:pStyle w:val="30"/>
              <w:jc w:val="center"/>
              <w:rPr>
                <w:rFonts w:hint="eastAsia" w:ascii="宋体" w:hAnsi="宋体" w:cs="宋体"/>
                <w:sz w:val="21"/>
                <w:szCs w:val="21"/>
              </w:rPr>
            </w:pPr>
            <w:r>
              <w:rPr>
                <w:rFonts w:hint="eastAsia" w:ascii="宋体" w:hAnsi="宋体" w:cs="宋体"/>
                <w:sz w:val="21"/>
                <w:szCs w:val="21"/>
                <w:lang w:bidi="ar"/>
              </w:rPr>
              <w:t>60</w:t>
            </w:r>
          </w:p>
        </w:tc>
        <w:tc>
          <w:tcPr>
            <w:tcW w:w="716" w:type="pct"/>
            <w:vMerge w:val="restart"/>
            <w:tcBorders>
              <w:top w:val="single" w:color="auto" w:sz="4" w:space="0"/>
              <w:left w:val="single" w:color="auto" w:sz="4" w:space="0"/>
              <w:right w:val="single" w:color="auto" w:sz="4" w:space="0"/>
            </w:tcBorders>
            <w:shd w:val="clear" w:color="auto" w:fill="auto"/>
            <w:vAlign w:val="center"/>
          </w:tcPr>
          <w:p w14:paraId="094F11C8">
            <w:pPr>
              <w:spacing w:line="240" w:lineRule="auto"/>
              <w:ind w:firstLine="0" w:firstLineChars="0"/>
              <w:jc w:val="center"/>
              <w:rPr>
                <w:rFonts w:hint="eastAsia" w:ascii="宋体" w:hAnsi="宋体" w:cs="宋体"/>
                <w:sz w:val="21"/>
                <w:lang w:bidi="ar"/>
              </w:rPr>
            </w:pPr>
            <w:r>
              <w:rPr>
                <w:rFonts w:hint="eastAsia" w:ascii="宋体" w:hAnsi="宋体" w:cs="宋体"/>
                <w:sz w:val="21"/>
                <w:lang w:bidi="ar"/>
              </w:rPr>
              <w:t>608.9</w:t>
            </w:r>
          </w:p>
        </w:tc>
        <w:tc>
          <w:tcPr>
            <w:tcW w:w="454" w:type="pct"/>
            <w:vMerge w:val="restart"/>
            <w:tcBorders>
              <w:top w:val="single" w:color="auto" w:sz="4" w:space="0"/>
              <w:left w:val="single" w:color="auto" w:sz="4" w:space="0"/>
              <w:right w:val="single" w:color="auto" w:sz="4" w:space="0"/>
            </w:tcBorders>
            <w:shd w:val="clear" w:color="auto" w:fill="auto"/>
            <w:vAlign w:val="center"/>
          </w:tcPr>
          <w:p w14:paraId="3969CCB2">
            <w:pPr>
              <w:pStyle w:val="30"/>
              <w:jc w:val="center"/>
              <w:rPr>
                <w:rFonts w:hint="eastAsia" w:ascii="宋体" w:hAnsi="宋体" w:cs="宋体"/>
                <w:sz w:val="21"/>
                <w:szCs w:val="21"/>
              </w:rPr>
            </w:pPr>
            <w:r>
              <w:rPr>
                <w:rFonts w:hint="eastAsia" w:ascii="宋体" w:hAnsi="宋体" w:cs="宋体"/>
                <w:sz w:val="21"/>
                <w:szCs w:val="21"/>
                <w:lang w:bidi="ar"/>
              </w:rPr>
              <w:t>34.4</w:t>
            </w:r>
          </w:p>
        </w:tc>
        <w:tc>
          <w:tcPr>
            <w:tcW w:w="508" w:type="pct"/>
            <w:vMerge w:val="restart"/>
            <w:tcBorders>
              <w:top w:val="single" w:color="auto" w:sz="4" w:space="0"/>
              <w:left w:val="single" w:color="auto" w:sz="4" w:space="0"/>
              <w:right w:val="single" w:color="auto" w:sz="4" w:space="0"/>
            </w:tcBorders>
            <w:shd w:val="clear" w:color="auto" w:fill="auto"/>
            <w:vAlign w:val="center"/>
          </w:tcPr>
          <w:p w14:paraId="2ADE947E">
            <w:pPr>
              <w:pStyle w:val="30"/>
              <w:jc w:val="center"/>
              <w:rPr>
                <w:rFonts w:hint="eastAsia" w:ascii="宋体" w:hAnsi="宋体" w:cs="宋体"/>
                <w:sz w:val="21"/>
                <w:szCs w:val="21"/>
              </w:rPr>
            </w:pPr>
            <w:r>
              <w:rPr>
                <w:rFonts w:hint="eastAsia" w:ascii="宋体" w:hAnsi="宋体" w:cs="宋体"/>
                <w:sz w:val="21"/>
                <w:szCs w:val="21"/>
                <w:lang w:bidi="ar"/>
              </w:rPr>
              <w:t>34.4</w:t>
            </w:r>
          </w:p>
        </w:tc>
        <w:tc>
          <w:tcPr>
            <w:tcW w:w="670" w:type="pct"/>
            <w:tcBorders>
              <w:top w:val="single" w:color="auto" w:sz="4" w:space="0"/>
              <w:left w:val="single" w:color="auto" w:sz="4" w:space="0"/>
              <w:bottom w:val="single" w:color="auto" w:sz="4" w:space="0"/>
              <w:right w:val="single" w:color="auto" w:sz="4" w:space="0"/>
            </w:tcBorders>
            <w:shd w:val="clear" w:color="auto" w:fill="auto"/>
            <w:vAlign w:val="center"/>
          </w:tcPr>
          <w:p w14:paraId="37F378B8">
            <w:pPr>
              <w:pStyle w:val="30"/>
              <w:jc w:val="center"/>
              <w:rPr>
                <w:rFonts w:hint="eastAsia" w:ascii="宋体" w:hAnsi="宋体" w:cs="宋体"/>
                <w:sz w:val="21"/>
                <w:szCs w:val="21"/>
              </w:rPr>
            </w:pPr>
            <w:r>
              <w:rPr>
                <w:rFonts w:hint="eastAsia" w:ascii="宋体" w:hAnsi="宋体" w:cs="宋体"/>
                <w:sz w:val="21"/>
                <w:szCs w:val="21"/>
                <w:lang w:bidi="ar"/>
              </w:rPr>
              <w:t>3#-2#</w:t>
            </w:r>
          </w:p>
        </w:tc>
        <w:tc>
          <w:tcPr>
            <w:tcW w:w="474" w:type="pct"/>
            <w:tcBorders>
              <w:top w:val="single" w:color="auto" w:sz="4" w:space="0"/>
              <w:left w:val="single" w:color="auto" w:sz="4" w:space="0"/>
              <w:bottom w:val="single" w:color="auto" w:sz="4" w:space="0"/>
              <w:right w:val="single" w:color="auto" w:sz="4" w:space="0"/>
            </w:tcBorders>
            <w:shd w:val="clear" w:color="auto" w:fill="auto"/>
            <w:vAlign w:val="center"/>
          </w:tcPr>
          <w:p w14:paraId="126B079C">
            <w:pPr>
              <w:pStyle w:val="30"/>
              <w:jc w:val="center"/>
              <w:rPr>
                <w:rFonts w:hint="eastAsia" w:ascii="宋体" w:hAnsi="宋体" w:cs="宋体"/>
                <w:sz w:val="21"/>
                <w:szCs w:val="21"/>
              </w:rPr>
            </w:pPr>
            <w:r>
              <w:rPr>
                <w:rFonts w:hint="eastAsia" w:ascii="宋体" w:hAnsi="宋体" w:cs="宋体"/>
                <w:sz w:val="21"/>
                <w:szCs w:val="21"/>
              </w:rPr>
              <w:t>72.52</w:t>
            </w:r>
          </w:p>
        </w:tc>
        <w:tc>
          <w:tcPr>
            <w:tcW w:w="464" w:type="pct"/>
            <w:tcBorders>
              <w:top w:val="single" w:color="auto" w:sz="4" w:space="0"/>
              <w:left w:val="single" w:color="auto" w:sz="4" w:space="0"/>
              <w:bottom w:val="single" w:color="auto" w:sz="4" w:space="0"/>
              <w:right w:val="single" w:color="auto" w:sz="4" w:space="0"/>
            </w:tcBorders>
            <w:shd w:val="clear" w:color="auto" w:fill="auto"/>
            <w:vAlign w:val="center"/>
          </w:tcPr>
          <w:p w14:paraId="2F0F9A34">
            <w:pPr>
              <w:pStyle w:val="30"/>
              <w:jc w:val="center"/>
              <w:rPr>
                <w:rFonts w:hint="eastAsia" w:ascii="宋体" w:hAnsi="宋体" w:cs="宋体"/>
                <w:sz w:val="21"/>
                <w:szCs w:val="21"/>
              </w:rPr>
            </w:pPr>
            <w:r>
              <w:rPr>
                <w:rFonts w:hint="eastAsia" w:ascii="宋体" w:hAnsi="宋体" w:cs="宋体"/>
                <w:sz w:val="21"/>
                <w:szCs w:val="21"/>
              </w:rPr>
              <w:t>49.87</w:t>
            </w:r>
          </w:p>
        </w:tc>
        <w:tc>
          <w:tcPr>
            <w:tcW w:w="874" w:type="pct"/>
            <w:tcBorders>
              <w:top w:val="single" w:color="auto" w:sz="4" w:space="0"/>
              <w:left w:val="single" w:color="auto" w:sz="4" w:space="0"/>
              <w:bottom w:val="single" w:color="auto" w:sz="4" w:space="0"/>
              <w:right w:val="double" w:color="auto" w:sz="2" w:space="0"/>
            </w:tcBorders>
            <w:shd w:val="clear" w:color="auto" w:fill="auto"/>
            <w:vAlign w:val="center"/>
          </w:tcPr>
          <w:p w14:paraId="049B8F04">
            <w:pPr>
              <w:pStyle w:val="30"/>
              <w:jc w:val="center"/>
              <w:rPr>
                <w:rFonts w:hint="eastAsia" w:ascii="宋体" w:hAnsi="宋体" w:cs="宋体"/>
                <w:sz w:val="21"/>
                <w:szCs w:val="21"/>
              </w:rPr>
            </w:pPr>
            <w:r>
              <w:rPr>
                <w:rFonts w:hint="eastAsia" w:ascii="宋体" w:hAnsi="宋体" w:cs="宋体"/>
                <w:sz w:val="21"/>
                <w:szCs w:val="21"/>
              </w:rPr>
              <w:t>2.88</w:t>
            </w:r>
          </w:p>
        </w:tc>
      </w:tr>
      <w:tr w14:paraId="6F9C55B2">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417" w:type="pct"/>
            <w:vMerge w:val="continue"/>
            <w:tcBorders>
              <w:left w:val="double" w:color="auto" w:sz="2" w:space="0"/>
              <w:right w:val="single" w:color="auto" w:sz="4" w:space="0"/>
            </w:tcBorders>
            <w:shd w:val="clear" w:color="auto" w:fill="auto"/>
            <w:vAlign w:val="center"/>
          </w:tcPr>
          <w:p w14:paraId="107659F7">
            <w:pPr>
              <w:pStyle w:val="30"/>
              <w:jc w:val="center"/>
              <w:rPr>
                <w:rFonts w:hint="eastAsia" w:ascii="宋体" w:hAnsi="宋体" w:cs="宋体"/>
                <w:sz w:val="21"/>
                <w:szCs w:val="21"/>
              </w:rPr>
            </w:pPr>
          </w:p>
        </w:tc>
        <w:tc>
          <w:tcPr>
            <w:tcW w:w="420" w:type="pct"/>
            <w:vMerge w:val="continue"/>
            <w:tcBorders>
              <w:left w:val="single" w:color="auto" w:sz="4" w:space="0"/>
              <w:right w:val="single" w:color="auto" w:sz="4" w:space="0"/>
            </w:tcBorders>
            <w:shd w:val="clear" w:color="auto" w:fill="auto"/>
            <w:vAlign w:val="center"/>
          </w:tcPr>
          <w:p w14:paraId="2766005F">
            <w:pPr>
              <w:pStyle w:val="30"/>
              <w:jc w:val="center"/>
              <w:rPr>
                <w:rFonts w:hint="eastAsia" w:ascii="宋体" w:hAnsi="宋体" w:cs="宋体"/>
                <w:sz w:val="21"/>
                <w:szCs w:val="21"/>
              </w:rPr>
            </w:pPr>
          </w:p>
        </w:tc>
        <w:tc>
          <w:tcPr>
            <w:tcW w:w="716" w:type="pct"/>
            <w:vMerge w:val="continue"/>
            <w:tcBorders>
              <w:left w:val="single" w:color="auto" w:sz="4" w:space="0"/>
              <w:right w:val="single" w:color="auto" w:sz="4" w:space="0"/>
            </w:tcBorders>
            <w:shd w:val="clear" w:color="auto" w:fill="auto"/>
            <w:vAlign w:val="center"/>
          </w:tcPr>
          <w:p w14:paraId="0F28F35D">
            <w:pPr>
              <w:spacing w:line="240" w:lineRule="auto"/>
              <w:ind w:firstLine="0" w:firstLineChars="0"/>
              <w:jc w:val="center"/>
              <w:rPr>
                <w:rFonts w:hint="eastAsia" w:ascii="宋体" w:hAnsi="宋体" w:cs="宋体"/>
                <w:sz w:val="21"/>
                <w:lang w:bidi="ar"/>
              </w:rPr>
            </w:pPr>
          </w:p>
        </w:tc>
        <w:tc>
          <w:tcPr>
            <w:tcW w:w="454" w:type="pct"/>
            <w:vMerge w:val="continue"/>
            <w:tcBorders>
              <w:left w:val="single" w:color="auto" w:sz="4" w:space="0"/>
              <w:right w:val="single" w:color="auto" w:sz="4" w:space="0"/>
            </w:tcBorders>
            <w:shd w:val="clear" w:color="auto" w:fill="auto"/>
            <w:vAlign w:val="center"/>
          </w:tcPr>
          <w:p w14:paraId="310CE8C3">
            <w:pPr>
              <w:pStyle w:val="30"/>
              <w:jc w:val="center"/>
              <w:rPr>
                <w:rFonts w:hint="eastAsia" w:ascii="宋体" w:hAnsi="宋体" w:cs="宋体"/>
                <w:sz w:val="21"/>
                <w:szCs w:val="21"/>
              </w:rPr>
            </w:pPr>
          </w:p>
        </w:tc>
        <w:tc>
          <w:tcPr>
            <w:tcW w:w="508" w:type="pct"/>
            <w:vMerge w:val="continue"/>
            <w:tcBorders>
              <w:left w:val="single" w:color="auto" w:sz="4" w:space="0"/>
              <w:right w:val="single" w:color="auto" w:sz="4" w:space="0"/>
            </w:tcBorders>
            <w:shd w:val="clear" w:color="auto" w:fill="auto"/>
            <w:vAlign w:val="center"/>
          </w:tcPr>
          <w:p w14:paraId="574A6099">
            <w:pPr>
              <w:pStyle w:val="30"/>
              <w:jc w:val="center"/>
              <w:rPr>
                <w:rFonts w:hint="eastAsia" w:ascii="宋体" w:hAnsi="宋体" w:cs="宋体"/>
                <w:sz w:val="21"/>
                <w:szCs w:val="21"/>
              </w:rPr>
            </w:pPr>
          </w:p>
        </w:tc>
        <w:tc>
          <w:tcPr>
            <w:tcW w:w="670" w:type="pct"/>
            <w:tcBorders>
              <w:top w:val="single" w:color="auto" w:sz="4" w:space="0"/>
              <w:left w:val="single" w:color="auto" w:sz="4" w:space="0"/>
              <w:bottom w:val="single" w:color="auto" w:sz="4" w:space="0"/>
              <w:right w:val="single" w:color="auto" w:sz="4" w:space="0"/>
            </w:tcBorders>
            <w:shd w:val="clear" w:color="auto" w:fill="auto"/>
            <w:vAlign w:val="center"/>
          </w:tcPr>
          <w:p w14:paraId="5B68ACAA">
            <w:pPr>
              <w:pStyle w:val="30"/>
              <w:jc w:val="center"/>
              <w:rPr>
                <w:rFonts w:hint="eastAsia" w:ascii="宋体" w:hAnsi="宋体" w:cs="宋体"/>
                <w:sz w:val="21"/>
                <w:szCs w:val="21"/>
              </w:rPr>
            </w:pPr>
            <w:r>
              <w:rPr>
                <w:rFonts w:hint="eastAsia" w:ascii="宋体" w:hAnsi="宋体" w:cs="宋体"/>
                <w:sz w:val="21"/>
                <w:szCs w:val="21"/>
                <w:lang w:bidi="ar"/>
              </w:rPr>
              <w:t>3#-4#</w:t>
            </w:r>
          </w:p>
        </w:tc>
        <w:tc>
          <w:tcPr>
            <w:tcW w:w="474" w:type="pct"/>
            <w:tcBorders>
              <w:top w:val="single" w:color="auto" w:sz="4" w:space="0"/>
              <w:left w:val="single" w:color="auto" w:sz="4" w:space="0"/>
              <w:bottom w:val="single" w:color="auto" w:sz="4" w:space="0"/>
              <w:right w:val="single" w:color="auto" w:sz="4" w:space="0"/>
            </w:tcBorders>
            <w:shd w:val="clear" w:color="auto" w:fill="auto"/>
            <w:vAlign w:val="center"/>
          </w:tcPr>
          <w:p w14:paraId="59B4E2DA">
            <w:pPr>
              <w:pStyle w:val="30"/>
              <w:jc w:val="center"/>
              <w:rPr>
                <w:rFonts w:hint="eastAsia" w:ascii="宋体" w:hAnsi="宋体" w:cs="宋体"/>
                <w:sz w:val="21"/>
                <w:szCs w:val="21"/>
              </w:rPr>
            </w:pPr>
            <w:r>
              <w:rPr>
                <w:rFonts w:hint="eastAsia" w:ascii="宋体" w:hAnsi="宋体" w:cs="宋体"/>
                <w:sz w:val="21"/>
                <w:szCs w:val="21"/>
              </w:rPr>
              <w:t>79.42</w:t>
            </w:r>
          </w:p>
        </w:tc>
        <w:tc>
          <w:tcPr>
            <w:tcW w:w="464" w:type="pct"/>
            <w:tcBorders>
              <w:top w:val="single" w:color="auto" w:sz="4" w:space="0"/>
              <w:left w:val="single" w:color="auto" w:sz="4" w:space="0"/>
              <w:bottom w:val="single" w:color="auto" w:sz="4" w:space="0"/>
              <w:right w:val="single" w:color="auto" w:sz="4" w:space="0"/>
            </w:tcBorders>
            <w:shd w:val="clear" w:color="auto" w:fill="auto"/>
            <w:vAlign w:val="center"/>
          </w:tcPr>
          <w:p w14:paraId="0B6FB105">
            <w:pPr>
              <w:pStyle w:val="30"/>
              <w:jc w:val="center"/>
              <w:rPr>
                <w:rFonts w:hint="eastAsia" w:ascii="宋体" w:hAnsi="宋体" w:cs="宋体"/>
                <w:sz w:val="21"/>
                <w:szCs w:val="21"/>
              </w:rPr>
            </w:pPr>
            <w:r>
              <w:rPr>
                <w:rFonts w:hint="eastAsia" w:ascii="宋体" w:hAnsi="宋体" w:cs="宋体"/>
                <w:sz w:val="21"/>
                <w:szCs w:val="21"/>
              </w:rPr>
              <w:t>42.97</w:t>
            </w:r>
          </w:p>
        </w:tc>
        <w:tc>
          <w:tcPr>
            <w:tcW w:w="874" w:type="pct"/>
            <w:tcBorders>
              <w:top w:val="single" w:color="auto" w:sz="4" w:space="0"/>
              <w:left w:val="single" w:color="auto" w:sz="4" w:space="0"/>
              <w:bottom w:val="single" w:color="auto" w:sz="4" w:space="0"/>
              <w:right w:val="double" w:color="auto" w:sz="2" w:space="0"/>
            </w:tcBorders>
            <w:shd w:val="clear" w:color="auto" w:fill="auto"/>
            <w:vAlign w:val="center"/>
          </w:tcPr>
          <w:p w14:paraId="56E6CEE7">
            <w:pPr>
              <w:pStyle w:val="30"/>
              <w:jc w:val="center"/>
              <w:rPr>
                <w:rFonts w:hint="eastAsia" w:ascii="宋体" w:hAnsi="宋体" w:cs="宋体"/>
                <w:sz w:val="21"/>
                <w:szCs w:val="21"/>
              </w:rPr>
            </w:pPr>
            <w:r>
              <w:rPr>
                <w:rFonts w:hint="eastAsia" w:ascii="宋体" w:hAnsi="宋体" w:cs="宋体"/>
                <w:sz w:val="21"/>
                <w:szCs w:val="21"/>
              </w:rPr>
              <w:t>8.37</w:t>
            </w:r>
          </w:p>
        </w:tc>
      </w:tr>
      <w:tr w14:paraId="16013010">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417" w:type="pct"/>
            <w:vMerge w:val="restart"/>
            <w:tcBorders>
              <w:top w:val="single" w:color="auto" w:sz="4" w:space="0"/>
              <w:left w:val="double" w:color="auto" w:sz="2" w:space="0"/>
              <w:right w:val="single" w:color="auto" w:sz="4" w:space="0"/>
            </w:tcBorders>
            <w:shd w:val="clear" w:color="auto" w:fill="auto"/>
            <w:vAlign w:val="center"/>
          </w:tcPr>
          <w:p w14:paraId="5B908F70">
            <w:pPr>
              <w:pStyle w:val="30"/>
              <w:jc w:val="center"/>
              <w:rPr>
                <w:rFonts w:hint="eastAsia" w:ascii="宋体" w:hAnsi="宋体" w:cs="宋体"/>
                <w:sz w:val="21"/>
                <w:szCs w:val="21"/>
              </w:rPr>
            </w:pPr>
            <w:r>
              <w:rPr>
                <w:rFonts w:hint="eastAsia" w:ascii="宋体" w:hAnsi="宋体" w:cs="宋体"/>
                <w:sz w:val="21"/>
                <w:szCs w:val="21"/>
                <w:lang w:bidi="ar"/>
              </w:rPr>
              <w:t>4#</w:t>
            </w:r>
          </w:p>
        </w:tc>
        <w:tc>
          <w:tcPr>
            <w:tcW w:w="420" w:type="pct"/>
            <w:vMerge w:val="restart"/>
            <w:tcBorders>
              <w:top w:val="single" w:color="auto" w:sz="4" w:space="0"/>
              <w:left w:val="single" w:color="auto" w:sz="4" w:space="0"/>
              <w:right w:val="single" w:color="auto" w:sz="4" w:space="0"/>
            </w:tcBorders>
            <w:shd w:val="clear" w:color="auto" w:fill="auto"/>
            <w:vAlign w:val="center"/>
          </w:tcPr>
          <w:p w14:paraId="53DBAC9B">
            <w:pPr>
              <w:pStyle w:val="30"/>
              <w:jc w:val="center"/>
              <w:rPr>
                <w:rFonts w:hint="eastAsia" w:ascii="宋体" w:hAnsi="宋体" w:cs="宋体"/>
                <w:sz w:val="21"/>
                <w:szCs w:val="21"/>
              </w:rPr>
            </w:pPr>
            <w:r>
              <w:rPr>
                <w:rFonts w:hint="eastAsia" w:ascii="宋体" w:hAnsi="宋体" w:cs="宋体"/>
                <w:sz w:val="21"/>
                <w:szCs w:val="21"/>
                <w:lang w:bidi="ar"/>
              </w:rPr>
              <w:t>60</w:t>
            </w:r>
          </w:p>
        </w:tc>
        <w:tc>
          <w:tcPr>
            <w:tcW w:w="716" w:type="pct"/>
            <w:vMerge w:val="restart"/>
            <w:tcBorders>
              <w:top w:val="single" w:color="auto" w:sz="4" w:space="0"/>
              <w:left w:val="single" w:color="auto" w:sz="4" w:space="0"/>
              <w:right w:val="single" w:color="auto" w:sz="4" w:space="0"/>
            </w:tcBorders>
            <w:shd w:val="clear" w:color="auto" w:fill="auto"/>
            <w:vAlign w:val="center"/>
          </w:tcPr>
          <w:p w14:paraId="2D7985E2">
            <w:pPr>
              <w:spacing w:line="240" w:lineRule="auto"/>
              <w:ind w:firstLine="0" w:firstLineChars="0"/>
              <w:jc w:val="center"/>
              <w:rPr>
                <w:rFonts w:hint="eastAsia" w:ascii="宋体" w:hAnsi="宋体" w:cs="宋体"/>
                <w:sz w:val="21"/>
                <w:lang w:bidi="ar"/>
              </w:rPr>
            </w:pPr>
            <w:r>
              <w:rPr>
                <w:rFonts w:hint="eastAsia" w:ascii="宋体" w:hAnsi="宋体" w:cs="宋体"/>
                <w:sz w:val="21"/>
                <w:lang w:bidi="ar"/>
              </w:rPr>
              <w:t>608.9</w:t>
            </w:r>
          </w:p>
        </w:tc>
        <w:tc>
          <w:tcPr>
            <w:tcW w:w="454" w:type="pct"/>
            <w:vMerge w:val="restart"/>
            <w:tcBorders>
              <w:top w:val="single" w:color="auto" w:sz="4" w:space="0"/>
              <w:left w:val="single" w:color="auto" w:sz="4" w:space="0"/>
              <w:right w:val="single" w:color="auto" w:sz="4" w:space="0"/>
            </w:tcBorders>
            <w:shd w:val="clear" w:color="auto" w:fill="auto"/>
            <w:vAlign w:val="center"/>
          </w:tcPr>
          <w:p w14:paraId="2A120532">
            <w:pPr>
              <w:pStyle w:val="30"/>
              <w:jc w:val="center"/>
              <w:rPr>
                <w:rFonts w:hint="eastAsia" w:ascii="宋体" w:hAnsi="宋体" w:cs="宋体"/>
                <w:sz w:val="21"/>
                <w:szCs w:val="21"/>
              </w:rPr>
            </w:pPr>
            <w:r>
              <w:rPr>
                <w:rFonts w:hint="eastAsia" w:ascii="宋体" w:hAnsi="宋体" w:cs="宋体"/>
                <w:sz w:val="21"/>
                <w:szCs w:val="21"/>
                <w:lang w:bidi="ar"/>
              </w:rPr>
              <w:t>40</w:t>
            </w:r>
          </w:p>
        </w:tc>
        <w:tc>
          <w:tcPr>
            <w:tcW w:w="508" w:type="pct"/>
            <w:vMerge w:val="restart"/>
            <w:tcBorders>
              <w:top w:val="single" w:color="auto" w:sz="4" w:space="0"/>
              <w:left w:val="single" w:color="auto" w:sz="4" w:space="0"/>
              <w:right w:val="single" w:color="auto" w:sz="4" w:space="0"/>
            </w:tcBorders>
            <w:shd w:val="clear" w:color="auto" w:fill="auto"/>
            <w:vAlign w:val="center"/>
          </w:tcPr>
          <w:p w14:paraId="105E1DB1">
            <w:pPr>
              <w:pStyle w:val="30"/>
              <w:jc w:val="center"/>
              <w:rPr>
                <w:rFonts w:hint="eastAsia" w:ascii="宋体" w:hAnsi="宋体" w:cs="宋体"/>
                <w:sz w:val="21"/>
                <w:szCs w:val="21"/>
              </w:rPr>
            </w:pPr>
            <w:r>
              <w:rPr>
                <w:rFonts w:hint="eastAsia" w:ascii="宋体" w:hAnsi="宋体" w:cs="宋体"/>
                <w:sz w:val="21"/>
                <w:szCs w:val="21"/>
                <w:lang w:bidi="ar"/>
              </w:rPr>
              <w:t>40</w:t>
            </w:r>
          </w:p>
        </w:tc>
        <w:tc>
          <w:tcPr>
            <w:tcW w:w="670" w:type="pct"/>
            <w:tcBorders>
              <w:top w:val="single" w:color="auto" w:sz="4" w:space="0"/>
              <w:left w:val="single" w:color="auto" w:sz="4" w:space="0"/>
              <w:bottom w:val="double" w:color="auto" w:sz="2" w:space="0"/>
              <w:right w:val="single" w:color="auto" w:sz="4" w:space="0"/>
            </w:tcBorders>
            <w:shd w:val="clear" w:color="auto" w:fill="auto"/>
            <w:vAlign w:val="center"/>
          </w:tcPr>
          <w:p w14:paraId="05A5D091">
            <w:pPr>
              <w:pStyle w:val="30"/>
              <w:jc w:val="center"/>
              <w:rPr>
                <w:rFonts w:hint="eastAsia" w:ascii="宋体" w:hAnsi="宋体" w:cs="宋体"/>
                <w:sz w:val="21"/>
                <w:szCs w:val="21"/>
              </w:rPr>
            </w:pPr>
            <w:r>
              <w:rPr>
                <w:rFonts w:hint="eastAsia" w:ascii="宋体" w:hAnsi="宋体" w:cs="宋体"/>
                <w:sz w:val="21"/>
                <w:szCs w:val="21"/>
                <w:lang w:bidi="ar"/>
              </w:rPr>
              <w:t>4#-2#</w:t>
            </w:r>
          </w:p>
        </w:tc>
        <w:tc>
          <w:tcPr>
            <w:tcW w:w="474" w:type="pct"/>
            <w:tcBorders>
              <w:top w:val="single" w:color="auto" w:sz="4" w:space="0"/>
              <w:left w:val="single" w:color="auto" w:sz="4" w:space="0"/>
              <w:bottom w:val="double" w:color="auto" w:sz="2" w:space="0"/>
              <w:right w:val="single" w:color="auto" w:sz="4" w:space="0"/>
            </w:tcBorders>
            <w:shd w:val="clear" w:color="auto" w:fill="auto"/>
            <w:vAlign w:val="center"/>
          </w:tcPr>
          <w:p w14:paraId="453F062B">
            <w:pPr>
              <w:pStyle w:val="30"/>
              <w:jc w:val="center"/>
              <w:rPr>
                <w:rFonts w:hint="eastAsia" w:ascii="宋体" w:hAnsi="宋体" w:cs="宋体"/>
                <w:sz w:val="21"/>
                <w:szCs w:val="21"/>
              </w:rPr>
            </w:pPr>
            <w:r>
              <w:rPr>
                <w:rFonts w:hint="eastAsia" w:ascii="宋体" w:hAnsi="宋体" w:cs="宋体"/>
                <w:sz w:val="21"/>
                <w:szCs w:val="21"/>
              </w:rPr>
              <w:t>64.41</w:t>
            </w:r>
          </w:p>
        </w:tc>
        <w:tc>
          <w:tcPr>
            <w:tcW w:w="464" w:type="pct"/>
            <w:tcBorders>
              <w:top w:val="single" w:color="auto" w:sz="4" w:space="0"/>
              <w:left w:val="single" w:color="auto" w:sz="4" w:space="0"/>
              <w:bottom w:val="double" w:color="auto" w:sz="2" w:space="0"/>
              <w:right w:val="single" w:color="auto" w:sz="4" w:space="0"/>
            </w:tcBorders>
            <w:shd w:val="clear" w:color="auto" w:fill="auto"/>
            <w:vAlign w:val="center"/>
          </w:tcPr>
          <w:p w14:paraId="1DDC8201">
            <w:pPr>
              <w:pStyle w:val="30"/>
              <w:jc w:val="center"/>
              <w:rPr>
                <w:rFonts w:hint="eastAsia" w:ascii="宋体" w:hAnsi="宋体" w:cs="宋体"/>
                <w:sz w:val="21"/>
                <w:szCs w:val="21"/>
                <w:lang w:bidi="ar"/>
              </w:rPr>
            </w:pPr>
            <w:r>
              <w:rPr>
                <w:rFonts w:hint="eastAsia" w:ascii="宋体" w:hAnsi="宋体" w:cs="宋体"/>
                <w:sz w:val="21"/>
                <w:szCs w:val="21"/>
              </w:rPr>
              <w:t>57.98</w:t>
            </w:r>
          </w:p>
        </w:tc>
        <w:tc>
          <w:tcPr>
            <w:tcW w:w="874" w:type="pct"/>
            <w:tcBorders>
              <w:top w:val="single" w:color="auto" w:sz="4" w:space="0"/>
              <w:left w:val="single" w:color="auto" w:sz="4" w:space="0"/>
              <w:bottom w:val="double" w:color="auto" w:sz="2" w:space="0"/>
              <w:right w:val="double" w:color="auto" w:sz="2" w:space="0"/>
            </w:tcBorders>
            <w:shd w:val="clear" w:color="auto" w:fill="auto"/>
            <w:vAlign w:val="center"/>
          </w:tcPr>
          <w:p w14:paraId="2F7426CC">
            <w:pPr>
              <w:pStyle w:val="30"/>
              <w:jc w:val="center"/>
              <w:rPr>
                <w:rFonts w:hint="eastAsia" w:ascii="宋体" w:hAnsi="宋体" w:cs="宋体"/>
                <w:sz w:val="21"/>
                <w:szCs w:val="21"/>
                <w:lang w:bidi="ar"/>
              </w:rPr>
            </w:pPr>
            <w:r>
              <w:rPr>
                <w:rFonts w:hint="eastAsia" w:ascii="宋体" w:hAnsi="宋体" w:cs="宋体"/>
                <w:sz w:val="21"/>
                <w:szCs w:val="21"/>
              </w:rPr>
              <w:t>2.03</w:t>
            </w:r>
          </w:p>
        </w:tc>
      </w:tr>
      <w:tr w14:paraId="73F3D3B1">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417" w:type="pct"/>
            <w:vMerge w:val="continue"/>
            <w:tcBorders>
              <w:left w:val="double" w:color="auto" w:sz="2" w:space="0"/>
              <w:right w:val="single" w:color="auto" w:sz="4" w:space="0"/>
            </w:tcBorders>
            <w:shd w:val="clear" w:color="auto" w:fill="auto"/>
            <w:vAlign w:val="center"/>
          </w:tcPr>
          <w:p w14:paraId="469D8205">
            <w:pPr>
              <w:pStyle w:val="30"/>
              <w:jc w:val="center"/>
              <w:rPr>
                <w:rFonts w:hint="eastAsia" w:ascii="宋体" w:hAnsi="宋体" w:cs="宋体"/>
                <w:sz w:val="21"/>
                <w:szCs w:val="21"/>
              </w:rPr>
            </w:pPr>
          </w:p>
        </w:tc>
        <w:tc>
          <w:tcPr>
            <w:tcW w:w="420" w:type="pct"/>
            <w:vMerge w:val="continue"/>
            <w:tcBorders>
              <w:left w:val="single" w:color="auto" w:sz="4" w:space="0"/>
              <w:right w:val="single" w:color="auto" w:sz="4" w:space="0"/>
            </w:tcBorders>
            <w:shd w:val="clear" w:color="auto" w:fill="auto"/>
            <w:vAlign w:val="center"/>
          </w:tcPr>
          <w:p w14:paraId="2391DA1A">
            <w:pPr>
              <w:pStyle w:val="30"/>
              <w:jc w:val="center"/>
              <w:rPr>
                <w:rFonts w:hint="eastAsia" w:ascii="宋体" w:hAnsi="宋体" w:cs="宋体"/>
                <w:sz w:val="21"/>
                <w:szCs w:val="21"/>
              </w:rPr>
            </w:pPr>
          </w:p>
        </w:tc>
        <w:tc>
          <w:tcPr>
            <w:tcW w:w="716" w:type="pct"/>
            <w:vMerge w:val="continue"/>
            <w:tcBorders>
              <w:left w:val="single" w:color="auto" w:sz="4" w:space="0"/>
              <w:right w:val="single" w:color="auto" w:sz="4" w:space="0"/>
            </w:tcBorders>
            <w:shd w:val="clear" w:color="auto" w:fill="auto"/>
            <w:vAlign w:val="center"/>
          </w:tcPr>
          <w:p w14:paraId="2D68DA95">
            <w:pPr>
              <w:pStyle w:val="30"/>
              <w:jc w:val="center"/>
              <w:rPr>
                <w:rFonts w:hint="eastAsia" w:ascii="宋体" w:hAnsi="宋体" w:cs="宋体"/>
                <w:sz w:val="21"/>
                <w:szCs w:val="21"/>
              </w:rPr>
            </w:pPr>
          </w:p>
        </w:tc>
        <w:tc>
          <w:tcPr>
            <w:tcW w:w="454" w:type="pct"/>
            <w:vMerge w:val="continue"/>
            <w:tcBorders>
              <w:left w:val="single" w:color="auto" w:sz="4" w:space="0"/>
              <w:right w:val="single" w:color="auto" w:sz="4" w:space="0"/>
            </w:tcBorders>
            <w:shd w:val="clear" w:color="auto" w:fill="auto"/>
            <w:vAlign w:val="center"/>
          </w:tcPr>
          <w:p w14:paraId="2A965661">
            <w:pPr>
              <w:pStyle w:val="30"/>
              <w:jc w:val="center"/>
              <w:rPr>
                <w:rFonts w:hint="eastAsia" w:ascii="宋体" w:hAnsi="宋体" w:cs="宋体"/>
                <w:sz w:val="21"/>
                <w:szCs w:val="21"/>
              </w:rPr>
            </w:pPr>
          </w:p>
        </w:tc>
        <w:tc>
          <w:tcPr>
            <w:tcW w:w="508" w:type="pct"/>
            <w:vMerge w:val="continue"/>
            <w:tcBorders>
              <w:left w:val="single" w:color="auto" w:sz="4" w:space="0"/>
              <w:right w:val="single" w:color="auto" w:sz="4" w:space="0"/>
            </w:tcBorders>
            <w:shd w:val="clear" w:color="auto" w:fill="auto"/>
            <w:vAlign w:val="center"/>
          </w:tcPr>
          <w:p w14:paraId="647C8F51">
            <w:pPr>
              <w:pStyle w:val="30"/>
              <w:jc w:val="center"/>
              <w:rPr>
                <w:rFonts w:hint="eastAsia" w:ascii="宋体" w:hAnsi="宋体" w:cs="宋体"/>
                <w:sz w:val="21"/>
                <w:szCs w:val="21"/>
              </w:rPr>
            </w:pPr>
          </w:p>
        </w:tc>
        <w:tc>
          <w:tcPr>
            <w:tcW w:w="670" w:type="pct"/>
            <w:tcBorders>
              <w:top w:val="single" w:color="auto" w:sz="4" w:space="0"/>
              <w:left w:val="single" w:color="auto" w:sz="4" w:space="0"/>
              <w:bottom w:val="double" w:color="auto" w:sz="2" w:space="0"/>
              <w:right w:val="single" w:color="auto" w:sz="4" w:space="0"/>
            </w:tcBorders>
            <w:shd w:val="clear" w:color="auto" w:fill="auto"/>
            <w:vAlign w:val="center"/>
          </w:tcPr>
          <w:p w14:paraId="19930C97">
            <w:pPr>
              <w:pStyle w:val="30"/>
              <w:jc w:val="center"/>
              <w:rPr>
                <w:rFonts w:hint="eastAsia" w:ascii="宋体" w:hAnsi="宋体" w:cs="宋体"/>
                <w:sz w:val="21"/>
                <w:szCs w:val="21"/>
              </w:rPr>
            </w:pPr>
            <w:r>
              <w:rPr>
                <w:rFonts w:hint="eastAsia" w:ascii="宋体" w:hAnsi="宋体" w:cs="宋体"/>
                <w:sz w:val="21"/>
                <w:szCs w:val="21"/>
                <w:lang w:bidi="ar"/>
              </w:rPr>
              <w:t>4#-3#</w:t>
            </w:r>
          </w:p>
        </w:tc>
        <w:tc>
          <w:tcPr>
            <w:tcW w:w="474" w:type="pct"/>
            <w:tcBorders>
              <w:top w:val="single" w:color="auto" w:sz="4" w:space="0"/>
              <w:left w:val="single" w:color="auto" w:sz="4" w:space="0"/>
              <w:bottom w:val="double" w:color="auto" w:sz="2" w:space="0"/>
              <w:right w:val="single" w:color="auto" w:sz="4" w:space="0"/>
            </w:tcBorders>
            <w:shd w:val="clear" w:color="auto" w:fill="auto"/>
            <w:vAlign w:val="center"/>
          </w:tcPr>
          <w:p w14:paraId="3956C17E">
            <w:pPr>
              <w:pStyle w:val="30"/>
              <w:jc w:val="center"/>
              <w:rPr>
                <w:rFonts w:hint="eastAsia" w:ascii="宋体" w:hAnsi="宋体" w:cs="宋体"/>
                <w:sz w:val="21"/>
                <w:szCs w:val="21"/>
              </w:rPr>
            </w:pPr>
            <w:r>
              <w:rPr>
                <w:rFonts w:hint="eastAsia" w:ascii="宋体" w:hAnsi="宋体" w:cs="宋体"/>
                <w:sz w:val="21"/>
                <w:szCs w:val="21"/>
              </w:rPr>
              <w:t>79.42</w:t>
            </w:r>
          </w:p>
        </w:tc>
        <w:tc>
          <w:tcPr>
            <w:tcW w:w="464" w:type="pct"/>
            <w:tcBorders>
              <w:top w:val="single" w:color="auto" w:sz="4" w:space="0"/>
              <w:left w:val="single" w:color="auto" w:sz="4" w:space="0"/>
              <w:bottom w:val="double" w:color="auto" w:sz="2" w:space="0"/>
              <w:right w:val="single" w:color="auto" w:sz="4" w:space="0"/>
            </w:tcBorders>
            <w:shd w:val="clear" w:color="auto" w:fill="auto"/>
            <w:vAlign w:val="center"/>
          </w:tcPr>
          <w:p w14:paraId="5049C0EF">
            <w:pPr>
              <w:pStyle w:val="30"/>
              <w:jc w:val="center"/>
              <w:rPr>
                <w:rFonts w:hint="eastAsia" w:ascii="宋体" w:hAnsi="宋体" w:cs="宋体"/>
                <w:sz w:val="21"/>
                <w:szCs w:val="21"/>
              </w:rPr>
            </w:pPr>
            <w:r>
              <w:rPr>
                <w:rFonts w:hint="eastAsia" w:ascii="宋体" w:hAnsi="宋体" w:cs="宋体"/>
                <w:sz w:val="21"/>
                <w:szCs w:val="21"/>
              </w:rPr>
              <w:t>42.97</w:t>
            </w:r>
          </w:p>
        </w:tc>
        <w:tc>
          <w:tcPr>
            <w:tcW w:w="874" w:type="pct"/>
            <w:tcBorders>
              <w:top w:val="single" w:color="auto" w:sz="4" w:space="0"/>
              <w:left w:val="single" w:color="auto" w:sz="4" w:space="0"/>
              <w:bottom w:val="double" w:color="auto" w:sz="2" w:space="0"/>
              <w:right w:val="double" w:color="auto" w:sz="2" w:space="0"/>
            </w:tcBorders>
            <w:shd w:val="clear" w:color="auto" w:fill="auto"/>
            <w:vAlign w:val="center"/>
          </w:tcPr>
          <w:p w14:paraId="387B7993">
            <w:pPr>
              <w:pStyle w:val="30"/>
              <w:jc w:val="center"/>
              <w:rPr>
                <w:rFonts w:hint="eastAsia" w:ascii="宋体" w:hAnsi="宋体" w:cs="宋体"/>
                <w:sz w:val="21"/>
                <w:szCs w:val="21"/>
              </w:rPr>
            </w:pPr>
            <w:r>
              <w:rPr>
                <w:rFonts w:hint="eastAsia" w:ascii="宋体" w:hAnsi="宋体" w:cs="宋体"/>
                <w:sz w:val="21"/>
                <w:szCs w:val="21"/>
              </w:rPr>
              <w:t>8.37</w:t>
            </w:r>
          </w:p>
        </w:tc>
      </w:tr>
    </w:tbl>
    <w:p w14:paraId="6C0D1E97">
      <w:pPr>
        <w:pStyle w:val="3"/>
        <w:spacing w:before="156" w:after="156"/>
        <w:ind w:firstLine="482"/>
        <w:rPr>
          <w:sz w:val="24"/>
          <w:szCs w:val="24"/>
        </w:rPr>
      </w:pPr>
      <w:bookmarkStart w:id="107" w:name="_Toc78396059"/>
      <w:bookmarkStart w:id="108" w:name="_Toc20052"/>
      <w:r>
        <w:rPr>
          <w:rFonts w:hint="eastAsia"/>
          <w:sz w:val="24"/>
          <w:szCs w:val="24"/>
        </w:rPr>
        <w:t>塔吊防碰撞措施</w:t>
      </w:r>
      <w:bookmarkEnd w:id="107"/>
      <w:bookmarkEnd w:id="108"/>
    </w:p>
    <w:p w14:paraId="4E5B7945">
      <w:pPr>
        <w:pStyle w:val="114"/>
        <w:spacing w:line="360" w:lineRule="auto"/>
        <w:ind w:firstLine="480"/>
        <w:outlineLvl w:val="2"/>
        <w:rPr>
          <w:rFonts w:hint="eastAsia" w:cs="宋体"/>
          <w:b/>
          <w:bCs/>
        </w:rPr>
      </w:pPr>
      <w:bookmarkStart w:id="109" w:name="_bookmark14"/>
      <w:bookmarkEnd w:id="109"/>
      <w:bookmarkStart w:id="110" w:name="_Toc514133127"/>
      <w:bookmarkStart w:id="111" w:name="_Toc494097844"/>
      <w:bookmarkStart w:id="112" w:name="_Toc77792624"/>
      <w:r>
        <w:rPr>
          <w:rFonts w:hint="eastAsia" w:cs="宋体"/>
        </w:rPr>
        <w:t>4.5.1预防措施</w:t>
      </w:r>
      <w:bookmarkEnd w:id="110"/>
      <w:bookmarkEnd w:id="111"/>
      <w:bookmarkEnd w:id="112"/>
    </w:p>
    <w:p w14:paraId="264833FE">
      <w:pPr>
        <w:pStyle w:val="114"/>
        <w:spacing w:line="360" w:lineRule="auto"/>
        <w:ind w:firstLine="480"/>
        <w:rPr>
          <w:rFonts w:hint="eastAsia" w:cs="宋体"/>
        </w:rPr>
      </w:pPr>
      <w:r>
        <w:rPr>
          <w:rFonts w:hint="eastAsia" w:cs="宋体"/>
        </w:rPr>
        <w:t>（1）从选型上 在确保施工需要的情况下，增大塔吊型号，使塔吊大臂错位能有更大的调节空间。</w:t>
      </w:r>
    </w:p>
    <w:p w14:paraId="3AFF6EA4">
      <w:pPr>
        <w:pStyle w:val="114"/>
        <w:spacing w:line="360" w:lineRule="auto"/>
        <w:ind w:firstLine="480"/>
        <w:rPr>
          <w:rFonts w:hint="eastAsia" w:cs="宋体"/>
        </w:rPr>
      </w:pPr>
      <w:r>
        <w:rPr>
          <w:rFonts w:hint="eastAsia" w:cs="宋体"/>
        </w:rPr>
        <w:t>（2）从人员配备上每台塔吊配备2个司机，4个指挥，采取2班倒的作息制度，定人定机，给予塔吊操作人员充分休息时间，避免疲劳作业。</w:t>
      </w:r>
    </w:p>
    <w:p w14:paraId="74445B79">
      <w:pPr>
        <w:pStyle w:val="114"/>
        <w:spacing w:line="360" w:lineRule="auto"/>
        <w:ind w:firstLine="480"/>
        <w:rPr>
          <w:rFonts w:hint="eastAsia" w:cs="宋体"/>
        </w:rPr>
      </w:pPr>
      <w:r>
        <w:rPr>
          <w:rFonts w:hint="eastAsia" w:cs="宋体"/>
        </w:rPr>
        <w:t>（3）从通讯指挥上每台塔吊的对讲机使用专用频道，只有塔吊操作人员及专职设备管理员才分配对讲机，相邻塔吊还设置了紧急通讯频道，保证在出现危险的情况下，能够及时制止误操作。</w:t>
      </w:r>
    </w:p>
    <w:p w14:paraId="7D761F40">
      <w:pPr>
        <w:pStyle w:val="114"/>
        <w:spacing w:line="360" w:lineRule="auto"/>
        <w:ind w:firstLine="480"/>
        <w:rPr>
          <w:rFonts w:hint="eastAsia" w:cs="宋体"/>
        </w:rPr>
      </w:pPr>
      <w:r>
        <w:rPr>
          <w:rFonts w:hint="eastAsia" w:cs="宋体"/>
        </w:rPr>
        <w:t>（4）从作业环境上为保证夜间群塔作业安全，每台塔吊沿大臂安装红色警示灯，使操作人员夜间能看清周围塔机动态。</w:t>
      </w:r>
    </w:p>
    <w:p w14:paraId="3799C27A">
      <w:pPr>
        <w:pStyle w:val="114"/>
        <w:spacing w:line="360" w:lineRule="auto"/>
        <w:ind w:firstLine="480"/>
        <w:rPr>
          <w:rFonts w:hint="eastAsia" w:cs="宋体"/>
        </w:rPr>
      </w:pPr>
      <w:r>
        <w:rPr>
          <w:rFonts w:hint="eastAsia" w:cs="宋体"/>
        </w:rPr>
        <w:t>（5）从操作人员思想上每月两次定期组织所有塔吊司机指挥进行安全教育交底，每天上班前由班长进行前天运行情况、存在安全隐患、当天需注意事项的讲解，时刻保持司机指挥高度警觉。</w:t>
      </w:r>
    </w:p>
    <w:p w14:paraId="20C68F46">
      <w:pPr>
        <w:pStyle w:val="114"/>
        <w:spacing w:line="360" w:lineRule="auto"/>
        <w:ind w:firstLine="480"/>
        <w:rPr>
          <w:rFonts w:hint="eastAsia" w:cs="宋体"/>
        </w:rPr>
      </w:pPr>
      <w:r>
        <w:rPr>
          <w:rFonts w:hint="eastAsia" w:cs="宋体"/>
        </w:rPr>
        <w:t>（6）停止作业的塔吊下班时，停机规定由于塔吊交叉作业较多，有的塔吊在作业，有的可能暂时停止使用，为不影响正在使用的塔吊的正常作业，对提前停止作业的塔吊作如下规定：下班时要求该塔吊司机将塔吊的变幅小车收回塔吊大臂根部，吊钩起升到最高处，大臂朝向规定位置，避免影响相邻塔吊的作业。</w:t>
      </w:r>
    </w:p>
    <w:p w14:paraId="7C7338CF">
      <w:pPr>
        <w:pStyle w:val="114"/>
        <w:spacing w:line="360" w:lineRule="auto"/>
        <w:ind w:firstLine="480"/>
        <w:outlineLvl w:val="2"/>
        <w:rPr>
          <w:rFonts w:hint="eastAsia" w:cs="宋体"/>
        </w:rPr>
      </w:pPr>
      <w:bookmarkStart w:id="113" w:name="_bookmark15"/>
      <w:bookmarkEnd w:id="113"/>
      <w:bookmarkStart w:id="114" w:name="_Toc77792625"/>
      <w:bookmarkStart w:id="115" w:name="_Toc514133128"/>
      <w:bookmarkStart w:id="116" w:name="_Toc494097845"/>
      <w:r>
        <w:rPr>
          <w:rFonts w:hint="eastAsia" w:cs="宋体"/>
        </w:rPr>
        <w:t>4.5.2群塔作业过程中应遵循“五让”规定</w:t>
      </w:r>
      <w:bookmarkEnd w:id="114"/>
      <w:bookmarkEnd w:id="115"/>
      <w:bookmarkEnd w:id="116"/>
    </w:p>
    <w:p w14:paraId="6B5748DE">
      <w:pPr>
        <w:pStyle w:val="114"/>
        <w:spacing w:line="360" w:lineRule="auto"/>
        <w:ind w:firstLine="480"/>
        <w:rPr>
          <w:rFonts w:hint="eastAsia" w:cs="宋体"/>
        </w:rPr>
      </w:pPr>
      <w:r>
        <w:rPr>
          <w:rFonts w:hint="eastAsia" w:cs="宋体"/>
        </w:rPr>
        <w:t>（1）低塔让高塔：在塔机起重臂作业交叉区域内运行时，低塔应避让高塔。</w:t>
      </w:r>
    </w:p>
    <w:p w14:paraId="0E936D9A">
      <w:pPr>
        <w:pStyle w:val="114"/>
        <w:spacing w:line="360" w:lineRule="auto"/>
        <w:ind w:firstLine="480"/>
        <w:rPr>
          <w:rFonts w:hint="eastAsia" w:cs="宋体"/>
        </w:rPr>
      </w:pPr>
      <w:r>
        <w:rPr>
          <w:rFonts w:hint="eastAsia" w:cs="宋体"/>
        </w:rPr>
        <w:t>（2）后塔让先塔：在塔机起重臂作业交叉区域内运行时，后进入该区塔机应避让</w:t>
      </w:r>
      <w:r>
        <w:rPr>
          <w:rFonts w:hint="eastAsia" w:cs="宋体"/>
          <w:spacing w:val="-2"/>
        </w:rPr>
        <w:t>已在该区域</w:t>
      </w:r>
      <w:r>
        <w:rPr>
          <w:rFonts w:hint="eastAsia" w:cs="宋体"/>
        </w:rPr>
        <w:t>作业的塔机。在作业过程中，后起动作业的塔吊在运行时应前后、左右、上下确定相邻塔吊的作业状态和所处位置。如有妨碍后塔正常运行时，必须停塔等候，并鸣笛提示前塔，告之后塔所处的状态、位置，待前塔远离妨碍区域时，后塔方可作业。</w:t>
      </w:r>
    </w:p>
    <w:p w14:paraId="48E077A6">
      <w:pPr>
        <w:pStyle w:val="114"/>
        <w:spacing w:line="360" w:lineRule="auto"/>
        <w:ind w:firstLine="480"/>
        <w:rPr>
          <w:rFonts w:hint="eastAsia" w:cs="宋体"/>
        </w:rPr>
      </w:pPr>
      <w:r>
        <w:rPr>
          <w:rFonts w:hint="eastAsia" w:cs="宋体"/>
        </w:rPr>
        <w:t>（3）动塔让静塔：在塔机起重臂作业交叉区域内运行时，需运转的塔机应避让处</w:t>
      </w:r>
    </w:p>
    <w:p w14:paraId="665AF8D0">
      <w:pPr>
        <w:pStyle w:val="114"/>
        <w:spacing w:line="360" w:lineRule="auto"/>
        <w:ind w:firstLine="480"/>
        <w:rPr>
          <w:rFonts w:hint="eastAsia" w:cs="宋体"/>
        </w:rPr>
      </w:pPr>
      <w:r>
        <w:rPr>
          <w:rFonts w:hint="eastAsia" w:cs="宋体"/>
        </w:rPr>
        <w:t>于静止状态的塔机。在作业过程中，要求塔司、信号工随时注意相邻塔吊所处的作业状态，位置在回转塔臂运驶小车时，要避让处于停止状态的塔吊，可绕道行运，或暂停作业，待停塔工作完后，驶出相碰撞危险区域后方可作业。</w:t>
      </w:r>
    </w:p>
    <w:p w14:paraId="4B0837C7">
      <w:pPr>
        <w:pStyle w:val="114"/>
        <w:spacing w:line="360" w:lineRule="auto"/>
        <w:ind w:firstLine="480"/>
        <w:rPr>
          <w:rFonts w:hint="eastAsia" w:cs="宋体"/>
        </w:rPr>
      </w:pPr>
      <w:r>
        <w:rPr>
          <w:rFonts w:hint="eastAsia" w:cs="宋体"/>
        </w:rPr>
        <w:t>（4）轻车让重车：两塔或多塔同时运行时，空载塔机应主动避让负载塔机。</w:t>
      </w:r>
    </w:p>
    <w:p w14:paraId="15509C92">
      <w:pPr>
        <w:pStyle w:val="114"/>
        <w:spacing w:line="360" w:lineRule="auto"/>
        <w:ind w:firstLine="480"/>
        <w:rPr>
          <w:rFonts w:hint="eastAsia" w:cs="宋体"/>
        </w:rPr>
      </w:pPr>
      <w:r>
        <w:rPr>
          <w:rFonts w:hint="eastAsia" w:cs="宋体"/>
        </w:rPr>
        <w:t>（5）客塔让主塔：进入相邻的其他工地或本工程其他塔机的主作业区时应主动避 让他方塔吊。以各实际工作区域划分塔机工作区域，若塔机塔臂进入非本塔工作区域时，客区域的塔机要让主区域的塔机。</w:t>
      </w:r>
    </w:p>
    <w:p w14:paraId="50934742">
      <w:pPr>
        <w:pStyle w:val="114"/>
        <w:spacing w:line="360" w:lineRule="auto"/>
        <w:ind w:firstLine="480"/>
        <w:rPr>
          <w:rFonts w:hint="eastAsia" w:cs="宋体"/>
        </w:rPr>
      </w:pPr>
      <w:r>
        <w:rPr>
          <w:rFonts w:hint="eastAsia" w:cs="宋体"/>
        </w:rPr>
        <w:t>（6）塔机在运行中，各条件同时存在时，必须按以上排序原则执行。</w:t>
      </w:r>
    </w:p>
    <w:p w14:paraId="3D218DFC">
      <w:pPr>
        <w:pStyle w:val="114"/>
        <w:spacing w:line="360" w:lineRule="auto"/>
        <w:ind w:firstLine="480"/>
        <w:outlineLvl w:val="2"/>
        <w:rPr>
          <w:rFonts w:hint="eastAsia" w:cs="宋体"/>
        </w:rPr>
      </w:pPr>
      <w:bookmarkStart w:id="117" w:name="_bookmark16"/>
      <w:bookmarkEnd w:id="117"/>
      <w:bookmarkStart w:id="118" w:name="_Toc514133129"/>
      <w:bookmarkStart w:id="119" w:name="_Toc494097846"/>
      <w:bookmarkStart w:id="120" w:name="_Toc77792626"/>
      <w:r>
        <w:rPr>
          <w:rFonts w:hint="eastAsia" w:cs="宋体"/>
        </w:rPr>
        <w:t>4.5.3  防碰撞管理措施</w:t>
      </w:r>
      <w:bookmarkEnd w:id="118"/>
      <w:bookmarkEnd w:id="119"/>
      <w:bookmarkEnd w:id="120"/>
    </w:p>
    <w:p w14:paraId="4B50E2AC">
      <w:pPr>
        <w:pStyle w:val="114"/>
        <w:spacing w:line="360" w:lineRule="auto"/>
        <w:ind w:firstLine="480"/>
        <w:rPr>
          <w:rFonts w:hint="eastAsia" w:cs="宋体"/>
        </w:rPr>
      </w:pPr>
      <w:r>
        <w:rPr>
          <w:rFonts w:hint="eastAsia" w:cs="宋体"/>
        </w:rPr>
        <w:t>为防止塔机之间发生碰撞现象，项目部应做到如下要求：</w:t>
      </w:r>
    </w:p>
    <w:p w14:paraId="7914D06D">
      <w:pPr>
        <w:pStyle w:val="114"/>
        <w:spacing w:line="360" w:lineRule="auto"/>
        <w:ind w:firstLine="480"/>
        <w:rPr>
          <w:rFonts w:hint="eastAsia" w:cs="宋体"/>
        </w:rPr>
      </w:pPr>
      <w:r>
        <w:rPr>
          <w:rFonts w:hint="eastAsia" w:cs="宋体"/>
        </w:rPr>
        <w:t>（1）工地现场安全员必须加强对塔机操作手和指挥人员的安全教育，监督操作手</w:t>
      </w:r>
      <w:r>
        <w:rPr>
          <w:rFonts w:hint="eastAsia" w:cs="宋体"/>
          <w:spacing w:val="-2"/>
        </w:rPr>
        <w:t>和指挥员的作业过程，严格按照安全操作规程作业，发现有违反塔机安全操作规程及本</w:t>
      </w:r>
      <w:r>
        <w:rPr>
          <w:rFonts w:hint="eastAsia" w:cs="宋体"/>
        </w:rPr>
        <w:t>交底内容时，应及时进行处罚或教育。</w:t>
      </w:r>
    </w:p>
    <w:p w14:paraId="2E8CCDAD">
      <w:pPr>
        <w:pStyle w:val="114"/>
        <w:spacing w:line="360" w:lineRule="auto"/>
        <w:ind w:firstLine="480"/>
        <w:rPr>
          <w:rFonts w:hint="eastAsia" w:cs="宋体"/>
        </w:rPr>
      </w:pPr>
      <w:r>
        <w:rPr>
          <w:rFonts w:hint="eastAsia" w:cs="宋体"/>
        </w:rPr>
        <w:t>（2）各塔机指挥人员在发出指挥信号前必须密切注意可能和本机发生碰撞的其它</w:t>
      </w:r>
      <w:r>
        <w:rPr>
          <w:rFonts w:hint="eastAsia" w:cs="宋体"/>
          <w:spacing w:val="-2"/>
        </w:rPr>
        <w:t>塔机的动态，发现相邻塔机起重臂转向本机起重臂时，及时提醒操作手，并发出正确的</w:t>
      </w:r>
      <w:r>
        <w:rPr>
          <w:rFonts w:hint="eastAsia" w:cs="宋体"/>
        </w:rPr>
        <w:t>避让指令。</w:t>
      </w:r>
    </w:p>
    <w:p w14:paraId="6ABB24DC">
      <w:pPr>
        <w:pStyle w:val="114"/>
        <w:spacing w:line="360" w:lineRule="auto"/>
        <w:ind w:firstLine="480"/>
        <w:rPr>
          <w:rFonts w:hint="eastAsia" w:cs="宋体"/>
        </w:rPr>
      </w:pPr>
      <w:r>
        <w:rPr>
          <w:rFonts w:hint="eastAsia" w:cs="宋体"/>
        </w:rPr>
        <w:t>（3）操作手将本机向作业区域内其它正在作业的塔机靠近时，应密切注意其作业动向，防止钢丝绳及吊钩、吊物、起重臂、拉杆、平衡臂之间的互碰撞。</w:t>
      </w:r>
    </w:p>
    <w:p w14:paraId="288202E9">
      <w:pPr>
        <w:pStyle w:val="114"/>
        <w:spacing w:line="360" w:lineRule="auto"/>
        <w:ind w:firstLine="480"/>
        <w:rPr>
          <w:rFonts w:hint="eastAsia" w:cs="宋体"/>
        </w:rPr>
      </w:pPr>
      <w:r>
        <w:rPr>
          <w:rFonts w:hint="eastAsia" w:cs="宋体"/>
        </w:rPr>
        <w:t>（4）所有塔机指挥和操作手在作业时必须配备性能可靠的对讲机，任何一台塔机如有操作手或指挥未用对讲机联络，不得作业。每一台塔机所使用的对讲机必须加密，</w:t>
      </w:r>
      <w:r>
        <w:rPr>
          <w:rFonts w:hint="eastAsia" w:cs="宋体"/>
          <w:spacing w:val="-4"/>
        </w:rPr>
        <w:t>严禁窜台（每一部对讲机只能呼叫相对应的塔吊操作手和指挥员）。</w:t>
      </w:r>
    </w:p>
    <w:p w14:paraId="1EB66935">
      <w:pPr>
        <w:pStyle w:val="114"/>
        <w:spacing w:line="360" w:lineRule="auto"/>
        <w:ind w:firstLine="480"/>
        <w:rPr>
          <w:rFonts w:hint="eastAsia" w:cs="宋体"/>
        </w:rPr>
      </w:pPr>
      <w:r>
        <w:rPr>
          <w:rFonts w:hint="eastAsia" w:cs="宋体"/>
        </w:rPr>
        <w:t>（5）现场所有指挥人员必须相互协作，在塔机重复作业区指挥交替起吊，如有一</w:t>
      </w:r>
      <w:r>
        <w:rPr>
          <w:rFonts w:hint="eastAsia" w:cs="宋体"/>
          <w:spacing w:val="-2"/>
        </w:rPr>
        <w:t>台塔机在重复作业区内起吊重物，其他塔机指挥应密切注意本机作业的动态，防止本机</w:t>
      </w:r>
      <w:r>
        <w:rPr>
          <w:rFonts w:hint="eastAsia" w:cs="宋体"/>
        </w:rPr>
        <w:t>平衡臂碰撞其它塔机的钢丝绳或吊钩、吊物。</w:t>
      </w:r>
    </w:p>
    <w:p w14:paraId="56EED172">
      <w:pPr>
        <w:pStyle w:val="114"/>
        <w:spacing w:line="360" w:lineRule="auto"/>
        <w:ind w:firstLine="472"/>
        <w:rPr>
          <w:rFonts w:hint="eastAsia" w:cs="宋体"/>
        </w:rPr>
      </w:pPr>
      <w:r>
        <w:rPr>
          <w:rFonts w:hint="eastAsia" w:cs="宋体"/>
          <w:spacing w:val="-2"/>
        </w:rPr>
        <w:t>（6）为提高工作效率，各塔机操作手应尽量从远离相邻作业塔机的方向进行旋转，</w:t>
      </w:r>
      <w:r>
        <w:rPr>
          <w:rFonts w:hint="eastAsia" w:cs="宋体"/>
        </w:rPr>
        <w:t xml:space="preserve"> 在相邻塔机均处于作业状态时，应尽量向离本机较远的塔机方向旋转。</w:t>
      </w:r>
    </w:p>
    <w:p w14:paraId="22E5EF49">
      <w:pPr>
        <w:pStyle w:val="114"/>
        <w:spacing w:line="360" w:lineRule="auto"/>
        <w:ind w:firstLine="480"/>
        <w:rPr>
          <w:rFonts w:hint="eastAsia" w:cs="宋体"/>
        </w:rPr>
      </w:pPr>
      <w:r>
        <w:rPr>
          <w:rFonts w:hint="eastAsia" w:cs="宋体"/>
        </w:rPr>
        <w:t>（7）各塔机操作手和指挥员在作业过程中应相互谦让，原则上空车应让起吊重物的塔机先行旋转。</w:t>
      </w:r>
    </w:p>
    <w:p w14:paraId="6A199A6F">
      <w:pPr>
        <w:pStyle w:val="114"/>
        <w:spacing w:line="360" w:lineRule="auto"/>
        <w:ind w:firstLine="480"/>
        <w:rPr>
          <w:rFonts w:hint="eastAsia" w:cs="宋体"/>
        </w:rPr>
      </w:pPr>
      <w:r>
        <w:rPr>
          <w:rFonts w:hint="eastAsia" w:cs="宋体"/>
        </w:rPr>
        <w:t>（8）在作业间歇时，各塔机操作手必须将本机转至远离其它塔机作业的方向，将小车收回至起重臂根部，吊钩升起至起重臂下弦杆 1-2m左右，不得将本机停在其它塔 机作业区域内。</w:t>
      </w:r>
    </w:p>
    <w:p w14:paraId="73468922">
      <w:pPr>
        <w:pStyle w:val="114"/>
        <w:spacing w:line="360" w:lineRule="auto"/>
        <w:ind w:firstLine="480"/>
        <w:rPr>
          <w:rFonts w:hint="eastAsia" w:cs="宋体"/>
        </w:rPr>
      </w:pPr>
      <w:r>
        <w:rPr>
          <w:rFonts w:hint="eastAsia" w:cs="宋体"/>
        </w:rPr>
        <w:t>（9）当塔机在复杂作业区内因故停机时，应尽量将吊臂回转至远离其它塔机作业</w:t>
      </w:r>
      <w:r>
        <w:rPr>
          <w:rFonts w:hint="eastAsia" w:cs="宋体"/>
          <w:spacing w:val="-2"/>
        </w:rPr>
        <w:t>的方向后，取下吊钩钢丝绳，收起吊钩，小车收至起重臂根部，停机待修，不能回转的</w:t>
      </w:r>
      <w:r>
        <w:rPr>
          <w:rFonts w:hint="eastAsia" w:cs="宋体"/>
        </w:rPr>
        <w:t>应提醒相邻塔机。</w:t>
      </w:r>
    </w:p>
    <w:p w14:paraId="7407E45F">
      <w:pPr>
        <w:pStyle w:val="114"/>
        <w:spacing w:line="360" w:lineRule="auto"/>
        <w:ind w:firstLine="472"/>
        <w:rPr>
          <w:rFonts w:hint="eastAsia" w:cs="宋体"/>
        </w:rPr>
      </w:pPr>
      <w:r>
        <w:rPr>
          <w:rFonts w:hint="eastAsia" w:cs="宋体"/>
          <w:spacing w:val="-2"/>
        </w:rPr>
        <w:t>（10）各塔机取消回转高速档，严禁两台机两台以上塔机在同一地点同时作业；对塔机工作幅度内有障碍物或高塔与低塔交汇前均应采取小车定向限幅措施；塔吊吊钩吊</w:t>
      </w:r>
      <w:r>
        <w:rPr>
          <w:rFonts w:hint="eastAsia" w:cs="宋体"/>
        </w:rPr>
        <w:t>物禁止出围墙作业。</w:t>
      </w:r>
    </w:p>
    <w:p w14:paraId="6DD0F6A3">
      <w:pPr>
        <w:pStyle w:val="114"/>
        <w:spacing w:line="360" w:lineRule="auto"/>
        <w:ind w:firstLine="472"/>
        <w:rPr>
          <w:rFonts w:hint="eastAsia" w:cs="宋体"/>
          <w:spacing w:val="-2"/>
        </w:rPr>
      </w:pPr>
      <w:r>
        <w:rPr>
          <w:rFonts w:hint="eastAsia" w:cs="宋体"/>
          <w:spacing w:val="-2"/>
        </w:rPr>
        <w:t>（11）吊钩在吊物的时候不允许从人员、临设上空经过。</w:t>
      </w:r>
    </w:p>
    <w:p w14:paraId="0492BB3D">
      <w:pPr>
        <w:pStyle w:val="114"/>
        <w:spacing w:line="360" w:lineRule="auto"/>
        <w:ind w:firstLine="472"/>
        <w:rPr>
          <w:rFonts w:hint="eastAsia" w:cs="宋体"/>
        </w:rPr>
      </w:pPr>
      <w:r>
        <w:rPr>
          <w:rFonts w:hint="eastAsia" w:cs="宋体"/>
          <w:spacing w:val="-2"/>
        </w:rPr>
        <w:t>（12）各塔机操作手下班时，塔机起重臂必须一致朝向顺风方向，呈平行布置，并</w:t>
      </w:r>
      <w:r>
        <w:rPr>
          <w:rFonts w:hint="eastAsia" w:cs="宋体"/>
        </w:rPr>
        <w:t>将小车收回起重臂根部，吊钩升至最高。</w:t>
      </w:r>
    </w:p>
    <w:p w14:paraId="0C25B58E">
      <w:pPr>
        <w:pStyle w:val="114"/>
        <w:spacing w:line="360" w:lineRule="auto"/>
        <w:ind w:firstLine="460"/>
        <w:rPr>
          <w:rFonts w:hint="eastAsia" w:cs="宋体"/>
        </w:rPr>
      </w:pPr>
      <w:r>
        <w:rPr>
          <w:rFonts w:hint="eastAsia" w:cs="宋体"/>
          <w:spacing w:val="-5"/>
        </w:rPr>
        <w:t>（13）塔机操作手严格执行“十不吊”，在未接到指挥人员的正确、清楚的指令下，</w:t>
      </w:r>
      <w:r>
        <w:rPr>
          <w:rFonts w:hint="eastAsia" w:cs="宋体"/>
        </w:rPr>
        <w:t>严禁起钩、回转、变幅，否则由此造成的一切后果自己承担。</w:t>
      </w:r>
    </w:p>
    <w:p w14:paraId="1DB2CA60">
      <w:pPr>
        <w:pStyle w:val="114"/>
        <w:spacing w:line="360" w:lineRule="auto"/>
        <w:ind w:firstLine="472"/>
        <w:rPr>
          <w:rFonts w:hint="eastAsia" w:cs="宋体"/>
        </w:rPr>
      </w:pPr>
      <w:r>
        <w:rPr>
          <w:rFonts w:hint="eastAsia" w:cs="宋体"/>
          <w:spacing w:val="-2"/>
        </w:rPr>
        <w:t>（14）项目部应配置合格的指挥人员，且责任心强，能做到在地面时吊钩到哪人到哪，在外架或卸料平台上吊重物时有指挥人员在现场，确保指挥发出的指令正确。在屋面起吊物体时也应有指挥人员在现场。施工单位应按照有关规定配备专业的司索工和指</w:t>
      </w:r>
      <w:r>
        <w:rPr>
          <w:rFonts w:hint="eastAsia" w:cs="宋体"/>
        </w:rPr>
        <w:t>挥工。</w:t>
      </w:r>
    </w:p>
    <w:p w14:paraId="6F0A8AC8">
      <w:pPr>
        <w:pStyle w:val="114"/>
        <w:spacing w:line="360" w:lineRule="auto"/>
        <w:ind w:firstLine="472"/>
        <w:rPr>
          <w:rFonts w:hint="eastAsia" w:cs="宋体"/>
        </w:rPr>
      </w:pPr>
      <w:r>
        <w:rPr>
          <w:rFonts w:hint="eastAsia" w:cs="宋体"/>
          <w:spacing w:val="-2"/>
        </w:rPr>
        <w:t>（15）塔机操作手应经常检查回转刹车的制动性能，若制动力不够或制动失效，应</w:t>
      </w:r>
      <w:r>
        <w:rPr>
          <w:rFonts w:hint="eastAsia" w:cs="宋体"/>
        </w:rPr>
        <w:t>及时通知租赁分公司有关主管人员，及时排除隐患，严禁塔机带病运行。</w:t>
      </w:r>
    </w:p>
    <w:p w14:paraId="027B068F">
      <w:pPr>
        <w:pStyle w:val="114"/>
        <w:spacing w:line="360" w:lineRule="auto"/>
        <w:ind w:firstLine="472"/>
        <w:rPr>
          <w:rFonts w:hint="eastAsia" w:cs="宋体"/>
        </w:rPr>
      </w:pPr>
      <w:r>
        <w:rPr>
          <w:rFonts w:hint="eastAsia" w:cs="宋体"/>
          <w:spacing w:val="-2"/>
        </w:rPr>
        <w:t>（16）塔机操作手应熟悉塔机性能，并自觉学习相关起重知识，不断提高自身的操作素质，增强安全意识，做到四不伤害（不伤害自己、不伤害他人、不被他人伤害、保证他人不被伤害），及时排除物的不安全状态和人的不安全行为。增强责任心，要有好</w:t>
      </w:r>
      <w:r>
        <w:rPr>
          <w:rFonts w:hint="eastAsia" w:cs="宋体"/>
        </w:rPr>
        <w:t>的职业道德操守。确保人、机安全。</w:t>
      </w:r>
    </w:p>
    <w:p w14:paraId="44B73EA4">
      <w:pPr>
        <w:pStyle w:val="114"/>
        <w:spacing w:line="360" w:lineRule="auto"/>
        <w:ind w:firstLine="480"/>
        <w:rPr>
          <w:rFonts w:hint="eastAsia" w:cs="宋体"/>
        </w:rPr>
      </w:pPr>
      <w:r>
        <w:rPr>
          <w:rFonts w:hint="eastAsia" w:cs="宋体"/>
        </w:rPr>
        <w:t>（17）严禁疲劳、酒后、带病操作。</w:t>
      </w:r>
    </w:p>
    <w:p w14:paraId="44EAF73E">
      <w:pPr>
        <w:pStyle w:val="114"/>
        <w:spacing w:line="360" w:lineRule="auto"/>
        <w:ind w:firstLine="472"/>
        <w:rPr>
          <w:rFonts w:hint="eastAsia" w:cs="宋体"/>
        </w:rPr>
      </w:pPr>
      <w:r>
        <w:rPr>
          <w:rFonts w:hint="eastAsia" w:cs="宋体"/>
          <w:spacing w:val="-2"/>
        </w:rPr>
        <w:t>（18）在塔机使用前，由项目经理组织技术、安全、塔机作业等有关人员，召开防止塔机碰撞安全专题会议，向塔机的指挥、司索工、司机进行防碰撞安全技术交底，明</w:t>
      </w:r>
      <w:r>
        <w:rPr>
          <w:rFonts w:hint="eastAsia" w:cs="宋体"/>
        </w:rPr>
        <w:t>确安全责任，办理安全交底手续，做好防碰撞的相关预防工作。</w:t>
      </w:r>
    </w:p>
    <w:p w14:paraId="051BD1F4">
      <w:pPr>
        <w:pStyle w:val="114"/>
        <w:spacing w:line="360" w:lineRule="auto"/>
        <w:ind w:firstLine="460"/>
        <w:rPr>
          <w:rFonts w:hint="eastAsia" w:cs="宋体"/>
        </w:rPr>
      </w:pPr>
      <w:r>
        <w:rPr>
          <w:rFonts w:hint="eastAsia" w:cs="宋体"/>
          <w:spacing w:val="-5"/>
        </w:rPr>
        <w:t>（19）明确各塔机的防碰撞安全工作幅度，一旦超出安全工作幅度进行起重作业时，</w:t>
      </w:r>
      <w:r>
        <w:rPr>
          <w:rFonts w:hint="eastAsia" w:cs="宋体"/>
        </w:rPr>
        <w:t>各塔机的指挥、司机，必须格外小心谨慎作业，防止碰撞。</w:t>
      </w:r>
    </w:p>
    <w:p w14:paraId="17523B9C">
      <w:pPr>
        <w:pStyle w:val="114"/>
        <w:spacing w:line="360" w:lineRule="auto"/>
        <w:ind w:firstLine="472"/>
        <w:rPr>
          <w:rFonts w:hint="eastAsia" w:cs="宋体"/>
        </w:rPr>
      </w:pPr>
      <w:r>
        <w:rPr>
          <w:rFonts w:hint="eastAsia" w:cs="宋体"/>
          <w:spacing w:val="-2"/>
        </w:rPr>
        <w:t>（20）对塔机所有操作人员进行防碰撞安全教育和签订防碰撞安全责任书（内容包</w:t>
      </w:r>
      <w:r>
        <w:rPr>
          <w:rFonts w:hint="eastAsia" w:cs="宋体"/>
        </w:rPr>
        <w:t>括：塔机型号与工程编号、职责、碰撞及施工作业危险源、安全责任等）的要求。</w:t>
      </w:r>
    </w:p>
    <w:p w14:paraId="48C58B77">
      <w:pPr>
        <w:pStyle w:val="114"/>
        <w:spacing w:line="360" w:lineRule="auto"/>
        <w:ind w:firstLine="480"/>
        <w:outlineLvl w:val="2"/>
        <w:rPr>
          <w:rFonts w:hint="eastAsia" w:cs="宋体"/>
        </w:rPr>
      </w:pPr>
      <w:bookmarkStart w:id="121" w:name="_bookmark17"/>
      <w:bookmarkEnd w:id="121"/>
      <w:bookmarkStart w:id="122" w:name="_Toc77792627"/>
      <w:bookmarkStart w:id="123" w:name="_Toc514133130"/>
      <w:bookmarkStart w:id="124" w:name="_Toc494097847"/>
      <w:r>
        <w:rPr>
          <w:rFonts w:hint="eastAsia" w:cs="宋体"/>
        </w:rPr>
        <w:t>4.5.4  塔机升节、降节安全</w:t>
      </w:r>
      <w:bookmarkEnd w:id="122"/>
    </w:p>
    <w:bookmarkEnd w:id="123"/>
    <w:bookmarkEnd w:id="124"/>
    <w:p w14:paraId="5D842C1F">
      <w:pPr>
        <w:pStyle w:val="114"/>
        <w:spacing w:line="360" w:lineRule="auto"/>
        <w:ind w:firstLine="480"/>
        <w:rPr>
          <w:rFonts w:hint="eastAsia" w:cs="宋体"/>
        </w:rPr>
      </w:pPr>
      <w:r>
        <w:rPr>
          <w:rFonts w:hint="eastAsia" w:cs="宋体"/>
        </w:rPr>
        <w:t xml:space="preserve">为确保塔机升节、降节时各塔机之间的安全高差，成立以建设单位责任人为组长、 </w:t>
      </w:r>
      <w:r>
        <w:rPr>
          <w:rFonts w:hint="eastAsia" w:cs="宋体"/>
          <w:spacing w:val="-2"/>
        </w:rPr>
        <w:t>工程参建各方参加的安全管理小组，对塔机的顶升加节、降节等进行安全统一的管理和</w:t>
      </w:r>
      <w:r>
        <w:rPr>
          <w:rFonts w:hint="eastAsia" w:cs="宋体"/>
        </w:rPr>
        <w:t>审批。</w:t>
      </w:r>
    </w:p>
    <w:p w14:paraId="329D7D93">
      <w:pPr>
        <w:pStyle w:val="114"/>
        <w:spacing w:line="360" w:lineRule="auto"/>
        <w:ind w:firstLine="480"/>
        <w:outlineLvl w:val="2"/>
        <w:rPr>
          <w:rFonts w:hint="eastAsia" w:cs="宋体"/>
        </w:rPr>
      </w:pPr>
      <w:bookmarkStart w:id="125" w:name="_bookmark18"/>
      <w:bookmarkEnd w:id="125"/>
      <w:bookmarkStart w:id="126" w:name="_Toc514133131"/>
      <w:bookmarkStart w:id="127" w:name="_Toc494097848"/>
      <w:bookmarkStart w:id="128" w:name="_Toc77792628"/>
      <w:r>
        <w:rPr>
          <w:rFonts w:hint="eastAsia" w:cs="宋体"/>
        </w:rPr>
        <w:t>4.5.5  起重机械操作的“十不准”“十不吊”</w:t>
      </w:r>
      <w:bookmarkEnd w:id="126"/>
      <w:bookmarkEnd w:id="127"/>
      <w:bookmarkEnd w:id="128"/>
    </w:p>
    <w:p w14:paraId="5EE741D9">
      <w:pPr>
        <w:pStyle w:val="114"/>
        <w:spacing w:line="360" w:lineRule="auto"/>
        <w:ind w:firstLine="480"/>
        <w:rPr>
          <w:rFonts w:hint="eastAsia" w:cs="宋体"/>
        </w:rPr>
      </w:pPr>
      <w:r>
        <w:rPr>
          <w:rFonts w:hint="eastAsia" w:cs="宋体"/>
        </w:rPr>
        <w:t>（1）“十不准”</w:t>
      </w:r>
    </w:p>
    <w:p w14:paraId="68D60CAD">
      <w:pPr>
        <w:pStyle w:val="114"/>
        <w:spacing w:line="360" w:lineRule="auto"/>
        <w:ind w:firstLine="480"/>
        <w:rPr>
          <w:rFonts w:hint="eastAsia" w:cs="宋体"/>
        </w:rPr>
      </w:pPr>
      <w:r>
        <w:rPr>
          <w:rFonts w:hint="eastAsia" w:cs="宋体"/>
        </w:rPr>
        <w:t>1）无证不准操作</w:t>
      </w:r>
    </w:p>
    <w:p w14:paraId="76B149CC">
      <w:pPr>
        <w:pStyle w:val="114"/>
        <w:spacing w:line="360" w:lineRule="auto"/>
        <w:ind w:firstLine="480"/>
        <w:rPr>
          <w:rFonts w:hint="eastAsia" w:cs="宋体"/>
        </w:rPr>
      </w:pPr>
      <w:r>
        <w:rPr>
          <w:rFonts w:hint="eastAsia" w:cs="宋体"/>
        </w:rPr>
        <w:t>2）酒后不准操作</w:t>
      </w:r>
    </w:p>
    <w:p w14:paraId="0A69081B">
      <w:pPr>
        <w:pStyle w:val="114"/>
        <w:spacing w:line="360" w:lineRule="auto"/>
        <w:ind w:firstLine="480"/>
        <w:rPr>
          <w:rFonts w:hint="eastAsia" w:cs="宋体"/>
        </w:rPr>
      </w:pPr>
      <w:r>
        <w:rPr>
          <w:rFonts w:hint="eastAsia" w:cs="宋体"/>
        </w:rPr>
        <w:t>3）操作时不准闲聊和打瞌睡</w:t>
      </w:r>
    </w:p>
    <w:p w14:paraId="7A68A3FC">
      <w:pPr>
        <w:pStyle w:val="114"/>
        <w:spacing w:line="360" w:lineRule="auto"/>
        <w:ind w:firstLine="480"/>
        <w:rPr>
          <w:rFonts w:hint="eastAsia" w:cs="宋体"/>
        </w:rPr>
      </w:pPr>
      <w:r>
        <w:rPr>
          <w:rFonts w:hint="eastAsia" w:cs="宋体"/>
        </w:rPr>
        <w:t>4）外人不准进入驾驶室</w:t>
      </w:r>
    </w:p>
    <w:p w14:paraId="1B67F2E2">
      <w:pPr>
        <w:pStyle w:val="114"/>
        <w:spacing w:line="360" w:lineRule="auto"/>
        <w:ind w:firstLine="480"/>
        <w:rPr>
          <w:rFonts w:hint="eastAsia" w:cs="宋体"/>
        </w:rPr>
      </w:pPr>
      <w:r>
        <w:rPr>
          <w:rFonts w:hint="eastAsia" w:cs="宋体"/>
        </w:rPr>
        <w:t>5）吊钩不准过人头</w:t>
      </w:r>
    </w:p>
    <w:p w14:paraId="7DDD9726">
      <w:pPr>
        <w:pStyle w:val="114"/>
        <w:spacing w:line="360" w:lineRule="auto"/>
        <w:ind w:firstLine="480"/>
        <w:rPr>
          <w:rFonts w:hint="eastAsia" w:cs="宋体"/>
        </w:rPr>
      </w:pPr>
      <w:r>
        <w:rPr>
          <w:rFonts w:hint="eastAsia" w:cs="宋体"/>
        </w:rPr>
        <w:t>6）作业时不准上下车</w:t>
      </w:r>
    </w:p>
    <w:p w14:paraId="38FC7ED9">
      <w:pPr>
        <w:pStyle w:val="114"/>
        <w:spacing w:line="360" w:lineRule="auto"/>
        <w:ind w:firstLine="480"/>
        <w:rPr>
          <w:rFonts w:hint="eastAsia" w:cs="宋体"/>
        </w:rPr>
      </w:pPr>
      <w:r>
        <w:rPr>
          <w:rFonts w:hint="eastAsia" w:cs="宋体"/>
        </w:rPr>
        <w:t>7）吊物时不准长时间空中停留</w:t>
      </w:r>
    </w:p>
    <w:p w14:paraId="499B0FFE">
      <w:pPr>
        <w:pStyle w:val="114"/>
        <w:spacing w:line="360" w:lineRule="auto"/>
        <w:ind w:firstLine="480"/>
        <w:rPr>
          <w:rFonts w:hint="eastAsia" w:cs="宋体"/>
        </w:rPr>
      </w:pPr>
      <w:r>
        <w:rPr>
          <w:rFonts w:hint="eastAsia" w:cs="宋体"/>
        </w:rPr>
        <w:t>8）安全装置不准当开关使用</w:t>
      </w:r>
    </w:p>
    <w:p w14:paraId="5CC14FD9">
      <w:pPr>
        <w:pStyle w:val="114"/>
        <w:spacing w:line="360" w:lineRule="auto"/>
        <w:ind w:firstLine="480"/>
        <w:rPr>
          <w:rFonts w:hint="eastAsia" w:cs="宋体"/>
        </w:rPr>
      </w:pPr>
      <w:r>
        <w:rPr>
          <w:rFonts w:hint="eastAsia" w:cs="宋体"/>
        </w:rPr>
        <w:t>9）升降、变幅、回转不准同时操作</w:t>
      </w:r>
    </w:p>
    <w:p w14:paraId="7F212A18">
      <w:pPr>
        <w:pStyle w:val="114"/>
        <w:spacing w:line="360" w:lineRule="auto"/>
        <w:ind w:firstLine="480"/>
        <w:rPr>
          <w:rFonts w:hint="eastAsia" w:cs="宋体"/>
        </w:rPr>
      </w:pPr>
      <w:r>
        <w:rPr>
          <w:rFonts w:hint="eastAsia" w:cs="宋体"/>
        </w:rPr>
        <w:t>10）工作时不准维修、调整机器</w:t>
      </w:r>
    </w:p>
    <w:p w14:paraId="3658DAFF">
      <w:pPr>
        <w:pStyle w:val="114"/>
        <w:spacing w:line="360" w:lineRule="auto"/>
        <w:ind w:firstLine="480"/>
        <w:rPr>
          <w:rFonts w:hint="eastAsia" w:cs="宋体"/>
        </w:rPr>
      </w:pPr>
      <w:r>
        <w:rPr>
          <w:rFonts w:hint="eastAsia" w:cs="宋体"/>
        </w:rPr>
        <w:t>（2）“十不吊”</w:t>
      </w:r>
    </w:p>
    <w:p w14:paraId="09D64148">
      <w:pPr>
        <w:pStyle w:val="114"/>
        <w:spacing w:line="360" w:lineRule="auto"/>
        <w:ind w:firstLine="480"/>
        <w:rPr>
          <w:rFonts w:hint="eastAsia" w:cs="宋体"/>
        </w:rPr>
      </w:pPr>
      <w:r>
        <w:rPr>
          <w:rFonts w:hint="eastAsia" w:cs="宋体"/>
        </w:rPr>
        <w:t>1）吊物斜拉不吊</w:t>
      </w:r>
    </w:p>
    <w:p w14:paraId="7B93160F">
      <w:pPr>
        <w:pStyle w:val="114"/>
        <w:spacing w:line="360" w:lineRule="auto"/>
        <w:ind w:firstLine="480"/>
        <w:rPr>
          <w:rFonts w:hint="eastAsia" w:cs="宋体"/>
        </w:rPr>
      </w:pPr>
      <w:r>
        <w:rPr>
          <w:rFonts w:hint="eastAsia" w:cs="宋体"/>
        </w:rPr>
        <w:t>2）起重量不明不吊</w:t>
      </w:r>
    </w:p>
    <w:p w14:paraId="54C23269">
      <w:pPr>
        <w:pStyle w:val="114"/>
        <w:spacing w:line="360" w:lineRule="auto"/>
        <w:ind w:firstLine="480"/>
        <w:rPr>
          <w:rFonts w:hint="eastAsia" w:cs="宋体"/>
        </w:rPr>
      </w:pPr>
      <w:r>
        <w:rPr>
          <w:rFonts w:hint="eastAsia" w:cs="宋体"/>
        </w:rPr>
        <w:t>3）散装物装得太满或捆扎不牢不吊</w:t>
      </w:r>
    </w:p>
    <w:p w14:paraId="3914D4D0">
      <w:pPr>
        <w:pStyle w:val="114"/>
        <w:spacing w:line="360" w:lineRule="auto"/>
        <w:ind w:firstLine="480"/>
        <w:rPr>
          <w:rFonts w:hint="eastAsia" w:cs="宋体"/>
        </w:rPr>
      </w:pPr>
      <w:r>
        <w:rPr>
          <w:rFonts w:hint="eastAsia" w:cs="宋体"/>
        </w:rPr>
        <w:t>4）指挥信号不明不吊</w:t>
      </w:r>
    </w:p>
    <w:p w14:paraId="6F351443">
      <w:pPr>
        <w:pStyle w:val="114"/>
        <w:spacing w:line="360" w:lineRule="auto"/>
        <w:ind w:firstLine="480"/>
        <w:rPr>
          <w:rFonts w:hint="eastAsia" w:cs="宋体"/>
        </w:rPr>
      </w:pPr>
      <w:r>
        <w:rPr>
          <w:rFonts w:hint="eastAsia" w:cs="宋体"/>
        </w:rPr>
        <w:t>5）吊物边缘锋利无防护措施不吊</w:t>
      </w:r>
    </w:p>
    <w:p w14:paraId="62575356">
      <w:pPr>
        <w:pStyle w:val="114"/>
        <w:spacing w:line="360" w:lineRule="auto"/>
        <w:ind w:firstLine="480"/>
        <w:rPr>
          <w:rFonts w:hint="eastAsia" w:cs="宋体"/>
        </w:rPr>
      </w:pPr>
      <w:r>
        <w:rPr>
          <w:rFonts w:hint="eastAsia" w:cs="宋体"/>
        </w:rPr>
        <w:t>6）吊钩下站人或放有活动物不吊</w:t>
      </w:r>
    </w:p>
    <w:p w14:paraId="4B24F3F7">
      <w:pPr>
        <w:pStyle w:val="114"/>
        <w:spacing w:line="360" w:lineRule="auto"/>
        <w:ind w:firstLine="480"/>
        <w:rPr>
          <w:rFonts w:hint="eastAsia" w:cs="宋体"/>
        </w:rPr>
      </w:pPr>
      <w:r>
        <w:rPr>
          <w:rFonts w:hint="eastAsia" w:cs="宋体"/>
        </w:rPr>
        <w:t>7）埋压地下的构件情况不明不吊</w:t>
      </w:r>
    </w:p>
    <w:p w14:paraId="63B02FE2">
      <w:pPr>
        <w:pStyle w:val="114"/>
        <w:spacing w:line="360" w:lineRule="auto"/>
        <w:ind w:firstLine="480"/>
        <w:rPr>
          <w:rFonts w:hint="eastAsia" w:cs="宋体"/>
        </w:rPr>
      </w:pPr>
      <w:r>
        <w:rPr>
          <w:rFonts w:hint="eastAsia" w:cs="宋体"/>
        </w:rPr>
        <w:t>8）安全装置失灵不吊</w:t>
      </w:r>
    </w:p>
    <w:p w14:paraId="7929D32E">
      <w:pPr>
        <w:pStyle w:val="114"/>
        <w:spacing w:line="360" w:lineRule="auto"/>
        <w:ind w:firstLine="480"/>
        <w:rPr>
          <w:rFonts w:hint="eastAsia" w:cs="宋体"/>
        </w:rPr>
      </w:pPr>
      <w:r>
        <w:rPr>
          <w:rFonts w:hint="eastAsia" w:cs="宋体"/>
        </w:rPr>
        <w:t>9）光线阴暗看不清吊物不吊</w:t>
      </w:r>
    </w:p>
    <w:p w14:paraId="549782FF">
      <w:pPr>
        <w:pStyle w:val="114"/>
        <w:spacing w:line="360" w:lineRule="auto"/>
        <w:ind w:firstLine="480"/>
        <w:rPr>
          <w:rFonts w:hint="eastAsia" w:cs="宋体"/>
        </w:rPr>
      </w:pPr>
      <w:r>
        <w:rPr>
          <w:rFonts w:hint="eastAsia" w:cs="宋体"/>
        </w:rPr>
        <w:t>10）五级以上强风影响施工安全不吊</w:t>
      </w:r>
    </w:p>
    <w:p w14:paraId="53895112">
      <w:pPr>
        <w:pStyle w:val="114"/>
        <w:spacing w:line="360" w:lineRule="auto"/>
        <w:ind w:firstLine="480"/>
        <w:outlineLvl w:val="2"/>
        <w:rPr>
          <w:rFonts w:hint="eastAsia" w:cs="宋体"/>
        </w:rPr>
      </w:pPr>
      <w:bookmarkStart w:id="129" w:name="_bookmark19"/>
      <w:bookmarkEnd w:id="129"/>
      <w:bookmarkStart w:id="130" w:name="_Toc77792629"/>
      <w:bookmarkStart w:id="131" w:name="_Toc494097849"/>
      <w:bookmarkStart w:id="132" w:name="_Toc514133132"/>
      <w:r>
        <w:rPr>
          <w:rFonts w:hint="eastAsia" w:cs="宋体"/>
        </w:rPr>
        <w:t>4.5.6  塔机运行管理</w:t>
      </w:r>
      <w:bookmarkEnd w:id="130"/>
    </w:p>
    <w:bookmarkEnd w:id="131"/>
    <w:bookmarkEnd w:id="132"/>
    <w:p w14:paraId="55F7F09C">
      <w:pPr>
        <w:pStyle w:val="114"/>
        <w:spacing w:line="360" w:lineRule="auto"/>
        <w:ind w:firstLine="480"/>
        <w:rPr>
          <w:rFonts w:hint="eastAsia" w:cs="宋体"/>
        </w:rPr>
      </w:pPr>
      <w:r>
        <w:rPr>
          <w:rFonts w:hint="eastAsia" w:cs="宋体"/>
        </w:rPr>
        <w:t>（1）工作时的运转轨迹</w:t>
      </w:r>
    </w:p>
    <w:p w14:paraId="23D67F0B">
      <w:pPr>
        <w:pStyle w:val="114"/>
        <w:spacing w:line="360" w:lineRule="auto"/>
        <w:ind w:firstLine="468"/>
        <w:rPr>
          <w:rFonts w:hint="eastAsia" w:cs="宋体"/>
        </w:rPr>
      </w:pPr>
      <w:r>
        <w:rPr>
          <w:rFonts w:hint="eastAsia" w:cs="宋体"/>
          <w:spacing w:val="-3"/>
        </w:rPr>
        <w:t>各塔机在轨运行防碰撞动作：先起钩到</w:t>
      </w:r>
      <w:r>
        <w:rPr>
          <w:rFonts w:hint="eastAsia" w:cs="宋体"/>
        </w:rPr>
        <w:t>10m</w:t>
      </w:r>
      <w:r>
        <w:rPr>
          <w:rFonts w:hint="eastAsia" w:cs="宋体"/>
          <w:spacing w:val="-5"/>
        </w:rPr>
        <w:t>高度后，缓慢收回小车至大臂根部，观</w:t>
      </w:r>
      <w:r>
        <w:rPr>
          <w:rFonts w:hint="eastAsia" w:cs="宋体"/>
          <w:spacing w:val="-2"/>
        </w:rPr>
        <w:t>察其余塔机动态及周边建筑物，确保安全后方可转动大臂进入交叉区域内，到工地材料</w:t>
      </w:r>
      <w:r>
        <w:rPr>
          <w:rFonts w:hint="eastAsia" w:cs="宋体"/>
        </w:rPr>
        <w:t>堆放场地或钢筋堆码场地。</w:t>
      </w:r>
    </w:p>
    <w:p w14:paraId="76D491D3">
      <w:pPr>
        <w:pStyle w:val="114"/>
        <w:spacing w:line="360" w:lineRule="auto"/>
        <w:ind w:firstLine="480"/>
        <w:rPr>
          <w:rFonts w:hint="eastAsia" w:cs="宋体"/>
        </w:rPr>
      </w:pPr>
      <w:r>
        <w:rPr>
          <w:rFonts w:hint="eastAsia" w:cs="宋体"/>
        </w:rPr>
        <w:t>（2）非工作状态时对塔吊的停止位置要求</w:t>
      </w:r>
    </w:p>
    <w:p w14:paraId="53EB3AC5">
      <w:pPr>
        <w:pStyle w:val="114"/>
        <w:spacing w:line="360" w:lineRule="auto"/>
        <w:ind w:firstLine="480"/>
        <w:rPr>
          <w:rFonts w:hint="eastAsia" w:cs="宋体"/>
        </w:rPr>
      </w:pPr>
      <w:r>
        <w:rPr>
          <w:rFonts w:hint="eastAsia" w:cs="宋体"/>
        </w:rPr>
        <w:t>非工作状态的塔机控钩起升到10m</w:t>
      </w:r>
      <w:r>
        <w:rPr>
          <w:rFonts w:hint="eastAsia" w:cs="宋体"/>
          <w:spacing w:val="-3"/>
        </w:rPr>
        <w:t>高度，再向回收小车至大臂根部，大臂与平衡臂</w:t>
      </w:r>
      <w:r>
        <w:rPr>
          <w:rFonts w:hint="eastAsia" w:cs="宋体"/>
        </w:rPr>
        <w:t>不得进入交叉作业区范围内，夜间时必须开启碰撞警示灯。</w:t>
      </w:r>
    </w:p>
    <w:p w14:paraId="023A7FCC">
      <w:pPr>
        <w:pStyle w:val="114"/>
        <w:spacing w:line="360" w:lineRule="auto"/>
        <w:ind w:firstLine="496"/>
        <w:rPr>
          <w:rFonts w:hint="eastAsia" w:cs="宋体"/>
        </w:rPr>
      </w:pPr>
      <w:r>
        <w:rPr>
          <w:rFonts w:hint="eastAsia" w:cs="宋体"/>
          <w:spacing w:val="4"/>
        </w:rPr>
        <w:t>若塔吊在垂直交叉作业区内作业时发生相互干扰，为使各塔机在发生钢丝绳及吊</w:t>
      </w:r>
      <w:r>
        <w:rPr>
          <w:rFonts w:hint="eastAsia" w:cs="宋体"/>
          <w:spacing w:val="-2"/>
        </w:rPr>
        <w:t>钩、吊物、起重臂、平衡臂、拉杆之间的互碰撞的紧急情况发生后，事故得以迅速、正</w:t>
      </w:r>
      <w:r>
        <w:rPr>
          <w:rFonts w:hint="eastAsia" w:cs="宋体"/>
        </w:rPr>
        <w:t>确处理，将事故后果造成的损失降到最低，特制定以下塔机碰撞应急措施：</w:t>
      </w:r>
    </w:p>
    <w:p w14:paraId="19455BA0">
      <w:pPr>
        <w:pStyle w:val="114"/>
        <w:spacing w:line="360" w:lineRule="auto"/>
        <w:ind w:firstLine="480"/>
        <w:rPr>
          <w:rFonts w:hint="eastAsia" w:cs="宋体"/>
        </w:rPr>
      </w:pPr>
      <w:r>
        <w:rPr>
          <w:rFonts w:hint="eastAsia" w:cs="宋体"/>
        </w:rPr>
        <w:t>1）间歇塔机原则上吊臂远离作业塔机的作业区域，因此作业塔前在靠近间歇塔机前回收小车或反向旋转，即可避免相互碰撞。</w:t>
      </w:r>
    </w:p>
    <w:p w14:paraId="14D8CA8B">
      <w:pPr>
        <w:pStyle w:val="114"/>
        <w:spacing w:line="360" w:lineRule="auto"/>
        <w:ind w:firstLine="472"/>
        <w:rPr>
          <w:rFonts w:hint="eastAsia" w:cs="宋体"/>
          <w:spacing w:val="-2"/>
        </w:rPr>
      </w:pPr>
      <w:r>
        <w:rPr>
          <w:rFonts w:hint="eastAsia" w:cs="宋体"/>
          <w:spacing w:val="-2"/>
        </w:rPr>
        <w:t>2）塔吊小车退出交叉区后方可回转，严禁同一时间同一地点同时吊物。</w:t>
      </w:r>
    </w:p>
    <w:p w14:paraId="5BDEF090">
      <w:pPr>
        <w:pStyle w:val="114"/>
        <w:spacing w:line="360" w:lineRule="auto"/>
        <w:ind w:firstLine="472"/>
        <w:rPr>
          <w:rFonts w:hint="eastAsia" w:cs="宋体"/>
          <w:spacing w:val="-2"/>
        </w:rPr>
      </w:pPr>
      <w:r>
        <w:rPr>
          <w:rFonts w:hint="eastAsia" w:cs="宋体"/>
          <w:spacing w:val="-2"/>
        </w:rPr>
        <w:t xml:space="preserve">3）作业塔机之间的相互碰撞当低位塔机回转时，其起重臂极易碰到相邻高塔吊钩钢丝绳。 </w:t>
      </w:r>
    </w:p>
    <w:p w14:paraId="12BFBBC0">
      <w:pPr>
        <w:pStyle w:val="114"/>
        <w:spacing w:line="360" w:lineRule="auto"/>
        <w:ind w:firstLine="480"/>
        <w:rPr>
          <w:rFonts w:hint="eastAsia" w:cs="宋体"/>
        </w:rPr>
      </w:pPr>
      <w:r>
        <w:rPr>
          <w:rFonts w:hint="eastAsia" w:cs="宋体"/>
        </w:rPr>
        <w:t>1）高位塔机空钩</w:t>
      </w:r>
    </w:p>
    <w:p w14:paraId="60927CC1">
      <w:pPr>
        <w:pStyle w:val="114"/>
        <w:spacing w:line="360" w:lineRule="auto"/>
        <w:ind w:firstLine="472"/>
        <w:rPr>
          <w:rFonts w:hint="eastAsia" w:cs="宋体"/>
        </w:rPr>
      </w:pPr>
      <w:r>
        <w:rPr>
          <w:rFonts w:hint="eastAsia" w:cs="宋体"/>
          <w:spacing w:val="-2"/>
        </w:rPr>
        <w:t>处理方法：吊钩下落，起重臂顺低位塔机回转方向回转，小车顺低位塔机起重臂相对本机移动方向向前或向后移动，同时鸣笛示警。此过程中，低位塔机指挥员应立即指</w:t>
      </w:r>
      <w:r>
        <w:rPr>
          <w:rFonts w:hint="eastAsia" w:cs="宋体"/>
        </w:rPr>
        <w:t>挥塔机减速直至停止回转。</w:t>
      </w:r>
    </w:p>
    <w:p w14:paraId="6EC8E74E">
      <w:pPr>
        <w:pStyle w:val="114"/>
        <w:spacing w:line="360" w:lineRule="auto"/>
        <w:ind w:firstLine="480"/>
        <w:rPr>
          <w:rFonts w:hint="eastAsia" w:cs="宋体"/>
        </w:rPr>
      </w:pPr>
      <w:r>
        <w:rPr>
          <w:rFonts w:hint="eastAsia" w:cs="宋体"/>
        </w:rPr>
        <w:t>2）高位塔机载物，且起吊较高</w:t>
      </w:r>
    </w:p>
    <w:p w14:paraId="2C5E8A75">
      <w:pPr>
        <w:pStyle w:val="114"/>
        <w:spacing w:line="360" w:lineRule="auto"/>
        <w:ind w:firstLine="472"/>
        <w:rPr>
          <w:rFonts w:hint="eastAsia" w:cs="宋体"/>
        </w:rPr>
      </w:pPr>
      <w:r>
        <w:rPr>
          <w:rFonts w:hint="eastAsia" w:cs="宋体"/>
          <w:spacing w:val="-2"/>
        </w:rPr>
        <w:t>处理方法：由于地面状况复杂（施工人员密集，场地物料堆放较多、较高等），高位塔机起重臂应顺低位塔机回转方向回转，小车顺低位塔机起重臂相对本机移动方向向前或向后移动，同时鸣笛示警，尽量保持吊物不下落。低位塔机指挥员应立即指挥塔机</w:t>
      </w:r>
      <w:r>
        <w:rPr>
          <w:rFonts w:hint="eastAsia" w:cs="宋体"/>
        </w:rPr>
        <w:t>减速直至停止回转。</w:t>
      </w:r>
    </w:p>
    <w:p w14:paraId="41F26C5E">
      <w:pPr>
        <w:pStyle w:val="114"/>
        <w:spacing w:line="360" w:lineRule="auto"/>
        <w:ind w:firstLine="480"/>
        <w:rPr>
          <w:rFonts w:hint="eastAsia" w:cs="宋体"/>
        </w:rPr>
      </w:pPr>
      <w:r>
        <w:rPr>
          <w:rFonts w:hint="eastAsia" w:cs="宋体"/>
        </w:rPr>
        <w:t>3）高位塔机载物，但起吊不高</w:t>
      </w:r>
    </w:p>
    <w:p w14:paraId="0C341F07">
      <w:pPr>
        <w:pStyle w:val="114"/>
        <w:spacing w:line="360" w:lineRule="auto"/>
        <w:ind w:firstLine="468"/>
        <w:rPr>
          <w:rFonts w:hint="eastAsia" w:cs="宋体"/>
        </w:rPr>
      </w:pPr>
      <w:r>
        <w:rPr>
          <w:rFonts w:hint="eastAsia" w:cs="宋体"/>
          <w:spacing w:val="-3"/>
        </w:rPr>
        <w:t>处理方法：地面状况复杂时，处理方法同上</w:t>
      </w:r>
      <w:r>
        <w:rPr>
          <w:rFonts w:hint="eastAsia" w:cs="宋体"/>
          <w:spacing w:val="-10"/>
        </w:rPr>
        <w:t>2），必要时须少量提升吊物，避开地面</w:t>
      </w:r>
      <w:r>
        <w:rPr>
          <w:rFonts w:hint="eastAsia" w:cs="宋体"/>
        </w:rPr>
        <w:t>障碍物。当地面较为空旷时，应及时将吊物放至地面，后处理方法同1）</w:t>
      </w:r>
    </w:p>
    <w:p w14:paraId="469710F5">
      <w:pPr>
        <w:pStyle w:val="3"/>
        <w:spacing w:before="156" w:after="156"/>
        <w:ind w:firstLine="482"/>
        <w:rPr>
          <w:sz w:val="24"/>
          <w:szCs w:val="24"/>
        </w:rPr>
      </w:pPr>
      <w:bookmarkStart w:id="133" w:name="_Toc12754"/>
      <w:r>
        <w:rPr>
          <w:rFonts w:hint="eastAsia"/>
          <w:sz w:val="24"/>
          <w:szCs w:val="24"/>
        </w:rPr>
        <w:t>检查要求</w:t>
      </w:r>
      <w:bookmarkEnd w:id="133"/>
    </w:p>
    <w:p w14:paraId="2C72506F">
      <w:pPr>
        <w:pStyle w:val="39"/>
        <w:ind w:firstLine="422"/>
        <w:jc w:val="center"/>
      </w:pPr>
      <w:r>
        <w:rPr>
          <w:rFonts w:hint="eastAsia" w:ascii="Times New Roman" w:hAnsi="Times New Roman"/>
          <w:b/>
          <w:sz w:val="21"/>
        </w:rPr>
        <w:t>表4.6-1 塔式起重机安拆工序检查表</w:t>
      </w:r>
    </w:p>
    <w:tbl>
      <w:tblPr>
        <w:tblStyle w:val="33"/>
        <w:tblW w:w="8878"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0"/>
        <w:gridCol w:w="6798"/>
      </w:tblGrid>
      <w:tr w14:paraId="2FD1436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080" w:type="dxa"/>
            <w:tcBorders>
              <w:tl2br w:val="nil"/>
              <w:tr2bl w:val="nil"/>
            </w:tcBorders>
          </w:tcPr>
          <w:p w14:paraId="38848C77">
            <w:pPr>
              <w:spacing w:line="312" w:lineRule="auto"/>
              <w:ind w:firstLine="422"/>
              <w:jc w:val="center"/>
              <w:rPr>
                <w:rFonts w:hint="eastAsia" w:ascii="宋体" w:hAnsi="宋体" w:cs="宋体"/>
                <w:b/>
                <w:bCs/>
                <w:sz w:val="21"/>
              </w:rPr>
            </w:pPr>
            <w:r>
              <w:rPr>
                <w:rFonts w:hint="eastAsia" w:ascii="宋体" w:hAnsi="宋体" w:cs="宋体"/>
                <w:b/>
                <w:bCs/>
                <w:sz w:val="21"/>
              </w:rPr>
              <w:t>检查项目</w:t>
            </w:r>
          </w:p>
        </w:tc>
        <w:tc>
          <w:tcPr>
            <w:tcW w:w="6798" w:type="dxa"/>
            <w:tcBorders>
              <w:tl2br w:val="nil"/>
              <w:tr2bl w:val="nil"/>
            </w:tcBorders>
          </w:tcPr>
          <w:p w14:paraId="500D7869">
            <w:pPr>
              <w:spacing w:line="312" w:lineRule="auto"/>
              <w:ind w:firstLine="422"/>
              <w:jc w:val="center"/>
              <w:rPr>
                <w:rFonts w:hint="eastAsia" w:ascii="宋体" w:hAnsi="宋体" w:cs="宋体"/>
                <w:b/>
                <w:bCs/>
                <w:sz w:val="21"/>
              </w:rPr>
            </w:pPr>
            <w:r>
              <w:rPr>
                <w:rFonts w:hint="eastAsia" w:ascii="宋体" w:hAnsi="宋体" w:cs="宋体"/>
                <w:b/>
                <w:bCs/>
                <w:sz w:val="21"/>
              </w:rPr>
              <w:t>检   查   内   容</w:t>
            </w:r>
          </w:p>
        </w:tc>
      </w:tr>
      <w:tr w14:paraId="5F4F568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080" w:type="dxa"/>
            <w:tcBorders>
              <w:tl2br w:val="nil"/>
              <w:tr2bl w:val="nil"/>
            </w:tcBorders>
            <w:vAlign w:val="center"/>
          </w:tcPr>
          <w:p w14:paraId="0A14093C">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eastAsia" w:ascii="宋体" w:hAnsi="宋体" w:cs="宋体"/>
                <w:sz w:val="21"/>
              </w:rPr>
            </w:pPr>
            <w:r>
              <w:rPr>
                <w:rFonts w:hint="eastAsia" w:ascii="宋体" w:hAnsi="宋体" w:cs="宋体"/>
                <w:sz w:val="21"/>
              </w:rPr>
              <w:t>基础</w:t>
            </w:r>
          </w:p>
        </w:tc>
        <w:tc>
          <w:tcPr>
            <w:tcW w:w="6798" w:type="dxa"/>
            <w:tcBorders>
              <w:tl2br w:val="nil"/>
              <w:tr2bl w:val="nil"/>
            </w:tcBorders>
          </w:tcPr>
          <w:p w14:paraId="3DB30077">
            <w:pPr>
              <w:spacing w:line="312" w:lineRule="auto"/>
              <w:ind w:firstLine="420"/>
              <w:jc w:val="left"/>
              <w:rPr>
                <w:rFonts w:hint="eastAsia" w:ascii="宋体" w:hAnsi="宋体" w:cs="宋体"/>
                <w:sz w:val="21"/>
              </w:rPr>
            </w:pPr>
            <w:r>
              <w:rPr>
                <w:rFonts w:hint="eastAsia" w:ascii="宋体" w:hAnsi="宋体" w:cs="宋体"/>
                <w:sz w:val="21"/>
              </w:rPr>
              <w:t>检查地脚螺栓的紧固情况</w:t>
            </w:r>
          </w:p>
          <w:p w14:paraId="17259B84">
            <w:pPr>
              <w:spacing w:line="312" w:lineRule="auto"/>
              <w:ind w:firstLine="420"/>
              <w:jc w:val="left"/>
              <w:rPr>
                <w:rFonts w:hint="eastAsia" w:ascii="宋体" w:hAnsi="宋体" w:cs="宋体"/>
                <w:sz w:val="21"/>
              </w:rPr>
            </w:pPr>
            <w:r>
              <w:rPr>
                <w:rFonts w:hint="eastAsia" w:ascii="宋体" w:hAnsi="宋体" w:cs="宋体"/>
                <w:sz w:val="21"/>
              </w:rPr>
              <w:t>检查输电线距塔机最大旋转部分的安全距离</w:t>
            </w:r>
          </w:p>
          <w:p w14:paraId="18CBD8F8">
            <w:pPr>
              <w:spacing w:line="312" w:lineRule="auto"/>
              <w:ind w:firstLine="420"/>
              <w:jc w:val="left"/>
              <w:rPr>
                <w:rFonts w:hint="eastAsia" w:ascii="宋体" w:hAnsi="宋体" w:cs="宋体"/>
                <w:sz w:val="21"/>
              </w:rPr>
            </w:pPr>
            <w:r>
              <w:rPr>
                <w:rFonts w:hint="eastAsia" w:ascii="宋体" w:hAnsi="宋体" w:cs="宋体"/>
                <w:sz w:val="21"/>
              </w:rPr>
              <w:t>检查电缆通过情况，以防损坏</w:t>
            </w:r>
          </w:p>
        </w:tc>
      </w:tr>
      <w:tr w14:paraId="5CF1EFA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080" w:type="dxa"/>
            <w:tcBorders>
              <w:tl2br w:val="nil"/>
              <w:tr2bl w:val="nil"/>
            </w:tcBorders>
            <w:vAlign w:val="center"/>
          </w:tcPr>
          <w:p w14:paraId="01B7F209">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eastAsia" w:ascii="宋体" w:hAnsi="宋体" w:cs="宋体"/>
                <w:sz w:val="21"/>
              </w:rPr>
            </w:pPr>
            <w:r>
              <w:rPr>
                <w:rFonts w:hint="eastAsia" w:ascii="宋体" w:hAnsi="宋体" w:cs="宋体"/>
                <w:sz w:val="21"/>
              </w:rPr>
              <w:t>塔  身</w:t>
            </w:r>
          </w:p>
        </w:tc>
        <w:tc>
          <w:tcPr>
            <w:tcW w:w="6798" w:type="dxa"/>
            <w:tcBorders>
              <w:tl2br w:val="nil"/>
              <w:tr2bl w:val="nil"/>
            </w:tcBorders>
            <w:vAlign w:val="center"/>
          </w:tcPr>
          <w:p w14:paraId="08CCE717">
            <w:pPr>
              <w:spacing w:line="312" w:lineRule="auto"/>
              <w:ind w:firstLine="420"/>
              <w:jc w:val="left"/>
              <w:rPr>
                <w:rFonts w:hint="eastAsia" w:ascii="宋体" w:hAnsi="宋体" w:cs="宋体"/>
                <w:sz w:val="21"/>
              </w:rPr>
            </w:pPr>
            <w:r>
              <w:rPr>
                <w:rFonts w:hint="eastAsia" w:ascii="宋体" w:hAnsi="宋体" w:cs="宋体"/>
                <w:sz w:val="21"/>
              </w:rPr>
              <w:t>检查标准节连接螺栓的紧固情况</w:t>
            </w:r>
          </w:p>
          <w:p w14:paraId="37CA0A17">
            <w:pPr>
              <w:spacing w:line="312" w:lineRule="auto"/>
              <w:ind w:firstLine="420"/>
              <w:jc w:val="left"/>
              <w:rPr>
                <w:rFonts w:hint="eastAsia" w:ascii="宋体" w:hAnsi="宋体" w:cs="宋体"/>
                <w:sz w:val="21"/>
              </w:rPr>
            </w:pPr>
            <w:r>
              <w:rPr>
                <w:rFonts w:hint="eastAsia" w:ascii="宋体" w:hAnsi="宋体" w:cs="宋体"/>
                <w:sz w:val="21"/>
              </w:rPr>
              <w:t>空载无风状态下塔身轴心线对支承面的侧向垂直度为4/1000。</w:t>
            </w:r>
          </w:p>
        </w:tc>
      </w:tr>
      <w:tr w14:paraId="08B2524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080" w:type="dxa"/>
            <w:tcBorders>
              <w:tl2br w:val="nil"/>
              <w:tr2bl w:val="nil"/>
            </w:tcBorders>
            <w:vAlign w:val="center"/>
          </w:tcPr>
          <w:p w14:paraId="4884E73D">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eastAsia" w:ascii="宋体" w:hAnsi="宋体" w:cs="宋体"/>
                <w:sz w:val="21"/>
              </w:rPr>
            </w:pPr>
            <w:r>
              <w:rPr>
                <w:rFonts w:hint="eastAsia" w:ascii="宋体" w:hAnsi="宋体" w:cs="宋体"/>
                <w:sz w:val="21"/>
              </w:rPr>
              <w:t>爬升架</w:t>
            </w:r>
          </w:p>
        </w:tc>
        <w:tc>
          <w:tcPr>
            <w:tcW w:w="6798" w:type="dxa"/>
            <w:tcBorders>
              <w:tl2br w:val="nil"/>
              <w:tr2bl w:val="nil"/>
            </w:tcBorders>
          </w:tcPr>
          <w:p w14:paraId="2DA7E0C2">
            <w:pPr>
              <w:spacing w:line="312" w:lineRule="auto"/>
              <w:ind w:firstLine="420"/>
              <w:jc w:val="left"/>
              <w:rPr>
                <w:rFonts w:hint="eastAsia" w:ascii="宋体" w:hAnsi="宋体" w:cs="宋体"/>
                <w:sz w:val="21"/>
              </w:rPr>
            </w:pPr>
            <w:r>
              <w:rPr>
                <w:rFonts w:hint="eastAsia" w:ascii="宋体" w:hAnsi="宋体" w:cs="宋体"/>
                <w:sz w:val="21"/>
              </w:rPr>
              <w:t>检查与下支座的连接情况</w:t>
            </w:r>
          </w:p>
          <w:p w14:paraId="1C6644E6">
            <w:pPr>
              <w:spacing w:line="312" w:lineRule="auto"/>
              <w:ind w:firstLine="420"/>
              <w:jc w:val="left"/>
              <w:rPr>
                <w:rFonts w:hint="eastAsia" w:ascii="宋体" w:hAnsi="宋体" w:cs="宋体"/>
                <w:sz w:val="21"/>
              </w:rPr>
            </w:pPr>
            <w:r>
              <w:rPr>
                <w:rFonts w:hint="eastAsia" w:ascii="宋体" w:hAnsi="宋体" w:cs="宋体"/>
                <w:sz w:val="21"/>
              </w:rPr>
              <w:t>检查滚轮、活动爬爪是否灵活可靠，连接是否牢固</w:t>
            </w:r>
          </w:p>
          <w:p w14:paraId="1A6DFDE7">
            <w:pPr>
              <w:spacing w:line="312" w:lineRule="auto"/>
              <w:ind w:firstLine="420"/>
              <w:jc w:val="left"/>
              <w:rPr>
                <w:rFonts w:hint="eastAsia" w:ascii="宋体" w:hAnsi="宋体" w:cs="宋体"/>
                <w:sz w:val="21"/>
              </w:rPr>
            </w:pPr>
            <w:r>
              <w:rPr>
                <w:rFonts w:hint="eastAsia" w:ascii="宋体" w:hAnsi="宋体" w:cs="宋体"/>
                <w:sz w:val="21"/>
              </w:rPr>
              <w:t>检查走道，栏杆的紧固情况</w:t>
            </w:r>
          </w:p>
        </w:tc>
      </w:tr>
      <w:tr w14:paraId="2B460F7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2080" w:type="dxa"/>
            <w:tcBorders>
              <w:tl2br w:val="nil"/>
              <w:tr2bl w:val="nil"/>
            </w:tcBorders>
            <w:vAlign w:val="center"/>
          </w:tcPr>
          <w:p w14:paraId="3C0BFD1C">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eastAsia" w:ascii="宋体" w:hAnsi="宋体" w:cs="宋体"/>
                <w:sz w:val="21"/>
              </w:rPr>
            </w:pPr>
            <w:r>
              <w:rPr>
                <w:rFonts w:hint="eastAsia" w:ascii="宋体" w:hAnsi="宋体" w:cs="宋体"/>
                <w:sz w:val="21"/>
              </w:rPr>
              <w:t>上、下支座</w:t>
            </w:r>
          </w:p>
          <w:p w14:paraId="32F9EA4C">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eastAsia" w:ascii="宋体" w:hAnsi="宋体" w:cs="宋体"/>
                <w:sz w:val="21"/>
              </w:rPr>
            </w:pPr>
            <w:r>
              <w:rPr>
                <w:rFonts w:hint="eastAsia" w:ascii="宋体" w:hAnsi="宋体" w:cs="宋体"/>
                <w:sz w:val="21"/>
              </w:rPr>
              <w:t>司机室</w:t>
            </w:r>
          </w:p>
        </w:tc>
        <w:tc>
          <w:tcPr>
            <w:tcW w:w="6798" w:type="dxa"/>
            <w:tcBorders>
              <w:tl2br w:val="nil"/>
              <w:tr2bl w:val="nil"/>
            </w:tcBorders>
          </w:tcPr>
          <w:p w14:paraId="389E3842">
            <w:pPr>
              <w:spacing w:line="312" w:lineRule="auto"/>
              <w:ind w:firstLine="420"/>
              <w:jc w:val="left"/>
              <w:rPr>
                <w:rFonts w:hint="eastAsia" w:ascii="宋体" w:hAnsi="宋体" w:cs="宋体"/>
                <w:sz w:val="21"/>
              </w:rPr>
            </w:pPr>
            <w:r>
              <w:rPr>
                <w:rFonts w:hint="eastAsia" w:ascii="宋体" w:hAnsi="宋体" w:cs="宋体"/>
                <w:sz w:val="21"/>
              </w:rPr>
              <w:t>检查与回转支承连接的螺栓紧固情况</w:t>
            </w:r>
          </w:p>
          <w:p w14:paraId="28E0FCDE">
            <w:pPr>
              <w:spacing w:line="312" w:lineRule="auto"/>
              <w:ind w:firstLine="420"/>
              <w:jc w:val="left"/>
              <w:rPr>
                <w:rFonts w:hint="eastAsia" w:ascii="宋体" w:hAnsi="宋体" w:cs="宋体"/>
                <w:sz w:val="21"/>
              </w:rPr>
            </w:pPr>
            <w:r>
              <w:rPr>
                <w:rFonts w:hint="eastAsia" w:ascii="宋体" w:hAnsi="宋体" w:cs="宋体"/>
                <w:sz w:val="21"/>
              </w:rPr>
              <w:t>检查电缆的通行状况。</w:t>
            </w:r>
          </w:p>
          <w:p w14:paraId="5A518FA9">
            <w:pPr>
              <w:spacing w:line="312" w:lineRule="auto"/>
              <w:ind w:firstLine="420"/>
              <w:jc w:val="left"/>
              <w:rPr>
                <w:rFonts w:hint="eastAsia" w:ascii="宋体" w:hAnsi="宋体" w:cs="宋体"/>
                <w:sz w:val="21"/>
              </w:rPr>
            </w:pPr>
            <w:r>
              <w:rPr>
                <w:rFonts w:hint="eastAsia" w:ascii="宋体" w:hAnsi="宋体" w:cs="宋体"/>
                <w:sz w:val="21"/>
              </w:rPr>
              <w:t>检查平台，栏杆的紧固情况</w:t>
            </w:r>
          </w:p>
          <w:p w14:paraId="06013D62">
            <w:pPr>
              <w:spacing w:line="312" w:lineRule="auto"/>
              <w:ind w:firstLine="420"/>
              <w:jc w:val="left"/>
              <w:rPr>
                <w:rFonts w:hint="eastAsia" w:ascii="宋体" w:hAnsi="宋体" w:cs="宋体"/>
                <w:sz w:val="21"/>
              </w:rPr>
            </w:pPr>
            <w:r>
              <w:rPr>
                <w:rFonts w:hint="eastAsia" w:ascii="宋体" w:hAnsi="宋体" w:cs="宋体"/>
                <w:sz w:val="21"/>
              </w:rPr>
              <w:t>检查司机室的连接情况</w:t>
            </w:r>
          </w:p>
          <w:p w14:paraId="789C9D28">
            <w:pPr>
              <w:spacing w:line="312" w:lineRule="auto"/>
              <w:ind w:firstLine="420"/>
              <w:jc w:val="left"/>
              <w:rPr>
                <w:rFonts w:hint="eastAsia" w:ascii="宋体" w:hAnsi="宋体" w:cs="宋体"/>
                <w:sz w:val="21"/>
              </w:rPr>
            </w:pPr>
            <w:r>
              <w:rPr>
                <w:rFonts w:hint="eastAsia" w:ascii="宋体" w:hAnsi="宋体" w:cs="宋体"/>
                <w:sz w:val="21"/>
              </w:rPr>
              <w:t>司机室内严禁存放润滑油、油棉纱及其它易燃物品</w:t>
            </w:r>
          </w:p>
        </w:tc>
      </w:tr>
      <w:tr w14:paraId="070DC82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2080" w:type="dxa"/>
            <w:tcBorders>
              <w:tl2br w:val="nil"/>
              <w:tr2bl w:val="nil"/>
            </w:tcBorders>
            <w:vAlign w:val="center"/>
          </w:tcPr>
          <w:p w14:paraId="39CB9BCC">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eastAsia" w:ascii="宋体" w:hAnsi="宋体" w:cs="宋体"/>
                <w:sz w:val="21"/>
              </w:rPr>
            </w:pPr>
            <w:r>
              <w:rPr>
                <w:rFonts w:hint="eastAsia" w:ascii="宋体" w:hAnsi="宋体" w:cs="宋体"/>
                <w:sz w:val="21"/>
              </w:rPr>
              <w:t>塔  顶</w:t>
            </w:r>
          </w:p>
        </w:tc>
        <w:tc>
          <w:tcPr>
            <w:tcW w:w="6798" w:type="dxa"/>
            <w:tcBorders>
              <w:tl2br w:val="nil"/>
              <w:tr2bl w:val="nil"/>
            </w:tcBorders>
          </w:tcPr>
          <w:p w14:paraId="5324C5F6">
            <w:pPr>
              <w:spacing w:line="312" w:lineRule="auto"/>
              <w:ind w:firstLine="420"/>
              <w:jc w:val="left"/>
              <w:rPr>
                <w:rFonts w:hint="eastAsia" w:ascii="宋体" w:hAnsi="宋体" w:cs="宋体"/>
                <w:sz w:val="21"/>
              </w:rPr>
            </w:pPr>
            <w:r>
              <w:rPr>
                <w:rFonts w:hint="eastAsia" w:ascii="宋体" w:hAnsi="宋体" w:cs="宋体"/>
                <w:sz w:val="21"/>
              </w:rPr>
              <w:t>检查起重臂、平衡臂拉杆的安装情况</w:t>
            </w:r>
          </w:p>
          <w:p w14:paraId="44CB5AF0">
            <w:pPr>
              <w:spacing w:line="312" w:lineRule="auto"/>
              <w:ind w:firstLine="420"/>
              <w:jc w:val="left"/>
              <w:rPr>
                <w:rFonts w:hint="eastAsia" w:ascii="宋体" w:hAnsi="宋体" w:cs="宋体"/>
                <w:sz w:val="21"/>
              </w:rPr>
            </w:pPr>
            <w:r>
              <w:rPr>
                <w:rFonts w:hint="eastAsia" w:ascii="宋体" w:hAnsi="宋体" w:cs="宋体"/>
                <w:sz w:val="21"/>
              </w:rPr>
              <w:t>检查扶梯、平台、护栏的安装情况</w:t>
            </w:r>
          </w:p>
          <w:p w14:paraId="486C8A98">
            <w:pPr>
              <w:spacing w:line="312" w:lineRule="auto"/>
              <w:ind w:firstLine="420"/>
              <w:jc w:val="left"/>
              <w:rPr>
                <w:rFonts w:hint="eastAsia" w:ascii="宋体" w:hAnsi="宋体" w:cs="宋体"/>
                <w:sz w:val="21"/>
              </w:rPr>
            </w:pPr>
            <w:r>
              <w:rPr>
                <w:rFonts w:hint="eastAsia" w:ascii="宋体" w:hAnsi="宋体" w:cs="宋体"/>
                <w:sz w:val="21"/>
              </w:rPr>
              <w:t>检查起升钢丝绳穿绕是否正确</w:t>
            </w:r>
          </w:p>
        </w:tc>
      </w:tr>
      <w:tr w14:paraId="1EB4538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080" w:type="dxa"/>
            <w:tcBorders>
              <w:tl2br w:val="nil"/>
              <w:tr2bl w:val="nil"/>
            </w:tcBorders>
            <w:vAlign w:val="center"/>
          </w:tcPr>
          <w:p w14:paraId="36C45F54">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eastAsia" w:ascii="宋体" w:hAnsi="宋体" w:cs="宋体"/>
                <w:sz w:val="21"/>
              </w:rPr>
            </w:pPr>
            <w:r>
              <w:rPr>
                <w:rFonts w:hint="eastAsia" w:ascii="宋体" w:hAnsi="宋体" w:cs="宋体"/>
                <w:sz w:val="21"/>
              </w:rPr>
              <w:t>起重臂</w:t>
            </w:r>
          </w:p>
        </w:tc>
        <w:tc>
          <w:tcPr>
            <w:tcW w:w="6798" w:type="dxa"/>
            <w:tcBorders>
              <w:tl2br w:val="nil"/>
              <w:tr2bl w:val="nil"/>
            </w:tcBorders>
          </w:tcPr>
          <w:p w14:paraId="2689E738">
            <w:pPr>
              <w:spacing w:line="312" w:lineRule="auto"/>
              <w:ind w:firstLine="420"/>
              <w:jc w:val="left"/>
              <w:rPr>
                <w:rFonts w:hint="eastAsia" w:ascii="宋体" w:hAnsi="宋体" w:cs="宋体"/>
                <w:sz w:val="21"/>
              </w:rPr>
            </w:pPr>
            <w:r>
              <w:rPr>
                <w:rFonts w:hint="eastAsia" w:ascii="宋体" w:hAnsi="宋体" w:cs="宋体"/>
                <w:sz w:val="21"/>
              </w:rPr>
              <w:t>检查各处连接销轴、垫圈、开口销安装的正确性</w:t>
            </w:r>
          </w:p>
          <w:p w14:paraId="137810AF">
            <w:pPr>
              <w:spacing w:line="312" w:lineRule="auto"/>
              <w:ind w:firstLine="420"/>
              <w:jc w:val="left"/>
              <w:rPr>
                <w:rFonts w:hint="eastAsia" w:ascii="宋体" w:hAnsi="宋体" w:cs="宋体"/>
                <w:sz w:val="21"/>
              </w:rPr>
            </w:pPr>
            <w:r>
              <w:rPr>
                <w:rFonts w:hint="eastAsia" w:ascii="宋体" w:hAnsi="宋体" w:cs="宋体"/>
                <w:sz w:val="21"/>
              </w:rPr>
              <w:t>检查载重小车安装运行情况，载人吊篮的紧固情况</w:t>
            </w:r>
          </w:p>
          <w:p w14:paraId="0024CC0A">
            <w:pPr>
              <w:spacing w:line="312" w:lineRule="auto"/>
              <w:ind w:firstLine="420"/>
              <w:jc w:val="left"/>
              <w:rPr>
                <w:rFonts w:hint="eastAsia" w:ascii="宋体" w:hAnsi="宋体" w:cs="宋体"/>
                <w:sz w:val="21"/>
              </w:rPr>
            </w:pPr>
            <w:r>
              <w:rPr>
                <w:rFonts w:hint="eastAsia" w:ascii="宋体" w:hAnsi="宋体" w:cs="宋体"/>
                <w:sz w:val="21"/>
              </w:rPr>
              <w:t>检查起升、变幅钢丝绳的缠绕及紧固情况</w:t>
            </w:r>
          </w:p>
        </w:tc>
      </w:tr>
      <w:tr w14:paraId="0ABE365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080" w:type="dxa"/>
            <w:tcBorders>
              <w:tl2br w:val="nil"/>
              <w:tr2bl w:val="nil"/>
            </w:tcBorders>
            <w:vAlign w:val="center"/>
          </w:tcPr>
          <w:p w14:paraId="06F54F38">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eastAsia" w:ascii="宋体" w:hAnsi="宋体" w:cs="宋体"/>
                <w:sz w:val="21"/>
              </w:rPr>
            </w:pPr>
            <w:r>
              <w:rPr>
                <w:rFonts w:hint="eastAsia" w:ascii="宋体" w:hAnsi="宋体" w:cs="宋体"/>
                <w:sz w:val="21"/>
              </w:rPr>
              <w:t>平衡臂</w:t>
            </w:r>
          </w:p>
        </w:tc>
        <w:tc>
          <w:tcPr>
            <w:tcW w:w="6798" w:type="dxa"/>
            <w:tcBorders>
              <w:tl2br w:val="nil"/>
              <w:tr2bl w:val="nil"/>
            </w:tcBorders>
          </w:tcPr>
          <w:p w14:paraId="0BECCBCC">
            <w:pPr>
              <w:spacing w:line="312" w:lineRule="auto"/>
              <w:ind w:firstLine="420"/>
              <w:jc w:val="left"/>
              <w:rPr>
                <w:rFonts w:hint="eastAsia" w:ascii="宋体" w:hAnsi="宋体" w:cs="宋体"/>
                <w:sz w:val="21"/>
              </w:rPr>
            </w:pPr>
            <w:r>
              <w:rPr>
                <w:rFonts w:hint="eastAsia" w:ascii="宋体" w:hAnsi="宋体" w:cs="宋体"/>
                <w:sz w:val="21"/>
              </w:rPr>
              <w:t>检查平衡臂的固定情况</w:t>
            </w:r>
          </w:p>
          <w:p w14:paraId="16530A48">
            <w:pPr>
              <w:spacing w:line="312" w:lineRule="auto"/>
              <w:ind w:firstLine="420"/>
              <w:jc w:val="left"/>
              <w:rPr>
                <w:rFonts w:hint="eastAsia" w:ascii="宋体" w:hAnsi="宋体" w:cs="宋体"/>
                <w:sz w:val="21"/>
              </w:rPr>
            </w:pPr>
            <w:r>
              <w:rPr>
                <w:rFonts w:hint="eastAsia" w:ascii="宋体" w:hAnsi="宋体" w:cs="宋体"/>
                <w:sz w:val="21"/>
              </w:rPr>
              <w:t>检查平衡臂栏杆及走道的安装情况，保证走道无杂物</w:t>
            </w:r>
          </w:p>
        </w:tc>
      </w:tr>
      <w:tr w14:paraId="551797C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080" w:type="dxa"/>
            <w:tcBorders>
              <w:tl2br w:val="nil"/>
              <w:tr2bl w:val="nil"/>
            </w:tcBorders>
            <w:vAlign w:val="center"/>
          </w:tcPr>
          <w:p w14:paraId="3E375457">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eastAsia" w:ascii="宋体" w:hAnsi="宋体" w:cs="宋体"/>
                <w:sz w:val="21"/>
              </w:rPr>
            </w:pPr>
            <w:r>
              <w:rPr>
                <w:rFonts w:hint="eastAsia" w:ascii="宋体" w:hAnsi="宋体" w:cs="宋体"/>
                <w:sz w:val="21"/>
              </w:rPr>
              <w:t>吊  具</w:t>
            </w:r>
          </w:p>
        </w:tc>
        <w:tc>
          <w:tcPr>
            <w:tcW w:w="6798" w:type="dxa"/>
            <w:tcBorders>
              <w:tl2br w:val="nil"/>
              <w:tr2bl w:val="nil"/>
            </w:tcBorders>
          </w:tcPr>
          <w:p w14:paraId="6BAB51F0">
            <w:pPr>
              <w:spacing w:line="312" w:lineRule="auto"/>
              <w:ind w:firstLine="420"/>
              <w:jc w:val="left"/>
              <w:rPr>
                <w:rFonts w:hint="eastAsia" w:ascii="宋体" w:hAnsi="宋体" w:cs="宋体"/>
                <w:sz w:val="21"/>
              </w:rPr>
            </w:pPr>
            <w:r>
              <w:rPr>
                <w:rFonts w:hint="eastAsia" w:ascii="宋体" w:hAnsi="宋体" w:cs="宋体"/>
                <w:sz w:val="21"/>
              </w:rPr>
              <w:t>检查换倍率装置，吊钩的防脱绳装置是否安全可靠</w:t>
            </w:r>
          </w:p>
          <w:p w14:paraId="26735734">
            <w:pPr>
              <w:spacing w:line="312" w:lineRule="auto"/>
              <w:ind w:firstLine="420"/>
              <w:jc w:val="left"/>
              <w:rPr>
                <w:rFonts w:hint="eastAsia" w:ascii="宋体" w:hAnsi="宋体" w:cs="宋体"/>
                <w:sz w:val="21"/>
              </w:rPr>
            </w:pPr>
            <w:r>
              <w:rPr>
                <w:rFonts w:hint="eastAsia" w:ascii="宋体" w:hAnsi="宋体" w:cs="宋体"/>
                <w:sz w:val="21"/>
              </w:rPr>
              <w:t>检查吊钩组有无影响使用的缺陷</w:t>
            </w:r>
          </w:p>
          <w:p w14:paraId="31E538D6">
            <w:pPr>
              <w:spacing w:line="312" w:lineRule="auto"/>
              <w:ind w:firstLine="420"/>
              <w:jc w:val="left"/>
              <w:rPr>
                <w:rFonts w:hint="eastAsia" w:ascii="宋体" w:hAnsi="宋体" w:cs="宋体"/>
                <w:sz w:val="21"/>
              </w:rPr>
            </w:pPr>
            <w:r>
              <w:rPr>
                <w:rFonts w:hint="eastAsia" w:ascii="宋体" w:hAnsi="宋体" w:cs="宋体"/>
                <w:sz w:val="21"/>
              </w:rPr>
              <w:t>检查起升、变幅钢丝绳的规格、型号是否符合要求</w:t>
            </w:r>
          </w:p>
          <w:p w14:paraId="41C24681">
            <w:pPr>
              <w:spacing w:line="312" w:lineRule="auto"/>
              <w:ind w:firstLine="420"/>
              <w:jc w:val="left"/>
              <w:rPr>
                <w:rFonts w:hint="eastAsia" w:ascii="宋体" w:hAnsi="宋体" w:cs="宋体"/>
                <w:sz w:val="21"/>
              </w:rPr>
            </w:pPr>
            <w:r>
              <w:rPr>
                <w:rFonts w:hint="eastAsia" w:ascii="宋体" w:hAnsi="宋体" w:cs="宋体"/>
                <w:sz w:val="21"/>
              </w:rPr>
              <w:t>检查钢丝绳的磨损情况</w:t>
            </w:r>
          </w:p>
        </w:tc>
      </w:tr>
      <w:tr w14:paraId="57C2014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080" w:type="dxa"/>
            <w:tcBorders>
              <w:tl2br w:val="nil"/>
              <w:tr2bl w:val="nil"/>
            </w:tcBorders>
            <w:vAlign w:val="center"/>
          </w:tcPr>
          <w:p w14:paraId="0525BF9A">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eastAsia" w:ascii="宋体" w:hAnsi="宋体" w:cs="宋体"/>
                <w:sz w:val="21"/>
              </w:rPr>
            </w:pPr>
          </w:p>
          <w:p w14:paraId="14342D6C">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eastAsia" w:ascii="宋体" w:hAnsi="宋体" w:cs="宋体"/>
                <w:sz w:val="21"/>
              </w:rPr>
            </w:pPr>
            <w:r>
              <w:rPr>
                <w:rFonts w:hint="eastAsia" w:ascii="宋体" w:hAnsi="宋体" w:cs="宋体"/>
                <w:sz w:val="21"/>
              </w:rPr>
              <w:t>机  构</w:t>
            </w:r>
          </w:p>
          <w:p w14:paraId="30BF3DBC">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eastAsia" w:ascii="宋体" w:hAnsi="宋体" w:cs="宋体"/>
                <w:sz w:val="21"/>
              </w:rPr>
            </w:pPr>
          </w:p>
        </w:tc>
        <w:tc>
          <w:tcPr>
            <w:tcW w:w="6798" w:type="dxa"/>
            <w:tcBorders>
              <w:tl2br w:val="nil"/>
              <w:tr2bl w:val="nil"/>
            </w:tcBorders>
          </w:tcPr>
          <w:p w14:paraId="33B0234C">
            <w:pPr>
              <w:spacing w:line="312" w:lineRule="auto"/>
              <w:ind w:firstLine="420"/>
              <w:jc w:val="left"/>
              <w:rPr>
                <w:rFonts w:hint="eastAsia" w:ascii="宋体" w:hAnsi="宋体" w:cs="宋体"/>
                <w:sz w:val="21"/>
              </w:rPr>
            </w:pPr>
            <w:r>
              <w:rPr>
                <w:rFonts w:hint="eastAsia" w:ascii="宋体" w:hAnsi="宋体" w:cs="宋体"/>
                <w:sz w:val="21"/>
              </w:rPr>
              <w:t>检查各机构的安装、运行情况</w:t>
            </w:r>
          </w:p>
          <w:p w14:paraId="0746F7D3">
            <w:pPr>
              <w:spacing w:line="312" w:lineRule="auto"/>
              <w:ind w:firstLine="420"/>
              <w:jc w:val="left"/>
              <w:rPr>
                <w:rFonts w:hint="eastAsia" w:ascii="宋体" w:hAnsi="宋体" w:cs="宋体"/>
                <w:sz w:val="21"/>
              </w:rPr>
            </w:pPr>
            <w:r>
              <w:rPr>
                <w:rFonts w:hint="eastAsia" w:ascii="宋体" w:hAnsi="宋体" w:cs="宋体"/>
                <w:sz w:val="21"/>
              </w:rPr>
              <w:t>检查各机构的制动器间隙调整是否合适</w:t>
            </w:r>
          </w:p>
          <w:p w14:paraId="489E0BA1">
            <w:pPr>
              <w:spacing w:line="312" w:lineRule="auto"/>
              <w:ind w:firstLine="420"/>
              <w:jc w:val="left"/>
              <w:rPr>
                <w:rFonts w:hint="eastAsia" w:ascii="宋体" w:hAnsi="宋体" w:cs="宋体"/>
                <w:sz w:val="21"/>
              </w:rPr>
            </w:pPr>
            <w:r>
              <w:rPr>
                <w:rFonts w:hint="eastAsia" w:ascii="宋体" w:hAnsi="宋体" w:cs="宋体"/>
                <w:sz w:val="21"/>
              </w:rPr>
              <w:t>当载重小车分别运行到最小和最大幅度处时，</w:t>
            </w:r>
          </w:p>
          <w:p w14:paraId="7230FF3E">
            <w:pPr>
              <w:spacing w:line="312" w:lineRule="auto"/>
              <w:ind w:firstLine="420"/>
              <w:jc w:val="left"/>
              <w:rPr>
                <w:rFonts w:hint="eastAsia" w:ascii="宋体" w:hAnsi="宋体" w:cs="宋体"/>
                <w:sz w:val="21"/>
              </w:rPr>
            </w:pPr>
            <w:r>
              <w:rPr>
                <w:rFonts w:hint="eastAsia" w:ascii="宋体" w:hAnsi="宋体" w:cs="宋体"/>
                <w:sz w:val="21"/>
              </w:rPr>
              <w:t>牵引机构卷筒上钢丝绳是否有3圈以上安全圈</w:t>
            </w:r>
          </w:p>
          <w:p w14:paraId="5CBCF2F8">
            <w:pPr>
              <w:spacing w:line="312" w:lineRule="auto"/>
              <w:ind w:firstLine="420"/>
              <w:jc w:val="left"/>
              <w:rPr>
                <w:rFonts w:hint="eastAsia" w:ascii="宋体" w:hAnsi="宋体" w:cs="宋体"/>
                <w:sz w:val="21"/>
              </w:rPr>
            </w:pPr>
            <w:r>
              <w:rPr>
                <w:rFonts w:hint="eastAsia" w:ascii="宋体" w:hAnsi="宋体" w:cs="宋体"/>
                <w:sz w:val="21"/>
              </w:rPr>
              <w:t>检查各钢丝绳绳头的压紧有无松动</w:t>
            </w:r>
          </w:p>
        </w:tc>
      </w:tr>
      <w:tr w14:paraId="17DBC50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080" w:type="dxa"/>
            <w:tcBorders>
              <w:tl2br w:val="nil"/>
              <w:tr2bl w:val="nil"/>
            </w:tcBorders>
            <w:vAlign w:val="center"/>
          </w:tcPr>
          <w:p w14:paraId="48B75A21">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eastAsia" w:ascii="宋体" w:hAnsi="宋体" w:cs="宋体"/>
                <w:sz w:val="21"/>
              </w:rPr>
            </w:pPr>
            <w:r>
              <w:rPr>
                <w:rFonts w:hint="eastAsia" w:ascii="宋体" w:hAnsi="宋体" w:cs="宋体"/>
                <w:sz w:val="21"/>
              </w:rPr>
              <w:t>安全装置</w:t>
            </w:r>
          </w:p>
        </w:tc>
        <w:tc>
          <w:tcPr>
            <w:tcW w:w="6798" w:type="dxa"/>
            <w:tcBorders>
              <w:tl2br w:val="nil"/>
              <w:tr2bl w:val="nil"/>
            </w:tcBorders>
          </w:tcPr>
          <w:p w14:paraId="3D098851">
            <w:pPr>
              <w:spacing w:line="312" w:lineRule="auto"/>
              <w:ind w:firstLine="420"/>
              <w:jc w:val="left"/>
              <w:rPr>
                <w:rFonts w:hint="eastAsia" w:ascii="宋体" w:hAnsi="宋体" w:cs="宋体"/>
                <w:sz w:val="21"/>
              </w:rPr>
            </w:pPr>
            <w:r>
              <w:rPr>
                <w:rFonts w:hint="eastAsia" w:ascii="宋体" w:hAnsi="宋体" w:cs="宋体"/>
                <w:sz w:val="21"/>
              </w:rPr>
              <w:t>检查各安全保护装置是否按本说明书的要求调整合格</w:t>
            </w:r>
          </w:p>
          <w:p w14:paraId="31BF6D95">
            <w:pPr>
              <w:spacing w:line="312" w:lineRule="auto"/>
              <w:ind w:firstLine="420"/>
              <w:jc w:val="left"/>
              <w:rPr>
                <w:rFonts w:hint="eastAsia" w:ascii="宋体" w:hAnsi="宋体" w:cs="宋体"/>
                <w:sz w:val="21"/>
              </w:rPr>
            </w:pPr>
            <w:r>
              <w:rPr>
                <w:rFonts w:hint="eastAsia" w:ascii="宋体" w:hAnsi="宋体" w:cs="宋体"/>
                <w:sz w:val="21"/>
              </w:rPr>
              <w:t>检查塔机上所有扶梯、栏杆、休息平台的安装紧固情况</w:t>
            </w:r>
          </w:p>
        </w:tc>
      </w:tr>
      <w:tr w14:paraId="4991B92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080" w:type="dxa"/>
            <w:tcBorders>
              <w:tl2br w:val="nil"/>
              <w:tr2bl w:val="nil"/>
            </w:tcBorders>
            <w:vAlign w:val="center"/>
          </w:tcPr>
          <w:p w14:paraId="65222D20">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eastAsia" w:ascii="宋体" w:hAnsi="宋体" w:cs="宋体"/>
                <w:sz w:val="21"/>
              </w:rPr>
            </w:pPr>
            <w:r>
              <w:rPr>
                <w:rFonts w:hint="eastAsia" w:ascii="宋体" w:hAnsi="宋体" w:cs="宋体"/>
                <w:sz w:val="21"/>
              </w:rPr>
              <w:t>润  滑</w:t>
            </w:r>
          </w:p>
        </w:tc>
        <w:tc>
          <w:tcPr>
            <w:tcW w:w="6798" w:type="dxa"/>
            <w:tcBorders>
              <w:tl2br w:val="nil"/>
              <w:tr2bl w:val="nil"/>
            </w:tcBorders>
          </w:tcPr>
          <w:p w14:paraId="6B2A1C6F">
            <w:pPr>
              <w:spacing w:line="312" w:lineRule="auto"/>
              <w:ind w:firstLine="420"/>
              <w:jc w:val="left"/>
              <w:rPr>
                <w:rFonts w:hint="eastAsia" w:ascii="宋体" w:hAnsi="宋体" w:cs="宋体"/>
                <w:sz w:val="21"/>
              </w:rPr>
            </w:pPr>
            <w:r>
              <w:rPr>
                <w:rFonts w:hint="eastAsia" w:ascii="宋体" w:hAnsi="宋体" w:cs="宋体"/>
                <w:sz w:val="21"/>
              </w:rPr>
              <w:t>根据使用说明书检查润滑情况</w:t>
            </w:r>
          </w:p>
        </w:tc>
      </w:tr>
    </w:tbl>
    <w:p w14:paraId="7679A7B8">
      <w:pPr>
        <w:pStyle w:val="3"/>
        <w:spacing w:before="156" w:after="156"/>
        <w:ind w:firstLine="562"/>
      </w:pPr>
      <w:bookmarkStart w:id="134" w:name="_Toc7286"/>
      <w:r>
        <w:rPr>
          <w:rFonts w:hint="eastAsia"/>
        </w:rPr>
        <w:t>各塔吊平面关系示意图</w:t>
      </w:r>
      <w:bookmarkEnd w:id="134"/>
    </w:p>
    <w:p w14:paraId="34243CC6">
      <w:pPr>
        <w:ind w:firstLine="480"/>
      </w:pPr>
      <w:r>
        <w:drawing>
          <wp:inline distT="0" distB="0" distL="0" distR="0">
            <wp:extent cx="5274310" cy="3927475"/>
            <wp:effectExtent l="0" t="0" r="2540" b="0"/>
            <wp:docPr id="4808033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03345" name="图片 1"/>
                    <pic:cNvPicPr>
                      <a:picLocks noChangeAspect="1"/>
                    </pic:cNvPicPr>
                  </pic:nvPicPr>
                  <pic:blipFill>
                    <a:blip r:embed="rId34"/>
                    <a:stretch>
                      <a:fillRect/>
                    </a:stretch>
                  </pic:blipFill>
                  <pic:spPr>
                    <a:xfrm>
                      <a:off x="0" y="0"/>
                      <a:ext cx="5274310" cy="3927475"/>
                    </a:xfrm>
                    <a:prstGeom prst="rect">
                      <a:avLst/>
                    </a:prstGeom>
                  </pic:spPr>
                </pic:pic>
              </a:graphicData>
            </a:graphic>
          </wp:inline>
        </w:drawing>
      </w:r>
    </w:p>
    <w:p w14:paraId="6D3C4661">
      <w:pPr>
        <w:pStyle w:val="32"/>
        <w:ind w:left="480" w:firstLine="438"/>
        <w:jc w:val="center"/>
        <w:sectPr>
          <w:pgSz w:w="11906" w:h="16838"/>
          <w:pgMar w:top="1440" w:right="1800" w:bottom="1440" w:left="1800" w:header="851" w:footer="992" w:gutter="0"/>
          <w:cols w:space="425" w:num="1"/>
          <w:docGrid w:type="lines" w:linePitch="312" w:charSpace="0"/>
        </w:sectPr>
      </w:pPr>
      <w:r>
        <w:rPr>
          <w:rFonts w:hint="eastAsia" w:cs="宋体"/>
          <w:b/>
          <w:bCs/>
          <w:spacing w:val="4"/>
          <w:sz w:val="21"/>
        </w:rPr>
        <w:t>图4.7－1　塔机平面关系示意图</w:t>
      </w:r>
    </w:p>
    <w:p w14:paraId="3C64D7E5">
      <w:pPr>
        <w:pStyle w:val="3"/>
        <w:numPr>
          <w:ilvl w:val="1"/>
          <w:numId w:val="0"/>
        </w:numPr>
        <w:spacing w:before="156" w:after="156"/>
        <w:ind w:left="480" w:leftChars="200"/>
      </w:pPr>
      <w:bookmarkStart w:id="135" w:name="_Toc8739"/>
      <w:r>
        <w:rPr>
          <w:rFonts w:hint="eastAsia"/>
        </w:rPr>
        <w:t>4.8各塔吊立面避让关系示意图</w:t>
      </w:r>
      <w:bookmarkEnd w:id="135"/>
    </w:p>
    <w:p w14:paraId="03BB5253">
      <w:pPr>
        <w:pStyle w:val="109"/>
        <w:snapToGrid/>
        <w:ind w:firstLine="496"/>
        <w:jc w:val="both"/>
        <w:rPr>
          <w:spacing w:val="4"/>
        </w:rPr>
      </w:pPr>
      <w:r>
        <w:rPr>
          <w:rFonts w:hint="eastAsia"/>
          <w:spacing w:val="4"/>
        </w:rPr>
        <w:t>根据塔机平面布置示意图及现场的施工情况，相邻塔机的附着安装高度错开二至三节标准节，以保证塔机使用时的安全。各塔机附着安装高度立面示意图如下：</w:t>
      </w:r>
    </w:p>
    <w:p w14:paraId="238A013E">
      <w:pPr>
        <w:pStyle w:val="109"/>
        <w:snapToGrid/>
        <w:ind w:firstLine="480"/>
        <w:jc w:val="both"/>
        <w:rPr>
          <w:rFonts w:hint="eastAsia" w:eastAsia="宋体"/>
          <w:b/>
          <w:bCs/>
          <w:spacing w:val="4"/>
          <w:lang w:eastAsia="zh-CN"/>
        </w:rPr>
      </w:pPr>
      <w:r>
        <w:rPr>
          <w:rFonts w:hint="eastAsia" w:eastAsia="宋体"/>
          <w:b/>
          <w:bCs/>
          <w:spacing w:val="4"/>
          <w:lang w:eastAsia="zh-CN"/>
        </w:rPr>
        <w:drawing>
          <wp:inline distT="0" distB="0" distL="114300" distR="114300">
            <wp:extent cx="8622665" cy="2068195"/>
            <wp:effectExtent l="0" t="0" r="6985" b="8255"/>
            <wp:docPr id="10" name="图片 10" descr="121) Model (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21) Model (1)_1"/>
                    <pic:cNvPicPr>
                      <a:picLocks noChangeAspect="1"/>
                    </pic:cNvPicPr>
                  </pic:nvPicPr>
                  <pic:blipFill>
                    <a:blip r:embed="rId24"/>
                    <a:srcRect t="32219" b="33848"/>
                    <a:stretch>
                      <a:fillRect/>
                    </a:stretch>
                  </pic:blipFill>
                  <pic:spPr>
                    <a:xfrm>
                      <a:off x="0" y="0"/>
                      <a:ext cx="8622665" cy="2068195"/>
                    </a:xfrm>
                    <a:prstGeom prst="rect">
                      <a:avLst/>
                    </a:prstGeom>
                  </pic:spPr>
                </pic:pic>
              </a:graphicData>
            </a:graphic>
          </wp:inline>
        </w:drawing>
      </w:r>
    </w:p>
    <w:p w14:paraId="01EC1BEC">
      <w:pPr>
        <w:pStyle w:val="109"/>
        <w:snapToGrid/>
        <w:ind w:firstLine="0" w:firstLineChars="0"/>
        <w:jc w:val="center"/>
        <w:rPr>
          <w:rFonts w:hint="eastAsia"/>
          <w:color w:val="000000" w:themeColor="text1"/>
          <w14:textFill>
            <w14:solidFill>
              <w14:schemeClr w14:val="tx1"/>
            </w14:solidFill>
          </w14:textFill>
        </w:rPr>
        <w:sectPr>
          <w:pgSz w:w="16838" w:h="11906" w:orient="landscape"/>
          <w:pgMar w:top="1800" w:right="1440" w:bottom="1800" w:left="1440" w:header="851" w:footer="992" w:gutter="0"/>
          <w:cols w:space="425" w:num="1"/>
          <w:docGrid w:type="lines" w:linePitch="312" w:charSpace="0"/>
        </w:sectPr>
      </w:pPr>
      <w:r>
        <w:rPr>
          <w:rFonts w:hint="eastAsia"/>
          <w:b/>
          <w:bCs/>
          <w:spacing w:val="4"/>
          <w:sz w:val="21"/>
          <w:szCs w:val="21"/>
        </w:rPr>
        <w:t>图4.8－1　塔机立面避让关系示意图</w:t>
      </w:r>
      <w:r>
        <w:rPr>
          <w:rFonts w:hint="eastAsia"/>
        </w:rPr>
        <w:t xml:space="preserve"> </w:t>
      </w:r>
      <w:bookmarkStart w:id="136" w:name="_Toc20772"/>
      <w:bookmarkStart w:id="137" w:name="_Toc9041"/>
      <w:bookmarkStart w:id="138" w:name="_Toc29971"/>
      <w:bookmarkStart w:id="139" w:name="_Toc8093"/>
      <w:bookmarkStart w:id="140" w:name="_Toc14376"/>
      <w:bookmarkStart w:id="141" w:name="_Toc560_WPSOffice_Level1"/>
      <w:bookmarkStart w:id="142" w:name="_Toc11736"/>
    </w:p>
    <w:p w14:paraId="59F7E408">
      <w:pPr>
        <w:pStyle w:val="2"/>
        <w:spacing w:before="156" w:after="156"/>
        <w:ind w:firstLine="643"/>
        <w:rPr>
          <w:color w:val="000000" w:themeColor="text1"/>
          <w14:textFill>
            <w14:solidFill>
              <w14:schemeClr w14:val="tx1"/>
            </w14:solidFill>
          </w14:textFill>
        </w:rPr>
      </w:pPr>
      <w:bookmarkStart w:id="143" w:name="_Toc29054"/>
      <w:r>
        <w:rPr>
          <w:rFonts w:hint="eastAsia"/>
          <w:color w:val="000000" w:themeColor="text1"/>
          <w14:textFill>
            <w14:solidFill>
              <w14:schemeClr w14:val="tx1"/>
            </w14:solidFill>
          </w14:textFill>
        </w:rPr>
        <w:t>施工危险源辨识及安全保证措施</w:t>
      </w:r>
      <w:bookmarkEnd w:id="136"/>
      <w:bookmarkEnd w:id="137"/>
      <w:bookmarkEnd w:id="143"/>
    </w:p>
    <w:p w14:paraId="15F3E2B3">
      <w:pPr>
        <w:pStyle w:val="3"/>
        <w:spacing w:before="156" w:after="156"/>
        <w:ind w:firstLine="562"/>
        <w:rPr>
          <w:color w:val="000000" w:themeColor="text1"/>
          <w14:textFill>
            <w14:solidFill>
              <w14:schemeClr w14:val="tx1"/>
            </w14:solidFill>
          </w14:textFill>
        </w:rPr>
      </w:pPr>
      <w:bookmarkStart w:id="144" w:name="_Toc3772"/>
      <w:bookmarkStart w:id="145" w:name="_Toc29061"/>
      <w:bookmarkStart w:id="146" w:name="_Toc21958"/>
      <w:r>
        <w:rPr>
          <w:rFonts w:hint="eastAsia"/>
          <w:color w:val="000000" w:themeColor="text1"/>
          <w14:textFill>
            <w14:solidFill>
              <w14:schemeClr w14:val="tx1"/>
            </w14:solidFill>
          </w14:textFill>
        </w:rPr>
        <w:t>危险源辨识及分析</w:t>
      </w:r>
      <w:bookmarkEnd w:id="144"/>
      <w:bookmarkEnd w:id="145"/>
      <w:bookmarkEnd w:id="146"/>
      <w:bookmarkStart w:id="147" w:name="_Toc1775"/>
      <w:bookmarkStart w:id="148" w:name="_Toc903"/>
    </w:p>
    <w:p w14:paraId="484CA4B3">
      <w:pPr>
        <w:pStyle w:val="4"/>
        <w:tabs>
          <w:tab w:val="left" w:pos="0"/>
        </w:tabs>
        <w:spacing w:before="156" w:after="156"/>
        <w:ind w:firstLine="482"/>
      </w:pPr>
      <w:r>
        <w:rPr>
          <w:rFonts w:hint="eastAsia"/>
        </w:rPr>
        <w:t>危险源辨识评价方法</w:t>
      </w:r>
    </w:p>
    <w:p w14:paraId="3F573F4B">
      <w:pPr>
        <w:pStyle w:val="30"/>
        <w:widowControl/>
        <w:numPr>
          <w:ilvl w:val="0"/>
          <w:numId w:val="6"/>
        </w:numPr>
        <w:spacing w:line="360" w:lineRule="auto"/>
        <w:rPr>
          <w:rFonts w:hint="eastAsia" w:ascii="宋体" w:hAnsi="宋体" w:cs="宋体"/>
        </w:rPr>
      </w:pPr>
      <w:r>
        <w:rPr>
          <w:rFonts w:hint="eastAsia" w:ascii="宋体" w:hAnsi="宋体" w:cs="宋体"/>
        </w:rPr>
        <w:t>在危险源辨识过程中发现危险源属于如下情况时，可直接确定为具有不可接受的风险∶</w:t>
      </w:r>
    </w:p>
    <w:p w14:paraId="1123F90A">
      <w:pPr>
        <w:pStyle w:val="30"/>
        <w:widowControl/>
        <w:spacing w:line="360" w:lineRule="auto"/>
        <w:ind w:left="480" w:leftChars="200" w:firstLine="240" w:firstLineChars="100"/>
        <w:rPr>
          <w:rFonts w:hint="eastAsia" w:ascii="宋体" w:hAnsi="宋体" w:cs="宋体"/>
        </w:rPr>
      </w:pPr>
      <w:r>
        <w:rPr>
          <w:rFonts w:hint="eastAsia" w:ascii="宋体" w:hAnsi="宋体" w:cs="宋体"/>
        </w:rPr>
        <w:t>①不符合法律、法规要求的;</w:t>
      </w:r>
    </w:p>
    <w:p w14:paraId="2C15B17A">
      <w:pPr>
        <w:pStyle w:val="30"/>
        <w:widowControl/>
        <w:spacing w:line="360" w:lineRule="auto"/>
        <w:ind w:left="480" w:leftChars="200" w:firstLine="240" w:firstLineChars="100"/>
        <w:rPr>
          <w:rFonts w:hint="eastAsia" w:ascii="宋体" w:hAnsi="宋体" w:cs="宋体"/>
        </w:rPr>
      </w:pPr>
      <w:r>
        <w:rPr>
          <w:rFonts w:hint="eastAsia" w:ascii="宋体" w:hAnsi="宋体" w:cs="宋体"/>
        </w:rPr>
        <w:t>②不符合公司方针的;</w:t>
      </w:r>
    </w:p>
    <w:p w14:paraId="57465BAD">
      <w:pPr>
        <w:pStyle w:val="30"/>
        <w:widowControl/>
        <w:spacing w:line="360" w:lineRule="auto"/>
        <w:ind w:firstLine="720" w:firstLineChars="300"/>
        <w:rPr>
          <w:rFonts w:hint="eastAsia" w:ascii="宋体" w:hAnsi="宋体" w:cs="宋体"/>
        </w:rPr>
      </w:pPr>
      <w:r>
        <w:rPr>
          <w:rFonts w:hint="eastAsia" w:ascii="宋体" w:hAnsi="宋体" w:cs="宋体"/>
        </w:rPr>
        <w:t>③员工或相关方有抱怨和要求的;</w:t>
      </w:r>
    </w:p>
    <w:p w14:paraId="4137EB31">
      <w:pPr>
        <w:pStyle w:val="30"/>
        <w:widowControl/>
        <w:spacing w:line="360" w:lineRule="auto"/>
        <w:ind w:firstLine="720" w:firstLineChars="300"/>
        <w:rPr>
          <w:rFonts w:hint="eastAsia" w:ascii="宋体" w:hAnsi="宋体" w:cs="宋体"/>
        </w:rPr>
      </w:pPr>
      <w:r>
        <w:rPr>
          <w:rFonts w:hint="eastAsia" w:ascii="宋体" w:hAnsi="宋体" w:cs="宋体"/>
        </w:rPr>
        <w:t>④曾经发生过事故，且未采取有效防范控制措施的。</w:t>
      </w:r>
    </w:p>
    <w:p w14:paraId="19468D7F">
      <w:pPr>
        <w:pStyle w:val="30"/>
        <w:widowControl/>
        <w:spacing w:line="360" w:lineRule="auto"/>
        <w:rPr>
          <w:rFonts w:hint="eastAsia" w:ascii="宋体" w:hAnsi="宋体" w:cs="宋体"/>
        </w:rPr>
      </w:pPr>
      <w:r>
        <w:rPr>
          <w:rFonts w:hint="eastAsia" w:ascii="宋体" w:hAnsi="宋体" w:cs="宋体"/>
        </w:rPr>
        <w:t>（2）采取作业条件危险评价法，分析危险源导致危险事件、事故发生的可能性和后果，确定危险源的风险等级。</w:t>
      </w:r>
    </w:p>
    <w:p w14:paraId="42AEFAAF">
      <w:pPr>
        <w:pStyle w:val="30"/>
        <w:widowControl/>
        <w:spacing w:line="360" w:lineRule="auto"/>
        <w:rPr>
          <w:rFonts w:hint="eastAsia" w:ascii="宋体" w:hAnsi="宋体" w:cs="宋体"/>
        </w:rPr>
      </w:pPr>
      <w:r>
        <w:rPr>
          <w:rFonts w:hint="eastAsia" w:ascii="宋体" w:hAnsi="宋体" w:cs="宋体"/>
        </w:rPr>
        <w:t>（3）作业条件危险评价法</w:t>
      </w:r>
    </w:p>
    <w:p w14:paraId="4DD3D23B">
      <w:pPr>
        <w:pStyle w:val="30"/>
        <w:widowControl/>
        <w:spacing w:line="360" w:lineRule="auto"/>
        <w:rPr>
          <w:rFonts w:hint="eastAsia" w:ascii="宋体" w:hAnsi="宋体" w:cs="宋体"/>
        </w:rPr>
      </w:pPr>
      <w:r>
        <w:rPr>
          <w:rFonts w:hint="eastAsia" w:ascii="宋体" w:hAnsi="宋体" w:cs="宋体"/>
        </w:rPr>
        <w:t xml:space="preserve">作业条件危险评价法是用与系统危险性有关的三种因素指标值之积来评价危险的大小，这三种因素是∶ </w:t>
      </w:r>
    </w:p>
    <w:p w14:paraId="52350649">
      <w:pPr>
        <w:pStyle w:val="30"/>
        <w:widowControl/>
        <w:spacing w:line="360" w:lineRule="auto"/>
        <w:rPr>
          <w:rFonts w:hint="eastAsia" w:ascii="宋体" w:hAnsi="宋体" w:cs="宋体"/>
        </w:rPr>
      </w:pPr>
      <w:r>
        <w:rPr>
          <w:rFonts w:hint="eastAsia" w:ascii="宋体" w:hAnsi="宋体" w:cs="宋体"/>
        </w:rPr>
        <w:t>L--发生事故的可能性大小;</w:t>
      </w:r>
    </w:p>
    <w:p w14:paraId="573F0B17">
      <w:pPr>
        <w:pStyle w:val="30"/>
        <w:widowControl/>
        <w:spacing w:line="360" w:lineRule="auto"/>
        <w:rPr>
          <w:rFonts w:hint="eastAsia" w:ascii="宋体" w:hAnsi="宋体" w:cs="宋体"/>
        </w:rPr>
      </w:pPr>
      <w:r>
        <w:rPr>
          <w:rFonts w:hint="eastAsia" w:ascii="宋体" w:hAnsi="宋体" w:cs="宋体"/>
        </w:rPr>
        <w:t xml:space="preserve">E--人体暴露在这种危险环境中的频繁程度; </w:t>
      </w:r>
    </w:p>
    <w:p w14:paraId="289952C4">
      <w:pPr>
        <w:pStyle w:val="30"/>
        <w:widowControl/>
        <w:spacing w:line="360" w:lineRule="auto"/>
        <w:rPr>
          <w:rFonts w:hint="eastAsia" w:ascii="宋体" w:hAnsi="宋体" w:cs="宋体"/>
        </w:rPr>
      </w:pPr>
      <w:r>
        <w:rPr>
          <w:rFonts w:hint="eastAsia" w:ascii="宋体" w:hAnsi="宋体" w:cs="宋体"/>
        </w:rPr>
        <w:t xml:space="preserve">C--一旦发生事故会造成的损失后果。其简化公式是∶ D=L×E×C； </w:t>
      </w:r>
    </w:p>
    <w:p w14:paraId="1D08E1C7">
      <w:pPr>
        <w:pStyle w:val="30"/>
        <w:widowControl/>
        <w:spacing w:line="360" w:lineRule="auto"/>
        <w:rPr>
          <w:rFonts w:hint="eastAsia" w:ascii="宋体" w:hAnsi="宋体" w:cs="宋体"/>
        </w:rPr>
      </w:pPr>
      <w:r>
        <w:rPr>
          <w:rFonts w:hint="eastAsia" w:ascii="宋体" w:hAnsi="宋体" w:cs="宋体"/>
        </w:rPr>
        <w:t>L--发生事故的可能性大小。</w:t>
      </w:r>
    </w:p>
    <w:p w14:paraId="78CA4816">
      <w:pPr>
        <w:pStyle w:val="30"/>
        <w:widowControl/>
        <w:spacing w:line="360" w:lineRule="auto"/>
        <w:rPr>
          <w:rFonts w:hint="eastAsia" w:ascii="宋体" w:hAnsi="宋体" w:cs="宋体"/>
        </w:rPr>
      </w:pPr>
      <w:r>
        <w:rPr>
          <w:rFonts w:hint="eastAsia" w:ascii="宋体" w:hAnsi="宋体" w:cs="宋体"/>
        </w:rPr>
        <w:t>事故或危险事件发生的可能性大小，当用概率来表示时，绝对不可能的事件发生概率为0，而必然发生的事件概率为1。但在做系统安全考虑时，绝对不发生事故是不可能的，所以人为地将"发生事故可能性极小"的分数定为0.1，而必然要发生的事件分数定为10。介于这两种情况之间的情况指定了若干个中间值，如表5.1-1所示。</w:t>
      </w:r>
    </w:p>
    <w:p w14:paraId="033C680F">
      <w:pPr>
        <w:pStyle w:val="30"/>
        <w:widowControl/>
        <w:rPr>
          <w:rFonts w:hint="eastAsia" w:ascii="宋体" w:hAnsi="宋体" w:cs="宋体"/>
        </w:rPr>
      </w:pPr>
    </w:p>
    <w:p w14:paraId="3F70C8DD">
      <w:pPr>
        <w:ind w:firstLine="422"/>
        <w:jc w:val="center"/>
      </w:pPr>
      <w:r>
        <w:rPr>
          <w:rFonts w:hint="eastAsia" w:ascii="宋体" w:hAnsi="宋体" w:cs="宋体"/>
          <w:b/>
          <w:bCs/>
          <w:sz w:val="21"/>
        </w:rPr>
        <w:t>表5.1-1事故发生可能性表</w:t>
      </w:r>
    </w:p>
    <w:p w14:paraId="64D68FB7">
      <w:pPr>
        <w:pStyle w:val="26"/>
        <w:ind w:firstLine="482"/>
        <w:jc w:val="center"/>
      </w:pPr>
      <w:r>
        <w:drawing>
          <wp:inline distT="0" distB="0" distL="114300" distR="114300">
            <wp:extent cx="3018790" cy="2009775"/>
            <wp:effectExtent l="0" t="0" r="10160" b="9525"/>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35"/>
                    <a:stretch>
                      <a:fillRect/>
                    </a:stretch>
                  </pic:blipFill>
                  <pic:spPr>
                    <a:xfrm>
                      <a:off x="0" y="0"/>
                      <a:ext cx="3018790" cy="2009775"/>
                    </a:xfrm>
                    <a:prstGeom prst="rect">
                      <a:avLst/>
                    </a:prstGeom>
                    <a:noFill/>
                    <a:ln>
                      <a:noFill/>
                    </a:ln>
                  </pic:spPr>
                </pic:pic>
              </a:graphicData>
            </a:graphic>
          </wp:inline>
        </w:drawing>
      </w:r>
    </w:p>
    <w:p w14:paraId="165450A0">
      <w:pPr>
        <w:pStyle w:val="30"/>
        <w:widowControl/>
        <w:spacing w:line="360" w:lineRule="auto"/>
        <w:rPr>
          <w:rFonts w:hint="eastAsia" w:ascii="宋体" w:hAnsi="宋体" w:cs="宋体"/>
        </w:rPr>
      </w:pPr>
      <w:r>
        <w:rPr>
          <w:rFonts w:hint="eastAsia" w:ascii="宋体" w:hAnsi="宋体" w:cs="宋体"/>
        </w:rPr>
        <w:t>E---暴露于危险环境的频繁程度</w:t>
      </w:r>
    </w:p>
    <w:p w14:paraId="3BA5C83E">
      <w:pPr>
        <w:pStyle w:val="30"/>
        <w:widowControl/>
        <w:spacing w:line="360" w:lineRule="auto"/>
        <w:rPr>
          <w:rFonts w:hint="eastAsia" w:ascii="宋体" w:hAnsi="宋体" w:cs="宋体"/>
        </w:rPr>
      </w:pPr>
      <w:r>
        <w:rPr>
          <w:rFonts w:hint="eastAsia" w:ascii="宋体" w:hAnsi="宋体" w:cs="宋体"/>
        </w:rPr>
        <w:t>人员出现在危险环境中的时间越多，则危险性越大。规定连续暴露在此危险环境的情况定为10，而非常罕见地出现在危险环境中定为0.5。同样.将介于两者之间的各种情况规定若干个中间值，如表5.1-2所示。</w:t>
      </w:r>
    </w:p>
    <w:p w14:paraId="61FFBC40">
      <w:pPr>
        <w:ind w:firstLine="422"/>
        <w:jc w:val="center"/>
      </w:pPr>
      <w:r>
        <w:rPr>
          <w:rFonts w:hint="eastAsia" w:ascii="宋体" w:hAnsi="宋体" w:cs="宋体"/>
          <w:b/>
          <w:bCs/>
          <w:sz w:val="21"/>
        </w:rPr>
        <w:t>表5.1-2暴露于危险环境频繁程度</w:t>
      </w:r>
    </w:p>
    <w:p w14:paraId="2AE5D943">
      <w:pPr>
        <w:pStyle w:val="30"/>
        <w:widowControl/>
        <w:jc w:val="center"/>
        <w:rPr>
          <w:rFonts w:hint="eastAsia" w:ascii="宋体" w:hAnsi="宋体" w:cs="宋体"/>
        </w:rPr>
      </w:pPr>
      <w:r>
        <w:drawing>
          <wp:inline distT="0" distB="0" distL="114300" distR="114300">
            <wp:extent cx="2697480" cy="2415540"/>
            <wp:effectExtent l="0" t="0" r="0" b="762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36"/>
                    <a:stretch>
                      <a:fillRect/>
                    </a:stretch>
                  </pic:blipFill>
                  <pic:spPr>
                    <a:xfrm>
                      <a:off x="0" y="0"/>
                      <a:ext cx="2697480" cy="2415540"/>
                    </a:xfrm>
                    <a:prstGeom prst="rect">
                      <a:avLst/>
                    </a:prstGeom>
                    <a:noFill/>
                    <a:ln>
                      <a:noFill/>
                    </a:ln>
                  </pic:spPr>
                </pic:pic>
              </a:graphicData>
            </a:graphic>
          </wp:inline>
        </w:drawing>
      </w:r>
    </w:p>
    <w:p w14:paraId="4ECCBC66">
      <w:pPr>
        <w:pStyle w:val="30"/>
        <w:widowControl/>
        <w:spacing w:line="360" w:lineRule="auto"/>
        <w:rPr>
          <w:rFonts w:hint="eastAsia" w:ascii="宋体" w:hAnsi="宋体" w:cs="宋体"/>
        </w:rPr>
      </w:pPr>
      <w:r>
        <w:rPr>
          <w:rFonts w:hint="eastAsia" w:ascii="宋体" w:hAnsi="宋体" w:cs="宋体"/>
        </w:rPr>
        <w:t>C--发生事故可能造成的后果</w:t>
      </w:r>
    </w:p>
    <w:p w14:paraId="1F6485D3">
      <w:pPr>
        <w:pStyle w:val="30"/>
        <w:widowControl/>
        <w:spacing w:line="360" w:lineRule="auto"/>
        <w:rPr>
          <w:rFonts w:hint="eastAsia" w:ascii="宋体" w:hAnsi="宋体" w:cs="宋体"/>
        </w:rPr>
      </w:pPr>
      <w:r>
        <w:rPr>
          <w:rFonts w:hint="eastAsia" w:ascii="宋体" w:hAnsi="宋体" w:cs="宋体"/>
        </w:rPr>
        <w:t>事故造成的人身伤害变化范围很大，对伤亡事故来说，可从极小的轻伤直到多人死亡的严重结果。由于范围广阔，所以规定分数值为1-100，轻伤规定分数为1，造成10人以上死亡的分数规定为100，其他情况的数值均在之间1与100，如表5.1-3所示。</w:t>
      </w:r>
    </w:p>
    <w:p w14:paraId="6E6EB149">
      <w:pPr>
        <w:ind w:firstLine="422"/>
        <w:jc w:val="center"/>
      </w:pPr>
      <w:r>
        <w:rPr>
          <w:rFonts w:hint="eastAsia" w:ascii="宋体" w:hAnsi="宋体" w:cs="宋体"/>
          <w:b/>
          <w:bCs/>
          <w:sz w:val="21"/>
        </w:rPr>
        <w:t>表5.1-3发生事故造成的后果</w:t>
      </w:r>
    </w:p>
    <w:p w14:paraId="27944238">
      <w:pPr>
        <w:pStyle w:val="30"/>
        <w:widowControl/>
        <w:jc w:val="center"/>
        <w:rPr>
          <w:rFonts w:hint="eastAsia" w:ascii="宋体" w:hAnsi="宋体" w:cs="宋体"/>
        </w:rPr>
      </w:pPr>
      <w:r>
        <w:drawing>
          <wp:inline distT="0" distB="0" distL="114300" distR="114300">
            <wp:extent cx="2712720" cy="1592580"/>
            <wp:effectExtent l="0" t="0" r="0" b="762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37"/>
                    <a:stretch>
                      <a:fillRect/>
                    </a:stretch>
                  </pic:blipFill>
                  <pic:spPr>
                    <a:xfrm>
                      <a:off x="0" y="0"/>
                      <a:ext cx="2712720" cy="1592580"/>
                    </a:xfrm>
                    <a:prstGeom prst="rect">
                      <a:avLst/>
                    </a:prstGeom>
                    <a:noFill/>
                    <a:ln>
                      <a:noFill/>
                    </a:ln>
                  </pic:spPr>
                </pic:pic>
              </a:graphicData>
            </a:graphic>
          </wp:inline>
        </w:drawing>
      </w:r>
    </w:p>
    <w:p w14:paraId="7DBD2C31">
      <w:pPr>
        <w:pStyle w:val="30"/>
        <w:widowControl/>
        <w:spacing w:line="360" w:lineRule="auto"/>
        <w:rPr>
          <w:rFonts w:hint="eastAsia" w:ascii="宋体" w:hAnsi="宋体" w:cs="宋体"/>
        </w:rPr>
      </w:pPr>
      <w:r>
        <w:rPr>
          <w:rFonts w:hint="eastAsia" w:ascii="宋体" w:hAnsi="宋体" w:cs="宋体"/>
        </w:rPr>
        <w:t>D--危险性分值</w:t>
      </w:r>
    </w:p>
    <w:p w14:paraId="5D554970">
      <w:pPr>
        <w:pStyle w:val="30"/>
        <w:widowControl/>
        <w:spacing w:line="360" w:lineRule="auto"/>
        <w:rPr>
          <w:rFonts w:hint="eastAsia" w:ascii="宋体" w:hAnsi="宋体" w:cs="宋体"/>
        </w:rPr>
      </w:pPr>
      <w:r>
        <w:rPr>
          <w:rFonts w:hint="eastAsia" w:ascii="宋体" w:hAnsi="宋体" w:cs="宋体"/>
        </w:rPr>
        <w:t>根据公式就可以计算作业的危险程度，但关键是如何确定各个分值和对总分的评价。根据经验，总分在20以下，被认为是低危险，也叫可容许风险;总分达到70-160之间，那就有显著的危险性，需要及时整改;总分在160-320之间，是必须立即采取措施进行整改的重大危险;总分在320以上的表示非常危险，应立即停止生产直到危险得到改善为止。危险等级划分如表5.1-4所示。</w:t>
      </w:r>
    </w:p>
    <w:p w14:paraId="2BEF2E6C">
      <w:pPr>
        <w:ind w:firstLine="422"/>
        <w:jc w:val="center"/>
      </w:pPr>
      <w:r>
        <w:rPr>
          <w:rFonts w:hint="eastAsia" w:ascii="宋体" w:hAnsi="宋体" w:cs="宋体"/>
          <w:b/>
          <w:bCs/>
          <w:sz w:val="21"/>
        </w:rPr>
        <w:t>表5.1-4 危险等级划分表</w:t>
      </w:r>
    </w:p>
    <w:p w14:paraId="11D4ABD2">
      <w:pPr>
        <w:pStyle w:val="30"/>
        <w:widowControl/>
        <w:jc w:val="center"/>
        <w:sectPr>
          <w:footerReference r:id="rId14" w:type="default"/>
          <w:pgSz w:w="11906" w:h="16838"/>
          <w:pgMar w:top="1440" w:right="1800" w:bottom="1440" w:left="1800" w:header="851" w:footer="992" w:gutter="0"/>
          <w:cols w:space="425" w:num="1"/>
          <w:docGrid w:type="lines" w:linePitch="312" w:charSpace="0"/>
        </w:sectPr>
      </w:pPr>
      <w:r>
        <w:drawing>
          <wp:inline distT="0" distB="0" distL="114300" distR="114300">
            <wp:extent cx="3573780" cy="1341120"/>
            <wp:effectExtent l="0" t="0" r="7620" b="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38"/>
                    <a:stretch>
                      <a:fillRect/>
                    </a:stretch>
                  </pic:blipFill>
                  <pic:spPr>
                    <a:xfrm>
                      <a:off x="0" y="0"/>
                      <a:ext cx="3573780" cy="1341120"/>
                    </a:xfrm>
                    <a:prstGeom prst="rect">
                      <a:avLst/>
                    </a:prstGeom>
                    <a:noFill/>
                    <a:ln>
                      <a:noFill/>
                    </a:ln>
                  </pic:spPr>
                </pic:pic>
              </a:graphicData>
            </a:graphic>
          </wp:inline>
        </w:drawing>
      </w:r>
    </w:p>
    <w:p w14:paraId="26D04ED0">
      <w:pPr>
        <w:pStyle w:val="4"/>
        <w:tabs>
          <w:tab w:val="left" w:pos="0"/>
        </w:tabs>
        <w:spacing w:before="156" w:after="156"/>
        <w:ind w:firstLine="482"/>
      </w:pPr>
      <w:r>
        <w:rPr>
          <w:rFonts w:hint="eastAsia"/>
        </w:rPr>
        <w:t>危险源辨识与评价</w:t>
      </w:r>
    </w:p>
    <w:p w14:paraId="206C4BE5">
      <w:pPr>
        <w:pStyle w:val="47"/>
        <w:ind w:firstLine="422"/>
        <w:rPr>
          <w:rFonts w:ascii="Times New Roman" w:hAnsi="Times New Roman"/>
          <w:b/>
          <w:sz w:val="21"/>
          <w:szCs w:val="21"/>
        </w:rPr>
      </w:pPr>
      <w:r>
        <w:rPr>
          <w:rFonts w:hint="eastAsia" w:ascii="Times New Roman" w:hAnsi="Times New Roman"/>
          <w:b/>
          <w:sz w:val="21"/>
          <w:szCs w:val="21"/>
        </w:rPr>
        <w:t>表5.1-5 项目危险源辨识与评价表</w:t>
      </w:r>
    </w:p>
    <w:tbl>
      <w:tblPr>
        <w:tblStyle w:val="34"/>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1035"/>
        <w:gridCol w:w="1229"/>
        <w:gridCol w:w="1380"/>
        <w:gridCol w:w="450"/>
        <w:gridCol w:w="405"/>
        <w:gridCol w:w="435"/>
        <w:gridCol w:w="480"/>
        <w:gridCol w:w="690"/>
        <w:gridCol w:w="1557"/>
      </w:tblGrid>
      <w:tr w14:paraId="5CCCDDF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jc w:val="center"/>
        </w:trPr>
        <w:tc>
          <w:tcPr>
            <w:tcW w:w="655" w:type="dxa"/>
            <w:vMerge w:val="restart"/>
            <w:tcBorders>
              <w:tl2br w:val="nil"/>
              <w:tr2bl w:val="nil"/>
            </w:tcBorders>
            <w:vAlign w:val="center"/>
          </w:tcPr>
          <w:p w14:paraId="75A84ADB">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序号</w:t>
            </w:r>
          </w:p>
        </w:tc>
        <w:tc>
          <w:tcPr>
            <w:tcW w:w="1035" w:type="dxa"/>
            <w:vMerge w:val="restart"/>
            <w:tcBorders>
              <w:tl2br w:val="nil"/>
              <w:tr2bl w:val="nil"/>
            </w:tcBorders>
            <w:vAlign w:val="center"/>
          </w:tcPr>
          <w:p w14:paraId="544CBC60">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作业活动及工序</w:t>
            </w:r>
          </w:p>
        </w:tc>
        <w:tc>
          <w:tcPr>
            <w:tcW w:w="1229" w:type="dxa"/>
            <w:vMerge w:val="restart"/>
            <w:tcBorders>
              <w:tl2br w:val="nil"/>
              <w:tr2bl w:val="nil"/>
            </w:tcBorders>
            <w:vAlign w:val="center"/>
          </w:tcPr>
          <w:p w14:paraId="1EE3A2CB">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危险源</w:t>
            </w:r>
          </w:p>
        </w:tc>
        <w:tc>
          <w:tcPr>
            <w:tcW w:w="1380" w:type="dxa"/>
            <w:vMerge w:val="restart"/>
            <w:tcBorders>
              <w:tl2br w:val="nil"/>
              <w:tr2bl w:val="nil"/>
            </w:tcBorders>
            <w:vAlign w:val="center"/>
          </w:tcPr>
          <w:p w14:paraId="1DE8F926">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可能导致的事故</w:t>
            </w:r>
          </w:p>
        </w:tc>
        <w:tc>
          <w:tcPr>
            <w:tcW w:w="1770" w:type="dxa"/>
            <w:gridSpan w:val="4"/>
            <w:tcBorders>
              <w:tl2br w:val="nil"/>
              <w:tr2bl w:val="nil"/>
            </w:tcBorders>
            <w:vAlign w:val="center"/>
          </w:tcPr>
          <w:p w14:paraId="0DAAF183">
            <w:pPr>
              <w:ind w:firstLine="42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风险评价</w:t>
            </w:r>
          </w:p>
        </w:tc>
        <w:tc>
          <w:tcPr>
            <w:tcW w:w="690" w:type="dxa"/>
            <w:vMerge w:val="restart"/>
            <w:tcBorders>
              <w:tl2br w:val="nil"/>
              <w:tr2bl w:val="nil"/>
            </w:tcBorders>
            <w:vAlign w:val="center"/>
          </w:tcPr>
          <w:p w14:paraId="71FFE5BC">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危害级别</w:t>
            </w:r>
          </w:p>
        </w:tc>
        <w:tc>
          <w:tcPr>
            <w:tcW w:w="1557" w:type="dxa"/>
            <w:vMerge w:val="restart"/>
            <w:tcBorders>
              <w:tl2br w:val="nil"/>
              <w:tr2bl w:val="nil"/>
            </w:tcBorders>
            <w:vAlign w:val="center"/>
          </w:tcPr>
          <w:p w14:paraId="011D5184">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控制措施</w:t>
            </w:r>
          </w:p>
        </w:tc>
      </w:tr>
      <w:tr w14:paraId="657F719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655" w:type="dxa"/>
            <w:vMerge w:val="continue"/>
            <w:tcBorders>
              <w:tl2br w:val="nil"/>
              <w:tr2bl w:val="nil"/>
            </w:tcBorders>
            <w:vAlign w:val="center"/>
          </w:tcPr>
          <w:p w14:paraId="3A6B27BD">
            <w:pPr>
              <w:ind w:firstLine="0" w:firstLineChars="0"/>
              <w:rPr>
                <w:color w:val="000000" w:themeColor="text1"/>
                <w:sz w:val="21"/>
                <w14:textFill>
                  <w14:solidFill>
                    <w14:schemeClr w14:val="tx1"/>
                  </w14:solidFill>
                </w14:textFill>
              </w:rPr>
            </w:pPr>
          </w:p>
        </w:tc>
        <w:tc>
          <w:tcPr>
            <w:tcW w:w="1035" w:type="dxa"/>
            <w:vMerge w:val="continue"/>
            <w:tcBorders>
              <w:tl2br w:val="nil"/>
              <w:tr2bl w:val="nil"/>
            </w:tcBorders>
            <w:vAlign w:val="center"/>
          </w:tcPr>
          <w:p w14:paraId="3BE06403">
            <w:pPr>
              <w:ind w:firstLine="0" w:firstLineChars="0"/>
              <w:rPr>
                <w:color w:val="000000" w:themeColor="text1"/>
                <w:sz w:val="21"/>
                <w14:textFill>
                  <w14:solidFill>
                    <w14:schemeClr w14:val="tx1"/>
                  </w14:solidFill>
                </w14:textFill>
              </w:rPr>
            </w:pPr>
          </w:p>
        </w:tc>
        <w:tc>
          <w:tcPr>
            <w:tcW w:w="1229" w:type="dxa"/>
            <w:vMerge w:val="continue"/>
            <w:tcBorders>
              <w:tl2br w:val="nil"/>
              <w:tr2bl w:val="nil"/>
            </w:tcBorders>
            <w:vAlign w:val="center"/>
          </w:tcPr>
          <w:p w14:paraId="2A69A593">
            <w:pPr>
              <w:ind w:firstLine="0" w:firstLineChars="0"/>
              <w:rPr>
                <w:color w:val="000000" w:themeColor="text1"/>
                <w:sz w:val="21"/>
                <w14:textFill>
                  <w14:solidFill>
                    <w14:schemeClr w14:val="tx1"/>
                  </w14:solidFill>
                </w14:textFill>
              </w:rPr>
            </w:pPr>
          </w:p>
        </w:tc>
        <w:tc>
          <w:tcPr>
            <w:tcW w:w="1380" w:type="dxa"/>
            <w:vMerge w:val="continue"/>
            <w:tcBorders>
              <w:tl2br w:val="nil"/>
              <w:tr2bl w:val="nil"/>
            </w:tcBorders>
            <w:vAlign w:val="center"/>
          </w:tcPr>
          <w:p w14:paraId="3201D41E">
            <w:pPr>
              <w:ind w:firstLine="420"/>
              <w:rPr>
                <w:color w:val="000000" w:themeColor="text1"/>
                <w:sz w:val="21"/>
                <w14:textFill>
                  <w14:solidFill>
                    <w14:schemeClr w14:val="tx1"/>
                  </w14:solidFill>
                </w14:textFill>
              </w:rPr>
            </w:pPr>
          </w:p>
        </w:tc>
        <w:tc>
          <w:tcPr>
            <w:tcW w:w="450" w:type="dxa"/>
            <w:tcBorders>
              <w:tl2br w:val="nil"/>
              <w:tr2bl w:val="nil"/>
            </w:tcBorders>
            <w:vAlign w:val="center"/>
          </w:tcPr>
          <w:p w14:paraId="0B3342F7">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L</w:t>
            </w:r>
          </w:p>
        </w:tc>
        <w:tc>
          <w:tcPr>
            <w:tcW w:w="405" w:type="dxa"/>
            <w:tcBorders>
              <w:tl2br w:val="nil"/>
              <w:tr2bl w:val="nil"/>
            </w:tcBorders>
            <w:vAlign w:val="center"/>
          </w:tcPr>
          <w:p w14:paraId="489CBCD2">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E</w:t>
            </w:r>
          </w:p>
        </w:tc>
        <w:tc>
          <w:tcPr>
            <w:tcW w:w="435" w:type="dxa"/>
            <w:tcBorders>
              <w:tl2br w:val="nil"/>
              <w:tr2bl w:val="nil"/>
            </w:tcBorders>
            <w:vAlign w:val="center"/>
          </w:tcPr>
          <w:p w14:paraId="40049BE1">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C</w:t>
            </w:r>
          </w:p>
        </w:tc>
        <w:tc>
          <w:tcPr>
            <w:tcW w:w="480" w:type="dxa"/>
            <w:tcBorders>
              <w:tl2br w:val="nil"/>
              <w:tr2bl w:val="nil"/>
            </w:tcBorders>
            <w:vAlign w:val="center"/>
          </w:tcPr>
          <w:p w14:paraId="0BDCED8B">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D</w:t>
            </w:r>
          </w:p>
        </w:tc>
        <w:tc>
          <w:tcPr>
            <w:tcW w:w="690" w:type="dxa"/>
            <w:vMerge w:val="continue"/>
            <w:tcBorders>
              <w:tl2br w:val="nil"/>
              <w:tr2bl w:val="nil"/>
            </w:tcBorders>
            <w:vAlign w:val="center"/>
          </w:tcPr>
          <w:p w14:paraId="3591A911">
            <w:pPr>
              <w:ind w:firstLine="420"/>
              <w:rPr>
                <w:color w:val="000000" w:themeColor="text1"/>
                <w:sz w:val="21"/>
                <w14:textFill>
                  <w14:solidFill>
                    <w14:schemeClr w14:val="tx1"/>
                  </w14:solidFill>
                </w14:textFill>
              </w:rPr>
            </w:pPr>
          </w:p>
        </w:tc>
        <w:tc>
          <w:tcPr>
            <w:tcW w:w="1557" w:type="dxa"/>
            <w:vMerge w:val="continue"/>
            <w:tcBorders>
              <w:tl2br w:val="nil"/>
              <w:tr2bl w:val="nil"/>
            </w:tcBorders>
            <w:vAlign w:val="center"/>
          </w:tcPr>
          <w:p w14:paraId="300FB42A">
            <w:pPr>
              <w:ind w:firstLine="420"/>
              <w:rPr>
                <w:color w:val="000000" w:themeColor="text1"/>
                <w:sz w:val="21"/>
                <w14:textFill>
                  <w14:solidFill>
                    <w14:schemeClr w14:val="tx1"/>
                  </w14:solidFill>
                </w14:textFill>
              </w:rPr>
            </w:pPr>
          </w:p>
        </w:tc>
      </w:tr>
      <w:tr w14:paraId="0B22B15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5" w:type="dxa"/>
            <w:tcBorders>
              <w:tl2br w:val="nil"/>
              <w:tr2bl w:val="nil"/>
            </w:tcBorders>
            <w:vAlign w:val="center"/>
          </w:tcPr>
          <w:p w14:paraId="6534BE5C">
            <w:pPr>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p>
        </w:tc>
        <w:tc>
          <w:tcPr>
            <w:tcW w:w="1035" w:type="dxa"/>
            <w:vMerge w:val="restart"/>
            <w:tcBorders>
              <w:tl2br w:val="nil"/>
              <w:tr2bl w:val="nil"/>
            </w:tcBorders>
            <w:vAlign w:val="center"/>
          </w:tcPr>
          <w:p w14:paraId="3377C4D6">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通用</w:t>
            </w:r>
          </w:p>
        </w:tc>
        <w:tc>
          <w:tcPr>
            <w:tcW w:w="1229" w:type="dxa"/>
            <w:tcBorders>
              <w:tl2br w:val="nil"/>
              <w:tr2bl w:val="nil"/>
            </w:tcBorders>
            <w:vAlign w:val="center"/>
          </w:tcPr>
          <w:p w14:paraId="14C7116C">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未按标准穿戴劳保用品</w:t>
            </w:r>
          </w:p>
        </w:tc>
        <w:tc>
          <w:tcPr>
            <w:tcW w:w="1380" w:type="dxa"/>
            <w:tcBorders>
              <w:tl2br w:val="nil"/>
              <w:tr2bl w:val="nil"/>
            </w:tcBorders>
            <w:vAlign w:val="center"/>
          </w:tcPr>
          <w:p w14:paraId="33F4213F">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其他伤害</w:t>
            </w:r>
          </w:p>
        </w:tc>
        <w:tc>
          <w:tcPr>
            <w:tcW w:w="450" w:type="dxa"/>
            <w:tcBorders>
              <w:tl2br w:val="nil"/>
              <w:tr2bl w:val="nil"/>
            </w:tcBorders>
            <w:vAlign w:val="center"/>
          </w:tcPr>
          <w:p w14:paraId="37AC2C87">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3</w:t>
            </w:r>
          </w:p>
        </w:tc>
        <w:tc>
          <w:tcPr>
            <w:tcW w:w="405" w:type="dxa"/>
            <w:tcBorders>
              <w:tl2br w:val="nil"/>
              <w:tr2bl w:val="nil"/>
            </w:tcBorders>
            <w:vAlign w:val="center"/>
          </w:tcPr>
          <w:p w14:paraId="63350B30">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p>
        </w:tc>
        <w:tc>
          <w:tcPr>
            <w:tcW w:w="435" w:type="dxa"/>
            <w:tcBorders>
              <w:tl2br w:val="nil"/>
              <w:tr2bl w:val="nil"/>
            </w:tcBorders>
            <w:vAlign w:val="center"/>
          </w:tcPr>
          <w:p w14:paraId="04FB099B">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7</w:t>
            </w:r>
          </w:p>
        </w:tc>
        <w:tc>
          <w:tcPr>
            <w:tcW w:w="480" w:type="dxa"/>
            <w:tcBorders>
              <w:tl2br w:val="nil"/>
              <w:tr2bl w:val="nil"/>
            </w:tcBorders>
            <w:vAlign w:val="center"/>
          </w:tcPr>
          <w:p w14:paraId="2DAC38A1">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42</w:t>
            </w:r>
          </w:p>
        </w:tc>
        <w:tc>
          <w:tcPr>
            <w:tcW w:w="690" w:type="dxa"/>
            <w:tcBorders>
              <w:tl2br w:val="nil"/>
              <w:tr2bl w:val="nil"/>
            </w:tcBorders>
            <w:vAlign w:val="center"/>
          </w:tcPr>
          <w:p w14:paraId="4305509B">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p>
        </w:tc>
        <w:tc>
          <w:tcPr>
            <w:tcW w:w="1557" w:type="dxa"/>
            <w:tcBorders>
              <w:tl2br w:val="nil"/>
              <w:tr2bl w:val="nil"/>
            </w:tcBorders>
            <w:vAlign w:val="center"/>
          </w:tcPr>
          <w:p w14:paraId="3DF2152A">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按照标准穿戴劳保防护用品</w:t>
            </w:r>
          </w:p>
        </w:tc>
      </w:tr>
      <w:tr w14:paraId="3B77831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5" w:type="dxa"/>
            <w:tcBorders>
              <w:tl2br w:val="nil"/>
              <w:tr2bl w:val="nil"/>
            </w:tcBorders>
            <w:vAlign w:val="center"/>
          </w:tcPr>
          <w:p w14:paraId="4CFA4294">
            <w:pPr>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p>
        </w:tc>
        <w:tc>
          <w:tcPr>
            <w:tcW w:w="1035" w:type="dxa"/>
            <w:vMerge w:val="continue"/>
            <w:tcBorders>
              <w:tl2br w:val="nil"/>
              <w:tr2bl w:val="nil"/>
            </w:tcBorders>
            <w:vAlign w:val="center"/>
          </w:tcPr>
          <w:p w14:paraId="37D8F7CA">
            <w:pPr>
              <w:ind w:firstLine="420"/>
              <w:rPr>
                <w:color w:val="000000" w:themeColor="text1"/>
                <w:sz w:val="21"/>
                <w14:textFill>
                  <w14:solidFill>
                    <w14:schemeClr w14:val="tx1"/>
                  </w14:solidFill>
                </w14:textFill>
              </w:rPr>
            </w:pPr>
          </w:p>
        </w:tc>
        <w:tc>
          <w:tcPr>
            <w:tcW w:w="1229" w:type="dxa"/>
            <w:tcBorders>
              <w:tl2br w:val="nil"/>
              <w:tr2bl w:val="nil"/>
            </w:tcBorders>
            <w:vAlign w:val="center"/>
          </w:tcPr>
          <w:p w14:paraId="19A6D9ED">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未避让施工地点</w:t>
            </w:r>
          </w:p>
        </w:tc>
        <w:tc>
          <w:tcPr>
            <w:tcW w:w="1380" w:type="dxa"/>
            <w:tcBorders>
              <w:tl2br w:val="nil"/>
              <w:tr2bl w:val="nil"/>
            </w:tcBorders>
            <w:vAlign w:val="center"/>
          </w:tcPr>
          <w:p w14:paraId="31030EE6">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物体打击</w:t>
            </w:r>
          </w:p>
        </w:tc>
        <w:tc>
          <w:tcPr>
            <w:tcW w:w="450" w:type="dxa"/>
            <w:tcBorders>
              <w:tl2br w:val="nil"/>
              <w:tr2bl w:val="nil"/>
            </w:tcBorders>
            <w:vAlign w:val="center"/>
          </w:tcPr>
          <w:p w14:paraId="5D5F5110">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p>
        </w:tc>
        <w:tc>
          <w:tcPr>
            <w:tcW w:w="405" w:type="dxa"/>
            <w:tcBorders>
              <w:tl2br w:val="nil"/>
              <w:tr2bl w:val="nil"/>
            </w:tcBorders>
            <w:vAlign w:val="center"/>
          </w:tcPr>
          <w:p w14:paraId="2CB5C5E7">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3</w:t>
            </w:r>
          </w:p>
        </w:tc>
        <w:tc>
          <w:tcPr>
            <w:tcW w:w="435" w:type="dxa"/>
            <w:tcBorders>
              <w:tl2br w:val="nil"/>
              <w:tr2bl w:val="nil"/>
            </w:tcBorders>
            <w:vAlign w:val="center"/>
          </w:tcPr>
          <w:p w14:paraId="547608C2">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7</w:t>
            </w:r>
          </w:p>
        </w:tc>
        <w:tc>
          <w:tcPr>
            <w:tcW w:w="480" w:type="dxa"/>
            <w:tcBorders>
              <w:tl2br w:val="nil"/>
              <w:tr2bl w:val="nil"/>
            </w:tcBorders>
            <w:vAlign w:val="center"/>
          </w:tcPr>
          <w:p w14:paraId="4F3ACC26">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21</w:t>
            </w:r>
          </w:p>
        </w:tc>
        <w:tc>
          <w:tcPr>
            <w:tcW w:w="690" w:type="dxa"/>
            <w:tcBorders>
              <w:tl2br w:val="nil"/>
              <w:tr2bl w:val="nil"/>
            </w:tcBorders>
            <w:vAlign w:val="center"/>
          </w:tcPr>
          <w:p w14:paraId="1DB6A732">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p>
        </w:tc>
        <w:tc>
          <w:tcPr>
            <w:tcW w:w="1557" w:type="dxa"/>
            <w:tcBorders>
              <w:tl2br w:val="nil"/>
              <w:tr2bl w:val="nil"/>
            </w:tcBorders>
            <w:vAlign w:val="center"/>
          </w:tcPr>
          <w:p w14:paraId="0338F765">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对进中的土建施工点主动避让</w:t>
            </w:r>
          </w:p>
        </w:tc>
      </w:tr>
      <w:tr w14:paraId="3A18009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5" w:type="dxa"/>
            <w:tcBorders>
              <w:tl2br w:val="nil"/>
              <w:tr2bl w:val="nil"/>
            </w:tcBorders>
            <w:vAlign w:val="center"/>
          </w:tcPr>
          <w:p w14:paraId="72EC889B">
            <w:pPr>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3</w:t>
            </w:r>
          </w:p>
        </w:tc>
        <w:tc>
          <w:tcPr>
            <w:tcW w:w="1035" w:type="dxa"/>
            <w:vMerge w:val="continue"/>
            <w:tcBorders>
              <w:tl2br w:val="nil"/>
              <w:tr2bl w:val="nil"/>
            </w:tcBorders>
            <w:vAlign w:val="center"/>
          </w:tcPr>
          <w:p w14:paraId="77419A31">
            <w:pPr>
              <w:ind w:firstLine="420"/>
              <w:rPr>
                <w:color w:val="000000" w:themeColor="text1"/>
                <w:sz w:val="21"/>
                <w14:textFill>
                  <w14:solidFill>
                    <w14:schemeClr w14:val="tx1"/>
                  </w14:solidFill>
                </w14:textFill>
              </w:rPr>
            </w:pPr>
          </w:p>
        </w:tc>
        <w:tc>
          <w:tcPr>
            <w:tcW w:w="1229" w:type="dxa"/>
            <w:tcBorders>
              <w:tl2br w:val="nil"/>
              <w:tr2bl w:val="nil"/>
            </w:tcBorders>
            <w:vAlign w:val="center"/>
          </w:tcPr>
          <w:p w14:paraId="2AC53B9E">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酒后上岗</w:t>
            </w:r>
          </w:p>
        </w:tc>
        <w:tc>
          <w:tcPr>
            <w:tcW w:w="1380" w:type="dxa"/>
            <w:tcBorders>
              <w:tl2br w:val="nil"/>
              <w:tr2bl w:val="nil"/>
            </w:tcBorders>
            <w:vAlign w:val="center"/>
          </w:tcPr>
          <w:p w14:paraId="6B8CF2F0">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其他伤害</w:t>
            </w:r>
          </w:p>
        </w:tc>
        <w:tc>
          <w:tcPr>
            <w:tcW w:w="450" w:type="dxa"/>
            <w:tcBorders>
              <w:tl2br w:val="nil"/>
              <w:tr2bl w:val="nil"/>
            </w:tcBorders>
            <w:vAlign w:val="center"/>
          </w:tcPr>
          <w:p w14:paraId="1950D986">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6</w:t>
            </w:r>
          </w:p>
        </w:tc>
        <w:tc>
          <w:tcPr>
            <w:tcW w:w="405" w:type="dxa"/>
            <w:tcBorders>
              <w:tl2br w:val="nil"/>
              <w:tr2bl w:val="nil"/>
            </w:tcBorders>
            <w:vAlign w:val="center"/>
          </w:tcPr>
          <w:p w14:paraId="4DB5B8BB">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p>
        </w:tc>
        <w:tc>
          <w:tcPr>
            <w:tcW w:w="435" w:type="dxa"/>
            <w:tcBorders>
              <w:tl2br w:val="nil"/>
              <w:tr2bl w:val="nil"/>
            </w:tcBorders>
            <w:vAlign w:val="center"/>
          </w:tcPr>
          <w:p w14:paraId="4F7CA99C">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7</w:t>
            </w:r>
          </w:p>
        </w:tc>
        <w:tc>
          <w:tcPr>
            <w:tcW w:w="480" w:type="dxa"/>
            <w:tcBorders>
              <w:tl2br w:val="nil"/>
              <w:tr2bl w:val="nil"/>
            </w:tcBorders>
            <w:vAlign w:val="center"/>
          </w:tcPr>
          <w:p w14:paraId="7C83B10A">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84</w:t>
            </w:r>
          </w:p>
        </w:tc>
        <w:tc>
          <w:tcPr>
            <w:tcW w:w="690" w:type="dxa"/>
            <w:tcBorders>
              <w:tl2br w:val="nil"/>
              <w:tr2bl w:val="nil"/>
            </w:tcBorders>
            <w:vAlign w:val="center"/>
          </w:tcPr>
          <w:p w14:paraId="632BD7FF">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p>
        </w:tc>
        <w:tc>
          <w:tcPr>
            <w:tcW w:w="1557" w:type="dxa"/>
            <w:tcBorders>
              <w:tl2br w:val="nil"/>
              <w:tr2bl w:val="nil"/>
            </w:tcBorders>
            <w:vAlign w:val="center"/>
          </w:tcPr>
          <w:p w14:paraId="240A4C26">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严禁酒后上岗或上班饮酒</w:t>
            </w:r>
          </w:p>
        </w:tc>
      </w:tr>
      <w:tr w14:paraId="7D3CBEE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5" w:type="dxa"/>
            <w:tcBorders>
              <w:tl2br w:val="nil"/>
              <w:tr2bl w:val="nil"/>
            </w:tcBorders>
            <w:vAlign w:val="center"/>
          </w:tcPr>
          <w:p w14:paraId="45DC19FE">
            <w:pPr>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4</w:t>
            </w:r>
          </w:p>
        </w:tc>
        <w:tc>
          <w:tcPr>
            <w:tcW w:w="1035" w:type="dxa"/>
            <w:vMerge w:val="continue"/>
            <w:tcBorders>
              <w:tl2br w:val="nil"/>
              <w:tr2bl w:val="nil"/>
            </w:tcBorders>
            <w:vAlign w:val="center"/>
          </w:tcPr>
          <w:p w14:paraId="27DDFD64">
            <w:pPr>
              <w:ind w:firstLine="420"/>
              <w:rPr>
                <w:color w:val="000000" w:themeColor="text1"/>
                <w:sz w:val="21"/>
                <w14:textFill>
                  <w14:solidFill>
                    <w14:schemeClr w14:val="tx1"/>
                  </w14:solidFill>
                </w14:textFill>
              </w:rPr>
            </w:pPr>
          </w:p>
        </w:tc>
        <w:tc>
          <w:tcPr>
            <w:tcW w:w="1229" w:type="dxa"/>
            <w:tcBorders>
              <w:tl2br w:val="nil"/>
              <w:tr2bl w:val="nil"/>
            </w:tcBorders>
            <w:vAlign w:val="center"/>
          </w:tcPr>
          <w:p w14:paraId="0A4EB02F">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安全设施损坏</w:t>
            </w:r>
          </w:p>
        </w:tc>
        <w:tc>
          <w:tcPr>
            <w:tcW w:w="1380" w:type="dxa"/>
            <w:tcBorders>
              <w:tl2br w:val="nil"/>
              <w:tr2bl w:val="nil"/>
            </w:tcBorders>
            <w:vAlign w:val="center"/>
          </w:tcPr>
          <w:p w14:paraId="07C9C029">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其他伤害</w:t>
            </w:r>
          </w:p>
        </w:tc>
        <w:tc>
          <w:tcPr>
            <w:tcW w:w="450" w:type="dxa"/>
            <w:tcBorders>
              <w:tl2br w:val="nil"/>
              <w:tr2bl w:val="nil"/>
            </w:tcBorders>
            <w:vAlign w:val="center"/>
          </w:tcPr>
          <w:p w14:paraId="61DDAA80">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p>
        </w:tc>
        <w:tc>
          <w:tcPr>
            <w:tcW w:w="405" w:type="dxa"/>
            <w:tcBorders>
              <w:tl2br w:val="nil"/>
              <w:tr2bl w:val="nil"/>
            </w:tcBorders>
            <w:vAlign w:val="center"/>
          </w:tcPr>
          <w:p w14:paraId="0FE2E6E4">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6</w:t>
            </w:r>
          </w:p>
        </w:tc>
        <w:tc>
          <w:tcPr>
            <w:tcW w:w="435" w:type="dxa"/>
            <w:tcBorders>
              <w:tl2br w:val="nil"/>
              <w:tr2bl w:val="nil"/>
            </w:tcBorders>
            <w:vAlign w:val="center"/>
          </w:tcPr>
          <w:p w14:paraId="0EC06C02">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p>
        </w:tc>
        <w:tc>
          <w:tcPr>
            <w:tcW w:w="480" w:type="dxa"/>
            <w:tcBorders>
              <w:tl2br w:val="nil"/>
              <w:tr2bl w:val="nil"/>
            </w:tcBorders>
            <w:vAlign w:val="center"/>
          </w:tcPr>
          <w:p w14:paraId="06FC3E87">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5</w:t>
            </w:r>
          </w:p>
        </w:tc>
        <w:tc>
          <w:tcPr>
            <w:tcW w:w="690" w:type="dxa"/>
            <w:tcBorders>
              <w:tl2br w:val="nil"/>
              <w:tr2bl w:val="nil"/>
            </w:tcBorders>
            <w:vAlign w:val="center"/>
          </w:tcPr>
          <w:p w14:paraId="15F7848E">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p>
        </w:tc>
        <w:tc>
          <w:tcPr>
            <w:tcW w:w="1557" w:type="dxa"/>
            <w:tcBorders>
              <w:tl2br w:val="nil"/>
              <w:tr2bl w:val="nil"/>
            </w:tcBorders>
            <w:vAlign w:val="center"/>
          </w:tcPr>
          <w:p w14:paraId="53A50850">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走安全通道，穿戴劳保用品</w:t>
            </w:r>
          </w:p>
        </w:tc>
      </w:tr>
      <w:tr w14:paraId="73F4128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5" w:type="dxa"/>
            <w:tcBorders>
              <w:tl2br w:val="nil"/>
              <w:tr2bl w:val="nil"/>
            </w:tcBorders>
            <w:vAlign w:val="center"/>
          </w:tcPr>
          <w:p w14:paraId="1E747598">
            <w:pPr>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5</w:t>
            </w:r>
          </w:p>
        </w:tc>
        <w:tc>
          <w:tcPr>
            <w:tcW w:w="1035" w:type="dxa"/>
            <w:vMerge w:val="restart"/>
            <w:tcBorders>
              <w:tl2br w:val="nil"/>
              <w:tr2bl w:val="nil"/>
            </w:tcBorders>
            <w:vAlign w:val="center"/>
          </w:tcPr>
          <w:p w14:paraId="74CFFB64">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临时设施上方坠物</w:t>
            </w:r>
          </w:p>
        </w:tc>
        <w:tc>
          <w:tcPr>
            <w:tcW w:w="1229" w:type="dxa"/>
            <w:tcBorders>
              <w:tl2br w:val="nil"/>
              <w:tr2bl w:val="nil"/>
            </w:tcBorders>
            <w:vAlign w:val="center"/>
          </w:tcPr>
          <w:p w14:paraId="69EC2DDA">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坠物</w:t>
            </w:r>
          </w:p>
        </w:tc>
        <w:tc>
          <w:tcPr>
            <w:tcW w:w="1380" w:type="dxa"/>
            <w:tcBorders>
              <w:tl2br w:val="nil"/>
              <w:tr2bl w:val="nil"/>
            </w:tcBorders>
            <w:vAlign w:val="center"/>
          </w:tcPr>
          <w:p w14:paraId="24A7EE39">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坠落</w:t>
            </w:r>
          </w:p>
        </w:tc>
        <w:tc>
          <w:tcPr>
            <w:tcW w:w="450" w:type="dxa"/>
            <w:tcBorders>
              <w:tl2br w:val="nil"/>
              <w:tr2bl w:val="nil"/>
            </w:tcBorders>
            <w:vAlign w:val="center"/>
          </w:tcPr>
          <w:p w14:paraId="596AB501">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p>
        </w:tc>
        <w:tc>
          <w:tcPr>
            <w:tcW w:w="405" w:type="dxa"/>
            <w:tcBorders>
              <w:tl2br w:val="nil"/>
              <w:tr2bl w:val="nil"/>
            </w:tcBorders>
            <w:vAlign w:val="center"/>
          </w:tcPr>
          <w:p w14:paraId="6DAEDF52">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p>
        </w:tc>
        <w:tc>
          <w:tcPr>
            <w:tcW w:w="435" w:type="dxa"/>
            <w:tcBorders>
              <w:tl2br w:val="nil"/>
              <w:tr2bl w:val="nil"/>
            </w:tcBorders>
            <w:vAlign w:val="center"/>
          </w:tcPr>
          <w:p w14:paraId="68BA4592">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8</w:t>
            </w:r>
          </w:p>
        </w:tc>
        <w:tc>
          <w:tcPr>
            <w:tcW w:w="480" w:type="dxa"/>
            <w:tcBorders>
              <w:tl2br w:val="nil"/>
              <w:tr2bl w:val="nil"/>
            </w:tcBorders>
            <w:vAlign w:val="center"/>
          </w:tcPr>
          <w:p w14:paraId="4D0BEAC0">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70</w:t>
            </w:r>
          </w:p>
        </w:tc>
        <w:tc>
          <w:tcPr>
            <w:tcW w:w="690" w:type="dxa"/>
            <w:tcBorders>
              <w:tl2br w:val="nil"/>
              <w:tr2bl w:val="nil"/>
            </w:tcBorders>
            <w:vAlign w:val="center"/>
          </w:tcPr>
          <w:p w14:paraId="5D399320">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p>
        </w:tc>
        <w:tc>
          <w:tcPr>
            <w:tcW w:w="1557" w:type="dxa"/>
            <w:tcBorders>
              <w:tl2br w:val="nil"/>
              <w:tr2bl w:val="nil"/>
            </w:tcBorders>
            <w:vAlign w:val="center"/>
          </w:tcPr>
          <w:p w14:paraId="04CE287E">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搭设双层安全防护棚</w:t>
            </w:r>
          </w:p>
        </w:tc>
      </w:tr>
      <w:tr w14:paraId="2D9C277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5" w:type="dxa"/>
            <w:tcBorders>
              <w:tl2br w:val="nil"/>
              <w:tr2bl w:val="nil"/>
            </w:tcBorders>
            <w:vAlign w:val="center"/>
          </w:tcPr>
          <w:p w14:paraId="7577E46A">
            <w:pPr>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6</w:t>
            </w:r>
          </w:p>
        </w:tc>
        <w:tc>
          <w:tcPr>
            <w:tcW w:w="1035" w:type="dxa"/>
            <w:vMerge w:val="continue"/>
            <w:tcBorders>
              <w:tl2br w:val="nil"/>
              <w:tr2bl w:val="nil"/>
            </w:tcBorders>
            <w:vAlign w:val="center"/>
          </w:tcPr>
          <w:p w14:paraId="13829DD6">
            <w:pPr>
              <w:ind w:firstLine="420"/>
              <w:rPr>
                <w:color w:val="000000" w:themeColor="text1"/>
                <w:sz w:val="21"/>
                <w14:textFill>
                  <w14:solidFill>
                    <w14:schemeClr w14:val="tx1"/>
                  </w14:solidFill>
                </w14:textFill>
              </w:rPr>
            </w:pPr>
          </w:p>
        </w:tc>
        <w:tc>
          <w:tcPr>
            <w:tcW w:w="1229" w:type="dxa"/>
            <w:tcBorders>
              <w:tl2br w:val="nil"/>
              <w:tr2bl w:val="nil"/>
            </w:tcBorders>
            <w:vAlign w:val="center"/>
          </w:tcPr>
          <w:p w14:paraId="14EDE0CE">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钢筋扎伤</w:t>
            </w:r>
          </w:p>
        </w:tc>
        <w:tc>
          <w:tcPr>
            <w:tcW w:w="1380" w:type="dxa"/>
            <w:tcBorders>
              <w:tl2br w:val="nil"/>
              <w:tr2bl w:val="nil"/>
            </w:tcBorders>
            <w:vAlign w:val="center"/>
          </w:tcPr>
          <w:p w14:paraId="04D5EBF2">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其他伤害</w:t>
            </w:r>
          </w:p>
        </w:tc>
        <w:tc>
          <w:tcPr>
            <w:tcW w:w="450" w:type="dxa"/>
            <w:tcBorders>
              <w:tl2br w:val="nil"/>
              <w:tr2bl w:val="nil"/>
            </w:tcBorders>
            <w:vAlign w:val="center"/>
          </w:tcPr>
          <w:p w14:paraId="1DC963BB">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p>
        </w:tc>
        <w:tc>
          <w:tcPr>
            <w:tcW w:w="405" w:type="dxa"/>
            <w:tcBorders>
              <w:tl2br w:val="nil"/>
              <w:tr2bl w:val="nil"/>
            </w:tcBorders>
            <w:vAlign w:val="center"/>
          </w:tcPr>
          <w:p w14:paraId="5203B4FB">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5</w:t>
            </w:r>
          </w:p>
        </w:tc>
        <w:tc>
          <w:tcPr>
            <w:tcW w:w="435" w:type="dxa"/>
            <w:tcBorders>
              <w:tl2br w:val="nil"/>
              <w:tr2bl w:val="nil"/>
            </w:tcBorders>
            <w:vAlign w:val="center"/>
          </w:tcPr>
          <w:p w14:paraId="7342D5ED">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8</w:t>
            </w:r>
          </w:p>
        </w:tc>
        <w:tc>
          <w:tcPr>
            <w:tcW w:w="480" w:type="dxa"/>
            <w:tcBorders>
              <w:tl2br w:val="nil"/>
              <w:tr2bl w:val="nil"/>
            </w:tcBorders>
            <w:vAlign w:val="center"/>
          </w:tcPr>
          <w:p w14:paraId="6615CFA5">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30</w:t>
            </w:r>
          </w:p>
        </w:tc>
        <w:tc>
          <w:tcPr>
            <w:tcW w:w="690" w:type="dxa"/>
            <w:tcBorders>
              <w:tl2br w:val="nil"/>
              <w:tr2bl w:val="nil"/>
            </w:tcBorders>
            <w:vAlign w:val="center"/>
          </w:tcPr>
          <w:p w14:paraId="6DCBD22B">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p>
        </w:tc>
        <w:tc>
          <w:tcPr>
            <w:tcW w:w="1557" w:type="dxa"/>
            <w:tcBorders>
              <w:tl2br w:val="nil"/>
              <w:tr2bl w:val="nil"/>
            </w:tcBorders>
            <w:vAlign w:val="center"/>
          </w:tcPr>
          <w:p w14:paraId="3F4AA4AC">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按照标准穿戴劳保防护用品</w:t>
            </w:r>
          </w:p>
        </w:tc>
      </w:tr>
      <w:tr w14:paraId="7A83B9C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5" w:type="dxa"/>
            <w:tcBorders>
              <w:tl2br w:val="nil"/>
              <w:tr2bl w:val="nil"/>
            </w:tcBorders>
            <w:vAlign w:val="center"/>
          </w:tcPr>
          <w:p w14:paraId="5AA1BC11">
            <w:pPr>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7</w:t>
            </w:r>
          </w:p>
        </w:tc>
        <w:tc>
          <w:tcPr>
            <w:tcW w:w="1035" w:type="dxa"/>
            <w:tcBorders>
              <w:tl2br w:val="nil"/>
              <w:tr2bl w:val="nil"/>
            </w:tcBorders>
            <w:vAlign w:val="center"/>
          </w:tcPr>
          <w:p w14:paraId="09B8C3DA">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其他</w:t>
            </w:r>
          </w:p>
        </w:tc>
        <w:tc>
          <w:tcPr>
            <w:tcW w:w="1229" w:type="dxa"/>
            <w:tcBorders>
              <w:tl2br w:val="nil"/>
              <w:tr2bl w:val="nil"/>
            </w:tcBorders>
            <w:vAlign w:val="center"/>
          </w:tcPr>
          <w:p w14:paraId="103E3659">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雷击</w:t>
            </w:r>
          </w:p>
        </w:tc>
        <w:tc>
          <w:tcPr>
            <w:tcW w:w="1380" w:type="dxa"/>
            <w:tcBorders>
              <w:tl2br w:val="nil"/>
              <w:tr2bl w:val="nil"/>
            </w:tcBorders>
            <w:vAlign w:val="center"/>
          </w:tcPr>
          <w:p w14:paraId="3DB7B7FE">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电击伤</w:t>
            </w:r>
          </w:p>
        </w:tc>
        <w:tc>
          <w:tcPr>
            <w:tcW w:w="450" w:type="dxa"/>
            <w:tcBorders>
              <w:tl2br w:val="nil"/>
              <w:tr2bl w:val="nil"/>
            </w:tcBorders>
            <w:vAlign w:val="center"/>
          </w:tcPr>
          <w:p w14:paraId="4C1A65F0">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p>
        </w:tc>
        <w:tc>
          <w:tcPr>
            <w:tcW w:w="405" w:type="dxa"/>
            <w:tcBorders>
              <w:tl2br w:val="nil"/>
              <w:tr2bl w:val="nil"/>
            </w:tcBorders>
            <w:vAlign w:val="center"/>
          </w:tcPr>
          <w:p w14:paraId="2BC579C9">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6</w:t>
            </w:r>
          </w:p>
        </w:tc>
        <w:tc>
          <w:tcPr>
            <w:tcW w:w="435" w:type="dxa"/>
            <w:tcBorders>
              <w:tl2br w:val="nil"/>
              <w:tr2bl w:val="nil"/>
            </w:tcBorders>
            <w:vAlign w:val="center"/>
          </w:tcPr>
          <w:p w14:paraId="51DDE671">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7</w:t>
            </w:r>
          </w:p>
        </w:tc>
        <w:tc>
          <w:tcPr>
            <w:tcW w:w="480" w:type="dxa"/>
            <w:tcBorders>
              <w:tl2br w:val="nil"/>
              <w:tr2bl w:val="nil"/>
            </w:tcBorders>
            <w:vAlign w:val="center"/>
          </w:tcPr>
          <w:p w14:paraId="48DE4F66">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6</w:t>
            </w:r>
          </w:p>
        </w:tc>
        <w:tc>
          <w:tcPr>
            <w:tcW w:w="690" w:type="dxa"/>
            <w:tcBorders>
              <w:tl2br w:val="nil"/>
              <w:tr2bl w:val="nil"/>
            </w:tcBorders>
            <w:vAlign w:val="center"/>
          </w:tcPr>
          <w:p w14:paraId="1398C770">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p>
        </w:tc>
        <w:tc>
          <w:tcPr>
            <w:tcW w:w="1557" w:type="dxa"/>
            <w:tcBorders>
              <w:tl2br w:val="nil"/>
              <w:tr2bl w:val="nil"/>
            </w:tcBorders>
            <w:vAlign w:val="center"/>
          </w:tcPr>
          <w:p w14:paraId="6727BCD2">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做好塔吊施工防雷接地措施，避免雨天作业</w:t>
            </w:r>
          </w:p>
        </w:tc>
      </w:tr>
    </w:tbl>
    <w:p w14:paraId="2A7AD9F1">
      <w:pPr>
        <w:pStyle w:val="47"/>
        <w:ind w:firstLine="422"/>
        <w:rPr>
          <w:rFonts w:ascii="Times New Roman" w:hAnsi="Times New Roman"/>
          <w:b/>
          <w:sz w:val="21"/>
          <w:szCs w:val="21"/>
        </w:rPr>
      </w:pPr>
    </w:p>
    <w:p w14:paraId="4607B383">
      <w:pPr>
        <w:pStyle w:val="47"/>
        <w:ind w:firstLine="422"/>
        <w:rPr>
          <w:rFonts w:ascii="Times New Roman" w:hAnsi="Times New Roman"/>
          <w:b/>
          <w:sz w:val="21"/>
          <w:szCs w:val="21"/>
        </w:rPr>
      </w:pPr>
    </w:p>
    <w:p w14:paraId="307E94F0">
      <w:pPr>
        <w:pStyle w:val="4"/>
        <w:tabs>
          <w:tab w:val="left" w:pos="0"/>
        </w:tabs>
        <w:spacing w:before="156" w:after="156"/>
        <w:ind w:firstLine="482"/>
        <w:sectPr>
          <w:pgSz w:w="11906" w:h="16838"/>
          <w:pgMar w:top="1440" w:right="1800" w:bottom="1440" w:left="1800" w:header="851" w:footer="992" w:gutter="0"/>
          <w:cols w:space="425" w:num="1"/>
          <w:docGrid w:type="lines" w:linePitch="312" w:charSpace="0"/>
        </w:sectPr>
      </w:pPr>
    </w:p>
    <w:p w14:paraId="032487B1">
      <w:pPr>
        <w:pStyle w:val="4"/>
        <w:tabs>
          <w:tab w:val="left" w:pos="0"/>
        </w:tabs>
        <w:spacing w:before="156" w:after="156"/>
        <w:ind w:firstLine="482"/>
      </w:pPr>
      <w:r>
        <w:rPr>
          <w:rFonts w:hint="eastAsia"/>
        </w:rPr>
        <w:t>风险分析与评论</w:t>
      </w:r>
    </w:p>
    <w:p w14:paraId="2B76563D">
      <w:pPr>
        <w:pStyle w:val="47"/>
        <w:ind w:firstLine="422"/>
        <w:rPr>
          <w:rFonts w:eastAsia="宋体" w:cs="宋体"/>
          <w:sz w:val="21"/>
          <w:szCs w:val="21"/>
        </w:rPr>
      </w:pPr>
      <w:r>
        <w:rPr>
          <w:rFonts w:hint="eastAsia" w:ascii="Times New Roman" w:hAnsi="Times New Roman"/>
          <w:b/>
          <w:sz w:val="21"/>
          <w:szCs w:val="21"/>
        </w:rPr>
        <w:t>表5.1-6 项目风险分析与评论措施表</w:t>
      </w:r>
    </w:p>
    <w:tbl>
      <w:tblPr>
        <w:tblStyle w:val="34"/>
        <w:tblW w:w="0" w:type="auto"/>
        <w:tblInd w:w="93"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510"/>
        <w:gridCol w:w="1340"/>
        <w:gridCol w:w="3164"/>
        <w:gridCol w:w="1613"/>
      </w:tblGrid>
      <w:tr w14:paraId="4DB5EA2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23" w:type="dxa"/>
            <w:tcBorders>
              <w:tl2br w:val="nil"/>
              <w:tr2bl w:val="nil"/>
            </w:tcBorders>
          </w:tcPr>
          <w:p w14:paraId="75D719D5">
            <w:pPr>
              <w:ind w:firstLine="0" w:firstLineChars="0"/>
              <w:rPr>
                <w:rFonts w:hint="eastAsia" w:ascii="宋体" w:hAnsi="宋体" w:cs="宋体"/>
                <w:sz w:val="21"/>
              </w:rPr>
            </w:pPr>
            <w:r>
              <w:rPr>
                <w:rFonts w:hint="eastAsia" w:ascii="宋体" w:hAnsi="宋体" w:cs="宋体"/>
                <w:sz w:val="21"/>
              </w:rPr>
              <w:t>序号</w:t>
            </w:r>
          </w:p>
        </w:tc>
        <w:tc>
          <w:tcPr>
            <w:tcW w:w="1510" w:type="dxa"/>
            <w:tcBorders>
              <w:tl2br w:val="nil"/>
              <w:tr2bl w:val="nil"/>
            </w:tcBorders>
          </w:tcPr>
          <w:p w14:paraId="5806EFA5">
            <w:pPr>
              <w:ind w:firstLine="0" w:firstLineChars="0"/>
              <w:rPr>
                <w:rFonts w:hint="eastAsia" w:ascii="宋体" w:hAnsi="宋体" w:cs="宋体"/>
                <w:sz w:val="21"/>
              </w:rPr>
            </w:pPr>
            <w:r>
              <w:rPr>
                <w:rFonts w:hint="eastAsia" w:ascii="宋体" w:hAnsi="宋体" w:cs="宋体"/>
                <w:sz w:val="21"/>
              </w:rPr>
              <w:t>危险点描述</w:t>
            </w:r>
          </w:p>
        </w:tc>
        <w:tc>
          <w:tcPr>
            <w:tcW w:w="1340" w:type="dxa"/>
            <w:tcBorders>
              <w:tl2br w:val="nil"/>
              <w:tr2bl w:val="nil"/>
            </w:tcBorders>
          </w:tcPr>
          <w:p w14:paraId="1D24831B">
            <w:pPr>
              <w:ind w:firstLine="0" w:firstLineChars="0"/>
              <w:jc w:val="center"/>
              <w:rPr>
                <w:rFonts w:hint="eastAsia" w:ascii="宋体" w:hAnsi="宋体" w:cs="宋体"/>
                <w:sz w:val="21"/>
              </w:rPr>
            </w:pPr>
            <w:r>
              <w:rPr>
                <w:rFonts w:hint="eastAsia" w:ascii="宋体" w:hAnsi="宋体" w:cs="宋体"/>
                <w:sz w:val="21"/>
              </w:rPr>
              <w:t>风险等级</w:t>
            </w:r>
          </w:p>
        </w:tc>
        <w:tc>
          <w:tcPr>
            <w:tcW w:w="3164" w:type="dxa"/>
            <w:tcBorders>
              <w:tl2br w:val="nil"/>
              <w:tr2bl w:val="nil"/>
            </w:tcBorders>
          </w:tcPr>
          <w:p w14:paraId="1CC66772">
            <w:pPr>
              <w:ind w:firstLine="0" w:firstLineChars="0"/>
              <w:rPr>
                <w:rFonts w:hint="eastAsia" w:ascii="宋体" w:hAnsi="宋体" w:cs="宋体"/>
                <w:sz w:val="21"/>
              </w:rPr>
            </w:pPr>
            <w:r>
              <w:rPr>
                <w:rFonts w:hint="eastAsia" w:ascii="宋体" w:hAnsi="宋体" w:cs="宋体"/>
                <w:sz w:val="21"/>
              </w:rPr>
              <w:t>拟采用的风险应对措施</w:t>
            </w:r>
          </w:p>
        </w:tc>
        <w:tc>
          <w:tcPr>
            <w:tcW w:w="1613" w:type="dxa"/>
            <w:tcBorders>
              <w:tl2br w:val="nil"/>
              <w:tr2bl w:val="nil"/>
            </w:tcBorders>
          </w:tcPr>
          <w:p w14:paraId="027B4294">
            <w:pPr>
              <w:ind w:firstLine="0" w:firstLineChars="0"/>
              <w:jc w:val="center"/>
              <w:rPr>
                <w:rFonts w:hint="eastAsia" w:ascii="宋体" w:hAnsi="宋体" w:cs="宋体"/>
                <w:sz w:val="21"/>
              </w:rPr>
            </w:pPr>
            <w:r>
              <w:rPr>
                <w:rFonts w:hint="eastAsia" w:ascii="宋体" w:hAnsi="宋体" w:cs="宋体"/>
                <w:sz w:val="21"/>
              </w:rPr>
              <w:t>备注</w:t>
            </w:r>
          </w:p>
        </w:tc>
      </w:tr>
      <w:tr w14:paraId="73F1765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23" w:type="dxa"/>
            <w:tcBorders>
              <w:tl2br w:val="nil"/>
              <w:tr2bl w:val="nil"/>
            </w:tcBorders>
            <w:vAlign w:val="center"/>
          </w:tcPr>
          <w:p w14:paraId="56E4B176">
            <w:pPr>
              <w:ind w:firstLine="0" w:firstLineChars="0"/>
              <w:jc w:val="center"/>
              <w:rPr>
                <w:rFonts w:hint="eastAsia" w:ascii="宋体" w:hAnsi="宋体" w:cs="宋体"/>
                <w:sz w:val="21"/>
              </w:rPr>
            </w:pPr>
            <w:r>
              <w:rPr>
                <w:rFonts w:hint="eastAsia" w:ascii="宋体" w:hAnsi="宋体" w:cs="宋体"/>
                <w:sz w:val="21"/>
              </w:rPr>
              <w:t>1</w:t>
            </w:r>
          </w:p>
        </w:tc>
        <w:tc>
          <w:tcPr>
            <w:tcW w:w="1510" w:type="dxa"/>
            <w:tcBorders>
              <w:tl2br w:val="nil"/>
              <w:tr2bl w:val="nil"/>
            </w:tcBorders>
            <w:vAlign w:val="center"/>
          </w:tcPr>
          <w:p w14:paraId="1E78DDCD">
            <w:pPr>
              <w:pStyle w:val="30"/>
              <w:widowControl/>
              <w:rPr>
                <w:rFonts w:hint="eastAsia" w:ascii="宋体" w:hAnsi="宋体" w:cs="宋体"/>
                <w:sz w:val="21"/>
                <w:szCs w:val="21"/>
              </w:rPr>
            </w:pPr>
            <w:r>
              <w:rPr>
                <w:rFonts w:hint="eastAsia" w:ascii="宋体" w:hAnsi="宋体" w:cs="宋体"/>
                <w:sz w:val="21"/>
                <w:szCs w:val="21"/>
              </w:rPr>
              <w:t>架体翻身,吊机受冲击损伤</w:t>
            </w:r>
          </w:p>
        </w:tc>
        <w:tc>
          <w:tcPr>
            <w:tcW w:w="1340" w:type="dxa"/>
            <w:tcBorders>
              <w:tl2br w:val="nil"/>
              <w:tr2bl w:val="nil"/>
            </w:tcBorders>
            <w:vAlign w:val="center"/>
          </w:tcPr>
          <w:p w14:paraId="1DE1C476">
            <w:pPr>
              <w:ind w:firstLine="420"/>
              <w:rPr>
                <w:rFonts w:hint="eastAsia" w:ascii="宋体" w:hAnsi="宋体" w:cs="宋体"/>
                <w:sz w:val="21"/>
              </w:rPr>
            </w:pPr>
            <w:r>
              <w:rPr>
                <w:rFonts w:hint="eastAsia" w:ascii="宋体" w:hAnsi="宋体" w:cs="宋体"/>
                <w:sz w:val="21"/>
              </w:rPr>
              <w:t>2</w:t>
            </w:r>
          </w:p>
        </w:tc>
        <w:tc>
          <w:tcPr>
            <w:tcW w:w="3164" w:type="dxa"/>
            <w:tcBorders>
              <w:tl2br w:val="nil"/>
              <w:tr2bl w:val="nil"/>
            </w:tcBorders>
            <w:vAlign w:val="center"/>
          </w:tcPr>
          <w:p w14:paraId="793AA52D">
            <w:pPr>
              <w:pStyle w:val="30"/>
              <w:widowControl/>
              <w:rPr>
                <w:rFonts w:hint="eastAsia" w:ascii="宋体" w:hAnsi="宋体" w:cs="宋体"/>
                <w:sz w:val="21"/>
                <w:szCs w:val="21"/>
              </w:rPr>
            </w:pPr>
            <w:r>
              <w:rPr>
                <w:rFonts w:hint="eastAsia" w:ascii="宋体" w:hAnsi="宋体" w:cs="宋体"/>
                <w:sz w:val="21"/>
                <w:szCs w:val="21"/>
              </w:rPr>
              <w:t>采用两点起吊法取大小钩抽吊,着地时应缓慢</w:t>
            </w:r>
          </w:p>
        </w:tc>
        <w:tc>
          <w:tcPr>
            <w:tcW w:w="1613" w:type="dxa"/>
            <w:tcBorders>
              <w:tl2br w:val="nil"/>
              <w:tr2bl w:val="nil"/>
            </w:tcBorders>
          </w:tcPr>
          <w:p w14:paraId="59DFA608">
            <w:pPr>
              <w:ind w:firstLine="420"/>
              <w:rPr>
                <w:rFonts w:hint="eastAsia" w:ascii="宋体" w:hAnsi="宋体" w:cs="宋体"/>
                <w:sz w:val="21"/>
              </w:rPr>
            </w:pPr>
          </w:p>
        </w:tc>
      </w:tr>
      <w:tr w14:paraId="6FE374C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23" w:type="dxa"/>
            <w:tcBorders>
              <w:tl2br w:val="nil"/>
              <w:tr2bl w:val="nil"/>
            </w:tcBorders>
            <w:vAlign w:val="center"/>
          </w:tcPr>
          <w:p w14:paraId="1154F378">
            <w:pPr>
              <w:ind w:firstLine="0" w:firstLineChars="0"/>
              <w:jc w:val="center"/>
              <w:rPr>
                <w:rFonts w:hint="eastAsia" w:ascii="宋体" w:hAnsi="宋体" w:cs="宋体"/>
                <w:sz w:val="21"/>
              </w:rPr>
            </w:pPr>
            <w:r>
              <w:rPr>
                <w:rFonts w:hint="eastAsia" w:ascii="宋体" w:hAnsi="宋体" w:cs="宋体"/>
                <w:sz w:val="21"/>
              </w:rPr>
              <w:t>2</w:t>
            </w:r>
          </w:p>
        </w:tc>
        <w:tc>
          <w:tcPr>
            <w:tcW w:w="1510" w:type="dxa"/>
            <w:tcBorders>
              <w:tl2br w:val="nil"/>
              <w:tr2bl w:val="nil"/>
            </w:tcBorders>
            <w:vAlign w:val="center"/>
          </w:tcPr>
          <w:p w14:paraId="030D07C2">
            <w:pPr>
              <w:ind w:firstLine="0" w:firstLineChars="0"/>
              <w:rPr>
                <w:rFonts w:hint="eastAsia" w:ascii="宋体" w:hAnsi="宋体" w:cs="宋体"/>
                <w:sz w:val="21"/>
              </w:rPr>
            </w:pPr>
            <w:r>
              <w:rPr>
                <w:rFonts w:hint="eastAsia" w:ascii="宋体" w:hAnsi="宋体" w:cs="宋体"/>
                <w:sz w:val="21"/>
              </w:rPr>
              <w:t>安装地脚锚栓不牢固或位置错误</w:t>
            </w:r>
          </w:p>
        </w:tc>
        <w:tc>
          <w:tcPr>
            <w:tcW w:w="1340" w:type="dxa"/>
            <w:tcBorders>
              <w:tl2br w:val="nil"/>
              <w:tr2bl w:val="nil"/>
            </w:tcBorders>
            <w:vAlign w:val="center"/>
          </w:tcPr>
          <w:p w14:paraId="25EF43B1">
            <w:pPr>
              <w:ind w:firstLine="420"/>
              <w:rPr>
                <w:rFonts w:hint="eastAsia" w:ascii="宋体" w:hAnsi="宋体" w:cs="宋体"/>
                <w:sz w:val="21"/>
              </w:rPr>
            </w:pPr>
            <w:r>
              <w:rPr>
                <w:rFonts w:hint="eastAsia" w:ascii="宋体" w:hAnsi="宋体" w:cs="宋体"/>
                <w:sz w:val="21"/>
              </w:rPr>
              <w:t>2</w:t>
            </w:r>
          </w:p>
        </w:tc>
        <w:tc>
          <w:tcPr>
            <w:tcW w:w="3164" w:type="dxa"/>
            <w:tcBorders>
              <w:tl2br w:val="nil"/>
              <w:tr2bl w:val="nil"/>
            </w:tcBorders>
            <w:vAlign w:val="center"/>
          </w:tcPr>
          <w:p w14:paraId="6704A934">
            <w:pPr>
              <w:ind w:firstLine="0" w:firstLineChars="0"/>
              <w:rPr>
                <w:rFonts w:hint="eastAsia" w:ascii="宋体" w:hAnsi="宋体" w:cs="宋体"/>
                <w:sz w:val="21"/>
              </w:rPr>
            </w:pPr>
            <w:r>
              <w:rPr>
                <w:rFonts w:hint="eastAsia" w:ascii="宋体" w:hAnsi="宋体" w:cs="宋体"/>
                <w:sz w:val="21"/>
              </w:rPr>
              <w:t>采用合格的地脚锚栓，测点放线误差在合格范围内</w:t>
            </w:r>
          </w:p>
        </w:tc>
        <w:tc>
          <w:tcPr>
            <w:tcW w:w="1613" w:type="dxa"/>
            <w:tcBorders>
              <w:tl2br w:val="nil"/>
              <w:tr2bl w:val="nil"/>
            </w:tcBorders>
          </w:tcPr>
          <w:p w14:paraId="38DC20CF">
            <w:pPr>
              <w:ind w:firstLine="420"/>
              <w:rPr>
                <w:rFonts w:hint="eastAsia" w:ascii="宋体" w:hAnsi="宋体" w:cs="宋体"/>
                <w:sz w:val="21"/>
              </w:rPr>
            </w:pPr>
          </w:p>
        </w:tc>
      </w:tr>
      <w:tr w14:paraId="2F38B2E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23" w:type="dxa"/>
            <w:tcBorders>
              <w:tl2br w:val="nil"/>
              <w:tr2bl w:val="nil"/>
            </w:tcBorders>
            <w:vAlign w:val="center"/>
          </w:tcPr>
          <w:p w14:paraId="0403A607">
            <w:pPr>
              <w:ind w:firstLine="0" w:firstLineChars="0"/>
              <w:jc w:val="center"/>
              <w:rPr>
                <w:rFonts w:hint="eastAsia" w:ascii="宋体" w:hAnsi="宋体" w:cs="宋体"/>
                <w:sz w:val="21"/>
              </w:rPr>
            </w:pPr>
            <w:r>
              <w:rPr>
                <w:rFonts w:hint="eastAsia" w:ascii="宋体" w:hAnsi="宋体" w:cs="宋体"/>
                <w:sz w:val="21"/>
              </w:rPr>
              <w:t>3</w:t>
            </w:r>
          </w:p>
        </w:tc>
        <w:tc>
          <w:tcPr>
            <w:tcW w:w="1510" w:type="dxa"/>
            <w:tcBorders>
              <w:tl2br w:val="nil"/>
              <w:tr2bl w:val="nil"/>
            </w:tcBorders>
            <w:vAlign w:val="center"/>
          </w:tcPr>
          <w:p w14:paraId="1B0502C8">
            <w:pPr>
              <w:ind w:firstLine="0" w:firstLineChars="0"/>
              <w:rPr>
                <w:rFonts w:hint="eastAsia" w:ascii="宋体" w:hAnsi="宋体" w:cs="宋体"/>
                <w:sz w:val="21"/>
              </w:rPr>
            </w:pPr>
            <w:r>
              <w:rPr>
                <w:rFonts w:hint="eastAsia" w:ascii="宋体" w:hAnsi="宋体" w:cs="宋体"/>
                <w:sz w:val="21"/>
              </w:rPr>
              <w:t>塔机停电与非工作状态</w:t>
            </w:r>
          </w:p>
        </w:tc>
        <w:tc>
          <w:tcPr>
            <w:tcW w:w="1340" w:type="dxa"/>
            <w:tcBorders>
              <w:tl2br w:val="nil"/>
              <w:tr2bl w:val="nil"/>
            </w:tcBorders>
            <w:vAlign w:val="center"/>
          </w:tcPr>
          <w:p w14:paraId="2A487AE4">
            <w:pPr>
              <w:ind w:firstLine="420"/>
              <w:rPr>
                <w:rFonts w:hint="eastAsia" w:ascii="宋体" w:hAnsi="宋体" w:cs="宋体"/>
                <w:sz w:val="21"/>
              </w:rPr>
            </w:pPr>
            <w:r>
              <w:rPr>
                <w:rFonts w:hint="eastAsia" w:ascii="宋体" w:hAnsi="宋体" w:cs="宋体"/>
                <w:sz w:val="21"/>
              </w:rPr>
              <w:t>3</w:t>
            </w:r>
          </w:p>
        </w:tc>
        <w:tc>
          <w:tcPr>
            <w:tcW w:w="3164" w:type="dxa"/>
            <w:tcBorders>
              <w:tl2br w:val="nil"/>
              <w:tr2bl w:val="nil"/>
            </w:tcBorders>
            <w:vAlign w:val="center"/>
          </w:tcPr>
          <w:p w14:paraId="399F3433">
            <w:pPr>
              <w:pStyle w:val="11"/>
              <w:jc w:val="left"/>
              <w:rPr>
                <w:rFonts w:hint="eastAsia" w:ascii="宋体" w:hAnsi="宋体" w:cs="宋体"/>
                <w:sz w:val="21"/>
                <w:szCs w:val="21"/>
              </w:rPr>
            </w:pPr>
            <w:r>
              <w:rPr>
                <w:rFonts w:hint="eastAsia" w:ascii="宋体" w:hAnsi="宋体" w:cs="宋体"/>
                <w:sz w:val="21"/>
                <w:szCs w:val="21"/>
              </w:rPr>
              <w:t>1、配备回转刹车备用电源；</w:t>
            </w:r>
          </w:p>
          <w:p w14:paraId="2BA26B49">
            <w:pPr>
              <w:pStyle w:val="11"/>
              <w:jc w:val="left"/>
              <w:rPr>
                <w:rFonts w:hint="eastAsia" w:ascii="宋体" w:hAnsi="宋体" w:cs="宋体"/>
                <w:sz w:val="21"/>
                <w:szCs w:val="21"/>
              </w:rPr>
            </w:pPr>
            <w:r>
              <w:rPr>
                <w:rFonts w:hint="eastAsia" w:ascii="宋体" w:hAnsi="宋体" w:cs="宋体"/>
                <w:sz w:val="21"/>
                <w:szCs w:val="21"/>
              </w:rPr>
              <w:t>2、备用限制回转的木楔；</w:t>
            </w:r>
          </w:p>
          <w:p w14:paraId="10FA926F">
            <w:pPr>
              <w:pStyle w:val="11"/>
              <w:jc w:val="left"/>
              <w:rPr>
                <w:rFonts w:hint="eastAsia" w:ascii="宋体" w:hAnsi="宋体" w:cs="宋体"/>
                <w:sz w:val="21"/>
                <w:szCs w:val="21"/>
              </w:rPr>
            </w:pPr>
            <w:r>
              <w:rPr>
                <w:rFonts w:hint="eastAsia" w:ascii="宋体" w:hAnsi="宋体" w:cs="宋体"/>
                <w:sz w:val="21"/>
                <w:szCs w:val="21"/>
              </w:rPr>
              <w:t>对回转进行限位，塔吊上设置红色警示灯；</w:t>
            </w:r>
          </w:p>
          <w:p w14:paraId="77D067AA">
            <w:pPr>
              <w:pStyle w:val="11"/>
              <w:jc w:val="left"/>
              <w:rPr>
                <w:rFonts w:hint="eastAsia" w:ascii="宋体" w:hAnsi="宋体" w:cs="宋体"/>
                <w:sz w:val="21"/>
                <w:szCs w:val="21"/>
              </w:rPr>
            </w:pPr>
            <w:r>
              <w:rPr>
                <w:rFonts w:hint="eastAsia" w:ascii="宋体" w:hAnsi="宋体" w:cs="宋体"/>
                <w:sz w:val="21"/>
                <w:szCs w:val="21"/>
              </w:rPr>
              <w:t>设置临近回转限位的减速报警装置；</w:t>
            </w:r>
          </w:p>
          <w:p w14:paraId="1125DF92">
            <w:pPr>
              <w:pStyle w:val="11"/>
              <w:jc w:val="left"/>
              <w:rPr>
                <w:rFonts w:hint="eastAsia" w:ascii="宋体" w:hAnsi="宋体" w:cs="宋体"/>
                <w:sz w:val="21"/>
                <w:szCs w:val="21"/>
              </w:rPr>
            </w:pPr>
            <w:r>
              <w:rPr>
                <w:rFonts w:hint="eastAsia" w:ascii="宋体" w:hAnsi="宋体" w:cs="宋体"/>
                <w:sz w:val="21"/>
                <w:szCs w:val="21"/>
              </w:rPr>
              <w:t>拆除回转高速档；</w:t>
            </w:r>
          </w:p>
          <w:p w14:paraId="74FE8C6C">
            <w:pPr>
              <w:pStyle w:val="11"/>
              <w:jc w:val="left"/>
              <w:rPr>
                <w:rFonts w:hint="eastAsia" w:ascii="宋体" w:hAnsi="宋体" w:cs="宋体"/>
                <w:sz w:val="21"/>
                <w:szCs w:val="21"/>
              </w:rPr>
            </w:pPr>
            <w:r>
              <w:rPr>
                <w:rFonts w:hint="eastAsia" w:ascii="宋体" w:hAnsi="宋体" w:cs="宋体"/>
                <w:sz w:val="21"/>
                <w:szCs w:val="21"/>
              </w:rPr>
              <w:t>在地面设置锚固点；</w:t>
            </w:r>
          </w:p>
          <w:p w14:paraId="645E07C3">
            <w:pPr>
              <w:pStyle w:val="11"/>
              <w:jc w:val="left"/>
              <w:rPr>
                <w:rFonts w:hint="eastAsia" w:ascii="宋体" w:hAnsi="宋体" w:cs="宋体"/>
                <w:sz w:val="21"/>
                <w:szCs w:val="21"/>
              </w:rPr>
            </w:pPr>
            <w:r>
              <w:rPr>
                <w:rFonts w:hint="eastAsia" w:ascii="宋体" w:hAnsi="宋体" w:cs="宋体"/>
                <w:sz w:val="21"/>
                <w:szCs w:val="21"/>
              </w:rPr>
              <w:t>提前减速，机械制档。</w:t>
            </w:r>
          </w:p>
        </w:tc>
        <w:tc>
          <w:tcPr>
            <w:tcW w:w="1613" w:type="dxa"/>
            <w:tcBorders>
              <w:tl2br w:val="nil"/>
              <w:tr2bl w:val="nil"/>
            </w:tcBorders>
          </w:tcPr>
          <w:p w14:paraId="065CBFDA">
            <w:pPr>
              <w:ind w:firstLine="420"/>
              <w:rPr>
                <w:rFonts w:hint="eastAsia" w:ascii="宋体" w:hAnsi="宋体" w:cs="宋体"/>
                <w:sz w:val="21"/>
              </w:rPr>
            </w:pPr>
          </w:p>
        </w:tc>
      </w:tr>
      <w:tr w14:paraId="5D1DD39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23" w:type="dxa"/>
            <w:tcBorders>
              <w:tl2br w:val="nil"/>
              <w:tr2bl w:val="nil"/>
            </w:tcBorders>
            <w:vAlign w:val="center"/>
          </w:tcPr>
          <w:p w14:paraId="2D346EA3">
            <w:pPr>
              <w:ind w:firstLine="0" w:firstLineChars="0"/>
              <w:jc w:val="center"/>
              <w:rPr>
                <w:rFonts w:hint="eastAsia" w:ascii="宋体" w:hAnsi="宋体" w:cs="宋体"/>
                <w:sz w:val="21"/>
              </w:rPr>
            </w:pPr>
            <w:r>
              <w:rPr>
                <w:rFonts w:hint="eastAsia" w:ascii="宋体" w:hAnsi="宋体" w:cs="宋体"/>
                <w:sz w:val="21"/>
              </w:rPr>
              <w:t>4</w:t>
            </w:r>
          </w:p>
        </w:tc>
        <w:tc>
          <w:tcPr>
            <w:tcW w:w="1510" w:type="dxa"/>
            <w:tcBorders>
              <w:tl2br w:val="nil"/>
              <w:tr2bl w:val="nil"/>
            </w:tcBorders>
            <w:vAlign w:val="center"/>
          </w:tcPr>
          <w:p w14:paraId="4F851C76">
            <w:pPr>
              <w:ind w:firstLine="0" w:firstLineChars="0"/>
              <w:rPr>
                <w:rFonts w:hint="eastAsia" w:ascii="宋体" w:hAnsi="宋体" w:cs="宋体"/>
                <w:sz w:val="21"/>
              </w:rPr>
            </w:pPr>
            <w:r>
              <w:rPr>
                <w:rFonts w:hint="eastAsia" w:ascii="宋体" w:hAnsi="宋体" w:cs="宋体"/>
                <w:sz w:val="21"/>
              </w:rPr>
              <w:t>雷雨天气造成雷击伤害</w:t>
            </w:r>
          </w:p>
        </w:tc>
        <w:tc>
          <w:tcPr>
            <w:tcW w:w="1340" w:type="dxa"/>
            <w:tcBorders>
              <w:tl2br w:val="nil"/>
              <w:tr2bl w:val="nil"/>
            </w:tcBorders>
            <w:vAlign w:val="center"/>
          </w:tcPr>
          <w:p w14:paraId="40A1AC04">
            <w:pPr>
              <w:ind w:firstLine="420"/>
              <w:rPr>
                <w:rFonts w:hint="eastAsia" w:ascii="宋体" w:hAnsi="宋体" w:cs="宋体"/>
                <w:sz w:val="21"/>
              </w:rPr>
            </w:pPr>
            <w:r>
              <w:rPr>
                <w:rFonts w:hint="eastAsia" w:ascii="宋体" w:hAnsi="宋体" w:cs="宋体"/>
                <w:sz w:val="21"/>
              </w:rPr>
              <w:t>2</w:t>
            </w:r>
          </w:p>
        </w:tc>
        <w:tc>
          <w:tcPr>
            <w:tcW w:w="3164" w:type="dxa"/>
            <w:tcBorders>
              <w:tl2br w:val="nil"/>
              <w:tr2bl w:val="nil"/>
            </w:tcBorders>
            <w:vAlign w:val="center"/>
          </w:tcPr>
          <w:p w14:paraId="1550E46E">
            <w:pPr>
              <w:ind w:firstLine="0" w:firstLineChars="0"/>
              <w:rPr>
                <w:rFonts w:hint="eastAsia" w:ascii="宋体" w:hAnsi="宋体" w:cs="宋体"/>
                <w:sz w:val="21"/>
              </w:rPr>
            </w:pPr>
            <w:r>
              <w:rPr>
                <w:rFonts w:hint="eastAsia" w:ascii="宋体" w:hAnsi="宋体" w:cs="宋体"/>
                <w:sz w:val="21"/>
              </w:rPr>
              <w:t>对塔吊及基础做防雷接地施工，防止塔吊操作人员因雷击受伤</w:t>
            </w:r>
          </w:p>
        </w:tc>
        <w:tc>
          <w:tcPr>
            <w:tcW w:w="1613" w:type="dxa"/>
            <w:tcBorders>
              <w:tl2br w:val="nil"/>
              <w:tr2bl w:val="nil"/>
            </w:tcBorders>
          </w:tcPr>
          <w:p w14:paraId="5B5814AB">
            <w:pPr>
              <w:ind w:firstLine="420"/>
              <w:rPr>
                <w:rFonts w:hint="eastAsia" w:ascii="宋体" w:hAnsi="宋体" w:cs="宋体"/>
                <w:sz w:val="21"/>
              </w:rPr>
            </w:pPr>
          </w:p>
        </w:tc>
      </w:tr>
      <w:tr w14:paraId="00F7E15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23" w:type="dxa"/>
            <w:tcBorders>
              <w:tl2br w:val="nil"/>
              <w:tr2bl w:val="nil"/>
            </w:tcBorders>
            <w:vAlign w:val="center"/>
          </w:tcPr>
          <w:p w14:paraId="5C4C12AA">
            <w:pPr>
              <w:ind w:firstLine="0" w:firstLineChars="0"/>
              <w:jc w:val="center"/>
              <w:rPr>
                <w:rFonts w:hint="eastAsia" w:ascii="宋体" w:hAnsi="宋体" w:cs="宋体"/>
                <w:sz w:val="21"/>
              </w:rPr>
            </w:pPr>
            <w:r>
              <w:rPr>
                <w:rFonts w:hint="eastAsia" w:ascii="宋体" w:hAnsi="宋体" w:cs="宋体"/>
                <w:sz w:val="21"/>
              </w:rPr>
              <w:t>5</w:t>
            </w:r>
          </w:p>
        </w:tc>
        <w:tc>
          <w:tcPr>
            <w:tcW w:w="1510" w:type="dxa"/>
            <w:tcBorders>
              <w:tl2br w:val="nil"/>
              <w:tr2bl w:val="nil"/>
            </w:tcBorders>
            <w:vAlign w:val="center"/>
          </w:tcPr>
          <w:p w14:paraId="6D74DB6C">
            <w:pPr>
              <w:ind w:firstLine="0" w:firstLineChars="0"/>
              <w:rPr>
                <w:rFonts w:hint="eastAsia" w:ascii="宋体" w:hAnsi="宋体" w:cs="宋体"/>
                <w:sz w:val="21"/>
              </w:rPr>
            </w:pPr>
            <w:r>
              <w:rPr>
                <w:rFonts w:hint="eastAsia" w:ascii="宋体" w:hAnsi="宋体" w:cs="宋体"/>
                <w:sz w:val="21"/>
              </w:rPr>
              <w:t>交叉作业塔机相互碰撞</w:t>
            </w:r>
          </w:p>
        </w:tc>
        <w:tc>
          <w:tcPr>
            <w:tcW w:w="1340" w:type="dxa"/>
            <w:tcBorders>
              <w:tl2br w:val="nil"/>
              <w:tr2bl w:val="nil"/>
            </w:tcBorders>
            <w:vAlign w:val="center"/>
          </w:tcPr>
          <w:p w14:paraId="3712AC01">
            <w:pPr>
              <w:ind w:firstLine="420"/>
              <w:rPr>
                <w:rFonts w:hint="eastAsia" w:ascii="宋体" w:hAnsi="宋体" w:cs="宋体"/>
                <w:sz w:val="21"/>
              </w:rPr>
            </w:pPr>
            <w:r>
              <w:rPr>
                <w:rFonts w:hint="eastAsia" w:ascii="宋体" w:hAnsi="宋体" w:cs="宋体"/>
                <w:sz w:val="21"/>
              </w:rPr>
              <w:t>3</w:t>
            </w:r>
          </w:p>
        </w:tc>
        <w:tc>
          <w:tcPr>
            <w:tcW w:w="3164" w:type="dxa"/>
            <w:tcBorders>
              <w:tl2br w:val="nil"/>
              <w:tr2bl w:val="nil"/>
            </w:tcBorders>
            <w:vAlign w:val="center"/>
          </w:tcPr>
          <w:p w14:paraId="625D803F">
            <w:pPr>
              <w:pStyle w:val="11"/>
              <w:jc w:val="left"/>
              <w:rPr>
                <w:rFonts w:hint="eastAsia" w:ascii="宋体" w:hAnsi="宋体" w:cs="宋体"/>
                <w:sz w:val="21"/>
                <w:szCs w:val="21"/>
              </w:rPr>
            </w:pPr>
            <w:r>
              <w:rPr>
                <w:rFonts w:hint="eastAsia" w:ascii="宋体" w:hAnsi="宋体" w:cs="宋体"/>
                <w:sz w:val="21"/>
                <w:szCs w:val="21"/>
              </w:rPr>
              <w:t>1、相邻塔机高度错开；</w:t>
            </w:r>
          </w:p>
          <w:p w14:paraId="380DE194">
            <w:pPr>
              <w:pStyle w:val="11"/>
              <w:jc w:val="left"/>
              <w:rPr>
                <w:rFonts w:hint="eastAsia" w:ascii="宋体" w:hAnsi="宋体" w:cs="宋体"/>
                <w:sz w:val="21"/>
                <w:szCs w:val="21"/>
              </w:rPr>
            </w:pPr>
            <w:r>
              <w:rPr>
                <w:rFonts w:hint="eastAsia" w:ascii="宋体" w:hAnsi="宋体" w:cs="宋体"/>
                <w:sz w:val="21"/>
                <w:szCs w:val="21"/>
              </w:rPr>
              <w:t>2、实施升节审批管理；</w:t>
            </w:r>
          </w:p>
          <w:p w14:paraId="0793CBCD">
            <w:pPr>
              <w:pStyle w:val="11"/>
              <w:jc w:val="left"/>
              <w:rPr>
                <w:rFonts w:hint="eastAsia" w:ascii="宋体" w:hAnsi="宋体" w:cs="宋体"/>
                <w:sz w:val="21"/>
                <w:szCs w:val="21"/>
              </w:rPr>
            </w:pPr>
            <w:r>
              <w:rPr>
                <w:rFonts w:hint="eastAsia" w:ascii="宋体" w:hAnsi="宋体" w:cs="宋体"/>
                <w:sz w:val="21"/>
                <w:szCs w:val="21"/>
              </w:rPr>
              <w:t>3、制定塔机避让规则；</w:t>
            </w:r>
          </w:p>
          <w:p w14:paraId="4BFE3391">
            <w:pPr>
              <w:pStyle w:val="11"/>
              <w:jc w:val="left"/>
              <w:rPr>
                <w:rFonts w:hint="eastAsia" w:ascii="宋体" w:hAnsi="宋体" w:cs="宋体"/>
                <w:sz w:val="21"/>
                <w:szCs w:val="21"/>
              </w:rPr>
            </w:pPr>
            <w:r>
              <w:rPr>
                <w:rFonts w:hint="eastAsia" w:ascii="宋体" w:hAnsi="宋体" w:cs="宋体"/>
                <w:sz w:val="21"/>
                <w:szCs w:val="21"/>
              </w:rPr>
              <w:t>4、设置塔机幅度标示和回转限位；</w:t>
            </w:r>
          </w:p>
          <w:p w14:paraId="720D0F13">
            <w:pPr>
              <w:pStyle w:val="11"/>
              <w:jc w:val="left"/>
              <w:rPr>
                <w:rFonts w:hint="eastAsia" w:ascii="宋体" w:hAnsi="宋体" w:cs="宋体"/>
                <w:sz w:val="21"/>
                <w:szCs w:val="21"/>
              </w:rPr>
            </w:pPr>
            <w:r>
              <w:rPr>
                <w:rFonts w:hint="eastAsia" w:ascii="宋体" w:hAnsi="宋体" w:cs="宋体"/>
                <w:sz w:val="21"/>
                <w:szCs w:val="21"/>
              </w:rPr>
              <w:t>5、向作业人员安全交底；</w:t>
            </w:r>
          </w:p>
          <w:p w14:paraId="7A083E17">
            <w:pPr>
              <w:pStyle w:val="11"/>
              <w:jc w:val="left"/>
              <w:rPr>
                <w:rFonts w:hint="eastAsia" w:ascii="宋体" w:hAnsi="宋体" w:cs="宋体"/>
                <w:sz w:val="21"/>
                <w:szCs w:val="21"/>
              </w:rPr>
            </w:pPr>
            <w:r>
              <w:rPr>
                <w:rFonts w:hint="eastAsia" w:ascii="宋体" w:hAnsi="宋体" w:cs="宋体"/>
                <w:sz w:val="21"/>
                <w:szCs w:val="21"/>
              </w:rPr>
              <w:t>6、合理布置材料堆场；</w:t>
            </w:r>
          </w:p>
          <w:p w14:paraId="2942F1AB">
            <w:pPr>
              <w:pStyle w:val="11"/>
              <w:jc w:val="left"/>
              <w:rPr>
                <w:rFonts w:hint="eastAsia" w:ascii="宋体" w:hAnsi="宋体" w:cs="宋体"/>
                <w:sz w:val="21"/>
                <w:szCs w:val="21"/>
              </w:rPr>
            </w:pPr>
            <w:r>
              <w:rPr>
                <w:rFonts w:hint="eastAsia" w:ascii="宋体" w:hAnsi="宋体" w:cs="宋体"/>
                <w:sz w:val="21"/>
                <w:szCs w:val="21"/>
              </w:rPr>
              <w:t>7、配备回转刹车备用电源；</w:t>
            </w:r>
          </w:p>
          <w:p w14:paraId="083DE399">
            <w:pPr>
              <w:pStyle w:val="11"/>
              <w:jc w:val="left"/>
              <w:rPr>
                <w:rFonts w:hint="eastAsia" w:ascii="宋体" w:hAnsi="宋体" w:cs="宋体"/>
                <w:sz w:val="21"/>
                <w:szCs w:val="21"/>
              </w:rPr>
            </w:pPr>
            <w:r>
              <w:rPr>
                <w:rFonts w:hint="eastAsia" w:ascii="宋体" w:hAnsi="宋体" w:cs="宋体"/>
                <w:sz w:val="21"/>
                <w:szCs w:val="21"/>
              </w:rPr>
              <w:t>8、备用木楔；</w:t>
            </w:r>
          </w:p>
          <w:p w14:paraId="49511A15">
            <w:pPr>
              <w:pStyle w:val="11"/>
              <w:jc w:val="left"/>
              <w:rPr>
                <w:rFonts w:hint="eastAsia" w:ascii="宋体" w:hAnsi="宋体" w:cs="宋体"/>
                <w:sz w:val="21"/>
                <w:szCs w:val="21"/>
              </w:rPr>
            </w:pPr>
            <w:r>
              <w:rPr>
                <w:rFonts w:hint="eastAsia" w:ascii="宋体" w:hAnsi="宋体" w:cs="宋体"/>
                <w:sz w:val="21"/>
                <w:szCs w:val="21"/>
              </w:rPr>
              <w:t>9、向作业人员安全交底；</w:t>
            </w:r>
          </w:p>
          <w:p w14:paraId="476265A1">
            <w:pPr>
              <w:pStyle w:val="11"/>
              <w:jc w:val="left"/>
              <w:rPr>
                <w:rFonts w:hint="eastAsia" w:ascii="宋体" w:hAnsi="宋体" w:cs="宋体"/>
                <w:sz w:val="21"/>
                <w:szCs w:val="21"/>
              </w:rPr>
            </w:pPr>
            <w:r>
              <w:rPr>
                <w:rFonts w:hint="eastAsia" w:ascii="宋体" w:hAnsi="宋体" w:cs="宋体"/>
                <w:sz w:val="21"/>
                <w:szCs w:val="21"/>
              </w:rPr>
              <w:t>10、监督检查；</w:t>
            </w:r>
          </w:p>
        </w:tc>
        <w:tc>
          <w:tcPr>
            <w:tcW w:w="1613" w:type="dxa"/>
            <w:tcBorders>
              <w:tl2br w:val="nil"/>
              <w:tr2bl w:val="nil"/>
            </w:tcBorders>
          </w:tcPr>
          <w:p w14:paraId="24E1AEB3">
            <w:pPr>
              <w:ind w:firstLine="420"/>
              <w:rPr>
                <w:rFonts w:hint="eastAsia" w:ascii="宋体" w:hAnsi="宋体" w:cs="宋体"/>
                <w:sz w:val="21"/>
              </w:rPr>
            </w:pPr>
          </w:p>
        </w:tc>
      </w:tr>
      <w:tr w14:paraId="6C20C93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23" w:type="dxa"/>
            <w:tcBorders>
              <w:tl2br w:val="nil"/>
              <w:tr2bl w:val="nil"/>
            </w:tcBorders>
            <w:vAlign w:val="center"/>
          </w:tcPr>
          <w:p w14:paraId="408DB2E8">
            <w:pPr>
              <w:ind w:firstLine="0" w:firstLineChars="0"/>
              <w:jc w:val="center"/>
              <w:rPr>
                <w:rFonts w:hint="eastAsia" w:ascii="宋体" w:hAnsi="宋体" w:cs="宋体"/>
                <w:sz w:val="21"/>
              </w:rPr>
            </w:pPr>
            <w:r>
              <w:rPr>
                <w:rFonts w:hint="eastAsia" w:ascii="宋体" w:hAnsi="宋体" w:cs="宋体"/>
                <w:sz w:val="21"/>
              </w:rPr>
              <w:t>6</w:t>
            </w:r>
          </w:p>
        </w:tc>
        <w:tc>
          <w:tcPr>
            <w:tcW w:w="1510" w:type="dxa"/>
            <w:tcBorders>
              <w:tl2br w:val="nil"/>
              <w:tr2bl w:val="nil"/>
            </w:tcBorders>
            <w:vAlign w:val="center"/>
          </w:tcPr>
          <w:p w14:paraId="17154D5F">
            <w:pPr>
              <w:ind w:firstLine="0" w:firstLineChars="0"/>
              <w:rPr>
                <w:rFonts w:hint="eastAsia" w:ascii="宋体" w:hAnsi="宋体" w:cs="宋体"/>
                <w:sz w:val="21"/>
              </w:rPr>
            </w:pPr>
            <w:r>
              <w:rPr>
                <w:rFonts w:hint="eastAsia" w:ascii="宋体" w:hAnsi="宋体" w:cs="宋体"/>
                <w:sz w:val="21"/>
              </w:rPr>
              <w:t>3#、9#、10#、11#塔旋转半径覆盖部分居民区和道路</w:t>
            </w:r>
          </w:p>
        </w:tc>
        <w:tc>
          <w:tcPr>
            <w:tcW w:w="1340" w:type="dxa"/>
            <w:tcBorders>
              <w:tl2br w:val="nil"/>
              <w:tr2bl w:val="nil"/>
            </w:tcBorders>
            <w:vAlign w:val="center"/>
          </w:tcPr>
          <w:p w14:paraId="2745E159">
            <w:pPr>
              <w:ind w:firstLine="420"/>
              <w:rPr>
                <w:rFonts w:hint="eastAsia" w:ascii="宋体" w:hAnsi="宋体" w:cs="宋体"/>
                <w:sz w:val="21"/>
              </w:rPr>
            </w:pPr>
            <w:r>
              <w:rPr>
                <w:rFonts w:hint="eastAsia" w:ascii="宋体" w:hAnsi="宋体" w:cs="宋体"/>
                <w:sz w:val="21"/>
              </w:rPr>
              <w:t>3</w:t>
            </w:r>
          </w:p>
        </w:tc>
        <w:tc>
          <w:tcPr>
            <w:tcW w:w="3164" w:type="dxa"/>
            <w:tcBorders>
              <w:tl2br w:val="nil"/>
              <w:tr2bl w:val="nil"/>
            </w:tcBorders>
            <w:vAlign w:val="center"/>
          </w:tcPr>
          <w:p w14:paraId="3EE2D0C6">
            <w:pPr>
              <w:pStyle w:val="11"/>
              <w:jc w:val="left"/>
              <w:rPr>
                <w:rFonts w:hint="eastAsia" w:ascii="宋体" w:hAnsi="宋体" w:cs="宋体"/>
                <w:sz w:val="21"/>
                <w:szCs w:val="21"/>
              </w:rPr>
            </w:pPr>
            <w:r>
              <w:rPr>
                <w:rFonts w:hint="eastAsia" w:ascii="宋体" w:hAnsi="宋体" w:cs="宋体"/>
                <w:sz w:val="21"/>
                <w:szCs w:val="21"/>
              </w:rPr>
              <w:t>1、设置塔吊行程限位，确保塔吊作业区域范围安全区域；</w:t>
            </w:r>
          </w:p>
          <w:p w14:paraId="1E7013AC">
            <w:pPr>
              <w:pStyle w:val="11"/>
              <w:jc w:val="left"/>
              <w:rPr>
                <w:rFonts w:hint="eastAsia" w:ascii="宋体" w:hAnsi="宋体" w:cs="宋体"/>
                <w:sz w:val="21"/>
                <w:szCs w:val="21"/>
              </w:rPr>
            </w:pPr>
            <w:r>
              <w:rPr>
                <w:rFonts w:hint="eastAsia" w:ascii="宋体" w:hAnsi="宋体" w:cs="宋体"/>
                <w:sz w:val="21"/>
                <w:szCs w:val="21"/>
              </w:rPr>
              <w:t>2、在行人密集的道路区域设置防护棚；</w:t>
            </w:r>
          </w:p>
          <w:p w14:paraId="4CAF7BDC">
            <w:pPr>
              <w:pStyle w:val="11"/>
              <w:jc w:val="left"/>
              <w:rPr>
                <w:rFonts w:hint="eastAsia" w:ascii="宋体" w:hAnsi="宋体" w:cs="宋体"/>
                <w:sz w:val="21"/>
                <w:szCs w:val="21"/>
              </w:rPr>
            </w:pPr>
            <w:r>
              <w:rPr>
                <w:rFonts w:hint="eastAsia" w:ascii="宋体" w:hAnsi="宋体" w:cs="宋体"/>
                <w:sz w:val="21"/>
                <w:szCs w:val="21"/>
              </w:rPr>
              <w:t>3、塔吊司机和指挥人员必须持有效证件上岗，并是操作熟练、经验丰富、责任心强的人员担任；</w:t>
            </w:r>
          </w:p>
          <w:p w14:paraId="032F809D">
            <w:pPr>
              <w:pStyle w:val="11"/>
              <w:jc w:val="left"/>
              <w:rPr>
                <w:rFonts w:hint="eastAsia" w:ascii="宋体" w:hAnsi="宋体" w:cs="宋体"/>
                <w:sz w:val="21"/>
                <w:szCs w:val="21"/>
              </w:rPr>
            </w:pPr>
            <w:r>
              <w:rPr>
                <w:rFonts w:hint="eastAsia" w:ascii="宋体" w:hAnsi="宋体" w:cs="宋体"/>
                <w:sz w:val="21"/>
                <w:szCs w:val="21"/>
              </w:rPr>
              <w:t>4、对3#、9#、10#、11#塔吊设置专职安全员，对上述塔吊每天施工不定时检查，加强指挥和塔吊司机的安全教育。</w:t>
            </w:r>
          </w:p>
        </w:tc>
        <w:tc>
          <w:tcPr>
            <w:tcW w:w="1613" w:type="dxa"/>
            <w:tcBorders>
              <w:tl2br w:val="nil"/>
              <w:tr2bl w:val="nil"/>
            </w:tcBorders>
          </w:tcPr>
          <w:p w14:paraId="5065CAC5">
            <w:pPr>
              <w:ind w:firstLine="420"/>
              <w:rPr>
                <w:rFonts w:hint="eastAsia" w:ascii="宋体" w:hAnsi="宋体" w:cs="宋体"/>
                <w:sz w:val="21"/>
              </w:rPr>
            </w:pPr>
          </w:p>
        </w:tc>
      </w:tr>
      <w:bookmarkEnd w:id="147"/>
      <w:bookmarkEnd w:id="148"/>
    </w:tbl>
    <w:p w14:paraId="40D38E02">
      <w:pPr>
        <w:pStyle w:val="3"/>
        <w:spacing w:before="156" w:after="156"/>
        <w:ind w:firstLine="562"/>
        <w:rPr>
          <w:color w:val="000000" w:themeColor="text1"/>
          <w14:textFill>
            <w14:solidFill>
              <w14:schemeClr w14:val="tx1"/>
            </w14:solidFill>
          </w14:textFill>
        </w:rPr>
      </w:pPr>
      <w:bookmarkStart w:id="149" w:name="_Toc18690"/>
      <w:bookmarkStart w:id="150" w:name="_Toc22738"/>
      <w:bookmarkStart w:id="151" w:name="_Toc20420"/>
      <w:bookmarkStart w:id="152" w:name="_Toc5668"/>
      <w:bookmarkStart w:id="153" w:name="_Toc40778445"/>
      <w:bookmarkStart w:id="154" w:name="_Toc17347"/>
      <w:bookmarkStart w:id="155" w:name="_Toc11379"/>
      <w:bookmarkStart w:id="156" w:name="_Toc6917"/>
      <w:bookmarkStart w:id="157" w:name="_Toc14971"/>
      <w:r>
        <w:rPr>
          <w:rFonts w:hint="eastAsia"/>
          <w:color w:val="000000" w:themeColor="text1"/>
          <w14:textFill>
            <w14:solidFill>
              <w14:schemeClr w14:val="tx1"/>
            </w14:solidFill>
          </w14:textFill>
        </w:rPr>
        <w:t>组织保障措施</w:t>
      </w:r>
      <w:bookmarkEnd w:id="149"/>
      <w:bookmarkEnd w:id="150"/>
      <w:bookmarkEnd w:id="151"/>
    </w:p>
    <w:p w14:paraId="0EFBAC89">
      <w:pPr>
        <w:pStyle w:val="4"/>
        <w:tabs>
          <w:tab w:val="left" w:pos="0"/>
        </w:tabs>
        <w:spacing w:before="156" w:after="156"/>
        <w:ind w:firstLine="482"/>
      </w:pPr>
      <w:bookmarkStart w:id="158" w:name="_Toc1471"/>
      <w:r>
        <w:rPr>
          <w:rFonts w:hint="eastAsia"/>
        </w:rPr>
        <w:t>安全组织机构</w:t>
      </w:r>
      <w:bookmarkEnd w:id="158"/>
    </w:p>
    <w:p w14:paraId="6816B405">
      <w:pPr>
        <w:ind w:firstLine="562"/>
      </w:pPr>
      <w:r>
        <w:rPr>
          <w:rFonts w:ascii="仿宋" w:hAnsi="仿宋" w:eastAsia="仿宋"/>
          <w:b/>
          <w:color w:val="000000" w:themeColor="text1"/>
          <w:sz w:val="28"/>
          <w:szCs w:val="28"/>
          <w14:textFill>
            <w14:solidFill>
              <w14:schemeClr w14:val="tx1"/>
            </w14:solidFill>
          </w14:textFill>
        </w:rPr>
        <w:drawing>
          <wp:inline distT="0" distB="0" distL="0" distR="0">
            <wp:extent cx="4495165" cy="2714625"/>
            <wp:effectExtent l="0" t="0" r="0" b="133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495784" cy="2714625"/>
                    </a:xfrm>
                    <a:prstGeom prst="rect">
                      <a:avLst/>
                    </a:prstGeom>
                    <a:noFill/>
                  </pic:spPr>
                </pic:pic>
              </a:graphicData>
            </a:graphic>
          </wp:inline>
        </w:drawing>
      </w:r>
    </w:p>
    <w:p w14:paraId="4A05231F">
      <w:pPr>
        <w:ind w:firstLine="422"/>
        <w:jc w:val="center"/>
      </w:pPr>
      <w:r>
        <w:rPr>
          <w:rFonts w:hint="eastAsia" w:ascii="宋体" w:hAnsi="宋体" w:cs="宋体"/>
          <w:b/>
          <w:bCs/>
          <w:sz w:val="21"/>
        </w:rPr>
        <w:t>图5.2-1安全管理组织机构图</w:t>
      </w:r>
    </w:p>
    <w:p w14:paraId="4221270A">
      <w:pPr>
        <w:pStyle w:val="4"/>
        <w:tabs>
          <w:tab w:val="left" w:pos="0"/>
        </w:tabs>
        <w:spacing w:before="156" w:after="156"/>
        <w:ind w:firstLine="482"/>
      </w:pPr>
      <w:bookmarkStart w:id="159" w:name="_Toc29545"/>
      <w:r>
        <w:rPr>
          <w:rFonts w:hint="eastAsia"/>
        </w:rPr>
        <w:t>安全保证体系</w:t>
      </w:r>
      <w:bookmarkEnd w:id="159"/>
    </w:p>
    <w:p w14:paraId="0CE38F1D">
      <w:pPr>
        <w:pStyle w:val="80"/>
        <w:ind w:firstLine="560"/>
        <w:rPr>
          <w:rFonts w:hint="eastAsia"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drawing>
          <wp:inline distT="0" distB="0" distL="0" distR="0">
            <wp:extent cx="4997450" cy="608266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noChangeArrowheads="1"/>
                    </pic:cNvPicPr>
                  </pic:nvPicPr>
                  <pic:blipFill>
                    <a:blip r:embed="rId40">
                      <a:extLst>
                        <a:ext uri="{28A0092B-C50C-407E-A947-70E740481C1C}">
                          <a14:useLocalDpi xmlns:a14="http://schemas.microsoft.com/office/drawing/2010/main" val="0"/>
                        </a:ext>
                      </a:extLst>
                    </a:blip>
                    <a:srcRect l="4368"/>
                    <a:stretch>
                      <a:fillRect/>
                    </a:stretch>
                  </pic:blipFill>
                  <pic:spPr>
                    <a:xfrm>
                      <a:off x="0" y="0"/>
                      <a:ext cx="5001401" cy="6087389"/>
                    </a:xfrm>
                    <a:prstGeom prst="rect">
                      <a:avLst/>
                    </a:prstGeom>
                    <a:noFill/>
                    <a:ln>
                      <a:noFill/>
                    </a:ln>
                  </pic:spPr>
                </pic:pic>
              </a:graphicData>
            </a:graphic>
          </wp:inline>
        </w:drawing>
      </w:r>
    </w:p>
    <w:p w14:paraId="10F61545">
      <w:pPr>
        <w:ind w:firstLine="422"/>
        <w:jc w:val="center"/>
        <w:rPr>
          <w:rFonts w:hint="eastAsia" w:ascii="仿宋" w:hAnsi="仿宋" w:eastAsia="仿宋"/>
          <w:color w:val="000000" w:themeColor="text1"/>
          <w:sz w:val="21"/>
          <w14:textFill>
            <w14:solidFill>
              <w14:schemeClr w14:val="tx1"/>
            </w14:solidFill>
          </w14:textFill>
        </w:rPr>
      </w:pPr>
      <w:r>
        <w:rPr>
          <w:rFonts w:hint="eastAsia" w:ascii="宋体" w:hAnsi="宋体" w:cs="宋体"/>
          <w:b/>
          <w:bCs/>
          <w:sz w:val="21"/>
        </w:rPr>
        <w:t>图5.2-2安全保证体系机构图</w:t>
      </w:r>
    </w:p>
    <w:p w14:paraId="4B9AA15A">
      <w:pPr>
        <w:pStyle w:val="4"/>
        <w:tabs>
          <w:tab w:val="left" w:pos="0"/>
        </w:tabs>
        <w:spacing w:before="156" w:after="156"/>
        <w:ind w:firstLine="482"/>
      </w:pPr>
      <w:bookmarkStart w:id="160" w:name="_Toc18746"/>
      <w:r>
        <w:rPr>
          <w:rFonts w:hint="eastAsia"/>
        </w:rPr>
        <w:t>安全生产职责</w:t>
      </w:r>
      <w:bookmarkEnd w:id="160"/>
    </w:p>
    <w:p w14:paraId="062CD6C3">
      <w:pPr>
        <w:pStyle w:val="47"/>
        <w:ind w:firstLine="422"/>
        <w:jc w:val="center"/>
      </w:pPr>
      <w:r>
        <w:rPr>
          <w:rFonts w:hint="eastAsia" w:ascii="Times New Roman" w:hAnsi="Times New Roman"/>
          <w:b/>
          <w:sz w:val="21"/>
          <w:szCs w:val="21"/>
        </w:rPr>
        <w:t>表5.2-1 安全生产职责表</w:t>
      </w:r>
    </w:p>
    <w:tbl>
      <w:tblPr>
        <w:tblStyle w:val="33"/>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1337"/>
        <w:gridCol w:w="6381"/>
      </w:tblGrid>
      <w:tr w14:paraId="5EAD58E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04" w:type="dxa"/>
            <w:tcBorders>
              <w:top w:val="double" w:color="auto" w:sz="4" w:space="0"/>
              <w:bottom w:val="single" w:color="auto" w:sz="4" w:space="0"/>
            </w:tcBorders>
            <w:shd w:val="clear" w:color="auto" w:fill="D9D9D9"/>
            <w:vAlign w:val="center"/>
          </w:tcPr>
          <w:p w14:paraId="01379AE2">
            <w:pPr>
              <w:pStyle w:val="83"/>
              <w:jc w:val="both"/>
              <w:rPr>
                <w:rFonts w:hint="eastAsia" w:ascii="宋体" w:hAnsi="宋体" w:cs="宋体"/>
                <w:b/>
                <w:bCs/>
              </w:rPr>
            </w:pPr>
            <w:r>
              <w:rPr>
                <w:rFonts w:hint="eastAsia" w:ascii="宋体" w:hAnsi="宋体" w:cs="宋体"/>
                <w:b/>
                <w:bCs/>
              </w:rPr>
              <w:t>序号</w:t>
            </w:r>
          </w:p>
        </w:tc>
        <w:tc>
          <w:tcPr>
            <w:tcW w:w="1337" w:type="dxa"/>
            <w:tcBorders>
              <w:top w:val="double" w:color="auto" w:sz="4" w:space="0"/>
              <w:bottom w:val="single" w:color="auto" w:sz="4" w:space="0"/>
            </w:tcBorders>
            <w:shd w:val="clear" w:color="auto" w:fill="D9D9D9"/>
            <w:vAlign w:val="center"/>
          </w:tcPr>
          <w:p w14:paraId="4D3D91BD">
            <w:pPr>
              <w:pStyle w:val="83"/>
              <w:jc w:val="both"/>
              <w:rPr>
                <w:rFonts w:hint="eastAsia" w:ascii="宋体" w:hAnsi="宋体" w:cs="宋体"/>
                <w:b/>
                <w:bCs/>
              </w:rPr>
            </w:pPr>
            <w:r>
              <w:rPr>
                <w:rFonts w:hint="eastAsia" w:ascii="宋体" w:hAnsi="宋体" w:cs="宋体"/>
                <w:b/>
                <w:bCs/>
              </w:rPr>
              <w:t>岗位/部门</w:t>
            </w:r>
          </w:p>
        </w:tc>
        <w:tc>
          <w:tcPr>
            <w:tcW w:w="6381" w:type="dxa"/>
            <w:tcBorders>
              <w:top w:val="double" w:color="auto" w:sz="4" w:space="0"/>
              <w:bottom w:val="single" w:color="auto" w:sz="4" w:space="0"/>
            </w:tcBorders>
            <w:shd w:val="clear" w:color="auto" w:fill="D9D9D9"/>
            <w:vAlign w:val="center"/>
          </w:tcPr>
          <w:p w14:paraId="4E0CDDFF">
            <w:pPr>
              <w:pStyle w:val="83"/>
              <w:ind w:firstLine="422"/>
              <w:rPr>
                <w:rFonts w:hint="eastAsia" w:ascii="宋体" w:hAnsi="宋体" w:cs="宋体"/>
                <w:b/>
                <w:bCs/>
              </w:rPr>
            </w:pPr>
            <w:r>
              <w:rPr>
                <w:rFonts w:hint="eastAsia" w:ascii="宋体" w:hAnsi="宋体" w:cs="宋体"/>
                <w:b/>
                <w:bCs/>
              </w:rPr>
              <w:t>绿色施工、环境保护管理职责</w:t>
            </w:r>
          </w:p>
        </w:tc>
      </w:tr>
      <w:tr w14:paraId="5213B65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04" w:type="dxa"/>
            <w:tcBorders>
              <w:top w:val="single" w:color="auto" w:sz="4" w:space="0"/>
            </w:tcBorders>
            <w:vAlign w:val="center"/>
          </w:tcPr>
          <w:p w14:paraId="3B377007">
            <w:pPr>
              <w:pStyle w:val="83"/>
              <w:rPr>
                <w:rFonts w:hint="eastAsia" w:ascii="宋体" w:hAnsi="宋体" w:cs="宋体"/>
              </w:rPr>
            </w:pPr>
            <w:r>
              <w:rPr>
                <w:rFonts w:hint="eastAsia" w:ascii="宋体" w:hAnsi="宋体" w:cs="宋体"/>
              </w:rPr>
              <w:t>1</w:t>
            </w:r>
          </w:p>
        </w:tc>
        <w:tc>
          <w:tcPr>
            <w:tcW w:w="1337" w:type="dxa"/>
            <w:tcBorders>
              <w:top w:val="single" w:color="auto" w:sz="4" w:space="0"/>
            </w:tcBorders>
            <w:vAlign w:val="center"/>
          </w:tcPr>
          <w:p w14:paraId="58D19089">
            <w:pPr>
              <w:pStyle w:val="83"/>
              <w:jc w:val="both"/>
              <w:rPr>
                <w:rFonts w:hint="eastAsia" w:ascii="宋体" w:hAnsi="宋体" w:cs="宋体"/>
              </w:rPr>
            </w:pPr>
            <w:r>
              <w:rPr>
                <w:rFonts w:hint="eastAsia" w:ascii="宋体" w:hAnsi="宋体" w:cs="宋体"/>
              </w:rPr>
              <w:t>项目经理</w:t>
            </w:r>
          </w:p>
        </w:tc>
        <w:tc>
          <w:tcPr>
            <w:tcW w:w="6381" w:type="dxa"/>
            <w:tcBorders>
              <w:top w:val="single" w:color="auto" w:sz="4" w:space="0"/>
            </w:tcBorders>
            <w:vAlign w:val="center"/>
          </w:tcPr>
          <w:p w14:paraId="7AA2C95C">
            <w:pPr>
              <w:pStyle w:val="83"/>
              <w:jc w:val="left"/>
              <w:rPr>
                <w:rFonts w:hint="eastAsia" w:ascii="宋体" w:hAnsi="宋体" w:cs="宋体"/>
              </w:rPr>
            </w:pPr>
            <w:r>
              <w:rPr>
                <w:rFonts w:hint="eastAsia" w:ascii="宋体" w:hAnsi="宋体" w:cs="宋体"/>
              </w:rPr>
              <w:t>第一责任人，负责安全施工的组织实施及目标实现，并指定安全施工管理人员和监督人员。贯彻执行安全施工法律法规和各项规章制度，对项目施工全过程的安全施工负全面领导责任。</w:t>
            </w:r>
          </w:p>
        </w:tc>
      </w:tr>
      <w:tr w14:paraId="5E5E1BF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04" w:type="dxa"/>
            <w:vAlign w:val="center"/>
          </w:tcPr>
          <w:p w14:paraId="59474BC6">
            <w:pPr>
              <w:pStyle w:val="83"/>
              <w:rPr>
                <w:rFonts w:hint="eastAsia" w:ascii="宋体" w:hAnsi="宋体" w:cs="宋体"/>
              </w:rPr>
            </w:pPr>
            <w:r>
              <w:rPr>
                <w:rFonts w:hint="eastAsia" w:ascii="宋体" w:hAnsi="宋体" w:cs="宋体"/>
              </w:rPr>
              <w:t>2</w:t>
            </w:r>
          </w:p>
        </w:tc>
        <w:tc>
          <w:tcPr>
            <w:tcW w:w="1337" w:type="dxa"/>
            <w:vAlign w:val="center"/>
          </w:tcPr>
          <w:p w14:paraId="1F32C3CC">
            <w:pPr>
              <w:pStyle w:val="83"/>
              <w:jc w:val="both"/>
              <w:rPr>
                <w:rFonts w:hint="eastAsia" w:ascii="宋体" w:hAnsi="宋体" w:cs="宋体"/>
              </w:rPr>
            </w:pPr>
            <w:r>
              <w:rPr>
                <w:rFonts w:hint="eastAsia" w:ascii="宋体" w:hAnsi="宋体" w:cs="宋体"/>
              </w:rPr>
              <w:t>工程技术部</w:t>
            </w:r>
          </w:p>
        </w:tc>
        <w:tc>
          <w:tcPr>
            <w:tcW w:w="6381" w:type="dxa"/>
            <w:vAlign w:val="center"/>
          </w:tcPr>
          <w:p w14:paraId="798E2CEB">
            <w:pPr>
              <w:pStyle w:val="83"/>
              <w:jc w:val="left"/>
              <w:rPr>
                <w:rFonts w:hint="eastAsia" w:ascii="宋体" w:hAnsi="宋体" w:cs="宋体"/>
              </w:rPr>
            </w:pPr>
            <w:r>
              <w:rPr>
                <w:rFonts w:hint="eastAsia" w:ascii="宋体" w:hAnsi="宋体" w:cs="宋体"/>
              </w:rPr>
              <w:t>负责实施安全施工措施，参加安全施工检查，提出相应的整改措施，督促落实。</w:t>
            </w:r>
          </w:p>
        </w:tc>
      </w:tr>
      <w:tr w14:paraId="6DF38D7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04" w:type="dxa"/>
            <w:vAlign w:val="center"/>
          </w:tcPr>
          <w:p w14:paraId="5B63E8CF">
            <w:pPr>
              <w:pStyle w:val="83"/>
              <w:rPr>
                <w:rFonts w:hint="eastAsia" w:ascii="宋体" w:hAnsi="宋体" w:cs="宋体"/>
              </w:rPr>
            </w:pPr>
            <w:r>
              <w:rPr>
                <w:rFonts w:hint="eastAsia" w:ascii="宋体" w:hAnsi="宋体" w:cs="宋体"/>
              </w:rPr>
              <w:t>3</w:t>
            </w:r>
          </w:p>
        </w:tc>
        <w:tc>
          <w:tcPr>
            <w:tcW w:w="1337" w:type="dxa"/>
            <w:vAlign w:val="center"/>
          </w:tcPr>
          <w:p w14:paraId="22E746BC">
            <w:pPr>
              <w:pStyle w:val="83"/>
              <w:jc w:val="both"/>
              <w:rPr>
                <w:rFonts w:hint="eastAsia" w:ascii="宋体" w:hAnsi="宋体" w:cs="宋体"/>
              </w:rPr>
            </w:pPr>
            <w:r>
              <w:rPr>
                <w:rFonts w:hint="eastAsia" w:ascii="宋体" w:hAnsi="宋体" w:cs="宋体"/>
              </w:rPr>
              <w:t>安全监督部</w:t>
            </w:r>
          </w:p>
        </w:tc>
        <w:tc>
          <w:tcPr>
            <w:tcW w:w="6381" w:type="dxa"/>
            <w:vAlign w:val="center"/>
          </w:tcPr>
          <w:p w14:paraId="1D91659A">
            <w:pPr>
              <w:pStyle w:val="83"/>
              <w:jc w:val="left"/>
              <w:rPr>
                <w:rFonts w:hint="eastAsia" w:ascii="宋体" w:hAnsi="宋体" w:cs="宋体"/>
              </w:rPr>
            </w:pPr>
            <w:r>
              <w:rPr>
                <w:rFonts w:hint="eastAsia" w:ascii="宋体" w:hAnsi="宋体" w:cs="宋体"/>
              </w:rPr>
              <w:t>对安全施工负总责，贯彻和宣传有关的安全施工法律法规，严格审核安全技术方案、安全技术交底等，贯彻落实国家环境管理方针、政策，严格执行技术规程、规范、标准文件。</w:t>
            </w:r>
          </w:p>
        </w:tc>
      </w:tr>
      <w:tr w14:paraId="71DFE37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04" w:type="dxa"/>
            <w:vAlign w:val="center"/>
          </w:tcPr>
          <w:p w14:paraId="33875491">
            <w:pPr>
              <w:pStyle w:val="83"/>
              <w:rPr>
                <w:rFonts w:hint="eastAsia" w:ascii="宋体" w:hAnsi="宋体" w:cs="宋体"/>
              </w:rPr>
            </w:pPr>
            <w:r>
              <w:rPr>
                <w:rFonts w:hint="eastAsia" w:ascii="宋体" w:hAnsi="宋体" w:cs="宋体"/>
              </w:rPr>
              <w:t>4</w:t>
            </w:r>
          </w:p>
        </w:tc>
        <w:tc>
          <w:tcPr>
            <w:tcW w:w="1337" w:type="dxa"/>
            <w:vAlign w:val="center"/>
          </w:tcPr>
          <w:p w14:paraId="69C41105">
            <w:pPr>
              <w:pStyle w:val="83"/>
              <w:jc w:val="both"/>
              <w:rPr>
                <w:rFonts w:hint="eastAsia" w:ascii="宋体" w:hAnsi="宋体" w:cs="宋体"/>
              </w:rPr>
            </w:pPr>
            <w:r>
              <w:rPr>
                <w:rFonts w:hint="eastAsia" w:ascii="宋体" w:hAnsi="宋体" w:cs="宋体"/>
              </w:rPr>
              <w:t>质检部</w:t>
            </w:r>
          </w:p>
        </w:tc>
        <w:tc>
          <w:tcPr>
            <w:tcW w:w="6381" w:type="dxa"/>
            <w:vAlign w:val="center"/>
          </w:tcPr>
          <w:p w14:paraId="21CDDE8F">
            <w:pPr>
              <w:pStyle w:val="83"/>
              <w:jc w:val="left"/>
              <w:rPr>
                <w:rFonts w:hint="eastAsia" w:ascii="宋体" w:hAnsi="宋体" w:cs="宋体"/>
              </w:rPr>
            </w:pPr>
            <w:r>
              <w:rPr>
                <w:rFonts w:hint="eastAsia" w:ascii="宋体" w:hAnsi="宋体" w:cs="宋体"/>
              </w:rPr>
              <w:t>组织落实各项安全施工规章制度，并监督检查。</w:t>
            </w:r>
          </w:p>
        </w:tc>
      </w:tr>
      <w:tr w14:paraId="2C5D9DD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04" w:type="dxa"/>
            <w:vAlign w:val="center"/>
          </w:tcPr>
          <w:p w14:paraId="352581E7">
            <w:pPr>
              <w:pStyle w:val="83"/>
              <w:rPr>
                <w:rFonts w:hint="eastAsia" w:ascii="宋体" w:hAnsi="宋体" w:cs="宋体"/>
              </w:rPr>
            </w:pPr>
            <w:r>
              <w:rPr>
                <w:rFonts w:hint="eastAsia" w:ascii="宋体" w:hAnsi="宋体" w:cs="宋体"/>
              </w:rPr>
              <w:t>5</w:t>
            </w:r>
          </w:p>
        </w:tc>
        <w:tc>
          <w:tcPr>
            <w:tcW w:w="1337" w:type="dxa"/>
            <w:vAlign w:val="center"/>
          </w:tcPr>
          <w:p w14:paraId="7AF54D90">
            <w:pPr>
              <w:pStyle w:val="83"/>
              <w:jc w:val="both"/>
              <w:rPr>
                <w:rFonts w:hint="eastAsia" w:ascii="宋体" w:hAnsi="宋体" w:cs="宋体"/>
              </w:rPr>
            </w:pPr>
            <w:r>
              <w:rPr>
                <w:rFonts w:hint="eastAsia" w:ascii="宋体" w:hAnsi="宋体" w:cs="宋体"/>
              </w:rPr>
              <w:t>物资设备部</w:t>
            </w:r>
          </w:p>
        </w:tc>
        <w:tc>
          <w:tcPr>
            <w:tcW w:w="6381" w:type="dxa"/>
            <w:vAlign w:val="center"/>
          </w:tcPr>
          <w:p w14:paraId="2FAD7491">
            <w:pPr>
              <w:pStyle w:val="83"/>
              <w:jc w:val="left"/>
              <w:rPr>
                <w:rFonts w:hint="eastAsia" w:ascii="宋体" w:hAnsi="宋体" w:cs="宋体"/>
              </w:rPr>
            </w:pPr>
            <w:r>
              <w:rPr>
                <w:rFonts w:hint="eastAsia" w:ascii="宋体" w:hAnsi="宋体" w:cs="宋体"/>
              </w:rPr>
              <w:t>参加安全施工检查，对检查出的不符合因素，提出相应整改措施。负责材料设备等绿色施工措施落实。</w:t>
            </w:r>
          </w:p>
        </w:tc>
      </w:tr>
      <w:tr w14:paraId="08E98F1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04" w:type="dxa"/>
            <w:vAlign w:val="center"/>
          </w:tcPr>
          <w:p w14:paraId="1E7D1FAB">
            <w:pPr>
              <w:pStyle w:val="83"/>
              <w:rPr>
                <w:rFonts w:hint="eastAsia" w:ascii="宋体" w:hAnsi="宋体" w:cs="宋体"/>
              </w:rPr>
            </w:pPr>
            <w:r>
              <w:rPr>
                <w:rFonts w:hint="eastAsia" w:ascii="宋体" w:hAnsi="宋体" w:cs="宋体"/>
              </w:rPr>
              <w:t>6</w:t>
            </w:r>
          </w:p>
        </w:tc>
        <w:tc>
          <w:tcPr>
            <w:tcW w:w="1337" w:type="dxa"/>
            <w:vAlign w:val="center"/>
          </w:tcPr>
          <w:p w14:paraId="41349F70">
            <w:pPr>
              <w:pStyle w:val="83"/>
              <w:jc w:val="both"/>
              <w:rPr>
                <w:rFonts w:hint="eastAsia" w:ascii="宋体" w:hAnsi="宋体" w:cs="宋体"/>
              </w:rPr>
            </w:pPr>
            <w:r>
              <w:rPr>
                <w:rFonts w:hint="eastAsia" w:ascii="宋体" w:hAnsi="宋体" w:cs="宋体"/>
              </w:rPr>
              <w:t>财务部</w:t>
            </w:r>
          </w:p>
        </w:tc>
        <w:tc>
          <w:tcPr>
            <w:tcW w:w="6381" w:type="dxa"/>
            <w:vAlign w:val="center"/>
          </w:tcPr>
          <w:p w14:paraId="1AD56DFF">
            <w:pPr>
              <w:pStyle w:val="83"/>
              <w:jc w:val="left"/>
              <w:rPr>
                <w:rFonts w:hint="eastAsia" w:ascii="宋体" w:hAnsi="宋体" w:cs="宋体"/>
              </w:rPr>
            </w:pPr>
            <w:r>
              <w:rPr>
                <w:rFonts w:hint="eastAsia" w:ascii="宋体" w:hAnsi="宋体" w:cs="宋体"/>
              </w:rPr>
              <w:t>负责节省安全环保施工相关费用的落实和管理。</w:t>
            </w:r>
          </w:p>
        </w:tc>
      </w:tr>
      <w:tr w14:paraId="295FB66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04" w:type="dxa"/>
            <w:vAlign w:val="center"/>
          </w:tcPr>
          <w:p w14:paraId="0323AC85">
            <w:pPr>
              <w:pStyle w:val="83"/>
              <w:rPr>
                <w:rFonts w:hint="eastAsia" w:ascii="宋体" w:hAnsi="宋体" w:cs="宋体"/>
              </w:rPr>
            </w:pPr>
            <w:r>
              <w:rPr>
                <w:rFonts w:hint="eastAsia" w:ascii="宋体" w:hAnsi="宋体" w:cs="宋体"/>
              </w:rPr>
              <w:t>7</w:t>
            </w:r>
          </w:p>
        </w:tc>
        <w:tc>
          <w:tcPr>
            <w:tcW w:w="1337" w:type="dxa"/>
            <w:vAlign w:val="center"/>
          </w:tcPr>
          <w:p w14:paraId="0A9E1627">
            <w:pPr>
              <w:pStyle w:val="83"/>
              <w:jc w:val="both"/>
              <w:rPr>
                <w:rFonts w:hint="eastAsia" w:ascii="宋体" w:hAnsi="宋体" w:cs="宋体"/>
              </w:rPr>
            </w:pPr>
            <w:r>
              <w:rPr>
                <w:rFonts w:hint="eastAsia" w:ascii="宋体" w:hAnsi="宋体" w:cs="宋体"/>
              </w:rPr>
              <w:t>综合办公室</w:t>
            </w:r>
          </w:p>
        </w:tc>
        <w:tc>
          <w:tcPr>
            <w:tcW w:w="6381" w:type="dxa"/>
            <w:vAlign w:val="center"/>
          </w:tcPr>
          <w:p w14:paraId="6DC4939C">
            <w:pPr>
              <w:pStyle w:val="83"/>
              <w:jc w:val="left"/>
              <w:rPr>
                <w:rFonts w:hint="eastAsia" w:ascii="宋体" w:hAnsi="宋体" w:cs="宋体"/>
              </w:rPr>
            </w:pPr>
            <w:r>
              <w:rPr>
                <w:rFonts w:hint="eastAsia" w:ascii="宋体" w:hAnsi="宋体" w:cs="宋体"/>
              </w:rPr>
              <w:t>负责后勤管理、疫情防治管理、保卫管理等工作。</w:t>
            </w:r>
          </w:p>
        </w:tc>
      </w:tr>
    </w:tbl>
    <w:p w14:paraId="57E59051">
      <w:pPr>
        <w:pStyle w:val="4"/>
        <w:tabs>
          <w:tab w:val="left" w:pos="0"/>
          <w:tab w:val="left" w:pos="426"/>
          <w:tab w:val="clear" w:pos="420"/>
        </w:tabs>
        <w:spacing w:before="156" w:after="156" w:afterLines="50"/>
        <w:ind w:firstLine="482"/>
      </w:pPr>
      <w:bookmarkStart w:id="161" w:name="_Toc50209262"/>
      <w:bookmarkStart w:id="162" w:name="_Toc3080"/>
      <w:r>
        <w:t>制度保证措施</w:t>
      </w:r>
      <w:bookmarkEnd w:id="161"/>
    </w:p>
    <w:p w14:paraId="1CDE59C8">
      <w:pPr>
        <w:ind w:firstLine="480"/>
      </w:pPr>
      <w:r>
        <w:rPr>
          <w:rFonts w:hint="eastAsia"/>
        </w:rPr>
        <w:t>建立制度保证措施，如下表：</w:t>
      </w:r>
    </w:p>
    <w:p w14:paraId="192705C8">
      <w:pPr>
        <w:pStyle w:val="47"/>
        <w:ind w:firstLine="422"/>
        <w:jc w:val="center"/>
      </w:pPr>
      <w:r>
        <w:rPr>
          <w:rFonts w:hint="eastAsia" w:ascii="Times New Roman" w:hAnsi="Times New Roman"/>
          <w:b/>
          <w:sz w:val="21"/>
          <w:szCs w:val="21"/>
        </w:rPr>
        <w:t>表5.2-2 安全生产制度保证措施表</w:t>
      </w:r>
    </w:p>
    <w:tbl>
      <w:tblPr>
        <w:tblStyle w:val="33"/>
        <w:tblW w:w="8506"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719"/>
        <w:gridCol w:w="6088"/>
      </w:tblGrid>
      <w:tr w14:paraId="5AD5125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tcBorders>
              <w:tl2br w:val="nil"/>
              <w:tr2bl w:val="nil"/>
            </w:tcBorders>
            <w:shd w:val="clear" w:color="auto" w:fill="auto"/>
            <w:vAlign w:val="center"/>
          </w:tcPr>
          <w:p w14:paraId="09157F02">
            <w:pPr>
              <w:pStyle w:val="66"/>
              <w:rPr>
                <w:rFonts w:hint="eastAsia" w:ascii="宋体" w:hAnsi="宋体" w:cs="宋体"/>
              </w:rPr>
            </w:pPr>
            <w:r>
              <w:rPr>
                <w:rFonts w:hint="eastAsia" w:ascii="宋体" w:hAnsi="宋体" w:cs="宋体"/>
              </w:rPr>
              <w:t>序号</w:t>
            </w:r>
          </w:p>
        </w:tc>
        <w:tc>
          <w:tcPr>
            <w:tcW w:w="1719" w:type="dxa"/>
            <w:tcBorders>
              <w:tl2br w:val="nil"/>
              <w:tr2bl w:val="nil"/>
            </w:tcBorders>
            <w:shd w:val="clear" w:color="auto" w:fill="auto"/>
            <w:vAlign w:val="center"/>
          </w:tcPr>
          <w:p w14:paraId="18B62FCB">
            <w:pPr>
              <w:pStyle w:val="66"/>
              <w:rPr>
                <w:rFonts w:hint="eastAsia" w:ascii="宋体" w:hAnsi="宋体" w:cs="宋体"/>
              </w:rPr>
            </w:pPr>
            <w:r>
              <w:rPr>
                <w:rFonts w:hint="eastAsia" w:ascii="宋体" w:hAnsi="宋体" w:cs="宋体"/>
              </w:rPr>
              <w:t>制度名称</w:t>
            </w:r>
          </w:p>
        </w:tc>
        <w:tc>
          <w:tcPr>
            <w:tcW w:w="6088" w:type="dxa"/>
            <w:tcBorders>
              <w:tl2br w:val="nil"/>
              <w:tr2bl w:val="nil"/>
            </w:tcBorders>
            <w:shd w:val="clear" w:color="auto" w:fill="auto"/>
            <w:vAlign w:val="center"/>
          </w:tcPr>
          <w:p w14:paraId="20543DD7">
            <w:pPr>
              <w:pStyle w:val="66"/>
              <w:rPr>
                <w:rFonts w:hint="eastAsia" w:ascii="宋体" w:hAnsi="宋体" w:cs="宋体"/>
              </w:rPr>
            </w:pPr>
            <w:r>
              <w:rPr>
                <w:rFonts w:hint="eastAsia" w:ascii="宋体" w:hAnsi="宋体" w:cs="宋体"/>
              </w:rPr>
              <w:t>主要内容</w:t>
            </w:r>
          </w:p>
        </w:tc>
      </w:tr>
      <w:tr w14:paraId="11D8D24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tcBorders>
              <w:tl2br w:val="nil"/>
              <w:tr2bl w:val="nil"/>
            </w:tcBorders>
            <w:shd w:val="clear" w:color="auto" w:fill="auto"/>
            <w:vAlign w:val="center"/>
          </w:tcPr>
          <w:p w14:paraId="3B2D2DAE">
            <w:pPr>
              <w:pStyle w:val="66"/>
              <w:rPr>
                <w:rFonts w:hint="eastAsia" w:ascii="宋体" w:hAnsi="宋体" w:cs="宋体"/>
              </w:rPr>
            </w:pPr>
            <w:r>
              <w:rPr>
                <w:rFonts w:hint="eastAsia" w:ascii="宋体" w:hAnsi="宋体" w:cs="宋体"/>
              </w:rPr>
              <w:t>1</w:t>
            </w:r>
          </w:p>
        </w:tc>
        <w:tc>
          <w:tcPr>
            <w:tcW w:w="1719" w:type="dxa"/>
            <w:tcBorders>
              <w:tl2br w:val="nil"/>
              <w:tr2bl w:val="nil"/>
            </w:tcBorders>
            <w:shd w:val="clear" w:color="auto" w:fill="auto"/>
            <w:vAlign w:val="center"/>
          </w:tcPr>
          <w:p w14:paraId="4F3E4E24">
            <w:pPr>
              <w:pStyle w:val="66"/>
              <w:rPr>
                <w:rFonts w:hint="eastAsia" w:ascii="宋体" w:hAnsi="宋体" w:cs="宋体"/>
              </w:rPr>
            </w:pPr>
            <w:r>
              <w:rPr>
                <w:rFonts w:hint="eastAsia" w:ascii="宋体" w:hAnsi="宋体" w:cs="宋体"/>
              </w:rPr>
              <w:t>安全生产责任制</w:t>
            </w:r>
          </w:p>
        </w:tc>
        <w:tc>
          <w:tcPr>
            <w:tcW w:w="6088" w:type="dxa"/>
            <w:tcBorders>
              <w:tl2br w:val="nil"/>
              <w:tr2bl w:val="nil"/>
            </w:tcBorders>
            <w:shd w:val="clear" w:color="auto" w:fill="auto"/>
            <w:vAlign w:val="center"/>
          </w:tcPr>
          <w:p w14:paraId="2448A46E">
            <w:pPr>
              <w:pStyle w:val="66"/>
              <w:jc w:val="left"/>
              <w:rPr>
                <w:rFonts w:hint="eastAsia" w:ascii="宋体" w:hAnsi="宋体" w:cs="宋体"/>
              </w:rPr>
            </w:pPr>
            <w:r>
              <w:rPr>
                <w:rFonts w:hint="eastAsia" w:ascii="宋体" w:hAnsi="宋体" w:cs="宋体"/>
              </w:rPr>
              <w:t>根据公司《安全生产（部门）岗位责任制》，明确各级人员的安全责任，各级职能部门、人员在各自的工作范围内，对实现安全生产要求负责，做到安全生产工作责任横向到边、层层负责，纵向到底，一环不漏，并严格执行考核制度</w:t>
            </w:r>
          </w:p>
        </w:tc>
      </w:tr>
      <w:tr w14:paraId="2F54803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tcBorders>
              <w:tl2br w:val="nil"/>
              <w:tr2bl w:val="nil"/>
            </w:tcBorders>
            <w:shd w:val="clear" w:color="auto" w:fill="auto"/>
            <w:vAlign w:val="center"/>
          </w:tcPr>
          <w:p w14:paraId="460797C1">
            <w:pPr>
              <w:pStyle w:val="66"/>
              <w:rPr>
                <w:rFonts w:hint="eastAsia" w:ascii="宋体" w:hAnsi="宋体" w:cs="宋体"/>
              </w:rPr>
            </w:pPr>
            <w:r>
              <w:rPr>
                <w:rFonts w:hint="eastAsia" w:ascii="宋体" w:hAnsi="宋体" w:cs="宋体"/>
              </w:rPr>
              <w:t>2</w:t>
            </w:r>
          </w:p>
        </w:tc>
        <w:tc>
          <w:tcPr>
            <w:tcW w:w="1719" w:type="dxa"/>
            <w:tcBorders>
              <w:tl2br w:val="nil"/>
              <w:tr2bl w:val="nil"/>
            </w:tcBorders>
            <w:shd w:val="clear" w:color="auto" w:fill="auto"/>
            <w:vAlign w:val="center"/>
          </w:tcPr>
          <w:p w14:paraId="2C55962A">
            <w:pPr>
              <w:pStyle w:val="66"/>
              <w:rPr>
                <w:rFonts w:hint="eastAsia" w:ascii="宋体" w:hAnsi="宋体" w:cs="宋体"/>
              </w:rPr>
            </w:pPr>
            <w:r>
              <w:rPr>
                <w:rFonts w:hint="eastAsia" w:ascii="宋体" w:hAnsi="宋体" w:cs="宋体"/>
              </w:rPr>
              <w:t>危险因素辨识与评价及重要危险源管理制度</w:t>
            </w:r>
          </w:p>
        </w:tc>
        <w:tc>
          <w:tcPr>
            <w:tcW w:w="6088" w:type="dxa"/>
            <w:tcBorders>
              <w:tl2br w:val="nil"/>
              <w:tr2bl w:val="nil"/>
            </w:tcBorders>
            <w:shd w:val="clear" w:color="auto" w:fill="auto"/>
            <w:vAlign w:val="center"/>
          </w:tcPr>
          <w:p w14:paraId="6A6E94EF">
            <w:pPr>
              <w:pStyle w:val="66"/>
              <w:jc w:val="left"/>
              <w:rPr>
                <w:rFonts w:hint="eastAsia" w:ascii="宋体" w:hAnsi="宋体" w:cs="宋体"/>
              </w:rPr>
            </w:pPr>
            <w:r>
              <w:rPr>
                <w:rFonts w:hint="eastAsia" w:ascii="宋体" w:hAnsi="宋体" w:cs="宋体"/>
              </w:rPr>
              <w:t>根据公司《危险有害因素辨识与评价一览表》对项目存在的危险有害因素进行辨识评价建立重大危险源清单，制定针对性的控制措施</w:t>
            </w:r>
          </w:p>
        </w:tc>
      </w:tr>
      <w:tr w14:paraId="660DE9D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tcBorders>
              <w:tl2br w:val="nil"/>
              <w:tr2bl w:val="nil"/>
            </w:tcBorders>
            <w:shd w:val="clear" w:color="auto" w:fill="auto"/>
            <w:vAlign w:val="center"/>
          </w:tcPr>
          <w:p w14:paraId="57C6E32B">
            <w:pPr>
              <w:pStyle w:val="66"/>
              <w:rPr>
                <w:rFonts w:hint="eastAsia" w:ascii="宋体" w:hAnsi="宋体" w:cs="宋体"/>
              </w:rPr>
            </w:pPr>
            <w:r>
              <w:rPr>
                <w:rFonts w:hint="eastAsia" w:ascii="宋体" w:hAnsi="宋体" w:cs="宋体"/>
              </w:rPr>
              <w:t>3</w:t>
            </w:r>
          </w:p>
        </w:tc>
        <w:tc>
          <w:tcPr>
            <w:tcW w:w="1719" w:type="dxa"/>
            <w:tcBorders>
              <w:tl2br w:val="nil"/>
              <w:tr2bl w:val="nil"/>
            </w:tcBorders>
            <w:shd w:val="clear" w:color="auto" w:fill="auto"/>
            <w:vAlign w:val="center"/>
          </w:tcPr>
          <w:p w14:paraId="0405BCC5">
            <w:pPr>
              <w:pStyle w:val="66"/>
              <w:rPr>
                <w:rFonts w:hint="eastAsia" w:ascii="宋体" w:hAnsi="宋体" w:cs="宋体"/>
              </w:rPr>
            </w:pPr>
            <w:r>
              <w:rPr>
                <w:rFonts w:hint="eastAsia" w:ascii="宋体" w:hAnsi="宋体" w:cs="宋体"/>
              </w:rPr>
              <w:t>安全专项方案编制、审查制度</w:t>
            </w:r>
          </w:p>
        </w:tc>
        <w:tc>
          <w:tcPr>
            <w:tcW w:w="6088" w:type="dxa"/>
            <w:tcBorders>
              <w:tl2br w:val="nil"/>
              <w:tr2bl w:val="nil"/>
            </w:tcBorders>
            <w:shd w:val="clear" w:color="auto" w:fill="auto"/>
            <w:vAlign w:val="center"/>
          </w:tcPr>
          <w:p w14:paraId="6B27845E">
            <w:pPr>
              <w:pStyle w:val="66"/>
              <w:jc w:val="left"/>
              <w:rPr>
                <w:rFonts w:hint="eastAsia" w:ascii="宋体" w:hAnsi="宋体" w:cs="宋体"/>
              </w:rPr>
            </w:pPr>
            <w:r>
              <w:rPr>
                <w:rFonts w:hint="eastAsia" w:ascii="宋体" w:hAnsi="宋体" w:cs="宋体"/>
              </w:rPr>
              <w:t>根据建设部《危险性较大分部分项工程安全专项方案编制及专家论证审查办法》及二航局《安全专项施工管理办法（暂行）》管理规定进行划分，编写相关安全施工方案，并报相应部门审查、论证、审批，从技术上保障生产安全</w:t>
            </w:r>
          </w:p>
        </w:tc>
      </w:tr>
      <w:tr w14:paraId="46D42A3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tcBorders>
              <w:tl2br w:val="nil"/>
              <w:tr2bl w:val="nil"/>
            </w:tcBorders>
            <w:shd w:val="clear" w:color="auto" w:fill="auto"/>
            <w:vAlign w:val="center"/>
          </w:tcPr>
          <w:p w14:paraId="3ED06892">
            <w:pPr>
              <w:pStyle w:val="66"/>
              <w:rPr>
                <w:rFonts w:hint="eastAsia" w:ascii="宋体" w:hAnsi="宋体" w:cs="宋体"/>
              </w:rPr>
            </w:pPr>
            <w:r>
              <w:rPr>
                <w:rFonts w:hint="eastAsia" w:ascii="宋体" w:hAnsi="宋体" w:cs="宋体"/>
              </w:rPr>
              <w:t>4</w:t>
            </w:r>
          </w:p>
        </w:tc>
        <w:tc>
          <w:tcPr>
            <w:tcW w:w="1719" w:type="dxa"/>
            <w:tcBorders>
              <w:tl2br w:val="nil"/>
              <w:tr2bl w:val="nil"/>
            </w:tcBorders>
            <w:shd w:val="clear" w:color="auto" w:fill="auto"/>
            <w:vAlign w:val="center"/>
          </w:tcPr>
          <w:p w14:paraId="5C487ADC">
            <w:pPr>
              <w:pStyle w:val="66"/>
              <w:rPr>
                <w:rFonts w:hint="eastAsia" w:ascii="宋体" w:hAnsi="宋体" w:cs="宋体"/>
              </w:rPr>
            </w:pPr>
            <w:r>
              <w:rPr>
                <w:rFonts w:hint="eastAsia" w:ascii="宋体" w:hAnsi="宋体" w:cs="宋体"/>
              </w:rPr>
              <w:t>安全专项资金保障制度</w:t>
            </w:r>
          </w:p>
        </w:tc>
        <w:tc>
          <w:tcPr>
            <w:tcW w:w="6088" w:type="dxa"/>
            <w:tcBorders>
              <w:tl2br w:val="nil"/>
              <w:tr2bl w:val="nil"/>
            </w:tcBorders>
            <w:shd w:val="clear" w:color="auto" w:fill="auto"/>
            <w:vAlign w:val="center"/>
          </w:tcPr>
          <w:p w14:paraId="639E313F">
            <w:pPr>
              <w:pStyle w:val="66"/>
              <w:jc w:val="left"/>
              <w:rPr>
                <w:rFonts w:hint="eastAsia" w:ascii="宋体" w:hAnsi="宋体" w:cs="宋体"/>
              </w:rPr>
            </w:pPr>
            <w:r>
              <w:rPr>
                <w:rFonts w:hint="eastAsia" w:ascii="宋体" w:hAnsi="宋体" w:cs="宋体"/>
              </w:rPr>
              <w:t>提取专款，用于落实劳动保护用品资金、安全教育培训专项资金以及保证安全生产的技术措施所需资金</w:t>
            </w:r>
          </w:p>
        </w:tc>
      </w:tr>
      <w:tr w14:paraId="72774FB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tcBorders>
              <w:tl2br w:val="nil"/>
              <w:tr2bl w:val="nil"/>
            </w:tcBorders>
            <w:shd w:val="clear" w:color="auto" w:fill="auto"/>
            <w:vAlign w:val="center"/>
          </w:tcPr>
          <w:p w14:paraId="54650C4C">
            <w:pPr>
              <w:pStyle w:val="66"/>
              <w:rPr>
                <w:rFonts w:hint="eastAsia" w:ascii="宋体" w:hAnsi="宋体" w:cs="宋体"/>
              </w:rPr>
            </w:pPr>
            <w:r>
              <w:rPr>
                <w:rFonts w:hint="eastAsia" w:ascii="宋体" w:hAnsi="宋体" w:cs="宋体"/>
              </w:rPr>
              <w:t>5</w:t>
            </w:r>
          </w:p>
        </w:tc>
        <w:tc>
          <w:tcPr>
            <w:tcW w:w="1719" w:type="dxa"/>
            <w:tcBorders>
              <w:tl2br w:val="nil"/>
              <w:tr2bl w:val="nil"/>
            </w:tcBorders>
            <w:shd w:val="clear" w:color="auto" w:fill="auto"/>
            <w:vAlign w:val="center"/>
          </w:tcPr>
          <w:p w14:paraId="4395AAE8">
            <w:pPr>
              <w:pStyle w:val="66"/>
              <w:rPr>
                <w:rFonts w:hint="eastAsia" w:ascii="宋体" w:hAnsi="宋体" w:cs="宋体"/>
              </w:rPr>
            </w:pPr>
            <w:r>
              <w:rPr>
                <w:rFonts w:hint="eastAsia" w:ascii="宋体" w:hAnsi="宋体" w:cs="宋体"/>
              </w:rPr>
              <w:t>安全教育制度</w:t>
            </w:r>
          </w:p>
        </w:tc>
        <w:tc>
          <w:tcPr>
            <w:tcW w:w="6088" w:type="dxa"/>
            <w:tcBorders>
              <w:tl2br w:val="nil"/>
              <w:tr2bl w:val="nil"/>
            </w:tcBorders>
            <w:shd w:val="clear" w:color="auto" w:fill="auto"/>
            <w:vAlign w:val="center"/>
          </w:tcPr>
          <w:p w14:paraId="5FCA6451">
            <w:pPr>
              <w:pStyle w:val="66"/>
              <w:jc w:val="left"/>
              <w:rPr>
                <w:rFonts w:hint="eastAsia" w:ascii="宋体" w:hAnsi="宋体" w:cs="宋体"/>
              </w:rPr>
            </w:pPr>
            <w:r>
              <w:rPr>
                <w:rFonts w:hint="eastAsia" w:ascii="宋体" w:hAnsi="宋体" w:cs="宋体"/>
              </w:rPr>
              <w:t>根据《中交二航局安全生产教育培训和安全技术交底管理办法》建立项目安全教育制度，并严格落实执行</w:t>
            </w:r>
          </w:p>
        </w:tc>
      </w:tr>
      <w:tr w14:paraId="2304C25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tcBorders>
              <w:tl2br w:val="nil"/>
              <w:tr2bl w:val="nil"/>
            </w:tcBorders>
            <w:shd w:val="clear" w:color="auto" w:fill="auto"/>
            <w:vAlign w:val="center"/>
          </w:tcPr>
          <w:p w14:paraId="66391217">
            <w:pPr>
              <w:pStyle w:val="66"/>
              <w:rPr>
                <w:rFonts w:hint="eastAsia" w:ascii="宋体" w:hAnsi="宋体" w:cs="宋体"/>
              </w:rPr>
            </w:pPr>
            <w:r>
              <w:rPr>
                <w:rFonts w:hint="eastAsia" w:ascii="宋体" w:hAnsi="宋体" w:cs="宋体"/>
              </w:rPr>
              <w:t>6</w:t>
            </w:r>
          </w:p>
        </w:tc>
        <w:tc>
          <w:tcPr>
            <w:tcW w:w="1719" w:type="dxa"/>
            <w:tcBorders>
              <w:tl2br w:val="nil"/>
              <w:tr2bl w:val="nil"/>
            </w:tcBorders>
            <w:shd w:val="clear" w:color="auto" w:fill="auto"/>
            <w:vAlign w:val="center"/>
          </w:tcPr>
          <w:p w14:paraId="3677DFA3">
            <w:pPr>
              <w:pStyle w:val="66"/>
              <w:rPr>
                <w:rFonts w:hint="eastAsia" w:ascii="宋体" w:hAnsi="宋体" w:cs="宋体"/>
              </w:rPr>
            </w:pPr>
            <w:r>
              <w:rPr>
                <w:rFonts w:hint="eastAsia" w:ascii="宋体" w:hAnsi="宋体" w:cs="宋体"/>
              </w:rPr>
              <w:t>特种设备设施及特种作业持证上岗制度</w:t>
            </w:r>
          </w:p>
        </w:tc>
        <w:tc>
          <w:tcPr>
            <w:tcW w:w="6088" w:type="dxa"/>
            <w:tcBorders>
              <w:tl2br w:val="nil"/>
              <w:tr2bl w:val="nil"/>
            </w:tcBorders>
            <w:shd w:val="clear" w:color="auto" w:fill="auto"/>
            <w:vAlign w:val="center"/>
          </w:tcPr>
          <w:p w14:paraId="2FCB3D8B">
            <w:pPr>
              <w:pStyle w:val="66"/>
              <w:jc w:val="left"/>
              <w:rPr>
                <w:rFonts w:hint="eastAsia" w:ascii="宋体" w:hAnsi="宋体" w:cs="宋体"/>
              </w:rPr>
            </w:pPr>
            <w:r>
              <w:rPr>
                <w:rFonts w:hint="eastAsia" w:ascii="宋体" w:hAnsi="宋体" w:cs="宋体"/>
              </w:rPr>
              <w:t>根据《中交二航局特种施工设备设施使用安全规定》和《中交二航局特种作业人员管理办法》建立特种设备设施及特种作业人员管理制度，并严格落实执行</w:t>
            </w:r>
          </w:p>
        </w:tc>
      </w:tr>
      <w:tr w14:paraId="0FC0269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tcBorders>
              <w:tl2br w:val="nil"/>
              <w:tr2bl w:val="nil"/>
            </w:tcBorders>
            <w:shd w:val="clear" w:color="auto" w:fill="auto"/>
            <w:vAlign w:val="center"/>
          </w:tcPr>
          <w:p w14:paraId="08A0F421">
            <w:pPr>
              <w:pStyle w:val="66"/>
              <w:rPr>
                <w:rFonts w:hint="eastAsia" w:ascii="宋体" w:hAnsi="宋体" w:cs="宋体"/>
              </w:rPr>
            </w:pPr>
            <w:r>
              <w:rPr>
                <w:rFonts w:hint="eastAsia" w:ascii="宋体" w:hAnsi="宋体" w:cs="宋体"/>
              </w:rPr>
              <w:t>7</w:t>
            </w:r>
          </w:p>
        </w:tc>
        <w:tc>
          <w:tcPr>
            <w:tcW w:w="1719" w:type="dxa"/>
            <w:tcBorders>
              <w:tl2br w:val="nil"/>
              <w:tr2bl w:val="nil"/>
            </w:tcBorders>
            <w:shd w:val="clear" w:color="auto" w:fill="auto"/>
            <w:vAlign w:val="center"/>
          </w:tcPr>
          <w:p w14:paraId="21C24C04">
            <w:pPr>
              <w:pStyle w:val="66"/>
              <w:rPr>
                <w:rFonts w:hint="eastAsia" w:ascii="宋体" w:hAnsi="宋体" w:cs="宋体"/>
              </w:rPr>
            </w:pPr>
            <w:r>
              <w:rPr>
                <w:rFonts w:hint="eastAsia" w:ascii="宋体" w:hAnsi="宋体" w:cs="宋体"/>
              </w:rPr>
              <w:t>安全技术交底制度</w:t>
            </w:r>
          </w:p>
        </w:tc>
        <w:tc>
          <w:tcPr>
            <w:tcW w:w="6088" w:type="dxa"/>
            <w:tcBorders>
              <w:tl2br w:val="nil"/>
              <w:tr2bl w:val="nil"/>
            </w:tcBorders>
            <w:shd w:val="clear" w:color="auto" w:fill="auto"/>
            <w:vAlign w:val="center"/>
          </w:tcPr>
          <w:p w14:paraId="35EAE782">
            <w:pPr>
              <w:pStyle w:val="66"/>
              <w:jc w:val="left"/>
              <w:rPr>
                <w:rFonts w:hint="eastAsia" w:ascii="宋体" w:hAnsi="宋体" w:cs="宋体"/>
              </w:rPr>
            </w:pPr>
            <w:r>
              <w:rPr>
                <w:rFonts w:hint="eastAsia" w:ascii="宋体" w:hAnsi="宋体" w:cs="宋体"/>
              </w:rPr>
              <w:t>根据《中交二航局安全生产教育培训和安全技术交底管理办法》建立项目安全技术交底制度，并严格落实执行</w:t>
            </w:r>
          </w:p>
        </w:tc>
      </w:tr>
      <w:tr w14:paraId="2B116A1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tcBorders>
              <w:tl2br w:val="nil"/>
              <w:tr2bl w:val="nil"/>
            </w:tcBorders>
            <w:shd w:val="clear" w:color="auto" w:fill="auto"/>
            <w:vAlign w:val="center"/>
          </w:tcPr>
          <w:p w14:paraId="599549D1">
            <w:pPr>
              <w:pStyle w:val="66"/>
              <w:rPr>
                <w:rFonts w:hint="eastAsia" w:ascii="宋体" w:hAnsi="宋体" w:cs="宋体"/>
              </w:rPr>
            </w:pPr>
            <w:r>
              <w:rPr>
                <w:rFonts w:hint="eastAsia" w:ascii="宋体" w:hAnsi="宋体" w:cs="宋体"/>
              </w:rPr>
              <w:t>8</w:t>
            </w:r>
          </w:p>
        </w:tc>
        <w:tc>
          <w:tcPr>
            <w:tcW w:w="1719" w:type="dxa"/>
            <w:tcBorders>
              <w:tl2br w:val="nil"/>
              <w:tr2bl w:val="nil"/>
            </w:tcBorders>
            <w:shd w:val="clear" w:color="auto" w:fill="auto"/>
            <w:vAlign w:val="center"/>
          </w:tcPr>
          <w:p w14:paraId="4F3DC465">
            <w:pPr>
              <w:pStyle w:val="66"/>
              <w:rPr>
                <w:rFonts w:hint="eastAsia" w:ascii="宋体" w:hAnsi="宋体" w:cs="宋体"/>
              </w:rPr>
            </w:pPr>
            <w:r>
              <w:rPr>
                <w:rFonts w:hint="eastAsia" w:ascii="宋体" w:hAnsi="宋体" w:cs="宋体"/>
              </w:rPr>
              <w:t>安全生产例会制度</w:t>
            </w:r>
          </w:p>
        </w:tc>
        <w:tc>
          <w:tcPr>
            <w:tcW w:w="6088" w:type="dxa"/>
            <w:tcBorders>
              <w:tl2br w:val="nil"/>
              <w:tr2bl w:val="nil"/>
            </w:tcBorders>
            <w:shd w:val="clear" w:color="auto" w:fill="auto"/>
            <w:vAlign w:val="center"/>
          </w:tcPr>
          <w:p w14:paraId="0FA43EFF">
            <w:pPr>
              <w:pStyle w:val="66"/>
              <w:jc w:val="left"/>
              <w:rPr>
                <w:rFonts w:hint="eastAsia" w:ascii="宋体" w:hAnsi="宋体" w:cs="宋体"/>
              </w:rPr>
            </w:pPr>
            <w:r>
              <w:rPr>
                <w:rFonts w:hint="eastAsia" w:ascii="宋体" w:hAnsi="宋体" w:cs="宋体"/>
              </w:rPr>
              <w:t>根据现场施工情况，及时开展安全会议，研究安全生产现状，及时解决存在的安全问题</w:t>
            </w:r>
          </w:p>
        </w:tc>
      </w:tr>
      <w:tr w14:paraId="058933D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tcBorders>
              <w:tl2br w:val="nil"/>
              <w:tr2bl w:val="nil"/>
            </w:tcBorders>
            <w:shd w:val="clear" w:color="auto" w:fill="auto"/>
            <w:vAlign w:val="center"/>
          </w:tcPr>
          <w:p w14:paraId="5620E48D">
            <w:pPr>
              <w:pStyle w:val="66"/>
              <w:rPr>
                <w:rFonts w:hint="eastAsia" w:ascii="宋体" w:hAnsi="宋体" w:cs="宋体"/>
              </w:rPr>
            </w:pPr>
            <w:r>
              <w:rPr>
                <w:rFonts w:hint="eastAsia" w:ascii="宋体" w:hAnsi="宋体" w:cs="宋体"/>
              </w:rPr>
              <w:t>9</w:t>
            </w:r>
          </w:p>
        </w:tc>
        <w:tc>
          <w:tcPr>
            <w:tcW w:w="1719" w:type="dxa"/>
            <w:tcBorders>
              <w:tl2br w:val="nil"/>
              <w:tr2bl w:val="nil"/>
            </w:tcBorders>
            <w:shd w:val="clear" w:color="auto" w:fill="auto"/>
            <w:vAlign w:val="center"/>
          </w:tcPr>
          <w:p w14:paraId="46ECE564">
            <w:pPr>
              <w:pStyle w:val="66"/>
              <w:rPr>
                <w:rFonts w:hint="eastAsia" w:ascii="宋体" w:hAnsi="宋体" w:cs="宋体"/>
              </w:rPr>
            </w:pPr>
            <w:r>
              <w:rPr>
                <w:rFonts w:hint="eastAsia" w:ascii="宋体" w:hAnsi="宋体" w:cs="宋体"/>
              </w:rPr>
              <w:t>安全活动制度</w:t>
            </w:r>
          </w:p>
        </w:tc>
        <w:tc>
          <w:tcPr>
            <w:tcW w:w="6088" w:type="dxa"/>
            <w:tcBorders>
              <w:tl2br w:val="nil"/>
              <w:tr2bl w:val="nil"/>
            </w:tcBorders>
            <w:shd w:val="clear" w:color="auto" w:fill="auto"/>
            <w:vAlign w:val="center"/>
          </w:tcPr>
          <w:p w14:paraId="092903F3">
            <w:pPr>
              <w:pStyle w:val="66"/>
              <w:jc w:val="left"/>
              <w:rPr>
                <w:rFonts w:hint="eastAsia" w:ascii="宋体" w:hAnsi="宋体" w:cs="宋体"/>
              </w:rPr>
            </w:pPr>
            <w:r>
              <w:rPr>
                <w:rFonts w:hint="eastAsia" w:ascii="宋体" w:hAnsi="宋体" w:cs="宋体"/>
              </w:rPr>
              <w:t>安全及文明施工管理部每周组织全体作业人员进行安全教育，对于上一周安全方面存在的问题进行总结，对本周的安全重点做必要的讲解</w:t>
            </w:r>
          </w:p>
        </w:tc>
      </w:tr>
      <w:tr w14:paraId="1AAACEC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tcBorders>
              <w:tl2br w:val="nil"/>
              <w:tr2bl w:val="nil"/>
            </w:tcBorders>
            <w:shd w:val="clear" w:color="auto" w:fill="auto"/>
            <w:vAlign w:val="center"/>
          </w:tcPr>
          <w:p w14:paraId="7B972355">
            <w:pPr>
              <w:pStyle w:val="66"/>
              <w:rPr>
                <w:rFonts w:hint="eastAsia" w:ascii="宋体" w:hAnsi="宋体" w:cs="宋体"/>
              </w:rPr>
            </w:pPr>
            <w:r>
              <w:rPr>
                <w:rFonts w:hint="eastAsia" w:ascii="宋体" w:hAnsi="宋体" w:cs="宋体"/>
              </w:rPr>
              <w:t>10</w:t>
            </w:r>
          </w:p>
        </w:tc>
        <w:tc>
          <w:tcPr>
            <w:tcW w:w="1719" w:type="dxa"/>
            <w:tcBorders>
              <w:tl2br w:val="nil"/>
              <w:tr2bl w:val="nil"/>
            </w:tcBorders>
            <w:shd w:val="clear" w:color="auto" w:fill="auto"/>
            <w:vAlign w:val="center"/>
          </w:tcPr>
          <w:p w14:paraId="70337EB8">
            <w:pPr>
              <w:pStyle w:val="66"/>
              <w:rPr>
                <w:rFonts w:hint="eastAsia" w:ascii="宋体" w:hAnsi="宋体" w:cs="宋体"/>
              </w:rPr>
            </w:pPr>
            <w:r>
              <w:rPr>
                <w:rFonts w:hint="eastAsia" w:ascii="宋体" w:hAnsi="宋体" w:cs="宋体"/>
              </w:rPr>
              <w:t>安全生产检查制度</w:t>
            </w:r>
          </w:p>
        </w:tc>
        <w:tc>
          <w:tcPr>
            <w:tcW w:w="6088" w:type="dxa"/>
            <w:tcBorders>
              <w:tl2br w:val="nil"/>
              <w:tr2bl w:val="nil"/>
            </w:tcBorders>
            <w:shd w:val="clear" w:color="auto" w:fill="auto"/>
            <w:vAlign w:val="center"/>
          </w:tcPr>
          <w:p w14:paraId="02914904">
            <w:pPr>
              <w:pStyle w:val="66"/>
              <w:jc w:val="left"/>
              <w:rPr>
                <w:rFonts w:hint="eastAsia" w:ascii="宋体" w:hAnsi="宋体" w:cs="宋体"/>
              </w:rPr>
            </w:pPr>
            <w:r>
              <w:rPr>
                <w:rFonts w:hint="eastAsia" w:ascii="宋体" w:hAnsi="宋体" w:cs="宋体"/>
              </w:rPr>
              <w:t>根据《中交二航局安全生产监督检查制度》建立项目安全生产检查制度，并严格落实执行</w:t>
            </w:r>
          </w:p>
        </w:tc>
      </w:tr>
      <w:tr w14:paraId="4D0E1AF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tcBorders>
              <w:tl2br w:val="nil"/>
              <w:tr2bl w:val="nil"/>
            </w:tcBorders>
            <w:shd w:val="clear" w:color="auto" w:fill="auto"/>
            <w:vAlign w:val="center"/>
          </w:tcPr>
          <w:p w14:paraId="25CBAE92">
            <w:pPr>
              <w:pStyle w:val="66"/>
              <w:rPr>
                <w:rFonts w:hint="eastAsia" w:ascii="宋体" w:hAnsi="宋体" w:cs="宋体"/>
              </w:rPr>
            </w:pPr>
            <w:r>
              <w:rPr>
                <w:rFonts w:hint="eastAsia" w:ascii="宋体" w:hAnsi="宋体" w:cs="宋体"/>
              </w:rPr>
              <w:t>11</w:t>
            </w:r>
          </w:p>
        </w:tc>
        <w:tc>
          <w:tcPr>
            <w:tcW w:w="1719" w:type="dxa"/>
            <w:tcBorders>
              <w:tl2br w:val="nil"/>
              <w:tr2bl w:val="nil"/>
            </w:tcBorders>
            <w:shd w:val="clear" w:color="auto" w:fill="auto"/>
            <w:vAlign w:val="center"/>
          </w:tcPr>
          <w:p w14:paraId="11F4CE57">
            <w:pPr>
              <w:pStyle w:val="66"/>
              <w:rPr>
                <w:rFonts w:hint="eastAsia" w:ascii="宋体" w:hAnsi="宋体" w:cs="宋体"/>
              </w:rPr>
            </w:pPr>
            <w:r>
              <w:rPr>
                <w:rFonts w:hint="eastAsia" w:ascii="宋体" w:hAnsi="宋体" w:cs="宋体"/>
              </w:rPr>
              <w:t>施工人员、设备准入制度</w:t>
            </w:r>
          </w:p>
        </w:tc>
        <w:tc>
          <w:tcPr>
            <w:tcW w:w="6088" w:type="dxa"/>
            <w:tcBorders>
              <w:tl2br w:val="nil"/>
              <w:tr2bl w:val="nil"/>
            </w:tcBorders>
            <w:shd w:val="clear" w:color="auto" w:fill="auto"/>
            <w:vAlign w:val="center"/>
          </w:tcPr>
          <w:p w14:paraId="779C9507">
            <w:pPr>
              <w:pStyle w:val="66"/>
              <w:jc w:val="left"/>
              <w:rPr>
                <w:rFonts w:hint="eastAsia" w:ascii="宋体" w:hAnsi="宋体" w:cs="宋体"/>
              </w:rPr>
            </w:pPr>
            <w:r>
              <w:rPr>
                <w:rFonts w:hint="eastAsia" w:ascii="宋体" w:hAnsi="宋体" w:cs="宋体"/>
              </w:rPr>
              <w:t>根据《中交二航局施工现场人员、设备准入制管理办法（试行）》建立施工人员及设备准入制度，并严格落实执行</w:t>
            </w:r>
          </w:p>
        </w:tc>
      </w:tr>
      <w:tr w14:paraId="3CFC570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tcBorders>
              <w:tl2br w:val="nil"/>
              <w:tr2bl w:val="nil"/>
            </w:tcBorders>
            <w:shd w:val="clear" w:color="auto" w:fill="auto"/>
            <w:vAlign w:val="center"/>
          </w:tcPr>
          <w:p w14:paraId="312C4A85">
            <w:pPr>
              <w:pStyle w:val="66"/>
              <w:rPr>
                <w:rFonts w:hint="eastAsia" w:ascii="宋体" w:hAnsi="宋体" w:cs="宋体"/>
              </w:rPr>
            </w:pPr>
            <w:r>
              <w:rPr>
                <w:rFonts w:hint="eastAsia" w:ascii="宋体" w:hAnsi="宋体" w:cs="宋体"/>
              </w:rPr>
              <w:t>12</w:t>
            </w:r>
          </w:p>
        </w:tc>
        <w:tc>
          <w:tcPr>
            <w:tcW w:w="1719" w:type="dxa"/>
            <w:tcBorders>
              <w:tl2br w:val="nil"/>
              <w:tr2bl w:val="nil"/>
            </w:tcBorders>
            <w:shd w:val="clear" w:color="auto" w:fill="auto"/>
            <w:vAlign w:val="center"/>
          </w:tcPr>
          <w:p w14:paraId="0B33A849">
            <w:pPr>
              <w:pStyle w:val="66"/>
              <w:rPr>
                <w:rFonts w:hint="eastAsia" w:ascii="宋体" w:hAnsi="宋体" w:cs="宋体"/>
              </w:rPr>
            </w:pPr>
            <w:r>
              <w:rPr>
                <w:rFonts w:hint="eastAsia" w:ascii="宋体" w:hAnsi="宋体" w:cs="宋体"/>
              </w:rPr>
              <w:t>安全生产验收制度</w:t>
            </w:r>
          </w:p>
        </w:tc>
        <w:tc>
          <w:tcPr>
            <w:tcW w:w="6088" w:type="dxa"/>
            <w:tcBorders>
              <w:tl2br w:val="nil"/>
              <w:tr2bl w:val="nil"/>
            </w:tcBorders>
            <w:shd w:val="clear" w:color="auto" w:fill="auto"/>
            <w:vAlign w:val="center"/>
          </w:tcPr>
          <w:p w14:paraId="57CBB56F">
            <w:pPr>
              <w:pStyle w:val="66"/>
              <w:jc w:val="left"/>
              <w:rPr>
                <w:rFonts w:hint="eastAsia" w:ascii="宋体" w:hAnsi="宋体" w:cs="宋体"/>
              </w:rPr>
            </w:pPr>
            <w:r>
              <w:rPr>
                <w:rFonts w:hint="eastAsia" w:ascii="宋体" w:hAnsi="宋体" w:cs="宋体"/>
              </w:rPr>
              <w:t>履带吊、塔吊、施工井架、卸料平台、等大中型机械设备及脚手架、临电设施和其他大型防护设施安装实行验收制，未经验收不得投入使用</w:t>
            </w:r>
          </w:p>
        </w:tc>
      </w:tr>
      <w:tr w14:paraId="7FE0624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tcBorders>
              <w:tl2br w:val="nil"/>
              <w:tr2bl w:val="nil"/>
            </w:tcBorders>
            <w:shd w:val="clear" w:color="auto" w:fill="auto"/>
            <w:vAlign w:val="center"/>
          </w:tcPr>
          <w:p w14:paraId="37A2F950">
            <w:pPr>
              <w:pStyle w:val="66"/>
              <w:rPr>
                <w:rFonts w:hint="eastAsia" w:ascii="宋体" w:hAnsi="宋体" w:cs="宋体"/>
              </w:rPr>
            </w:pPr>
            <w:r>
              <w:rPr>
                <w:rFonts w:hint="eastAsia" w:ascii="宋体" w:hAnsi="宋体" w:cs="宋体"/>
              </w:rPr>
              <w:t>12</w:t>
            </w:r>
          </w:p>
        </w:tc>
        <w:tc>
          <w:tcPr>
            <w:tcW w:w="1719" w:type="dxa"/>
            <w:tcBorders>
              <w:tl2br w:val="nil"/>
              <w:tr2bl w:val="nil"/>
            </w:tcBorders>
            <w:shd w:val="clear" w:color="auto" w:fill="auto"/>
            <w:vAlign w:val="center"/>
          </w:tcPr>
          <w:p w14:paraId="02434922">
            <w:pPr>
              <w:pStyle w:val="66"/>
              <w:rPr>
                <w:rFonts w:hint="eastAsia" w:ascii="宋体" w:hAnsi="宋体" w:cs="宋体"/>
              </w:rPr>
            </w:pPr>
            <w:r>
              <w:rPr>
                <w:rFonts w:hint="eastAsia" w:ascii="宋体" w:hAnsi="宋体" w:cs="宋体"/>
              </w:rPr>
              <w:t>安全用电管理制度</w:t>
            </w:r>
          </w:p>
        </w:tc>
        <w:tc>
          <w:tcPr>
            <w:tcW w:w="6088" w:type="dxa"/>
            <w:tcBorders>
              <w:tl2br w:val="nil"/>
              <w:tr2bl w:val="nil"/>
            </w:tcBorders>
            <w:shd w:val="clear" w:color="auto" w:fill="auto"/>
            <w:vAlign w:val="center"/>
          </w:tcPr>
          <w:p w14:paraId="6A59535F">
            <w:pPr>
              <w:pStyle w:val="66"/>
              <w:jc w:val="left"/>
              <w:rPr>
                <w:rFonts w:hint="eastAsia" w:ascii="宋体" w:hAnsi="宋体" w:cs="宋体"/>
              </w:rPr>
            </w:pPr>
            <w:r>
              <w:rPr>
                <w:rFonts w:hint="eastAsia" w:ascii="宋体" w:hAnsi="宋体" w:cs="宋体"/>
              </w:rPr>
              <w:t>根据《中交二航局施工现场临时用电安全管理办法》对施工现场临时用电进行安全管理</w:t>
            </w:r>
          </w:p>
        </w:tc>
      </w:tr>
      <w:tr w14:paraId="1C255E1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tcBorders>
              <w:tl2br w:val="nil"/>
              <w:tr2bl w:val="nil"/>
            </w:tcBorders>
            <w:shd w:val="clear" w:color="auto" w:fill="auto"/>
            <w:vAlign w:val="center"/>
          </w:tcPr>
          <w:p w14:paraId="5E27AE9C">
            <w:pPr>
              <w:pStyle w:val="66"/>
              <w:rPr>
                <w:rFonts w:hint="eastAsia" w:ascii="宋体" w:hAnsi="宋体" w:cs="宋体"/>
              </w:rPr>
            </w:pPr>
            <w:r>
              <w:rPr>
                <w:rFonts w:hint="eastAsia" w:ascii="宋体" w:hAnsi="宋体" w:cs="宋体"/>
              </w:rPr>
              <w:t>14</w:t>
            </w:r>
          </w:p>
        </w:tc>
        <w:tc>
          <w:tcPr>
            <w:tcW w:w="1719" w:type="dxa"/>
            <w:tcBorders>
              <w:tl2br w:val="nil"/>
              <w:tr2bl w:val="nil"/>
            </w:tcBorders>
            <w:shd w:val="clear" w:color="auto" w:fill="auto"/>
            <w:vAlign w:val="center"/>
          </w:tcPr>
          <w:p w14:paraId="33628F15">
            <w:pPr>
              <w:pStyle w:val="66"/>
              <w:rPr>
                <w:rFonts w:hint="eastAsia" w:ascii="宋体" w:hAnsi="宋体" w:cs="宋体"/>
              </w:rPr>
            </w:pPr>
            <w:r>
              <w:rPr>
                <w:rFonts w:hint="eastAsia" w:ascii="宋体" w:hAnsi="宋体" w:cs="宋体"/>
              </w:rPr>
              <w:t>危险物品安全管理制度</w:t>
            </w:r>
          </w:p>
        </w:tc>
        <w:tc>
          <w:tcPr>
            <w:tcW w:w="6088" w:type="dxa"/>
            <w:tcBorders>
              <w:tl2br w:val="nil"/>
              <w:tr2bl w:val="nil"/>
            </w:tcBorders>
            <w:shd w:val="clear" w:color="auto" w:fill="auto"/>
            <w:vAlign w:val="center"/>
          </w:tcPr>
          <w:p w14:paraId="6717EE7F">
            <w:pPr>
              <w:pStyle w:val="66"/>
              <w:jc w:val="left"/>
              <w:rPr>
                <w:rFonts w:hint="eastAsia" w:ascii="宋体" w:hAnsi="宋体" w:cs="宋体"/>
              </w:rPr>
            </w:pPr>
            <w:r>
              <w:rPr>
                <w:rFonts w:hint="eastAsia" w:ascii="宋体" w:hAnsi="宋体" w:cs="宋体"/>
              </w:rPr>
              <w:t>根据《中交二航局危险物品安全管理办法》对现场物品进行管理</w:t>
            </w:r>
          </w:p>
        </w:tc>
      </w:tr>
      <w:tr w14:paraId="2CFBB40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tcBorders>
              <w:tl2br w:val="nil"/>
              <w:tr2bl w:val="nil"/>
            </w:tcBorders>
            <w:shd w:val="clear" w:color="auto" w:fill="auto"/>
            <w:vAlign w:val="center"/>
          </w:tcPr>
          <w:p w14:paraId="609898E3">
            <w:pPr>
              <w:pStyle w:val="66"/>
              <w:rPr>
                <w:rFonts w:hint="eastAsia" w:ascii="宋体" w:hAnsi="宋体" w:cs="宋体"/>
              </w:rPr>
            </w:pPr>
            <w:r>
              <w:rPr>
                <w:rFonts w:hint="eastAsia" w:ascii="宋体" w:hAnsi="宋体" w:cs="宋体"/>
              </w:rPr>
              <w:t>15</w:t>
            </w:r>
          </w:p>
        </w:tc>
        <w:tc>
          <w:tcPr>
            <w:tcW w:w="1719" w:type="dxa"/>
            <w:tcBorders>
              <w:tl2br w:val="nil"/>
              <w:tr2bl w:val="nil"/>
            </w:tcBorders>
            <w:shd w:val="clear" w:color="auto" w:fill="auto"/>
            <w:vAlign w:val="center"/>
          </w:tcPr>
          <w:p w14:paraId="592E1D32">
            <w:pPr>
              <w:pStyle w:val="66"/>
              <w:rPr>
                <w:rFonts w:hint="eastAsia" w:ascii="宋体" w:hAnsi="宋体" w:cs="宋体"/>
              </w:rPr>
            </w:pPr>
            <w:r>
              <w:rPr>
                <w:rFonts w:hint="eastAsia" w:ascii="宋体" w:hAnsi="宋体" w:cs="宋体"/>
              </w:rPr>
              <w:t>安全生产奖罚与事故报告制度</w:t>
            </w:r>
          </w:p>
        </w:tc>
        <w:tc>
          <w:tcPr>
            <w:tcW w:w="6088" w:type="dxa"/>
            <w:tcBorders>
              <w:tl2br w:val="nil"/>
              <w:tr2bl w:val="nil"/>
            </w:tcBorders>
            <w:shd w:val="clear" w:color="auto" w:fill="auto"/>
            <w:vAlign w:val="center"/>
          </w:tcPr>
          <w:p w14:paraId="5922F41C">
            <w:pPr>
              <w:pStyle w:val="66"/>
              <w:jc w:val="left"/>
              <w:rPr>
                <w:rFonts w:hint="eastAsia" w:ascii="宋体" w:hAnsi="宋体" w:cs="宋体"/>
              </w:rPr>
            </w:pPr>
            <w:r>
              <w:rPr>
                <w:rFonts w:hint="eastAsia" w:ascii="宋体" w:hAnsi="宋体" w:cs="宋体"/>
              </w:rPr>
              <w:t>对施工过程中安全工作做得好的分包单位、作业班组、个人进行奖励，对不遵守安全生产规章制度、不落实安全措施方案的分包单位、作业班组及个人进行处罚，以督促整改，并对事故按程序及时进行报告</w:t>
            </w:r>
          </w:p>
        </w:tc>
      </w:tr>
      <w:tr w14:paraId="4D6DA41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tcBorders>
              <w:tl2br w:val="nil"/>
              <w:tr2bl w:val="nil"/>
            </w:tcBorders>
            <w:shd w:val="clear" w:color="auto" w:fill="auto"/>
            <w:vAlign w:val="center"/>
          </w:tcPr>
          <w:p w14:paraId="4F376DC7">
            <w:pPr>
              <w:pStyle w:val="66"/>
              <w:rPr>
                <w:rFonts w:hint="eastAsia" w:ascii="宋体" w:hAnsi="宋体" w:cs="宋体"/>
              </w:rPr>
            </w:pPr>
            <w:r>
              <w:rPr>
                <w:rFonts w:hint="eastAsia" w:ascii="宋体" w:hAnsi="宋体" w:cs="宋体"/>
              </w:rPr>
              <w:t>16</w:t>
            </w:r>
          </w:p>
        </w:tc>
        <w:tc>
          <w:tcPr>
            <w:tcW w:w="1719" w:type="dxa"/>
            <w:tcBorders>
              <w:tl2br w:val="nil"/>
              <w:tr2bl w:val="nil"/>
            </w:tcBorders>
            <w:shd w:val="clear" w:color="auto" w:fill="auto"/>
            <w:vAlign w:val="center"/>
          </w:tcPr>
          <w:p w14:paraId="1C7B4C54">
            <w:pPr>
              <w:pStyle w:val="66"/>
              <w:rPr>
                <w:rFonts w:hint="eastAsia" w:ascii="宋体" w:hAnsi="宋体" w:cs="宋体"/>
              </w:rPr>
            </w:pPr>
            <w:r>
              <w:rPr>
                <w:rFonts w:hint="eastAsia" w:ascii="宋体" w:hAnsi="宋体" w:cs="宋体"/>
              </w:rPr>
              <w:t>协作单位安全管理制度</w:t>
            </w:r>
          </w:p>
        </w:tc>
        <w:tc>
          <w:tcPr>
            <w:tcW w:w="6088" w:type="dxa"/>
            <w:tcBorders>
              <w:tl2br w:val="nil"/>
              <w:tr2bl w:val="nil"/>
            </w:tcBorders>
            <w:shd w:val="clear" w:color="auto" w:fill="auto"/>
            <w:vAlign w:val="center"/>
          </w:tcPr>
          <w:p w14:paraId="412BEE9C">
            <w:pPr>
              <w:pStyle w:val="66"/>
              <w:jc w:val="left"/>
              <w:rPr>
                <w:rFonts w:hint="eastAsia" w:ascii="宋体" w:hAnsi="宋体" w:cs="宋体"/>
              </w:rPr>
            </w:pPr>
            <w:r>
              <w:rPr>
                <w:rFonts w:hint="eastAsia" w:ascii="宋体" w:hAnsi="宋体" w:cs="宋体"/>
              </w:rPr>
              <w:t>根据《中交二航局工程分包安全生产管理办法》建立协作单位安全管理制度，并严格落实执行</w:t>
            </w:r>
          </w:p>
        </w:tc>
      </w:tr>
      <w:tr w14:paraId="467A8E6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tcBorders>
              <w:tl2br w:val="nil"/>
              <w:tr2bl w:val="nil"/>
            </w:tcBorders>
            <w:shd w:val="clear" w:color="auto" w:fill="auto"/>
            <w:vAlign w:val="center"/>
          </w:tcPr>
          <w:p w14:paraId="023C38BC">
            <w:pPr>
              <w:pStyle w:val="66"/>
              <w:rPr>
                <w:rFonts w:hint="eastAsia" w:ascii="宋体" w:hAnsi="宋体" w:cs="宋体"/>
              </w:rPr>
            </w:pPr>
            <w:r>
              <w:rPr>
                <w:rFonts w:hint="eastAsia" w:ascii="宋体" w:hAnsi="宋体" w:cs="宋体"/>
              </w:rPr>
              <w:t>17</w:t>
            </w:r>
          </w:p>
        </w:tc>
        <w:tc>
          <w:tcPr>
            <w:tcW w:w="1719" w:type="dxa"/>
            <w:tcBorders>
              <w:tl2br w:val="nil"/>
              <w:tr2bl w:val="nil"/>
            </w:tcBorders>
            <w:shd w:val="clear" w:color="auto" w:fill="auto"/>
            <w:vAlign w:val="center"/>
          </w:tcPr>
          <w:p w14:paraId="5B5930E1">
            <w:pPr>
              <w:pStyle w:val="66"/>
              <w:rPr>
                <w:rFonts w:hint="eastAsia" w:ascii="宋体" w:hAnsi="宋体" w:cs="宋体"/>
              </w:rPr>
            </w:pPr>
            <w:r>
              <w:rPr>
                <w:rFonts w:hint="eastAsia" w:ascii="宋体" w:hAnsi="宋体" w:cs="宋体"/>
              </w:rPr>
              <w:t>危急情况停工制</w:t>
            </w:r>
          </w:p>
        </w:tc>
        <w:tc>
          <w:tcPr>
            <w:tcW w:w="6088" w:type="dxa"/>
            <w:tcBorders>
              <w:tl2br w:val="nil"/>
              <w:tr2bl w:val="nil"/>
            </w:tcBorders>
            <w:shd w:val="clear" w:color="auto" w:fill="auto"/>
            <w:vAlign w:val="center"/>
          </w:tcPr>
          <w:p w14:paraId="07B50481">
            <w:pPr>
              <w:pStyle w:val="66"/>
              <w:jc w:val="left"/>
              <w:rPr>
                <w:rFonts w:hint="eastAsia" w:ascii="宋体" w:hAnsi="宋体" w:cs="宋体"/>
              </w:rPr>
            </w:pPr>
            <w:r>
              <w:rPr>
                <w:rFonts w:hint="eastAsia" w:ascii="宋体" w:hAnsi="宋体" w:cs="宋体"/>
              </w:rPr>
              <w:t>一旦出现危及人员生命、财产安全的险情，要立即停工，待查明情况、排除险兆后方可复工</w:t>
            </w:r>
          </w:p>
        </w:tc>
      </w:tr>
      <w:tr w14:paraId="0E2592A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tcBorders>
              <w:tl2br w:val="nil"/>
              <w:tr2bl w:val="nil"/>
            </w:tcBorders>
            <w:shd w:val="clear" w:color="auto" w:fill="auto"/>
            <w:vAlign w:val="center"/>
          </w:tcPr>
          <w:p w14:paraId="66B5A81C">
            <w:pPr>
              <w:pStyle w:val="66"/>
              <w:rPr>
                <w:rFonts w:hint="eastAsia" w:ascii="宋体" w:hAnsi="宋体" w:cs="宋体"/>
              </w:rPr>
            </w:pPr>
            <w:r>
              <w:rPr>
                <w:rFonts w:hint="eastAsia" w:ascii="宋体" w:hAnsi="宋体" w:cs="宋体"/>
              </w:rPr>
              <w:t>18</w:t>
            </w:r>
          </w:p>
        </w:tc>
        <w:tc>
          <w:tcPr>
            <w:tcW w:w="1719" w:type="dxa"/>
            <w:tcBorders>
              <w:tl2br w:val="nil"/>
              <w:tr2bl w:val="nil"/>
            </w:tcBorders>
            <w:shd w:val="clear" w:color="auto" w:fill="auto"/>
            <w:vAlign w:val="center"/>
          </w:tcPr>
          <w:p w14:paraId="61FF17D5">
            <w:pPr>
              <w:pStyle w:val="66"/>
              <w:rPr>
                <w:rFonts w:hint="eastAsia" w:ascii="宋体" w:hAnsi="宋体" w:cs="宋体"/>
              </w:rPr>
            </w:pPr>
            <w:r>
              <w:rPr>
                <w:rFonts w:hint="eastAsia" w:ascii="宋体" w:hAnsi="宋体" w:cs="宋体"/>
              </w:rPr>
              <w:t>领导带班制度</w:t>
            </w:r>
          </w:p>
        </w:tc>
        <w:tc>
          <w:tcPr>
            <w:tcW w:w="6088" w:type="dxa"/>
            <w:tcBorders>
              <w:tl2br w:val="nil"/>
              <w:tr2bl w:val="nil"/>
            </w:tcBorders>
            <w:shd w:val="clear" w:color="auto" w:fill="auto"/>
            <w:vAlign w:val="center"/>
          </w:tcPr>
          <w:p w14:paraId="1242222B">
            <w:pPr>
              <w:pStyle w:val="66"/>
              <w:jc w:val="left"/>
              <w:rPr>
                <w:rFonts w:hint="eastAsia" w:ascii="宋体" w:hAnsi="宋体" w:cs="宋体"/>
              </w:rPr>
            </w:pPr>
            <w:r>
              <w:rPr>
                <w:rFonts w:hint="eastAsia" w:ascii="宋体" w:hAnsi="宋体" w:cs="宋体"/>
              </w:rPr>
              <w:t>根据《中交二航局企业负责人及项目负责人施工现场带班管理规定》建立项目领导带班制度，并严格落实执行</w:t>
            </w:r>
          </w:p>
        </w:tc>
      </w:tr>
      <w:tr w14:paraId="4CAFB46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tcBorders>
              <w:tl2br w:val="nil"/>
              <w:tr2bl w:val="nil"/>
            </w:tcBorders>
            <w:shd w:val="clear" w:color="auto" w:fill="auto"/>
            <w:vAlign w:val="center"/>
          </w:tcPr>
          <w:p w14:paraId="5277F200">
            <w:pPr>
              <w:pStyle w:val="66"/>
              <w:rPr>
                <w:rFonts w:hint="eastAsia" w:ascii="宋体" w:hAnsi="宋体" w:cs="宋体"/>
              </w:rPr>
            </w:pPr>
            <w:r>
              <w:rPr>
                <w:rFonts w:hint="eastAsia" w:ascii="宋体" w:hAnsi="宋体" w:cs="宋体"/>
              </w:rPr>
              <w:t>19</w:t>
            </w:r>
          </w:p>
        </w:tc>
        <w:tc>
          <w:tcPr>
            <w:tcW w:w="1719" w:type="dxa"/>
            <w:tcBorders>
              <w:tl2br w:val="nil"/>
              <w:tr2bl w:val="nil"/>
            </w:tcBorders>
            <w:shd w:val="clear" w:color="auto" w:fill="auto"/>
            <w:vAlign w:val="center"/>
          </w:tcPr>
          <w:p w14:paraId="5E8BC1F7">
            <w:pPr>
              <w:pStyle w:val="66"/>
              <w:rPr>
                <w:rFonts w:hint="eastAsia" w:ascii="宋体" w:hAnsi="宋体" w:cs="宋体"/>
              </w:rPr>
            </w:pPr>
            <w:r>
              <w:rPr>
                <w:rFonts w:hint="eastAsia" w:ascii="宋体" w:hAnsi="宋体" w:cs="宋体"/>
              </w:rPr>
              <w:t>其他安全管理制度</w:t>
            </w:r>
          </w:p>
        </w:tc>
        <w:tc>
          <w:tcPr>
            <w:tcW w:w="6088" w:type="dxa"/>
            <w:tcBorders>
              <w:tl2br w:val="nil"/>
              <w:tr2bl w:val="nil"/>
            </w:tcBorders>
            <w:shd w:val="clear" w:color="auto" w:fill="auto"/>
            <w:vAlign w:val="center"/>
          </w:tcPr>
          <w:p w14:paraId="329D0403">
            <w:pPr>
              <w:pStyle w:val="66"/>
              <w:jc w:val="left"/>
              <w:rPr>
                <w:rFonts w:hint="eastAsia" w:ascii="宋体" w:hAnsi="宋体" w:cs="宋体"/>
              </w:rPr>
            </w:pPr>
            <w:r>
              <w:rPr>
                <w:rFonts w:hint="eastAsia" w:ascii="宋体" w:hAnsi="宋体" w:cs="宋体"/>
              </w:rPr>
              <w:t>根据地方或业主要求建立健全其他安全管理制度</w:t>
            </w:r>
          </w:p>
        </w:tc>
      </w:tr>
    </w:tbl>
    <w:p w14:paraId="0BA931BC">
      <w:pPr>
        <w:pStyle w:val="3"/>
        <w:spacing w:before="156" w:after="156"/>
        <w:ind w:firstLine="562"/>
        <w:rPr>
          <w:color w:val="000000" w:themeColor="text1"/>
          <w14:textFill>
            <w14:solidFill>
              <w14:schemeClr w14:val="tx1"/>
            </w14:solidFill>
          </w14:textFill>
        </w:rPr>
      </w:pPr>
      <w:bookmarkStart w:id="163" w:name="_Toc21075"/>
      <w:bookmarkStart w:id="164" w:name="_Toc32528"/>
      <w:r>
        <w:rPr>
          <w:rFonts w:hint="eastAsia"/>
          <w:color w:val="000000" w:themeColor="text1"/>
          <w14:textFill>
            <w14:solidFill>
              <w14:schemeClr w14:val="tx1"/>
            </w14:solidFill>
          </w14:textFill>
        </w:rPr>
        <w:t>技术措施</w:t>
      </w:r>
      <w:bookmarkEnd w:id="162"/>
      <w:bookmarkEnd w:id="163"/>
      <w:bookmarkEnd w:id="164"/>
    </w:p>
    <w:p w14:paraId="74E5A9FF">
      <w:pPr>
        <w:adjustRightInd w:val="0"/>
        <w:snapToGrid w:val="0"/>
        <w:ind w:firstLine="480"/>
        <w:rPr>
          <w:rFonts w:hint="eastAsia" w:ascii="宋体" w:hAnsi="宋体" w:cs="宋体"/>
          <w:szCs w:val="24"/>
        </w:rPr>
      </w:pPr>
      <w:r>
        <w:rPr>
          <w:rFonts w:hint="eastAsia" w:ascii="宋体" w:hAnsi="宋体" w:cs="宋体"/>
          <w:szCs w:val="24"/>
        </w:rPr>
        <w:t>（1）所有参加本工程的工作人员，都必须严格遵守有关规程、规范各种工种的安全生产操作规程和本施工组织设计。</w:t>
      </w:r>
    </w:p>
    <w:p w14:paraId="29B79E63">
      <w:pPr>
        <w:adjustRightInd w:val="0"/>
        <w:snapToGrid w:val="0"/>
        <w:ind w:firstLine="480"/>
        <w:rPr>
          <w:rFonts w:hint="eastAsia" w:ascii="宋体" w:hAnsi="宋体" w:cs="宋体"/>
          <w:szCs w:val="24"/>
        </w:rPr>
      </w:pPr>
      <w:r>
        <w:rPr>
          <w:rFonts w:hint="eastAsia" w:ascii="宋体" w:hAnsi="宋体" w:cs="宋体"/>
          <w:szCs w:val="24"/>
        </w:rPr>
        <w:t>（2）生产及安全负责人认真执行安全生产规章制度，经常进行安全检查，消除事故隐患，制止违章作业。</w:t>
      </w:r>
    </w:p>
    <w:p w14:paraId="04441476">
      <w:pPr>
        <w:adjustRightInd w:val="0"/>
        <w:snapToGrid w:val="0"/>
        <w:ind w:firstLine="480"/>
        <w:rPr>
          <w:rFonts w:hint="eastAsia" w:ascii="宋体" w:hAnsi="宋体" w:cs="宋体"/>
          <w:szCs w:val="24"/>
        </w:rPr>
      </w:pPr>
      <w:r>
        <w:rPr>
          <w:rFonts w:hint="eastAsia" w:ascii="宋体" w:hAnsi="宋体" w:cs="宋体"/>
          <w:szCs w:val="24"/>
        </w:rPr>
        <w:t>（3）施工用电设备应有专人负责接线，排除故障。</w:t>
      </w:r>
    </w:p>
    <w:p w14:paraId="42D193D6">
      <w:pPr>
        <w:adjustRightInd w:val="0"/>
        <w:snapToGrid w:val="0"/>
        <w:ind w:firstLine="480"/>
        <w:rPr>
          <w:rFonts w:hint="eastAsia" w:ascii="宋体" w:hAnsi="宋体" w:cs="宋体"/>
          <w:szCs w:val="24"/>
        </w:rPr>
      </w:pPr>
      <w:r>
        <w:rPr>
          <w:rFonts w:hint="eastAsia" w:ascii="宋体" w:hAnsi="宋体" w:cs="宋体"/>
          <w:szCs w:val="24"/>
        </w:rPr>
        <w:t>（4）施工现场必须戴安全帽，不得穿拖鞋进入施工现场。</w:t>
      </w:r>
    </w:p>
    <w:p w14:paraId="7D214F95">
      <w:pPr>
        <w:adjustRightInd w:val="0"/>
        <w:snapToGrid w:val="0"/>
        <w:ind w:firstLine="480"/>
        <w:rPr>
          <w:rFonts w:hint="eastAsia" w:ascii="宋体" w:hAnsi="宋体" w:cs="宋体"/>
          <w:szCs w:val="24"/>
        </w:rPr>
      </w:pPr>
      <w:r>
        <w:rPr>
          <w:rFonts w:hint="eastAsia" w:ascii="宋体" w:hAnsi="宋体" w:cs="宋体"/>
          <w:szCs w:val="24"/>
        </w:rPr>
        <w:t>（5）在塔吊施工处有专人指挥，保证人身安全，设立警示牌，夜间增加照明装置。</w:t>
      </w:r>
    </w:p>
    <w:p w14:paraId="01F6F4FA">
      <w:pPr>
        <w:adjustRightInd w:val="0"/>
        <w:snapToGrid w:val="0"/>
        <w:ind w:firstLine="480"/>
        <w:rPr>
          <w:rFonts w:hint="eastAsia" w:ascii="宋体" w:hAnsi="宋体" w:cs="宋体"/>
          <w:szCs w:val="24"/>
        </w:rPr>
      </w:pPr>
      <w:r>
        <w:rPr>
          <w:rFonts w:hint="eastAsia" w:ascii="宋体" w:hAnsi="宋体" w:cs="宋体"/>
          <w:szCs w:val="24"/>
        </w:rPr>
        <w:t>（6）塔吊司机不得向外乱扔杂物。</w:t>
      </w:r>
    </w:p>
    <w:p w14:paraId="7A20D962">
      <w:pPr>
        <w:adjustRightInd w:val="0"/>
        <w:snapToGrid w:val="0"/>
        <w:ind w:firstLine="480"/>
        <w:rPr>
          <w:rFonts w:hint="eastAsia" w:ascii="宋体" w:hAnsi="宋体" w:cs="宋体"/>
          <w:szCs w:val="24"/>
        </w:rPr>
      </w:pPr>
      <w:r>
        <w:rPr>
          <w:rFonts w:hint="eastAsia" w:ascii="宋体" w:hAnsi="宋体" w:cs="宋体"/>
          <w:szCs w:val="24"/>
        </w:rPr>
        <w:t>（7）施工机械一切服从指挥，人员尽量远离施工机械，如有必要，先通知操作人员，待回应后方可接近。</w:t>
      </w:r>
    </w:p>
    <w:p w14:paraId="59407824">
      <w:pPr>
        <w:adjustRightInd w:val="0"/>
        <w:snapToGrid w:val="0"/>
        <w:ind w:firstLine="480"/>
        <w:rPr>
          <w:rFonts w:hint="eastAsia" w:ascii="宋体" w:hAnsi="宋体" w:cs="宋体"/>
          <w:szCs w:val="24"/>
        </w:rPr>
      </w:pPr>
      <w:r>
        <w:rPr>
          <w:rFonts w:hint="eastAsia" w:ascii="宋体" w:hAnsi="宋体" w:cs="宋体"/>
          <w:szCs w:val="24"/>
        </w:rPr>
        <w:t>（8）机械施工区域禁止无关人员进入场地内。挖掘机回转半径范围内不得站人或进行其他作业。挖掘机、装载机卸土，应待整机停稳后进行。</w:t>
      </w:r>
    </w:p>
    <w:bookmarkEnd w:id="152"/>
    <w:bookmarkEnd w:id="153"/>
    <w:bookmarkEnd w:id="154"/>
    <w:bookmarkEnd w:id="155"/>
    <w:bookmarkEnd w:id="156"/>
    <w:bookmarkEnd w:id="157"/>
    <w:p w14:paraId="194DF172">
      <w:pPr>
        <w:adjustRightInd w:val="0"/>
        <w:snapToGrid w:val="0"/>
        <w:ind w:firstLine="480"/>
        <w:rPr>
          <w:rFonts w:hint="eastAsia" w:ascii="宋体" w:hAnsi="宋体" w:cs="宋体"/>
          <w:szCs w:val="24"/>
        </w:rPr>
      </w:pPr>
      <w:r>
        <w:rPr>
          <w:rFonts w:hint="eastAsia" w:ascii="宋体" w:hAnsi="宋体" w:cs="宋体"/>
          <w:szCs w:val="24"/>
        </w:rPr>
        <w:t>（9）风力达到5级及以上或回转刹车失灵或起重臂定位较困难时，严禁塔机作业。</w:t>
      </w:r>
    </w:p>
    <w:p w14:paraId="5E345943">
      <w:pPr>
        <w:adjustRightInd w:val="0"/>
        <w:snapToGrid w:val="0"/>
        <w:ind w:firstLine="480"/>
        <w:rPr>
          <w:rFonts w:hint="eastAsia" w:ascii="宋体" w:hAnsi="宋体" w:cs="宋体"/>
          <w:szCs w:val="24"/>
        </w:rPr>
      </w:pPr>
      <w:r>
        <w:rPr>
          <w:rFonts w:hint="eastAsia" w:ascii="宋体" w:hAnsi="宋体" w:cs="宋体"/>
          <w:szCs w:val="24"/>
        </w:rPr>
        <w:t>（10）塔机司机每班作业前，必须检查回转刹车是否灵敏、可靠。</w:t>
      </w:r>
    </w:p>
    <w:p w14:paraId="195137AF">
      <w:pPr>
        <w:adjustRightInd w:val="0"/>
        <w:snapToGrid w:val="0"/>
        <w:ind w:firstLine="480"/>
        <w:rPr>
          <w:rFonts w:hint="eastAsia" w:ascii="宋体" w:hAnsi="宋体" w:cs="宋体"/>
          <w:szCs w:val="24"/>
        </w:rPr>
      </w:pPr>
      <w:r>
        <w:rPr>
          <w:rFonts w:hint="eastAsia" w:ascii="宋体" w:hAnsi="宋体" w:cs="宋体"/>
          <w:szCs w:val="24"/>
        </w:rPr>
        <w:t>（11）塔机回转时，必须提前减速，接近目标区域前低速运行。</w:t>
      </w:r>
    </w:p>
    <w:p w14:paraId="5BD1EDF8">
      <w:pPr>
        <w:adjustRightInd w:val="0"/>
        <w:snapToGrid w:val="0"/>
        <w:ind w:firstLine="480"/>
        <w:rPr>
          <w:rFonts w:hint="eastAsia" w:ascii="宋体" w:hAnsi="宋体" w:cs="宋体"/>
          <w:szCs w:val="24"/>
        </w:rPr>
      </w:pPr>
      <w:r>
        <w:rPr>
          <w:rFonts w:hint="eastAsia" w:ascii="宋体" w:hAnsi="宋体" w:cs="宋体"/>
          <w:szCs w:val="24"/>
        </w:rPr>
        <w:t>（12）每班作业后，塔机吊钩应停置在起重臂10m幅度处，起升至离起重臂2m至3m,吊钩上严禁悬挂吊物、吊索。</w:t>
      </w:r>
    </w:p>
    <w:p w14:paraId="1FA3222E">
      <w:pPr>
        <w:adjustRightInd w:val="0"/>
        <w:snapToGrid w:val="0"/>
        <w:ind w:firstLine="480"/>
        <w:rPr>
          <w:rFonts w:hint="eastAsia" w:ascii="宋体" w:hAnsi="宋体" w:cs="宋体"/>
          <w:szCs w:val="24"/>
        </w:rPr>
      </w:pPr>
      <w:r>
        <w:rPr>
          <w:rFonts w:hint="eastAsia" w:ascii="宋体" w:hAnsi="宋体" w:cs="宋体"/>
          <w:szCs w:val="24"/>
        </w:rPr>
        <w:t>（13）作业过程中突然停电，若起重吊钩不在安全范围内，应及时利用备用电源回转制动并采取木楔塞住回转小齿轮与回转齿圈措施，塔机司机和指挥不得离开工作岗位。</w:t>
      </w:r>
    </w:p>
    <w:p w14:paraId="50630571">
      <w:pPr>
        <w:adjustRightInd w:val="0"/>
        <w:snapToGrid w:val="0"/>
        <w:ind w:firstLine="480"/>
        <w:rPr>
          <w:rFonts w:hint="eastAsia" w:ascii="宋体" w:hAnsi="宋体" w:cs="宋体"/>
          <w:szCs w:val="24"/>
        </w:rPr>
      </w:pPr>
      <w:r>
        <w:rPr>
          <w:rFonts w:hint="eastAsia" w:ascii="宋体" w:hAnsi="宋体" w:cs="宋体"/>
          <w:szCs w:val="24"/>
        </w:rPr>
        <w:t>（14）禁止塔吊小车伸出围墙外作业。</w:t>
      </w:r>
    </w:p>
    <w:p w14:paraId="01D4ABE0">
      <w:pPr>
        <w:adjustRightInd w:val="0"/>
        <w:snapToGrid w:val="0"/>
        <w:ind w:firstLine="480"/>
        <w:rPr>
          <w:rFonts w:hint="eastAsia" w:ascii="宋体" w:hAnsi="宋体" w:cs="宋体"/>
          <w:szCs w:val="24"/>
        </w:rPr>
      </w:pPr>
      <w:r>
        <w:rPr>
          <w:rFonts w:hint="eastAsia" w:ascii="宋体" w:hAnsi="宋体" w:cs="宋体"/>
          <w:szCs w:val="24"/>
        </w:rPr>
        <w:t>（15）塔吊顶升加节时，应实行报、审批及验收制度。</w:t>
      </w:r>
    </w:p>
    <w:p w14:paraId="56D27276">
      <w:pPr>
        <w:adjustRightInd w:val="0"/>
        <w:snapToGrid w:val="0"/>
        <w:ind w:firstLine="480"/>
        <w:rPr>
          <w:rFonts w:hint="eastAsia" w:ascii="宋体" w:hAnsi="宋体" w:cs="宋体"/>
          <w:szCs w:val="24"/>
        </w:rPr>
      </w:pPr>
      <w:r>
        <w:rPr>
          <w:rFonts w:hint="eastAsia" w:ascii="宋体" w:hAnsi="宋体" w:cs="宋体"/>
          <w:szCs w:val="24"/>
        </w:rPr>
        <w:t>（16）群塔作业过程应遵循“五让”规定：</w:t>
      </w:r>
    </w:p>
    <w:p w14:paraId="627DFAA6">
      <w:pPr>
        <w:adjustRightInd w:val="0"/>
        <w:snapToGrid w:val="0"/>
        <w:ind w:firstLine="720" w:firstLineChars="300"/>
        <w:rPr>
          <w:rFonts w:hint="eastAsia" w:ascii="宋体" w:hAnsi="宋体" w:cs="宋体"/>
          <w:szCs w:val="24"/>
        </w:rPr>
      </w:pPr>
      <w:r>
        <w:rPr>
          <w:rFonts w:hint="eastAsia" w:ascii="宋体" w:hAnsi="宋体" w:cs="宋体"/>
          <w:szCs w:val="24"/>
        </w:rPr>
        <w:t>①低塔让高塔：在塔机起重臂作业交叉区域内运行时，低塔应避让高塔。</w:t>
      </w:r>
    </w:p>
    <w:p w14:paraId="1605A4B9">
      <w:pPr>
        <w:adjustRightInd w:val="0"/>
        <w:snapToGrid w:val="0"/>
        <w:ind w:firstLine="720" w:firstLineChars="300"/>
        <w:rPr>
          <w:rFonts w:hint="eastAsia" w:ascii="宋体" w:hAnsi="宋体" w:cs="宋体"/>
          <w:szCs w:val="24"/>
        </w:rPr>
      </w:pPr>
      <w:r>
        <w:rPr>
          <w:rFonts w:hint="eastAsia" w:ascii="宋体" w:hAnsi="宋体" w:cs="宋体"/>
          <w:szCs w:val="24"/>
        </w:rPr>
        <w:t>②后塔让先塔：在塔机起重臂作业交叉区域内运行时，后进入该区塔机应避让已在该区域作业的塔机。</w:t>
      </w:r>
    </w:p>
    <w:p w14:paraId="718D0EB1">
      <w:pPr>
        <w:adjustRightInd w:val="0"/>
        <w:snapToGrid w:val="0"/>
        <w:ind w:firstLine="720" w:firstLineChars="300"/>
        <w:rPr>
          <w:rFonts w:hint="eastAsia" w:ascii="宋体" w:hAnsi="宋体" w:cs="宋体"/>
          <w:szCs w:val="24"/>
        </w:rPr>
      </w:pPr>
      <w:r>
        <w:rPr>
          <w:rFonts w:hint="eastAsia" w:ascii="宋体" w:hAnsi="宋体" w:cs="宋体"/>
          <w:szCs w:val="24"/>
        </w:rPr>
        <w:t>③动塔让静塔：在塔机起重臂作业交叉区域内运行时，需运转的塔机应避让处于静止状态的塔机。</w:t>
      </w:r>
    </w:p>
    <w:p w14:paraId="4B799310">
      <w:pPr>
        <w:adjustRightInd w:val="0"/>
        <w:snapToGrid w:val="0"/>
        <w:ind w:firstLine="720" w:firstLineChars="300"/>
        <w:rPr>
          <w:rFonts w:hint="eastAsia" w:ascii="宋体" w:hAnsi="宋体" w:cs="宋体"/>
          <w:szCs w:val="24"/>
        </w:rPr>
      </w:pPr>
      <w:r>
        <w:rPr>
          <w:rFonts w:hint="eastAsia" w:ascii="宋体" w:hAnsi="宋体" w:cs="宋体"/>
          <w:szCs w:val="24"/>
        </w:rPr>
        <w:t>④轻车让重车：两塔或多塔同时运行时，空载塔机应主动避让负载塔机。</w:t>
      </w:r>
    </w:p>
    <w:p w14:paraId="120BA2E9">
      <w:pPr>
        <w:adjustRightInd w:val="0"/>
        <w:snapToGrid w:val="0"/>
        <w:ind w:firstLine="720" w:firstLineChars="300"/>
        <w:rPr>
          <w:rFonts w:hint="eastAsia" w:ascii="宋体" w:hAnsi="宋体" w:cs="宋体"/>
          <w:szCs w:val="24"/>
        </w:rPr>
      </w:pPr>
      <w:r>
        <w:rPr>
          <w:rFonts w:hint="eastAsia" w:ascii="宋体" w:hAnsi="宋体" w:cs="宋体"/>
          <w:szCs w:val="24"/>
        </w:rPr>
        <w:t>⑤客塔让主塔：进入相邻的其他工地或本工程其他塔机的主作业区时应主动避让他方塔吊。</w:t>
      </w:r>
    </w:p>
    <w:p w14:paraId="63756CCE">
      <w:pPr>
        <w:adjustRightInd w:val="0"/>
        <w:snapToGrid w:val="0"/>
        <w:ind w:firstLine="480"/>
        <w:rPr>
          <w:rFonts w:hint="eastAsia" w:ascii="宋体" w:hAnsi="宋体" w:cs="宋体"/>
          <w:szCs w:val="24"/>
        </w:rPr>
      </w:pPr>
      <w:r>
        <w:rPr>
          <w:rFonts w:hint="eastAsia" w:ascii="宋体" w:hAnsi="宋体" w:cs="宋体"/>
          <w:szCs w:val="24"/>
        </w:rPr>
        <w:t>（17）施工现场“十不准”：</w:t>
      </w:r>
    </w:p>
    <w:p w14:paraId="2ADC0277">
      <w:pPr>
        <w:adjustRightInd w:val="0"/>
        <w:snapToGrid w:val="0"/>
        <w:ind w:firstLine="720" w:firstLineChars="300"/>
        <w:rPr>
          <w:rFonts w:hint="eastAsia" w:ascii="宋体" w:hAnsi="宋体" w:cs="宋体"/>
          <w:szCs w:val="24"/>
        </w:rPr>
      </w:pPr>
      <w:r>
        <w:rPr>
          <w:rFonts w:hint="eastAsia" w:ascii="宋体" w:hAnsi="宋体" w:cs="宋体"/>
          <w:szCs w:val="24"/>
        </w:rPr>
        <w:t>①不准从正在起吊、运吊中的物件下通过。不准从高处往下跳或奔跑作业。</w:t>
      </w:r>
    </w:p>
    <w:p w14:paraId="55574AB9">
      <w:pPr>
        <w:adjustRightInd w:val="0"/>
        <w:snapToGrid w:val="0"/>
        <w:ind w:firstLine="720" w:firstLineChars="300"/>
        <w:rPr>
          <w:rFonts w:hint="eastAsia" w:ascii="宋体" w:hAnsi="宋体" w:cs="宋体"/>
          <w:szCs w:val="24"/>
        </w:rPr>
      </w:pPr>
      <w:r>
        <w:rPr>
          <w:rFonts w:hint="eastAsia" w:ascii="宋体" w:hAnsi="宋体" w:cs="宋体"/>
          <w:szCs w:val="24"/>
        </w:rPr>
        <w:t>②不准在没有防护的外墙和外壁板等建筑物上行走。</w:t>
      </w:r>
    </w:p>
    <w:p w14:paraId="10DA7D97">
      <w:pPr>
        <w:adjustRightInd w:val="0"/>
        <w:snapToGrid w:val="0"/>
        <w:ind w:firstLine="720" w:firstLineChars="300"/>
        <w:rPr>
          <w:rFonts w:hint="eastAsia" w:ascii="宋体" w:hAnsi="宋体" w:cs="宋体"/>
          <w:szCs w:val="24"/>
        </w:rPr>
      </w:pPr>
      <w:r>
        <w:rPr>
          <w:rFonts w:hint="eastAsia" w:ascii="宋体" w:hAnsi="宋体" w:cs="宋体"/>
          <w:szCs w:val="24"/>
        </w:rPr>
        <w:t>③不准站在小推车等不稳定的物体上操作。</w:t>
      </w:r>
    </w:p>
    <w:p w14:paraId="2910D04A">
      <w:pPr>
        <w:adjustRightInd w:val="0"/>
        <w:snapToGrid w:val="0"/>
        <w:ind w:firstLine="720" w:firstLineChars="300"/>
        <w:rPr>
          <w:rFonts w:hint="eastAsia" w:ascii="宋体" w:hAnsi="宋体" w:cs="宋体"/>
          <w:szCs w:val="24"/>
        </w:rPr>
      </w:pPr>
      <w:r>
        <w:rPr>
          <w:rFonts w:hint="eastAsia" w:ascii="宋体" w:hAnsi="宋体" w:cs="宋体"/>
          <w:szCs w:val="24"/>
        </w:rPr>
        <w:t>④不得攀登起重臂、绳索、脚手架、井子架、龙门架和随同运料的吊盘及吊装物上下。</w:t>
      </w:r>
    </w:p>
    <w:p w14:paraId="051376D6">
      <w:pPr>
        <w:adjustRightInd w:val="0"/>
        <w:snapToGrid w:val="0"/>
        <w:ind w:firstLine="720" w:firstLineChars="300"/>
        <w:rPr>
          <w:rFonts w:hint="eastAsia" w:ascii="宋体" w:hAnsi="宋体" w:cs="宋体"/>
          <w:szCs w:val="24"/>
        </w:rPr>
      </w:pPr>
      <w:r>
        <w:rPr>
          <w:rFonts w:hint="eastAsia" w:ascii="宋体" w:hAnsi="宋体" w:cs="宋体"/>
          <w:szCs w:val="24"/>
        </w:rPr>
        <w:t>⑤不准进入挂有“禁止进入”或设有危险警示标志的区域、场所。</w:t>
      </w:r>
    </w:p>
    <w:p w14:paraId="56C29BF3">
      <w:pPr>
        <w:adjustRightInd w:val="0"/>
        <w:snapToGrid w:val="0"/>
        <w:ind w:firstLine="720" w:firstLineChars="300"/>
        <w:rPr>
          <w:rFonts w:hint="eastAsia" w:ascii="宋体" w:hAnsi="宋体" w:cs="宋体"/>
          <w:szCs w:val="24"/>
        </w:rPr>
      </w:pPr>
      <w:r>
        <w:rPr>
          <w:rFonts w:hint="eastAsia" w:ascii="宋体" w:hAnsi="宋体" w:cs="宋体"/>
          <w:szCs w:val="24"/>
        </w:rPr>
        <w:t>⑥不准在重要的运输通道或上下行走通道上逗留。</w:t>
      </w:r>
    </w:p>
    <w:p w14:paraId="02E59990">
      <w:pPr>
        <w:adjustRightInd w:val="0"/>
        <w:snapToGrid w:val="0"/>
        <w:ind w:firstLine="720" w:firstLineChars="300"/>
        <w:rPr>
          <w:rFonts w:hint="eastAsia" w:ascii="宋体" w:hAnsi="宋体" w:cs="宋体"/>
          <w:szCs w:val="24"/>
        </w:rPr>
      </w:pPr>
      <w:r>
        <w:rPr>
          <w:rFonts w:hint="eastAsia" w:ascii="宋体" w:hAnsi="宋体" w:cs="宋体"/>
          <w:szCs w:val="24"/>
        </w:rPr>
        <w:t>⑦未经允许不准私自进入非本单位作业区域或管理区域，尤其是存有易燃易爆物品的场所。</w:t>
      </w:r>
    </w:p>
    <w:p w14:paraId="3D40EC73">
      <w:pPr>
        <w:adjustRightInd w:val="0"/>
        <w:snapToGrid w:val="0"/>
        <w:ind w:firstLine="720" w:firstLineChars="300"/>
        <w:rPr>
          <w:rFonts w:hint="eastAsia" w:ascii="宋体" w:hAnsi="宋体" w:cs="宋体"/>
          <w:szCs w:val="24"/>
        </w:rPr>
      </w:pPr>
      <w:r>
        <w:rPr>
          <w:rFonts w:hint="eastAsia" w:ascii="宋体" w:hAnsi="宋体" w:cs="宋体"/>
          <w:szCs w:val="24"/>
        </w:rPr>
        <w:t>⑧严禁在无照明设施、无足够采光条件的区域、场所内行走、逗留。</w:t>
      </w:r>
    </w:p>
    <w:p w14:paraId="7EBBC806">
      <w:pPr>
        <w:adjustRightInd w:val="0"/>
        <w:snapToGrid w:val="0"/>
        <w:ind w:firstLine="720" w:firstLineChars="300"/>
        <w:rPr>
          <w:rFonts w:hint="eastAsia" w:ascii="宋体" w:hAnsi="宋体" w:cs="宋体"/>
          <w:szCs w:val="24"/>
        </w:rPr>
      </w:pPr>
      <w:r>
        <w:rPr>
          <w:rFonts w:hint="eastAsia" w:ascii="宋体" w:hAnsi="宋体" w:cs="宋体"/>
          <w:szCs w:val="24"/>
        </w:rPr>
        <w:t>⑨严禁起升、变幅、旋转“三联动”。</w:t>
      </w:r>
    </w:p>
    <w:p w14:paraId="04F593A2">
      <w:pPr>
        <w:adjustRightInd w:val="0"/>
        <w:snapToGrid w:val="0"/>
        <w:ind w:firstLine="720" w:firstLineChars="300"/>
        <w:rPr>
          <w:rFonts w:hint="eastAsia" w:ascii="宋体" w:hAnsi="宋体" w:cs="宋体"/>
          <w:szCs w:val="24"/>
        </w:rPr>
      </w:pPr>
      <w:r>
        <w:rPr>
          <w:rFonts w:hint="eastAsia" w:ascii="宋体" w:hAnsi="宋体" w:cs="宋体"/>
          <w:szCs w:val="24"/>
        </w:rPr>
        <w:t>⑩禁止塔吊司机将智能手机带入驾驶室，工作期间不得使用智能手机。</w:t>
      </w:r>
    </w:p>
    <w:p w14:paraId="5C2D4E4B">
      <w:pPr>
        <w:adjustRightInd w:val="0"/>
        <w:snapToGrid w:val="0"/>
        <w:ind w:firstLine="480"/>
      </w:pPr>
      <w:r>
        <w:rPr>
          <w:rFonts w:hint="eastAsia" w:ascii="宋体" w:hAnsi="宋体" w:cs="宋体"/>
          <w:szCs w:val="24"/>
        </w:rPr>
        <w:t>（1</w:t>
      </w:r>
      <w:r>
        <w:rPr>
          <w:rFonts w:ascii="宋体" w:hAnsi="宋体" w:cs="宋体"/>
          <w:szCs w:val="24"/>
        </w:rPr>
        <w:t>8</w:t>
      </w:r>
      <w:r>
        <w:rPr>
          <w:rFonts w:hint="eastAsia" w:ascii="宋体" w:hAnsi="宋体" w:cs="宋体"/>
          <w:szCs w:val="24"/>
        </w:rPr>
        <w:t>）</w:t>
      </w:r>
      <w:r>
        <w:rPr>
          <w:rFonts w:hint="eastAsia"/>
        </w:rPr>
        <w:t>塔吊施工时的运转轨迹</w:t>
      </w:r>
    </w:p>
    <w:p w14:paraId="51218609">
      <w:pPr>
        <w:adjustRightInd w:val="0"/>
        <w:snapToGrid w:val="0"/>
        <w:ind w:firstLine="480"/>
        <w:rPr>
          <w:rFonts w:hint="eastAsia" w:ascii="宋体" w:hAnsi="宋体" w:cs="宋体"/>
          <w:szCs w:val="24"/>
        </w:rPr>
      </w:pPr>
      <w:r>
        <w:rPr>
          <w:rFonts w:hint="eastAsia" w:ascii="宋体" w:hAnsi="宋体" w:cs="宋体"/>
          <w:szCs w:val="24"/>
        </w:rPr>
        <w:t>强调规范各塔机在轨运行防碰撞动作，为：先起钩到10m高度后，缓慢收回小车至大臂根部，观察其余塔机动态及周边建筑物，确保安全后方可转动大臂进入交叉区域内、工地材料堆放场地或钢筋堆码场地。</w:t>
      </w:r>
    </w:p>
    <w:p w14:paraId="0E1FEB9A">
      <w:pPr>
        <w:adjustRightInd w:val="0"/>
        <w:snapToGrid w:val="0"/>
        <w:ind w:firstLine="480"/>
        <w:rPr>
          <w:rFonts w:hint="eastAsia" w:ascii="宋体" w:hAnsi="宋体" w:cs="宋体"/>
          <w:szCs w:val="24"/>
        </w:rPr>
      </w:pPr>
      <w:r>
        <w:rPr>
          <w:rFonts w:hint="eastAsia" w:ascii="宋体" w:hAnsi="宋体" w:cs="宋体"/>
          <w:szCs w:val="24"/>
        </w:rPr>
        <w:t>非工作状态时对塔吊的停止位置要求：</w:t>
      </w:r>
    </w:p>
    <w:p w14:paraId="799E2EBC">
      <w:pPr>
        <w:adjustRightInd w:val="0"/>
        <w:snapToGrid w:val="0"/>
        <w:ind w:firstLine="480"/>
        <w:rPr>
          <w:rFonts w:hint="eastAsia" w:ascii="宋体" w:hAnsi="宋体" w:cs="宋体"/>
          <w:szCs w:val="24"/>
        </w:rPr>
      </w:pPr>
      <w:r>
        <w:rPr>
          <w:rFonts w:hint="eastAsia" w:ascii="宋体" w:hAnsi="宋体" w:cs="宋体"/>
          <w:szCs w:val="24"/>
        </w:rPr>
        <w:t>非工作状态的塔机控钩起升到10m高度，再向回收小车至大臂根部，大臂与平衡臂不得进入交叉作业区范围内，夜间时必须开启碰撞警示灯。</w:t>
      </w:r>
    </w:p>
    <w:p w14:paraId="4473E08D">
      <w:pPr>
        <w:adjustRightInd w:val="0"/>
        <w:snapToGrid w:val="0"/>
        <w:ind w:firstLine="480"/>
        <w:rPr>
          <w:rFonts w:hint="eastAsia" w:ascii="宋体" w:hAnsi="宋体" w:cs="宋体"/>
          <w:szCs w:val="24"/>
        </w:rPr>
      </w:pPr>
      <w:r>
        <w:rPr>
          <w:rFonts w:hint="eastAsia" w:ascii="宋体" w:hAnsi="宋体" w:cs="宋体"/>
          <w:szCs w:val="24"/>
        </w:rPr>
        <w:t>（1</w:t>
      </w:r>
      <w:r>
        <w:rPr>
          <w:rFonts w:ascii="宋体" w:hAnsi="宋体" w:cs="宋体"/>
          <w:szCs w:val="24"/>
        </w:rPr>
        <w:t>9</w:t>
      </w:r>
      <w:r>
        <w:rPr>
          <w:rFonts w:hint="eastAsia" w:ascii="宋体" w:hAnsi="宋体" w:cs="宋体"/>
          <w:szCs w:val="24"/>
        </w:rPr>
        <w:t>）在塔吊施工区域增加标识牌，如下图所示：</w:t>
      </w:r>
    </w:p>
    <w:p w14:paraId="2C7A5D9C">
      <w:pPr>
        <w:pStyle w:val="32"/>
        <w:spacing w:line="240" w:lineRule="auto"/>
        <w:ind w:left="480" w:firstLine="480"/>
      </w:pPr>
      <w:r>
        <w:drawing>
          <wp:inline distT="0" distB="0" distL="0" distR="0">
            <wp:extent cx="1225550" cy="1606550"/>
            <wp:effectExtent l="0" t="0" r="889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1"/>
                    <a:stretch>
                      <a:fillRect/>
                    </a:stretch>
                  </pic:blipFill>
                  <pic:spPr>
                    <a:xfrm>
                      <a:off x="0" y="0"/>
                      <a:ext cx="1225613" cy="1606633"/>
                    </a:xfrm>
                    <a:prstGeom prst="rect">
                      <a:avLst/>
                    </a:prstGeom>
                  </pic:spPr>
                </pic:pic>
              </a:graphicData>
            </a:graphic>
          </wp:inline>
        </w:drawing>
      </w:r>
      <w:r>
        <w:rPr>
          <w:rFonts w:hint="eastAsia"/>
        </w:rPr>
        <w:t xml:space="preserve"> </w:t>
      </w:r>
      <w:r>
        <w:t xml:space="preserve">  </w:t>
      </w:r>
      <w:r>
        <w:drawing>
          <wp:inline distT="0" distB="0" distL="0" distR="0">
            <wp:extent cx="2981325" cy="1577975"/>
            <wp:effectExtent l="0" t="0" r="5715"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2"/>
                    <a:stretch>
                      <a:fillRect/>
                    </a:stretch>
                  </pic:blipFill>
                  <pic:spPr>
                    <a:xfrm>
                      <a:off x="0" y="0"/>
                      <a:ext cx="2990701" cy="1583313"/>
                    </a:xfrm>
                    <a:prstGeom prst="rect">
                      <a:avLst/>
                    </a:prstGeom>
                  </pic:spPr>
                </pic:pic>
              </a:graphicData>
            </a:graphic>
          </wp:inline>
        </w:drawing>
      </w:r>
    </w:p>
    <w:p w14:paraId="6D660216">
      <w:pPr>
        <w:ind w:firstLine="422"/>
        <w:jc w:val="center"/>
      </w:pPr>
      <w:r>
        <w:rPr>
          <w:rFonts w:hint="eastAsia" w:ascii="宋体" w:hAnsi="宋体" w:cs="宋体"/>
          <w:b/>
          <w:bCs/>
          <w:sz w:val="21"/>
        </w:rPr>
        <w:t>图</w:t>
      </w:r>
      <w:r>
        <w:rPr>
          <w:rFonts w:hint="eastAsia" w:ascii="宋体" w:hAnsi="宋体" w:cs="宋体"/>
          <w:b/>
          <w:bCs/>
          <w:sz w:val="21"/>
          <w:lang w:val="en-US" w:eastAsia="zh-CN"/>
        </w:rPr>
        <w:t>5</w:t>
      </w:r>
      <w:r>
        <w:rPr>
          <w:rFonts w:hint="eastAsia" w:ascii="宋体" w:hAnsi="宋体" w:cs="宋体"/>
          <w:b/>
          <w:bCs/>
          <w:sz w:val="21"/>
        </w:rPr>
        <w:t>.3-1危险标志标识牌</w:t>
      </w:r>
    </w:p>
    <w:p w14:paraId="7D6AECB7">
      <w:pPr>
        <w:adjustRightInd w:val="0"/>
        <w:snapToGrid w:val="0"/>
        <w:ind w:firstLine="480"/>
        <w:rPr>
          <w:rFonts w:hint="eastAsia" w:ascii="宋体" w:hAnsi="宋体" w:cs="宋体"/>
          <w:szCs w:val="24"/>
        </w:rPr>
      </w:pPr>
      <w:r>
        <w:rPr>
          <w:rFonts w:hint="eastAsia" w:ascii="宋体" w:hAnsi="宋体" w:cs="宋体"/>
          <w:szCs w:val="24"/>
        </w:rPr>
        <w:t>（2</w:t>
      </w:r>
      <w:r>
        <w:rPr>
          <w:rFonts w:ascii="宋体" w:hAnsi="宋体" w:cs="宋体"/>
          <w:szCs w:val="24"/>
        </w:rPr>
        <w:t>0</w:t>
      </w:r>
      <w:r>
        <w:rPr>
          <w:rFonts w:hint="eastAsia" w:ascii="宋体" w:hAnsi="宋体" w:cs="宋体"/>
          <w:szCs w:val="24"/>
        </w:rPr>
        <w:t>）对塔吊司机每月不少于2次安全技术安全交底。</w:t>
      </w:r>
    </w:p>
    <w:p w14:paraId="0A0829E3">
      <w:pPr>
        <w:pStyle w:val="32"/>
        <w:spacing w:line="360" w:lineRule="auto"/>
        <w:ind w:left="0" w:leftChars="0" w:firstLine="480"/>
      </w:pPr>
      <w:r>
        <w:rPr>
          <w:rFonts w:hint="eastAsia"/>
        </w:rPr>
        <w:t>（2</w:t>
      </w:r>
      <w:r>
        <w:t>1</w:t>
      </w:r>
      <w:r>
        <w:rPr>
          <w:rFonts w:hint="eastAsia"/>
        </w:rPr>
        <w:t>）塔吊加节：</w:t>
      </w:r>
    </w:p>
    <w:p w14:paraId="763B9140">
      <w:pPr>
        <w:pStyle w:val="32"/>
        <w:spacing w:line="360" w:lineRule="auto"/>
        <w:ind w:left="0" w:leftChars="0" w:firstLine="720" w:firstLineChars="300"/>
        <w:rPr>
          <w:rFonts w:hint="eastAsia" w:hAnsi="宋体" w:cs="宋体"/>
          <w:szCs w:val="24"/>
        </w:rPr>
      </w:pPr>
      <w:r>
        <w:rPr>
          <w:rFonts w:hint="eastAsia" w:hAnsi="宋体" w:cs="宋体"/>
          <w:szCs w:val="24"/>
        </w:rPr>
        <w:t>①根据加高塔身的要求，准备好待加的标准节，并将其顺着起重臂方向排成一排。</w:t>
      </w:r>
    </w:p>
    <w:p w14:paraId="66402F65">
      <w:pPr>
        <w:pStyle w:val="32"/>
        <w:spacing w:after="0" w:line="360" w:lineRule="auto"/>
        <w:ind w:left="0" w:leftChars="0" w:firstLine="720" w:firstLineChars="300"/>
        <w:rPr>
          <w:rFonts w:hint="eastAsia" w:hAnsi="宋体" w:cs="宋体"/>
          <w:szCs w:val="24"/>
        </w:rPr>
      </w:pPr>
      <w:r>
        <w:rPr>
          <w:rFonts w:hint="eastAsia" w:hAnsi="宋体" w:cs="宋体"/>
          <w:szCs w:val="24"/>
        </w:rPr>
        <w:t>②顶升加节作业人员按照职责人工进入各自岗位。</w:t>
      </w:r>
    </w:p>
    <w:p w14:paraId="47672C4E">
      <w:pPr>
        <w:pStyle w:val="32"/>
        <w:spacing w:after="0" w:line="360" w:lineRule="auto"/>
        <w:ind w:left="0" w:leftChars="0" w:firstLine="720" w:firstLineChars="300"/>
        <w:rPr>
          <w:rFonts w:hint="eastAsia" w:hAnsi="宋体" w:cs="宋体"/>
          <w:szCs w:val="24"/>
        </w:rPr>
      </w:pPr>
      <w:r>
        <w:rPr>
          <w:rFonts w:hint="eastAsia" w:hAnsi="宋体" w:cs="宋体"/>
          <w:szCs w:val="24"/>
        </w:rPr>
        <w:t>③检查液压系统工作是否正常，液压油压力应符合规定，活塞杆伸缩平稳，无卡塞现象。</w:t>
      </w:r>
    </w:p>
    <w:p w14:paraId="5C1B746A">
      <w:pPr>
        <w:pStyle w:val="32"/>
        <w:spacing w:after="0" w:line="360" w:lineRule="auto"/>
        <w:ind w:left="0" w:leftChars="0" w:firstLine="720" w:firstLineChars="300"/>
        <w:rPr>
          <w:rFonts w:hint="eastAsia" w:hAnsi="宋体" w:cs="宋体"/>
          <w:szCs w:val="24"/>
        </w:rPr>
      </w:pPr>
      <w:r>
        <w:rPr>
          <w:rFonts w:hint="eastAsia" w:hAnsi="宋体" w:cs="宋体"/>
          <w:szCs w:val="24"/>
        </w:rPr>
        <w:t>④检查顶升衡梁及挂板状况。</w:t>
      </w:r>
    </w:p>
    <w:p w14:paraId="244DFCAC">
      <w:pPr>
        <w:pStyle w:val="32"/>
        <w:spacing w:after="0" w:line="360" w:lineRule="auto"/>
        <w:ind w:left="0" w:leftChars="0" w:firstLine="720" w:firstLineChars="300"/>
        <w:rPr>
          <w:rFonts w:hint="eastAsia" w:hAnsi="宋体" w:cs="宋体"/>
          <w:szCs w:val="24"/>
        </w:rPr>
      </w:pPr>
      <w:r>
        <w:rPr>
          <w:rFonts w:hint="eastAsia" w:hAnsi="宋体" w:cs="宋体"/>
          <w:szCs w:val="24"/>
        </w:rPr>
        <w:t>⑤调整顶升套架导轮与塔身主弦杆之间的间隙达到规定要求。</w:t>
      </w:r>
    </w:p>
    <w:p w14:paraId="5EE3171E">
      <w:pPr>
        <w:pStyle w:val="32"/>
        <w:spacing w:after="0" w:line="360" w:lineRule="auto"/>
        <w:ind w:left="0" w:leftChars="0" w:firstLine="720" w:firstLineChars="300"/>
      </w:pPr>
      <w:r>
        <w:rPr>
          <w:rFonts w:hint="eastAsia" w:hAnsi="宋体" w:cs="宋体"/>
          <w:szCs w:val="24"/>
        </w:rPr>
        <w:t>⑥按说明书规定，吊起一节待加的标准节至引进衡梁上，再吊一节标准节，移动变幅小车找平衡，锁紧回转机构。</w:t>
      </w:r>
    </w:p>
    <w:p w14:paraId="48FAC26C">
      <w:pPr>
        <w:adjustRightInd w:val="0"/>
        <w:snapToGrid w:val="0"/>
        <w:ind w:firstLine="720" w:firstLineChars="300"/>
        <w:rPr>
          <w:rFonts w:hint="eastAsia" w:ascii="宋体" w:hAnsi="宋体" w:cs="宋体"/>
          <w:szCs w:val="24"/>
        </w:rPr>
      </w:pPr>
      <w:r>
        <w:rPr>
          <w:rFonts w:hint="eastAsia" w:ascii="宋体" w:hAnsi="宋体" w:cs="宋体"/>
          <w:szCs w:val="24"/>
        </w:rPr>
        <w:t>⑦</w:t>
      </w:r>
      <w:r>
        <w:rPr>
          <w:rFonts w:ascii="宋体" w:hAnsi="宋体" w:cs="宋体"/>
          <w:szCs w:val="24"/>
        </w:rPr>
        <w:t>施工单位需要对塔吊进行顶升加节之前必须填写《塔吊顶升加节申请表》报群塔作业领导小组审批，小组各单位审批通过并签字盖章后方可执行，在顶升加节时，群塔作业领导小组副组长对严格监督塔吊顶升加节的高度和过程，同时协调确保相邻塔吊在顶升塔吊进行顶升工作时不得工作。</w:t>
      </w:r>
    </w:p>
    <w:p w14:paraId="570191FC">
      <w:pPr>
        <w:pStyle w:val="3"/>
        <w:spacing w:before="156" w:after="156"/>
        <w:ind w:firstLine="562"/>
        <w:rPr>
          <w:color w:val="000000" w:themeColor="text1"/>
          <w14:textFill>
            <w14:solidFill>
              <w14:schemeClr w14:val="tx1"/>
            </w14:solidFill>
          </w14:textFill>
        </w:rPr>
      </w:pPr>
      <w:bookmarkStart w:id="165" w:name="_Toc6040"/>
      <w:bookmarkStart w:id="166" w:name="_Toc2531"/>
      <w:r>
        <w:rPr>
          <w:rFonts w:hint="eastAsia"/>
          <w:color w:val="000000" w:themeColor="text1"/>
          <w14:textFill>
            <w14:solidFill>
              <w14:schemeClr w14:val="tx1"/>
            </w14:solidFill>
          </w14:textFill>
        </w:rPr>
        <w:t>监测监控措施</w:t>
      </w:r>
      <w:bookmarkEnd w:id="165"/>
      <w:bookmarkEnd w:id="166"/>
    </w:p>
    <w:p w14:paraId="724A47D6">
      <w:pPr>
        <w:tabs>
          <w:tab w:val="left" w:pos="900"/>
        </w:tabs>
        <w:ind w:firstLine="480"/>
        <w:rPr>
          <w:rFonts w:hint="eastAsia" w:asciiTheme="minorEastAsia" w:hAnsiTheme="minorEastAsia" w:eastAsiaTheme="minorEastAsia"/>
        </w:rPr>
      </w:pPr>
      <w:r>
        <w:rPr>
          <w:rFonts w:hint="eastAsia" w:asciiTheme="minorEastAsia" w:hAnsiTheme="minorEastAsia" w:eastAsiaTheme="minorEastAsia"/>
        </w:rPr>
        <w:t>（1）环境监测：由专人负责天气查询，5级及以上大风、雨雪天气禁止施工</w:t>
      </w:r>
      <w:r>
        <w:rPr>
          <w:rFonts w:hint="eastAsia" w:asciiTheme="minorEastAsia" w:hAnsiTheme="minorEastAsia"/>
        </w:rPr>
        <w:t>。</w:t>
      </w:r>
    </w:p>
    <w:p w14:paraId="26B2CE09">
      <w:pPr>
        <w:tabs>
          <w:tab w:val="left" w:pos="900"/>
        </w:tabs>
        <w:ind w:firstLine="480"/>
        <w:rPr>
          <w:rFonts w:hint="eastAsia" w:asciiTheme="minorEastAsia" w:hAnsiTheme="minorEastAsia" w:eastAsiaTheme="minorEastAsia"/>
        </w:rPr>
      </w:pPr>
      <w:r>
        <w:rPr>
          <w:rFonts w:hint="eastAsia" w:asciiTheme="minorEastAsia" w:hAnsiTheme="minorEastAsia" w:eastAsiaTheme="minorEastAsia"/>
        </w:rPr>
        <w:t>（2）设备监测：设备经检测验收合格后，塔机操作人员在开工前对设备运转进行检查，安全员对现场塔机进行巡查，并建立检查台账。建立设备台账。</w:t>
      </w:r>
    </w:p>
    <w:p w14:paraId="3496FB53">
      <w:pPr>
        <w:tabs>
          <w:tab w:val="left" w:pos="900"/>
        </w:tabs>
        <w:ind w:firstLine="480"/>
        <w:rPr>
          <w:rFonts w:hint="eastAsia" w:asciiTheme="minorEastAsia" w:hAnsiTheme="minorEastAsia" w:eastAsiaTheme="minorEastAsia"/>
        </w:rPr>
      </w:pPr>
      <w:r>
        <w:rPr>
          <w:rFonts w:hint="eastAsia" w:asciiTheme="minorEastAsia" w:hAnsiTheme="minorEastAsia" w:eastAsiaTheme="minorEastAsia"/>
        </w:rPr>
        <w:t>（3）施工单位定期组织测量人员对塔机垂直度进行监测，发现垂直度超过规范要求，立即停止塔机使用，并采取相应措施。</w:t>
      </w:r>
    </w:p>
    <w:p w14:paraId="1F3460A4">
      <w:pPr>
        <w:tabs>
          <w:tab w:val="left" w:pos="900"/>
        </w:tabs>
        <w:ind w:firstLine="480"/>
        <w:rPr>
          <w:rFonts w:hint="eastAsia" w:asciiTheme="minorEastAsia" w:hAnsiTheme="minorEastAsia" w:eastAsiaTheme="minorEastAsia"/>
        </w:rPr>
      </w:pPr>
      <w:r>
        <w:rPr>
          <w:rFonts w:hint="eastAsia" w:asciiTheme="minorEastAsia" w:hAnsiTheme="minorEastAsia" w:eastAsiaTheme="minorEastAsia"/>
        </w:rPr>
        <w:t>（4）安装作业前，按要求对塔机进行全面检查，对作业现场有关情况进行检查，对施工机具进行清理检查，发现问题应立即解决。只有达到立塔条件才能安装塔机。</w:t>
      </w:r>
    </w:p>
    <w:p w14:paraId="376C43FA">
      <w:pPr>
        <w:tabs>
          <w:tab w:val="left" w:pos="900"/>
        </w:tabs>
        <w:ind w:firstLine="480"/>
        <w:rPr>
          <w:rFonts w:hint="eastAsia" w:asciiTheme="minorEastAsia" w:hAnsiTheme="minorEastAsia" w:eastAsiaTheme="minorEastAsia"/>
        </w:rPr>
      </w:pPr>
      <w:r>
        <w:rPr>
          <w:rFonts w:hint="eastAsia" w:asciiTheme="minorEastAsia" w:hAnsiTheme="minorEastAsia" w:eastAsiaTheme="minorEastAsia"/>
        </w:rPr>
        <w:t>（5）吊索具应符合国家使用标准，必须经检查合格后方可使用，起吊构件吊点须绑扎正确、牢固，起落平稳，防止碰撞、损伤设备。</w:t>
      </w:r>
    </w:p>
    <w:p w14:paraId="4F78A3D6">
      <w:pPr>
        <w:tabs>
          <w:tab w:val="left" w:pos="900"/>
        </w:tabs>
        <w:ind w:firstLine="480"/>
        <w:rPr>
          <w:rFonts w:hint="eastAsia" w:asciiTheme="minorEastAsia" w:hAnsiTheme="minorEastAsia" w:eastAsiaTheme="minorEastAsia"/>
        </w:rPr>
      </w:pPr>
      <w:r>
        <w:rPr>
          <w:rFonts w:hint="eastAsia" w:asciiTheme="minorEastAsia" w:hAnsiTheme="minorEastAsia" w:eastAsiaTheme="minorEastAsia"/>
        </w:rPr>
        <w:t>（6）作业人员应认真检查调试安全装置，要求所有安全装置必须灵敏可靠，安全防护装置应齐全可靠。必须安装并使用安全防护措施，如爬梯、平台、护栏等。</w:t>
      </w:r>
    </w:p>
    <w:p w14:paraId="623236A9">
      <w:pPr>
        <w:tabs>
          <w:tab w:val="left" w:pos="900"/>
        </w:tabs>
        <w:ind w:firstLine="480"/>
        <w:rPr>
          <w:rFonts w:hint="eastAsia" w:asciiTheme="minorEastAsia" w:hAnsiTheme="minorEastAsia" w:eastAsiaTheme="minorEastAsia"/>
        </w:rPr>
      </w:pPr>
      <w:r>
        <w:rPr>
          <w:rFonts w:hint="eastAsia" w:asciiTheme="minorEastAsia" w:hAnsiTheme="minorEastAsia" w:eastAsiaTheme="minorEastAsia"/>
        </w:rPr>
        <w:t>（7）塔机钢结构的连接应符合说明书及装拆工艺要求，各部销子须穿到位，销组的开口销规格符合要求并打开。各部销子穿上前应打上润滑油。</w:t>
      </w:r>
    </w:p>
    <w:p w14:paraId="3B67DD24">
      <w:pPr>
        <w:tabs>
          <w:tab w:val="left" w:pos="900"/>
        </w:tabs>
        <w:ind w:firstLine="480"/>
        <w:rPr>
          <w:rFonts w:hint="eastAsia" w:asciiTheme="minorEastAsia" w:hAnsiTheme="minorEastAsia" w:eastAsiaTheme="minorEastAsia"/>
        </w:rPr>
      </w:pPr>
      <w:r>
        <w:rPr>
          <w:rFonts w:hint="eastAsia" w:asciiTheme="minorEastAsia" w:hAnsiTheme="minorEastAsia" w:eastAsiaTheme="minorEastAsia"/>
        </w:rPr>
        <w:t>（8）电工接线安装电气部件应严格按规范和塔机《电气原理图》和《电气接线图》进行规范操作。</w:t>
      </w:r>
    </w:p>
    <w:p w14:paraId="1A9B8F90">
      <w:pPr>
        <w:tabs>
          <w:tab w:val="left" w:pos="900"/>
        </w:tabs>
        <w:ind w:firstLine="480"/>
        <w:rPr>
          <w:rFonts w:hint="eastAsia" w:asciiTheme="minorEastAsia" w:hAnsiTheme="minorEastAsia" w:eastAsiaTheme="minorEastAsia"/>
        </w:rPr>
      </w:pPr>
      <w:r>
        <w:rPr>
          <w:rFonts w:hint="eastAsia" w:asciiTheme="minorEastAsia" w:hAnsiTheme="minorEastAsia" w:eastAsiaTheme="minorEastAsia"/>
        </w:rPr>
        <w:t>（9）顶升前确保起升、变幅、回转三大机构工作正常。检查电缆是否足够自由上升和下降，检查顶系统的机械装置、顶升油缸横梁、标准节踏步等完好可靠。</w:t>
      </w:r>
    </w:p>
    <w:p w14:paraId="5CDF46DA">
      <w:pPr>
        <w:tabs>
          <w:tab w:val="left" w:pos="900"/>
        </w:tabs>
        <w:ind w:firstLine="480"/>
        <w:rPr>
          <w:rFonts w:hint="eastAsia" w:asciiTheme="minorEastAsia" w:hAnsiTheme="minorEastAsia" w:eastAsiaTheme="minorEastAsia"/>
        </w:rPr>
      </w:pPr>
      <w:r>
        <w:rPr>
          <w:rFonts w:hint="eastAsia" w:asciiTheme="minorEastAsia" w:hAnsiTheme="minorEastAsia" w:eastAsiaTheme="minorEastAsia"/>
        </w:rPr>
        <w:t>（10）顶升时须对液压系统进行试压，先将液压缸里的空气排除干净。试压不少于2次，每次不少于20分钟。</w:t>
      </w:r>
    </w:p>
    <w:p w14:paraId="7CADF43B">
      <w:pPr>
        <w:tabs>
          <w:tab w:val="left" w:pos="900"/>
        </w:tabs>
        <w:ind w:firstLine="480"/>
        <w:rPr>
          <w:rFonts w:hint="eastAsia" w:asciiTheme="minorEastAsia" w:hAnsiTheme="minorEastAsia" w:eastAsiaTheme="minorEastAsia"/>
        </w:rPr>
      </w:pPr>
      <w:r>
        <w:rPr>
          <w:rFonts w:hint="eastAsia" w:asciiTheme="minorEastAsia" w:hAnsiTheme="minorEastAsia" w:eastAsiaTheme="minorEastAsia"/>
        </w:rPr>
        <w:t>（11）塔身加节必须在白天、无雨雪、风力小于4级的情况下进行。顶升横梁必须由专人监护，塔机严禁回转。</w:t>
      </w:r>
    </w:p>
    <w:p w14:paraId="387F6FDF">
      <w:pPr>
        <w:tabs>
          <w:tab w:val="left" w:pos="900"/>
        </w:tabs>
        <w:ind w:firstLine="480"/>
        <w:rPr>
          <w:rFonts w:hint="eastAsia" w:asciiTheme="minorEastAsia" w:hAnsiTheme="minorEastAsia" w:eastAsiaTheme="minorEastAsia"/>
        </w:rPr>
      </w:pPr>
      <w:r>
        <w:rPr>
          <w:rFonts w:hint="eastAsia" w:asciiTheme="minorEastAsia" w:hAnsiTheme="minorEastAsia" w:eastAsiaTheme="minorEastAsia"/>
        </w:rPr>
        <w:t>（12）塔机安装至基本高度时，塔身垂直度≤4/1000。</w:t>
      </w:r>
    </w:p>
    <w:p w14:paraId="0BF3A258">
      <w:pPr>
        <w:tabs>
          <w:tab w:val="left" w:pos="900"/>
        </w:tabs>
        <w:ind w:firstLine="480"/>
        <w:rPr>
          <w:rFonts w:hint="eastAsia" w:asciiTheme="minorEastAsia" w:hAnsiTheme="minorEastAsia" w:eastAsiaTheme="minorEastAsia"/>
        </w:rPr>
      </w:pPr>
      <w:r>
        <w:rPr>
          <w:rFonts w:hint="eastAsia" w:asciiTheme="minorEastAsia" w:hAnsiTheme="minorEastAsia" w:eastAsiaTheme="minorEastAsia"/>
        </w:rPr>
        <w:t>（13）塔机接地电阻测试值不得超过4Ω。</w:t>
      </w:r>
    </w:p>
    <w:p w14:paraId="1CA7C5C4">
      <w:pPr>
        <w:spacing w:before="156" w:beforeLines="50" w:after="156" w:afterLines="50"/>
        <w:ind w:firstLine="480"/>
      </w:pPr>
      <w:r>
        <w:rPr>
          <w:rFonts w:hint="eastAsia" w:asciiTheme="minorEastAsia" w:hAnsiTheme="minorEastAsia" w:eastAsiaTheme="minorEastAsia"/>
        </w:rPr>
        <w:t>（14）安装过程中作业人员必须认真执行装拆工艺中的技术要求，确保安装质量。塔机安装完毕后应进行自检工作，经检查验收和试运转，符合要求并经相关部门检测合格后，安装任务才算完成。塔机安装后必须经有关部门正式检验合格后才能投入正式使用。</w:t>
      </w:r>
      <w:r>
        <w:rPr>
          <w:rFonts w:hint="eastAsia"/>
        </w:rPr>
        <w:br w:type="page"/>
      </w:r>
    </w:p>
    <w:bookmarkEnd w:id="138"/>
    <w:bookmarkEnd w:id="139"/>
    <w:bookmarkEnd w:id="140"/>
    <w:bookmarkEnd w:id="141"/>
    <w:bookmarkEnd w:id="142"/>
    <w:p w14:paraId="6B5AA1BA">
      <w:pPr>
        <w:pStyle w:val="2"/>
        <w:spacing w:before="156" w:after="156"/>
        <w:ind w:firstLine="643"/>
        <w:rPr>
          <w:color w:val="000000" w:themeColor="text1"/>
          <w14:textFill>
            <w14:solidFill>
              <w14:schemeClr w14:val="tx1"/>
            </w14:solidFill>
          </w14:textFill>
        </w:rPr>
      </w:pPr>
      <w:bookmarkStart w:id="167" w:name="_Toc53217790"/>
      <w:bookmarkStart w:id="168" w:name="_Toc3367"/>
      <w:bookmarkStart w:id="169" w:name="_Toc2870"/>
      <w:bookmarkStart w:id="170" w:name="_Toc40778447"/>
      <w:bookmarkStart w:id="171" w:name="_Toc13548"/>
      <w:bookmarkStart w:id="172" w:name="_Toc5858"/>
      <w:bookmarkStart w:id="173" w:name="_Toc1119_WPSOffice_Level1"/>
      <w:bookmarkStart w:id="174" w:name="_Toc4769"/>
      <w:bookmarkStart w:id="175" w:name="_Toc12984"/>
      <w:bookmarkStart w:id="176" w:name="_Toc25698"/>
      <w:bookmarkStart w:id="177" w:name="_Toc27991"/>
      <w:bookmarkStart w:id="178" w:name="_Toc7980"/>
      <w:r>
        <w:rPr>
          <w:rFonts w:hint="eastAsia"/>
          <w:color w:val="000000" w:themeColor="text1"/>
          <w14:textFill>
            <w14:solidFill>
              <w14:schemeClr w14:val="tx1"/>
            </w14:solidFill>
          </w14:textFill>
        </w:rPr>
        <w:t>施工管理及作业人员配备和分工</w:t>
      </w:r>
      <w:bookmarkEnd w:id="167"/>
      <w:bookmarkEnd w:id="168"/>
      <w:bookmarkEnd w:id="169"/>
      <w:bookmarkEnd w:id="170"/>
      <w:bookmarkEnd w:id="171"/>
      <w:bookmarkEnd w:id="172"/>
    </w:p>
    <w:p w14:paraId="0EFB5F40">
      <w:pPr>
        <w:pStyle w:val="3"/>
        <w:spacing w:before="156" w:after="156"/>
        <w:ind w:firstLine="562"/>
      </w:pPr>
      <w:bookmarkStart w:id="179" w:name="_Toc3684"/>
      <w:bookmarkStart w:id="180" w:name="_Toc21300"/>
      <w:bookmarkStart w:id="181" w:name="_Toc3130"/>
      <w:bookmarkStart w:id="182" w:name="_Toc14752"/>
      <w:bookmarkStart w:id="183" w:name="_Toc20567"/>
      <w:bookmarkStart w:id="184" w:name="_Toc25571_WPSOffice_Level2"/>
      <w:bookmarkStart w:id="185" w:name="_Toc31424"/>
      <w:r>
        <w:rPr>
          <w:rFonts w:hint="eastAsia"/>
        </w:rPr>
        <w:t>施工管理及专职安全生产管理人员</w:t>
      </w:r>
      <w:bookmarkEnd w:id="179"/>
      <w:bookmarkEnd w:id="180"/>
      <w:bookmarkEnd w:id="181"/>
      <w:bookmarkEnd w:id="182"/>
      <w:bookmarkEnd w:id="183"/>
      <w:bookmarkEnd w:id="184"/>
    </w:p>
    <w:p w14:paraId="5C81C555">
      <w:pPr>
        <w:pStyle w:val="60"/>
        <w:ind w:firstLine="422"/>
      </w:pPr>
      <w:r>
        <w:rPr>
          <w:rFonts w:hint="eastAsia"/>
        </w:rPr>
        <w:t>表6.1-1 管理及安全生产人员配备分工表</w:t>
      </w:r>
      <w:bookmarkEnd w:id="185"/>
    </w:p>
    <w:tbl>
      <w:tblPr>
        <w:tblStyle w:val="33"/>
        <w:tblW w:w="9182"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8"/>
        <w:gridCol w:w="1493"/>
        <w:gridCol w:w="6241"/>
      </w:tblGrid>
      <w:tr w14:paraId="7DF7C01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69" w:hRule="exact"/>
          <w:jc w:val="center"/>
        </w:trPr>
        <w:tc>
          <w:tcPr>
            <w:tcW w:w="1448" w:type="dxa"/>
            <w:tcBorders>
              <w:tl2br w:val="nil"/>
              <w:tr2bl w:val="nil"/>
            </w:tcBorders>
            <w:vAlign w:val="center"/>
          </w:tcPr>
          <w:p w14:paraId="797C38B9">
            <w:pPr>
              <w:pStyle w:val="59"/>
              <w:rPr>
                <w:rFonts w:hint="eastAsia"/>
                <w:b/>
                <w:bCs/>
              </w:rPr>
            </w:pPr>
            <w:r>
              <w:rPr>
                <w:rFonts w:hint="eastAsia"/>
              </w:rPr>
              <w:t>职 务</w:t>
            </w:r>
          </w:p>
        </w:tc>
        <w:tc>
          <w:tcPr>
            <w:tcW w:w="1493" w:type="dxa"/>
            <w:tcBorders>
              <w:tl2br w:val="nil"/>
              <w:tr2bl w:val="nil"/>
            </w:tcBorders>
            <w:vAlign w:val="center"/>
          </w:tcPr>
          <w:p w14:paraId="2D991229">
            <w:pPr>
              <w:pStyle w:val="59"/>
              <w:rPr>
                <w:rFonts w:hint="eastAsia"/>
                <w:b/>
                <w:bCs/>
              </w:rPr>
            </w:pPr>
            <w:r>
              <w:rPr>
                <w:rFonts w:hint="eastAsia"/>
              </w:rPr>
              <w:t>姓 名/人数</w:t>
            </w:r>
          </w:p>
        </w:tc>
        <w:tc>
          <w:tcPr>
            <w:tcW w:w="6241" w:type="dxa"/>
            <w:tcBorders>
              <w:tl2br w:val="nil"/>
              <w:tr2bl w:val="nil"/>
            </w:tcBorders>
            <w:vAlign w:val="center"/>
          </w:tcPr>
          <w:p w14:paraId="645A7999">
            <w:pPr>
              <w:pStyle w:val="59"/>
              <w:rPr>
                <w:rFonts w:hint="eastAsia"/>
                <w:b/>
                <w:bCs/>
              </w:rPr>
            </w:pPr>
            <w:r>
              <w:rPr>
                <w:rFonts w:hint="eastAsia"/>
              </w:rPr>
              <w:t>工 作 职 责</w:t>
            </w:r>
          </w:p>
        </w:tc>
      </w:tr>
      <w:tr w14:paraId="3AF439F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exact"/>
          <w:jc w:val="center"/>
        </w:trPr>
        <w:tc>
          <w:tcPr>
            <w:tcW w:w="1448" w:type="dxa"/>
            <w:tcBorders>
              <w:tl2br w:val="nil"/>
              <w:tr2bl w:val="nil"/>
            </w:tcBorders>
            <w:vAlign w:val="center"/>
          </w:tcPr>
          <w:p w14:paraId="24912692">
            <w:pPr>
              <w:pStyle w:val="59"/>
              <w:rPr>
                <w:rFonts w:hint="eastAsia"/>
                <w:b/>
                <w:bCs/>
              </w:rPr>
            </w:pPr>
            <w:r>
              <w:rPr>
                <w:rFonts w:hint="eastAsia"/>
              </w:rPr>
              <w:t>项目负责人</w:t>
            </w:r>
          </w:p>
        </w:tc>
        <w:tc>
          <w:tcPr>
            <w:tcW w:w="1493" w:type="dxa"/>
            <w:tcBorders>
              <w:tl2br w:val="nil"/>
              <w:tr2bl w:val="nil"/>
            </w:tcBorders>
          </w:tcPr>
          <w:p w14:paraId="6F817E63">
            <w:pPr>
              <w:pStyle w:val="59"/>
              <w:rPr>
                <w:rFonts w:hint="eastAsia"/>
              </w:rPr>
            </w:pPr>
            <w:r>
              <w:rPr>
                <w:rFonts w:hint="eastAsia"/>
              </w:rPr>
              <w:t>明兴富</w:t>
            </w:r>
          </w:p>
        </w:tc>
        <w:tc>
          <w:tcPr>
            <w:tcW w:w="6241" w:type="dxa"/>
            <w:tcBorders>
              <w:tl2br w:val="nil"/>
              <w:tr2bl w:val="nil"/>
            </w:tcBorders>
            <w:vAlign w:val="center"/>
          </w:tcPr>
          <w:p w14:paraId="55DA8384">
            <w:pPr>
              <w:pStyle w:val="59"/>
              <w:rPr>
                <w:rFonts w:hint="eastAsia"/>
                <w:b/>
                <w:bCs/>
              </w:rPr>
            </w:pPr>
            <w:r>
              <w:rPr>
                <w:rFonts w:hint="eastAsia"/>
              </w:rPr>
              <w:t>负责整个项目实施，保证工期、质量安全处于受控状态。</w:t>
            </w:r>
          </w:p>
        </w:tc>
      </w:tr>
      <w:tr w14:paraId="757DCF5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exact"/>
          <w:jc w:val="center"/>
        </w:trPr>
        <w:tc>
          <w:tcPr>
            <w:tcW w:w="1448" w:type="dxa"/>
            <w:tcBorders>
              <w:tl2br w:val="nil"/>
              <w:tr2bl w:val="nil"/>
            </w:tcBorders>
            <w:vAlign w:val="center"/>
          </w:tcPr>
          <w:p w14:paraId="46619359">
            <w:pPr>
              <w:pStyle w:val="59"/>
              <w:rPr>
                <w:rFonts w:hint="eastAsia"/>
                <w:b/>
                <w:bCs/>
              </w:rPr>
            </w:pPr>
            <w:r>
              <w:rPr>
                <w:rFonts w:hint="eastAsia"/>
              </w:rPr>
              <w:t>技术负责人</w:t>
            </w:r>
          </w:p>
        </w:tc>
        <w:tc>
          <w:tcPr>
            <w:tcW w:w="1493" w:type="dxa"/>
            <w:tcBorders>
              <w:tl2br w:val="nil"/>
              <w:tr2bl w:val="nil"/>
            </w:tcBorders>
          </w:tcPr>
          <w:p w14:paraId="285EA183">
            <w:pPr>
              <w:pStyle w:val="59"/>
              <w:rPr>
                <w:rFonts w:hint="eastAsia"/>
              </w:rPr>
            </w:pPr>
            <w:r>
              <w:rPr>
                <w:rFonts w:hint="eastAsia"/>
              </w:rPr>
              <w:t>温涛</w:t>
            </w:r>
          </w:p>
        </w:tc>
        <w:tc>
          <w:tcPr>
            <w:tcW w:w="6241" w:type="dxa"/>
            <w:tcBorders>
              <w:tl2br w:val="nil"/>
              <w:tr2bl w:val="nil"/>
            </w:tcBorders>
            <w:vAlign w:val="center"/>
          </w:tcPr>
          <w:p w14:paraId="5166F2CF">
            <w:pPr>
              <w:pStyle w:val="59"/>
              <w:rPr>
                <w:rFonts w:hint="eastAsia"/>
                <w:b/>
                <w:bCs/>
              </w:rPr>
            </w:pPr>
            <w:r>
              <w:rPr>
                <w:rFonts w:hint="eastAsia"/>
              </w:rPr>
              <w:t>负责技术方案制定，确保方案的正确性，科学性和可行性。</w:t>
            </w:r>
          </w:p>
        </w:tc>
      </w:tr>
      <w:tr w14:paraId="477ED48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36" w:hRule="exact"/>
          <w:jc w:val="center"/>
        </w:trPr>
        <w:tc>
          <w:tcPr>
            <w:tcW w:w="1448" w:type="dxa"/>
            <w:tcBorders>
              <w:tl2br w:val="nil"/>
              <w:tr2bl w:val="nil"/>
            </w:tcBorders>
            <w:vAlign w:val="center"/>
          </w:tcPr>
          <w:p w14:paraId="7687CB70">
            <w:pPr>
              <w:pStyle w:val="59"/>
              <w:rPr>
                <w:rFonts w:hint="eastAsia"/>
                <w:b/>
                <w:bCs/>
              </w:rPr>
            </w:pPr>
            <w:r>
              <w:rPr>
                <w:rFonts w:hint="eastAsia"/>
              </w:rPr>
              <w:t>安全负责人</w:t>
            </w:r>
          </w:p>
        </w:tc>
        <w:tc>
          <w:tcPr>
            <w:tcW w:w="1493" w:type="dxa"/>
            <w:tcBorders>
              <w:tl2br w:val="nil"/>
              <w:tr2bl w:val="nil"/>
            </w:tcBorders>
          </w:tcPr>
          <w:p w14:paraId="529486B1">
            <w:pPr>
              <w:pStyle w:val="59"/>
              <w:jc w:val="center"/>
              <w:rPr>
                <w:rFonts w:hint="eastAsia"/>
              </w:rPr>
            </w:pPr>
            <w:r>
              <w:rPr>
                <w:rFonts w:hint="eastAsia"/>
              </w:rPr>
              <w:t>白美富</w:t>
            </w:r>
          </w:p>
        </w:tc>
        <w:tc>
          <w:tcPr>
            <w:tcW w:w="6241" w:type="dxa"/>
            <w:tcBorders>
              <w:tl2br w:val="nil"/>
              <w:tr2bl w:val="nil"/>
            </w:tcBorders>
            <w:vAlign w:val="center"/>
          </w:tcPr>
          <w:p w14:paraId="270009A5">
            <w:pPr>
              <w:pStyle w:val="59"/>
              <w:rPr>
                <w:rFonts w:hint="eastAsia"/>
                <w:b/>
                <w:bCs/>
              </w:rPr>
            </w:pPr>
            <w:r>
              <w:rPr>
                <w:rFonts w:hint="eastAsia"/>
              </w:rPr>
              <w:t>落实安全责任制度，负责检查，监督现场人、机、物安全性、可靠性，制止违章作业，消除可能存在的安全隐患。</w:t>
            </w:r>
          </w:p>
        </w:tc>
      </w:tr>
      <w:tr w14:paraId="4B4BCDF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exact"/>
          <w:jc w:val="center"/>
        </w:trPr>
        <w:tc>
          <w:tcPr>
            <w:tcW w:w="1448" w:type="dxa"/>
            <w:tcBorders>
              <w:tl2br w:val="nil"/>
              <w:tr2bl w:val="nil"/>
            </w:tcBorders>
            <w:vAlign w:val="center"/>
          </w:tcPr>
          <w:p w14:paraId="67AB69B3">
            <w:pPr>
              <w:pStyle w:val="59"/>
              <w:rPr>
                <w:rFonts w:hint="eastAsia"/>
                <w:b/>
                <w:bCs/>
              </w:rPr>
            </w:pPr>
            <w:r>
              <w:rPr>
                <w:rFonts w:hint="eastAsia"/>
              </w:rPr>
              <w:t>现场工长</w:t>
            </w:r>
          </w:p>
        </w:tc>
        <w:tc>
          <w:tcPr>
            <w:tcW w:w="1493" w:type="dxa"/>
            <w:tcBorders>
              <w:tl2br w:val="nil"/>
              <w:tr2bl w:val="nil"/>
            </w:tcBorders>
            <w:vAlign w:val="center"/>
          </w:tcPr>
          <w:p w14:paraId="3602D623">
            <w:pPr>
              <w:pStyle w:val="59"/>
              <w:rPr>
                <w:rFonts w:hint="eastAsia"/>
                <w:b/>
                <w:bCs/>
              </w:rPr>
            </w:pPr>
            <w:r>
              <w:rPr>
                <w:rFonts w:hint="eastAsia"/>
              </w:rPr>
              <w:t>于帅</w:t>
            </w:r>
          </w:p>
        </w:tc>
        <w:tc>
          <w:tcPr>
            <w:tcW w:w="6241" w:type="dxa"/>
            <w:tcBorders>
              <w:tl2br w:val="nil"/>
              <w:tr2bl w:val="nil"/>
            </w:tcBorders>
            <w:vAlign w:val="center"/>
          </w:tcPr>
          <w:p w14:paraId="25DDDBF3">
            <w:pPr>
              <w:pStyle w:val="59"/>
              <w:rPr>
                <w:rFonts w:hint="eastAsia"/>
                <w:b/>
                <w:bCs/>
              </w:rPr>
            </w:pPr>
            <w:r>
              <w:rPr>
                <w:rFonts w:hint="eastAsia"/>
              </w:rPr>
              <w:t>负责现场的统一安排和现场指挥。</w:t>
            </w:r>
          </w:p>
        </w:tc>
      </w:tr>
    </w:tbl>
    <w:p w14:paraId="3628A07F">
      <w:pPr>
        <w:pStyle w:val="3"/>
        <w:spacing w:before="156" w:after="156"/>
        <w:ind w:firstLine="562"/>
      </w:pPr>
      <w:bookmarkStart w:id="186" w:name="_Toc19159"/>
      <w:bookmarkStart w:id="187" w:name="_Toc17480"/>
      <w:bookmarkStart w:id="188" w:name="_Toc13172"/>
      <w:bookmarkStart w:id="189" w:name="_Toc3679_WPSOffice_Level2"/>
      <w:bookmarkStart w:id="190" w:name="_Toc22579"/>
      <w:bookmarkStart w:id="191" w:name="_Toc26974"/>
      <w:r>
        <w:rPr>
          <w:rFonts w:hint="eastAsia"/>
        </w:rPr>
        <w:t>特种作业及其他人员</w:t>
      </w:r>
      <w:bookmarkEnd w:id="186"/>
      <w:bookmarkEnd w:id="187"/>
      <w:bookmarkEnd w:id="188"/>
      <w:bookmarkEnd w:id="189"/>
      <w:bookmarkEnd w:id="190"/>
      <w:bookmarkEnd w:id="191"/>
    </w:p>
    <w:p w14:paraId="4FA1EAF9">
      <w:pPr>
        <w:pStyle w:val="60"/>
        <w:ind w:firstLine="422"/>
      </w:pPr>
      <w:r>
        <w:rPr>
          <w:rFonts w:hint="eastAsia"/>
        </w:rPr>
        <w:t>表6.2-1 作业队伍施工及特种作业人员配备分工表</w:t>
      </w:r>
    </w:p>
    <w:tbl>
      <w:tblPr>
        <w:tblStyle w:val="33"/>
        <w:tblW w:w="9283"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3"/>
        <w:gridCol w:w="1554"/>
        <w:gridCol w:w="6146"/>
      </w:tblGrid>
      <w:tr w14:paraId="0BC13B8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exact"/>
          <w:jc w:val="center"/>
        </w:trPr>
        <w:tc>
          <w:tcPr>
            <w:tcW w:w="1583" w:type="dxa"/>
            <w:tcBorders>
              <w:tl2br w:val="nil"/>
              <w:tr2bl w:val="nil"/>
            </w:tcBorders>
            <w:vAlign w:val="center"/>
          </w:tcPr>
          <w:p w14:paraId="11C02D33">
            <w:pPr>
              <w:pStyle w:val="59"/>
              <w:rPr>
                <w:rFonts w:hint="eastAsia"/>
                <w:b/>
                <w:bCs/>
              </w:rPr>
            </w:pPr>
            <w:r>
              <w:rPr>
                <w:rFonts w:hint="eastAsia"/>
              </w:rPr>
              <w:t>职 务</w:t>
            </w:r>
          </w:p>
        </w:tc>
        <w:tc>
          <w:tcPr>
            <w:tcW w:w="1554" w:type="dxa"/>
            <w:tcBorders>
              <w:tl2br w:val="nil"/>
              <w:tr2bl w:val="nil"/>
            </w:tcBorders>
            <w:vAlign w:val="center"/>
          </w:tcPr>
          <w:p w14:paraId="1492AFBB">
            <w:pPr>
              <w:pStyle w:val="59"/>
              <w:rPr>
                <w:rFonts w:hint="eastAsia"/>
                <w:b/>
                <w:bCs/>
              </w:rPr>
            </w:pPr>
            <w:r>
              <w:rPr>
                <w:rFonts w:hint="eastAsia"/>
              </w:rPr>
              <w:t>姓 名/人数</w:t>
            </w:r>
          </w:p>
        </w:tc>
        <w:tc>
          <w:tcPr>
            <w:tcW w:w="6146" w:type="dxa"/>
            <w:tcBorders>
              <w:tl2br w:val="nil"/>
              <w:tr2bl w:val="nil"/>
            </w:tcBorders>
            <w:vAlign w:val="center"/>
          </w:tcPr>
          <w:p w14:paraId="5A6C673B">
            <w:pPr>
              <w:pStyle w:val="59"/>
              <w:rPr>
                <w:rFonts w:hint="eastAsia"/>
                <w:b/>
                <w:bCs/>
              </w:rPr>
            </w:pPr>
            <w:r>
              <w:rPr>
                <w:rFonts w:hint="eastAsia"/>
              </w:rPr>
              <w:t>工 作 职 责</w:t>
            </w:r>
          </w:p>
        </w:tc>
      </w:tr>
      <w:tr w14:paraId="731B5EB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2" w:hRule="exact"/>
          <w:jc w:val="center"/>
        </w:trPr>
        <w:tc>
          <w:tcPr>
            <w:tcW w:w="1583" w:type="dxa"/>
            <w:tcBorders>
              <w:tl2br w:val="nil"/>
              <w:tr2bl w:val="nil"/>
            </w:tcBorders>
            <w:vAlign w:val="center"/>
          </w:tcPr>
          <w:p w14:paraId="0F15252D">
            <w:pPr>
              <w:pStyle w:val="59"/>
              <w:rPr>
                <w:rFonts w:hint="eastAsia"/>
                <w:b/>
                <w:bCs/>
              </w:rPr>
            </w:pPr>
            <w:r>
              <w:rPr>
                <w:rFonts w:hint="eastAsia"/>
              </w:rPr>
              <w:t>安拆负责人</w:t>
            </w:r>
          </w:p>
        </w:tc>
        <w:tc>
          <w:tcPr>
            <w:tcW w:w="1554" w:type="dxa"/>
            <w:tcBorders>
              <w:tl2br w:val="nil"/>
              <w:tr2bl w:val="nil"/>
            </w:tcBorders>
            <w:vAlign w:val="center"/>
          </w:tcPr>
          <w:p w14:paraId="393FEA3E">
            <w:pPr>
              <w:pStyle w:val="59"/>
              <w:rPr>
                <w:rFonts w:hint="eastAsia"/>
                <w:b/>
                <w:bCs/>
              </w:rPr>
            </w:pPr>
            <w:r>
              <w:rPr>
                <w:rFonts w:hint="eastAsia"/>
              </w:rPr>
              <w:t>1人</w:t>
            </w:r>
          </w:p>
        </w:tc>
        <w:tc>
          <w:tcPr>
            <w:tcW w:w="6146" w:type="dxa"/>
            <w:tcBorders>
              <w:tl2br w:val="nil"/>
              <w:tr2bl w:val="nil"/>
            </w:tcBorders>
            <w:vAlign w:val="center"/>
          </w:tcPr>
          <w:p w14:paraId="640A1D85">
            <w:pPr>
              <w:pStyle w:val="59"/>
              <w:rPr>
                <w:rFonts w:hint="eastAsia"/>
                <w:b/>
                <w:bCs/>
              </w:rPr>
            </w:pPr>
            <w:r>
              <w:rPr>
                <w:rFonts w:hint="eastAsia"/>
              </w:rPr>
              <w:t>负责现场的吊装指挥；负责每日的工作安排，安全交底、工作记录，严格执行施工方案，制止任何违章作业。</w:t>
            </w:r>
          </w:p>
        </w:tc>
      </w:tr>
      <w:tr w14:paraId="2E4A37E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52" w:hRule="exact"/>
          <w:jc w:val="center"/>
        </w:trPr>
        <w:tc>
          <w:tcPr>
            <w:tcW w:w="1583" w:type="dxa"/>
            <w:tcBorders>
              <w:tl2br w:val="nil"/>
              <w:tr2bl w:val="nil"/>
            </w:tcBorders>
            <w:vAlign w:val="center"/>
          </w:tcPr>
          <w:p w14:paraId="7C0D85CB">
            <w:pPr>
              <w:pStyle w:val="59"/>
              <w:rPr>
                <w:rFonts w:hint="eastAsia"/>
                <w:b/>
                <w:bCs/>
              </w:rPr>
            </w:pPr>
            <w:r>
              <w:rPr>
                <w:rFonts w:hint="eastAsia"/>
              </w:rPr>
              <w:t>起 重 工</w:t>
            </w:r>
          </w:p>
        </w:tc>
        <w:tc>
          <w:tcPr>
            <w:tcW w:w="1554" w:type="dxa"/>
            <w:tcBorders>
              <w:tl2br w:val="nil"/>
              <w:tr2bl w:val="nil"/>
            </w:tcBorders>
            <w:vAlign w:val="center"/>
          </w:tcPr>
          <w:p w14:paraId="2DD2AB91">
            <w:pPr>
              <w:pStyle w:val="59"/>
              <w:rPr>
                <w:rFonts w:hint="eastAsia"/>
                <w:b/>
                <w:bCs/>
              </w:rPr>
            </w:pPr>
            <w:r>
              <w:rPr>
                <w:rFonts w:hint="eastAsia"/>
                <w:lang w:val="en-US" w:eastAsia="zh-CN"/>
              </w:rPr>
              <w:t>4</w:t>
            </w:r>
            <w:r>
              <w:rPr>
                <w:rFonts w:hint="eastAsia"/>
              </w:rPr>
              <w:t>人</w:t>
            </w:r>
          </w:p>
        </w:tc>
        <w:tc>
          <w:tcPr>
            <w:tcW w:w="6146" w:type="dxa"/>
            <w:tcBorders>
              <w:tl2br w:val="nil"/>
              <w:tr2bl w:val="nil"/>
            </w:tcBorders>
            <w:vAlign w:val="center"/>
          </w:tcPr>
          <w:p w14:paraId="060CA608">
            <w:pPr>
              <w:pStyle w:val="59"/>
              <w:rPr>
                <w:rFonts w:hint="eastAsia"/>
                <w:b/>
                <w:bCs/>
              </w:rPr>
            </w:pPr>
            <w:r>
              <w:rPr>
                <w:rFonts w:hint="eastAsia"/>
              </w:rPr>
              <w:t>严守工作纪律，服从正确安排，正确使用劳保用品，防护齐全，严守工作岗位，严格遵循操作规程。</w:t>
            </w:r>
          </w:p>
        </w:tc>
      </w:tr>
      <w:tr w14:paraId="6AC40B0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exact"/>
          <w:jc w:val="center"/>
        </w:trPr>
        <w:tc>
          <w:tcPr>
            <w:tcW w:w="1583" w:type="dxa"/>
            <w:tcBorders>
              <w:tl2br w:val="nil"/>
              <w:tr2bl w:val="nil"/>
            </w:tcBorders>
            <w:vAlign w:val="center"/>
          </w:tcPr>
          <w:p w14:paraId="704F7F31">
            <w:pPr>
              <w:pStyle w:val="59"/>
              <w:rPr>
                <w:rFonts w:hint="eastAsia"/>
                <w:b/>
                <w:bCs/>
              </w:rPr>
            </w:pPr>
            <w:r>
              <w:rPr>
                <w:rFonts w:hint="eastAsia"/>
              </w:rPr>
              <w:t>起重指挥</w:t>
            </w:r>
          </w:p>
        </w:tc>
        <w:tc>
          <w:tcPr>
            <w:tcW w:w="1554" w:type="dxa"/>
            <w:tcBorders>
              <w:tl2br w:val="nil"/>
              <w:tr2bl w:val="nil"/>
            </w:tcBorders>
            <w:vAlign w:val="center"/>
          </w:tcPr>
          <w:p w14:paraId="34CF78AE">
            <w:pPr>
              <w:pStyle w:val="59"/>
              <w:rPr>
                <w:rFonts w:hint="eastAsia"/>
                <w:b/>
                <w:bCs/>
              </w:rPr>
            </w:pPr>
            <w:r>
              <w:rPr>
                <w:rFonts w:hint="eastAsia"/>
                <w:lang w:val="en-US" w:eastAsia="zh-CN"/>
              </w:rPr>
              <w:t>1</w:t>
            </w:r>
            <w:r>
              <w:rPr>
                <w:rFonts w:hint="eastAsia"/>
              </w:rPr>
              <w:t>人</w:t>
            </w:r>
          </w:p>
        </w:tc>
        <w:tc>
          <w:tcPr>
            <w:tcW w:w="6146" w:type="dxa"/>
            <w:tcBorders>
              <w:tl2br w:val="nil"/>
              <w:tr2bl w:val="nil"/>
            </w:tcBorders>
            <w:vAlign w:val="center"/>
          </w:tcPr>
          <w:p w14:paraId="16558B0C">
            <w:pPr>
              <w:pStyle w:val="59"/>
              <w:rPr>
                <w:rFonts w:hint="eastAsia"/>
                <w:b/>
                <w:bCs/>
              </w:rPr>
            </w:pPr>
            <w:r>
              <w:rPr>
                <w:rFonts w:hint="eastAsia"/>
              </w:rPr>
              <w:t>负责检查吊具、索具安全性，保证吊点正确，物件平稳，指挥信号清晰、明确。</w:t>
            </w:r>
          </w:p>
        </w:tc>
      </w:tr>
      <w:tr w14:paraId="3408968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817" w:hRule="exact"/>
          <w:jc w:val="center"/>
        </w:trPr>
        <w:tc>
          <w:tcPr>
            <w:tcW w:w="1583" w:type="dxa"/>
            <w:tcBorders>
              <w:tl2br w:val="nil"/>
              <w:tr2bl w:val="nil"/>
            </w:tcBorders>
            <w:vAlign w:val="center"/>
          </w:tcPr>
          <w:p w14:paraId="7DE8B455">
            <w:pPr>
              <w:pStyle w:val="59"/>
              <w:rPr>
                <w:rFonts w:hint="eastAsia"/>
                <w:b/>
                <w:bCs/>
              </w:rPr>
            </w:pPr>
            <w:r>
              <w:rPr>
                <w:rFonts w:hint="eastAsia"/>
              </w:rPr>
              <w:t>塔吊司机</w:t>
            </w:r>
          </w:p>
        </w:tc>
        <w:tc>
          <w:tcPr>
            <w:tcW w:w="1554" w:type="dxa"/>
            <w:tcBorders>
              <w:tl2br w:val="nil"/>
              <w:tr2bl w:val="nil"/>
            </w:tcBorders>
            <w:vAlign w:val="center"/>
          </w:tcPr>
          <w:p w14:paraId="635B0D13">
            <w:pPr>
              <w:pStyle w:val="59"/>
              <w:rPr>
                <w:rFonts w:hint="eastAsia"/>
                <w:b/>
                <w:bCs/>
              </w:rPr>
            </w:pPr>
            <w:r>
              <w:rPr>
                <w:rFonts w:hint="eastAsia"/>
                <w:lang w:val="en-US" w:eastAsia="zh-CN"/>
              </w:rPr>
              <w:t>1</w:t>
            </w:r>
            <w:r>
              <w:rPr>
                <w:rFonts w:hint="eastAsia"/>
              </w:rPr>
              <w:t>人</w:t>
            </w:r>
          </w:p>
        </w:tc>
        <w:tc>
          <w:tcPr>
            <w:tcW w:w="6146" w:type="dxa"/>
            <w:tcBorders>
              <w:tl2br w:val="nil"/>
              <w:tr2bl w:val="nil"/>
            </w:tcBorders>
            <w:vAlign w:val="center"/>
          </w:tcPr>
          <w:p w14:paraId="371176D5">
            <w:pPr>
              <w:pStyle w:val="59"/>
              <w:rPr>
                <w:rFonts w:hint="eastAsia"/>
                <w:b/>
                <w:bCs/>
              </w:rPr>
            </w:pPr>
            <w:r>
              <w:rPr>
                <w:rFonts w:hint="eastAsia"/>
              </w:rPr>
              <w:t>严守操作规程，严格按照日常保养维护检查，确保塔吊处于良好状态。</w:t>
            </w:r>
          </w:p>
        </w:tc>
      </w:tr>
      <w:tr w14:paraId="509B60B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exact"/>
          <w:jc w:val="center"/>
        </w:trPr>
        <w:tc>
          <w:tcPr>
            <w:tcW w:w="1583" w:type="dxa"/>
            <w:tcBorders>
              <w:tl2br w:val="nil"/>
              <w:tr2bl w:val="nil"/>
            </w:tcBorders>
            <w:vAlign w:val="center"/>
          </w:tcPr>
          <w:p w14:paraId="3DC604A9">
            <w:pPr>
              <w:pStyle w:val="59"/>
              <w:rPr>
                <w:rFonts w:hint="eastAsia"/>
                <w:b/>
                <w:bCs/>
              </w:rPr>
            </w:pPr>
            <w:r>
              <w:rPr>
                <w:rFonts w:hint="eastAsia"/>
              </w:rPr>
              <w:t>电气工</w:t>
            </w:r>
          </w:p>
        </w:tc>
        <w:tc>
          <w:tcPr>
            <w:tcW w:w="1554" w:type="dxa"/>
            <w:tcBorders>
              <w:tl2br w:val="nil"/>
              <w:tr2bl w:val="nil"/>
            </w:tcBorders>
            <w:vAlign w:val="center"/>
          </w:tcPr>
          <w:p w14:paraId="70AD9EAF">
            <w:pPr>
              <w:pStyle w:val="59"/>
              <w:rPr>
                <w:rFonts w:hint="eastAsia"/>
                <w:b/>
                <w:bCs/>
              </w:rPr>
            </w:pPr>
            <w:r>
              <w:rPr>
                <w:rFonts w:hint="eastAsia"/>
                <w:lang w:val="en-US" w:eastAsia="zh-CN"/>
              </w:rPr>
              <w:t>1</w:t>
            </w:r>
            <w:r>
              <w:rPr>
                <w:rFonts w:hint="eastAsia"/>
              </w:rPr>
              <w:t>人</w:t>
            </w:r>
          </w:p>
        </w:tc>
        <w:tc>
          <w:tcPr>
            <w:tcW w:w="6146" w:type="dxa"/>
            <w:tcBorders>
              <w:tl2br w:val="nil"/>
              <w:tr2bl w:val="nil"/>
            </w:tcBorders>
            <w:vAlign w:val="center"/>
          </w:tcPr>
          <w:p w14:paraId="4FAD90DD">
            <w:pPr>
              <w:pStyle w:val="59"/>
              <w:rPr>
                <w:rFonts w:hint="eastAsia"/>
                <w:b/>
                <w:bCs/>
              </w:rPr>
            </w:pPr>
            <w:r>
              <w:rPr>
                <w:rFonts w:hint="eastAsia"/>
              </w:rPr>
              <w:t>负责塔吊的电气维修部分。</w:t>
            </w:r>
          </w:p>
        </w:tc>
      </w:tr>
    </w:tbl>
    <w:p w14:paraId="7C023D3E">
      <w:pPr>
        <w:rPr>
          <w:color w:val="000000" w:themeColor="text1"/>
          <w14:textFill>
            <w14:solidFill>
              <w14:schemeClr w14:val="tx1"/>
            </w14:solidFill>
          </w14:textFill>
        </w:rPr>
      </w:pPr>
      <w:bookmarkStart w:id="192" w:name="_Toc2353"/>
      <w:bookmarkStart w:id="193" w:name="_Toc8033"/>
      <w:r>
        <w:rPr>
          <w:rFonts w:hint="eastAsia"/>
          <w:color w:val="000000" w:themeColor="text1"/>
          <w14:textFill>
            <w14:solidFill>
              <w14:schemeClr w14:val="tx1"/>
            </w14:solidFill>
          </w14:textFill>
        </w:rPr>
        <w:br w:type="page"/>
      </w:r>
    </w:p>
    <w:p w14:paraId="73D99AE0">
      <w:pPr>
        <w:pStyle w:val="2"/>
        <w:spacing w:before="156" w:after="156"/>
        <w:ind w:firstLine="643"/>
        <w:rPr>
          <w:color w:val="000000" w:themeColor="text1"/>
          <w14:textFill>
            <w14:solidFill>
              <w14:schemeClr w14:val="tx1"/>
            </w14:solidFill>
          </w14:textFill>
        </w:rPr>
      </w:pPr>
      <w:r>
        <w:rPr>
          <w:rFonts w:hint="eastAsia"/>
          <w:color w:val="000000" w:themeColor="text1"/>
          <w14:textFill>
            <w14:solidFill>
              <w14:schemeClr w14:val="tx1"/>
            </w14:solidFill>
          </w14:textFill>
        </w:rPr>
        <w:t>验收要求</w:t>
      </w:r>
      <w:bookmarkEnd w:id="192"/>
      <w:bookmarkEnd w:id="193"/>
    </w:p>
    <w:p w14:paraId="7E177A22">
      <w:pPr>
        <w:pStyle w:val="3"/>
        <w:tabs>
          <w:tab w:val="clear" w:pos="0"/>
        </w:tabs>
        <w:spacing w:before="156" w:after="156"/>
        <w:ind w:firstLine="562"/>
      </w:pPr>
      <w:bookmarkStart w:id="194" w:name="_Toc56"/>
      <w:bookmarkStart w:id="195" w:name="_Toc40778449"/>
      <w:bookmarkStart w:id="196" w:name="_Toc20450"/>
      <w:bookmarkStart w:id="197" w:name="_Toc53217792"/>
      <w:bookmarkStart w:id="198" w:name="_Toc29814"/>
      <w:bookmarkStart w:id="199" w:name="_Toc27945"/>
      <w:r>
        <w:rPr>
          <w:rFonts w:hint="eastAsia"/>
        </w:rPr>
        <w:t>验收标准</w:t>
      </w:r>
      <w:bookmarkEnd w:id="194"/>
      <w:bookmarkEnd w:id="195"/>
      <w:bookmarkEnd w:id="196"/>
      <w:bookmarkEnd w:id="197"/>
      <w:bookmarkEnd w:id="198"/>
      <w:bookmarkEnd w:id="199"/>
    </w:p>
    <w:p w14:paraId="65B566CE">
      <w:pPr>
        <w:ind w:firstLine="480"/>
      </w:pPr>
      <w:bookmarkStart w:id="200" w:name="_Toc25608"/>
      <w:bookmarkStart w:id="201" w:name="_Toc14710"/>
      <w:bookmarkStart w:id="202" w:name="_Toc40778450"/>
      <w:bookmarkStart w:id="203" w:name="_Toc28613974"/>
      <w:r>
        <w:rPr>
          <w:rFonts w:hint="eastAsia"/>
        </w:rPr>
        <w:t>塔机验收，必须严格以《建筑塔式起重机安全规程》、《建筑施工安全检查标准》（JGJ59-2011）及塔机自身的使用说明书为依据，结合施工单位本身实际情况，严格、周密、有序地进行。</w:t>
      </w:r>
    </w:p>
    <w:p w14:paraId="7B35E1CC">
      <w:pPr>
        <w:pStyle w:val="3"/>
        <w:tabs>
          <w:tab w:val="clear" w:pos="0"/>
        </w:tabs>
        <w:spacing w:before="156" w:after="156"/>
        <w:ind w:firstLine="562"/>
      </w:pPr>
      <w:bookmarkStart w:id="204" w:name="_Toc53217793"/>
      <w:bookmarkStart w:id="205" w:name="_Toc12675"/>
      <w:bookmarkStart w:id="206" w:name="_Toc10854"/>
      <w:r>
        <w:rPr>
          <w:rFonts w:hint="eastAsia"/>
        </w:rPr>
        <w:t>验收程序</w:t>
      </w:r>
      <w:bookmarkEnd w:id="200"/>
      <w:bookmarkEnd w:id="201"/>
      <w:bookmarkEnd w:id="202"/>
      <w:bookmarkEnd w:id="203"/>
      <w:bookmarkEnd w:id="204"/>
      <w:bookmarkEnd w:id="205"/>
      <w:bookmarkEnd w:id="206"/>
    </w:p>
    <w:p w14:paraId="5D243DB4">
      <w:pPr>
        <w:ind w:firstLine="480"/>
      </w:pPr>
      <w:bookmarkStart w:id="207" w:name="_Toc28613975"/>
      <w:bookmarkStart w:id="208" w:name="_Toc40778451"/>
      <w:bookmarkStart w:id="209" w:name="_Toc27569"/>
      <w:bookmarkStart w:id="210" w:name="_Toc7965"/>
      <w:r>
        <w:rPr>
          <w:rFonts w:hint="eastAsia"/>
        </w:rPr>
        <w:t>（1）塔吊安装，调试完成后，安装单位应组织自检，进行静负荷、动负荷和超负荷运行试验，并出具安装竣工检验报告。安装完毕后，需经三方验收合格才能交付使用。</w:t>
      </w:r>
    </w:p>
    <w:p w14:paraId="52600020">
      <w:pPr>
        <w:ind w:firstLine="480"/>
      </w:pPr>
      <w:r>
        <w:rPr>
          <w:rFonts w:hint="eastAsia"/>
        </w:rPr>
        <w:t>（2）自检合格后委托当地具有资质的检测机构进行检测，出具检测合格报告书。</w:t>
      </w:r>
    </w:p>
    <w:p w14:paraId="47F1AE61">
      <w:pPr>
        <w:ind w:firstLine="480"/>
      </w:pPr>
      <w:r>
        <w:rPr>
          <w:rFonts w:hint="eastAsia"/>
        </w:rPr>
        <w:t>（3）然后由安装单位、使用单位及监理单位对塔机进行联合验收，验收合格后的塔机，安装单位向使用单位办理移交手续，并由使用单位向当地安全机构进行备案。</w:t>
      </w:r>
    </w:p>
    <w:p w14:paraId="1DBBA884">
      <w:pPr>
        <w:ind w:firstLine="480"/>
      </w:pPr>
      <w:r>
        <w:rPr>
          <w:rFonts w:hint="eastAsia"/>
        </w:rPr>
        <w:t>（4）验收合格的塔机在使用前由安装单位向使用单位操作人员进行交底并将安装资料移交使用单位。</w:t>
      </w:r>
    </w:p>
    <w:p w14:paraId="433C8B4C">
      <w:pPr>
        <w:ind w:firstLine="480"/>
      </w:pPr>
      <w:r>
        <w:rPr>
          <w:rFonts w:hint="eastAsia"/>
        </w:rPr>
        <w:t>（5）使用单位应建立塔式起重机安全使用管理制度，项目经理对起重机械使用安全负全责，项行监督检查，机电工长对起重设备做好日常检查、维护、保养管理。</w:t>
      </w:r>
      <w:r>
        <w:t xml:space="preserve"> </w:t>
      </w:r>
    </w:p>
    <w:p w14:paraId="04B8B70F">
      <w:pPr>
        <w:pStyle w:val="3"/>
        <w:tabs>
          <w:tab w:val="clear" w:pos="0"/>
        </w:tabs>
        <w:spacing w:before="156" w:after="156"/>
        <w:ind w:firstLine="562"/>
      </w:pPr>
      <w:bookmarkStart w:id="211" w:name="_Toc53217794"/>
      <w:bookmarkStart w:id="212" w:name="_Toc11571"/>
      <w:bookmarkStart w:id="213" w:name="_Toc20712"/>
      <w:r>
        <w:rPr>
          <w:rFonts w:hint="eastAsia"/>
        </w:rPr>
        <w:t>验收内容</w:t>
      </w:r>
      <w:bookmarkEnd w:id="207"/>
      <w:bookmarkEnd w:id="208"/>
      <w:bookmarkEnd w:id="209"/>
      <w:bookmarkEnd w:id="210"/>
      <w:bookmarkEnd w:id="211"/>
      <w:bookmarkEnd w:id="212"/>
      <w:bookmarkEnd w:id="213"/>
    </w:p>
    <w:p w14:paraId="3D5362C3">
      <w:pPr>
        <w:pStyle w:val="4"/>
        <w:spacing w:before="156" w:after="166"/>
        <w:ind w:firstLine="482"/>
      </w:pPr>
      <w:bookmarkStart w:id="214" w:name="_Toc25434"/>
      <w:bookmarkStart w:id="215" w:name="_Toc30959"/>
      <w:bookmarkStart w:id="216" w:name="_Toc40778452"/>
      <w:r>
        <w:rPr>
          <w:rFonts w:hint="eastAsia"/>
        </w:rPr>
        <w:t>技术资料</w:t>
      </w:r>
    </w:p>
    <w:p w14:paraId="4300A20A">
      <w:pPr>
        <w:ind w:firstLine="480"/>
        <w:rPr>
          <w:rFonts w:hint="eastAsia" w:ascii="宋体" w:hAnsi="宋体" w:cs="宋体"/>
        </w:rPr>
      </w:pPr>
      <w:r>
        <w:rPr>
          <w:rFonts w:hint="eastAsia" w:ascii="宋体" w:hAnsi="宋体" w:cs="宋体"/>
        </w:rPr>
        <w:t>（1）制造单位应提供有效的资格证明、塔吊出厂合格证、塔吊安装使用维护说明书等文件，必要时应提供试验报告。</w:t>
      </w:r>
    </w:p>
    <w:p w14:paraId="0A553340">
      <w:pPr>
        <w:ind w:firstLine="480"/>
        <w:rPr>
          <w:rFonts w:hint="eastAsia" w:ascii="宋体" w:hAnsi="宋体" w:cs="宋体"/>
        </w:rPr>
      </w:pPr>
      <w:r>
        <w:rPr>
          <w:rFonts w:hint="eastAsia" w:ascii="宋体" w:hAnsi="宋体" w:cs="宋体"/>
        </w:rPr>
        <w:t>（2）安装单位应提供：</w:t>
      </w:r>
    </w:p>
    <w:p w14:paraId="019BDB05">
      <w:pPr>
        <w:ind w:firstLine="480"/>
        <w:rPr>
          <w:rFonts w:hint="eastAsia" w:ascii="宋体" w:hAnsi="宋体" w:cs="宋体"/>
        </w:rPr>
      </w:pPr>
      <w:r>
        <w:rPr>
          <w:rFonts w:hint="eastAsia" w:ascii="宋体" w:hAnsi="宋体" w:cs="宋体"/>
        </w:rPr>
        <w:t>①施工情况记录和自检报告；</w:t>
      </w:r>
    </w:p>
    <w:p w14:paraId="532E0E34">
      <w:pPr>
        <w:ind w:firstLine="480"/>
        <w:rPr>
          <w:rFonts w:hint="eastAsia" w:ascii="宋体" w:hAnsi="宋体" w:cs="宋体"/>
        </w:rPr>
      </w:pPr>
      <w:r>
        <w:rPr>
          <w:rFonts w:hint="eastAsia" w:ascii="宋体" w:hAnsi="宋体" w:cs="宋体"/>
        </w:rPr>
        <w:t>②基础及轨道等隐蔽工程验收证明；</w:t>
      </w:r>
    </w:p>
    <w:p w14:paraId="28E3D45C">
      <w:pPr>
        <w:ind w:firstLine="480"/>
        <w:rPr>
          <w:rFonts w:hint="eastAsia" w:ascii="宋体" w:hAnsi="宋体" w:cs="宋体"/>
        </w:rPr>
      </w:pPr>
      <w:r>
        <w:rPr>
          <w:rFonts w:hint="eastAsia" w:ascii="宋体" w:hAnsi="宋体" w:cs="宋体"/>
        </w:rPr>
        <w:t>③安装过程中事故记录与处理报告；</w:t>
      </w:r>
    </w:p>
    <w:p w14:paraId="475688D7">
      <w:pPr>
        <w:ind w:firstLine="480"/>
        <w:rPr>
          <w:rFonts w:hint="eastAsia" w:ascii="宋体" w:hAnsi="宋体" w:cs="宋体"/>
        </w:rPr>
      </w:pPr>
      <w:r>
        <w:rPr>
          <w:rFonts w:hint="eastAsia" w:ascii="宋体" w:hAnsi="宋体" w:cs="宋体"/>
        </w:rPr>
        <w:t>④安装过程中经制造单位同意的变更设计的证明文件。</w:t>
      </w:r>
    </w:p>
    <w:p w14:paraId="5DCC7B84">
      <w:pPr>
        <w:pStyle w:val="4"/>
        <w:spacing w:before="156" w:after="166"/>
        <w:ind w:firstLine="482"/>
      </w:pPr>
      <w:r>
        <w:rPr>
          <w:rFonts w:hint="eastAsia"/>
        </w:rPr>
        <w:t>安装塔吊作业环境及外观检查</w:t>
      </w:r>
    </w:p>
    <w:p w14:paraId="08AB67E0">
      <w:pPr>
        <w:ind w:firstLine="480"/>
      </w:pPr>
      <w:r>
        <w:rPr>
          <w:rFonts w:hint="eastAsia"/>
        </w:rPr>
        <w:t>（1）塔机运动部分与建筑物及建筑物外围施工设施之间的最小距离不小于0.6m。</w:t>
      </w:r>
    </w:p>
    <w:p w14:paraId="32BCA596">
      <w:pPr>
        <w:ind w:firstLine="480"/>
      </w:pPr>
      <w:r>
        <w:rPr>
          <w:rFonts w:hint="eastAsia"/>
        </w:rPr>
        <w:t>（2）两台塔机之间的最小架设距离应保证处于低位的塔机的臂架端部与另一台塔机的塔身之间至少有2m的距离；处于高位塔机的最低位置的部件与低位塔机中处于最高位置部件之间的垂直距离不应小于2m。</w:t>
      </w:r>
    </w:p>
    <w:p w14:paraId="0A294197">
      <w:pPr>
        <w:ind w:firstLine="480"/>
      </w:pPr>
      <w:r>
        <w:rPr>
          <w:rFonts w:hint="eastAsia"/>
        </w:rPr>
        <w:t>（3）有架空输电线的场所，塔机的任何部位与输电线的安全距离，应符合下表的规定，以避免塔机结构进入输电线的危险区。</w:t>
      </w:r>
    </w:p>
    <w:tbl>
      <w:tblPr>
        <w:tblStyle w:val="34"/>
        <w:tblpPr w:leftFromText="180" w:rightFromText="180" w:vertAnchor="text" w:horzAnchor="page" w:tblpX="1937" w:tblpY="215"/>
        <w:tblOverlap w:val="never"/>
        <w:tblW w:w="8528"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1341"/>
        <w:gridCol w:w="1095"/>
        <w:gridCol w:w="1218"/>
        <w:gridCol w:w="1218"/>
        <w:gridCol w:w="1219"/>
        <w:gridCol w:w="1219"/>
      </w:tblGrid>
      <w:tr w14:paraId="104D77F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218" w:type="dxa"/>
            <w:tcBorders>
              <w:tl2br w:val="nil"/>
              <w:tr2bl w:val="nil"/>
            </w:tcBorders>
            <w:vAlign w:val="center"/>
          </w:tcPr>
          <w:p w14:paraId="6BC5E604">
            <w:pPr>
              <w:pStyle w:val="59"/>
              <w:rPr>
                <w:rFonts w:hint="eastAsia"/>
                <w:b/>
                <w:bCs/>
              </w:rPr>
            </w:pPr>
            <w:r>
              <w:rPr>
                <w:rFonts w:hint="eastAsia"/>
              </w:rPr>
              <w:t>电压</w:t>
            </w:r>
          </w:p>
        </w:tc>
        <w:tc>
          <w:tcPr>
            <w:tcW w:w="1341" w:type="dxa"/>
            <w:tcBorders>
              <w:tl2br w:val="nil"/>
              <w:tr2bl w:val="nil"/>
            </w:tcBorders>
            <w:vAlign w:val="center"/>
          </w:tcPr>
          <w:p w14:paraId="22160F15">
            <w:pPr>
              <w:pStyle w:val="59"/>
              <w:rPr>
                <w:rFonts w:hint="eastAsia"/>
              </w:rPr>
            </w:pPr>
          </w:p>
        </w:tc>
        <w:tc>
          <w:tcPr>
            <w:tcW w:w="1095" w:type="dxa"/>
            <w:tcBorders>
              <w:tl2br w:val="nil"/>
              <w:tr2bl w:val="nil"/>
            </w:tcBorders>
            <w:vAlign w:val="center"/>
          </w:tcPr>
          <w:p w14:paraId="434D5432">
            <w:pPr>
              <w:pStyle w:val="59"/>
              <w:rPr>
                <w:rFonts w:hint="eastAsia"/>
                <w:b/>
                <w:bCs/>
              </w:rPr>
            </w:pPr>
            <w:r>
              <w:rPr>
                <w:rFonts w:hint="eastAsia"/>
              </w:rPr>
              <w:t>＜1</w:t>
            </w:r>
          </w:p>
        </w:tc>
        <w:tc>
          <w:tcPr>
            <w:tcW w:w="1218" w:type="dxa"/>
            <w:tcBorders>
              <w:tl2br w:val="nil"/>
              <w:tr2bl w:val="nil"/>
            </w:tcBorders>
            <w:vAlign w:val="center"/>
          </w:tcPr>
          <w:p w14:paraId="08A3EB84">
            <w:pPr>
              <w:pStyle w:val="59"/>
              <w:rPr>
                <w:rFonts w:hint="eastAsia"/>
                <w:b/>
                <w:bCs/>
              </w:rPr>
            </w:pPr>
            <w:r>
              <w:rPr>
                <w:rFonts w:hint="eastAsia"/>
              </w:rPr>
              <w:t>1~15</w:t>
            </w:r>
          </w:p>
        </w:tc>
        <w:tc>
          <w:tcPr>
            <w:tcW w:w="1218" w:type="dxa"/>
            <w:tcBorders>
              <w:tl2br w:val="nil"/>
              <w:tr2bl w:val="nil"/>
            </w:tcBorders>
            <w:vAlign w:val="center"/>
          </w:tcPr>
          <w:p w14:paraId="138EE945">
            <w:pPr>
              <w:pStyle w:val="59"/>
              <w:rPr>
                <w:rFonts w:hint="eastAsia"/>
                <w:b/>
                <w:bCs/>
              </w:rPr>
            </w:pPr>
            <w:r>
              <w:rPr>
                <w:rFonts w:hint="eastAsia"/>
              </w:rPr>
              <w:t>20~40</w:t>
            </w:r>
          </w:p>
        </w:tc>
        <w:tc>
          <w:tcPr>
            <w:tcW w:w="1219" w:type="dxa"/>
            <w:tcBorders>
              <w:tl2br w:val="nil"/>
              <w:tr2bl w:val="nil"/>
            </w:tcBorders>
            <w:vAlign w:val="center"/>
          </w:tcPr>
          <w:p w14:paraId="6C97A606">
            <w:pPr>
              <w:pStyle w:val="59"/>
              <w:rPr>
                <w:rFonts w:hint="eastAsia"/>
                <w:b/>
                <w:bCs/>
              </w:rPr>
            </w:pPr>
            <w:r>
              <w:rPr>
                <w:rFonts w:hint="eastAsia"/>
              </w:rPr>
              <w:t>60~110</w:t>
            </w:r>
          </w:p>
        </w:tc>
        <w:tc>
          <w:tcPr>
            <w:tcW w:w="1219" w:type="dxa"/>
            <w:tcBorders>
              <w:tl2br w:val="nil"/>
              <w:tr2bl w:val="nil"/>
            </w:tcBorders>
            <w:vAlign w:val="center"/>
          </w:tcPr>
          <w:p w14:paraId="10C92998">
            <w:pPr>
              <w:pStyle w:val="59"/>
              <w:rPr>
                <w:rFonts w:hint="eastAsia"/>
                <w:b/>
                <w:bCs/>
              </w:rPr>
            </w:pPr>
            <w:r>
              <w:rPr>
                <w:rFonts w:hint="eastAsia"/>
              </w:rPr>
              <w:t>＞220</w:t>
            </w:r>
          </w:p>
        </w:tc>
      </w:tr>
      <w:tr w14:paraId="04FF6FF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218" w:type="dxa"/>
            <w:vMerge w:val="restart"/>
            <w:tcBorders>
              <w:tl2br w:val="nil"/>
              <w:tr2bl w:val="nil"/>
            </w:tcBorders>
            <w:vAlign w:val="center"/>
          </w:tcPr>
          <w:p w14:paraId="07005770">
            <w:pPr>
              <w:pStyle w:val="59"/>
              <w:rPr>
                <w:rFonts w:hint="eastAsia"/>
                <w:b/>
                <w:bCs/>
              </w:rPr>
            </w:pPr>
            <w:r>
              <w:rPr>
                <w:rFonts w:hint="eastAsia"/>
              </w:rPr>
              <w:t>安全距离</w:t>
            </w:r>
          </w:p>
          <w:p w14:paraId="33271E35">
            <w:pPr>
              <w:pStyle w:val="59"/>
              <w:rPr>
                <w:rFonts w:hint="eastAsia"/>
                <w:b/>
                <w:bCs/>
              </w:rPr>
            </w:pPr>
            <w:r>
              <w:rPr>
                <w:rFonts w:hint="eastAsia"/>
              </w:rPr>
              <w:t>（m）</w:t>
            </w:r>
          </w:p>
        </w:tc>
        <w:tc>
          <w:tcPr>
            <w:tcW w:w="1341" w:type="dxa"/>
            <w:tcBorders>
              <w:tl2br w:val="nil"/>
              <w:tr2bl w:val="nil"/>
            </w:tcBorders>
            <w:vAlign w:val="center"/>
          </w:tcPr>
          <w:p w14:paraId="7EBEABC5">
            <w:pPr>
              <w:pStyle w:val="59"/>
              <w:rPr>
                <w:rFonts w:hint="eastAsia"/>
                <w:b/>
                <w:bCs/>
              </w:rPr>
            </w:pPr>
            <w:r>
              <w:rPr>
                <w:rFonts w:hint="eastAsia"/>
              </w:rPr>
              <w:t>沿垂直方向</w:t>
            </w:r>
          </w:p>
        </w:tc>
        <w:tc>
          <w:tcPr>
            <w:tcW w:w="1095" w:type="dxa"/>
            <w:tcBorders>
              <w:tl2br w:val="nil"/>
              <w:tr2bl w:val="nil"/>
            </w:tcBorders>
            <w:vAlign w:val="center"/>
          </w:tcPr>
          <w:p w14:paraId="73D0A092">
            <w:pPr>
              <w:pStyle w:val="59"/>
              <w:rPr>
                <w:rFonts w:hint="eastAsia"/>
                <w:b/>
                <w:bCs/>
              </w:rPr>
            </w:pPr>
            <w:r>
              <w:rPr>
                <w:rFonts w:hint="eastAsia"/>
              </w:rPr>
              <w:t>1.5</w:t>
            </w:r>
          </w:p>
        </w:tc>
        <w:tc>
          <w:tcPr>
            <w:tcW w:w="1218" w:type="dxa"/>
            <w:tcBorders>
              <w:tl2br w:val="nil"/>
              <w:tr2bl w:val="nil"/>
            </w:tcBorders>
            <w:vAlign w:val="center"/>
          </w:tcPr>
          <w:p w14:paraId="25ACF28F">
            <w:pPr>
              <w:pStyle w:val="59"/>
              <w:rPr>
                <w:rFonts w:hint="eastAsia"/>
                <w:b/>
                <w:bCs/>
              </w:rPr>
            </w:pPr>
            <w:r>
              <w:rPr>
                <w:rFonts w:hint="eastAsia"/>
              </w:rPr>
              <w:t>3.0</w:t>
            </w:r>
          </w:p>
        </w:tc>
        <w:tc>
          <w:tcPr>
            <w:tcW w:w="1218" w:type="dxa"/>
            <w:tcBorders>
              <w:tl2br w:val="nil"/>
              <w:tr2bl w:val="nil"/>
            </w:tcBorders>
            <w:vAlign w:val="center"/>
          </w:tcPr>
          <w:p w14:paraId="76E2129D">
            <w:pPr>
              <w:pStyle w:val="59"/>
              <w:rPr>
                <w:rFonts w:hint="eastAsia"/>
                <w:b/>
                <w:bCs/>
              </w:rPr>
            </w:pPr>
            <w:r>
              <w:rPr>
                <w:rFonts w:hint="eastAsia"/>
              </w:rPr>
              <w:t>4.0</w:t>
            </w:r>
          </w:p>
        </w:tc>
        <w:tc>
          <w:tcPr>
            <w:tcW w:w="1219" w:type="dxa"/>
            <w:tcBorders>
              <w:tl2br w:val="nil"/>
              <w:tr2bl w:val="nil"/>
            </w:tcBorders>
            <w:vAlign w:val="center"/>
          </w:tcPr>
          <w:p w14:paraId="59F119DA">
            <w:pPr>
              <w:pStyle w:val="59"/>
              <w:rPr>
                <w:rFonts w:hint="eastAsia"/>
                <w:b/>
                <w:bCs/>
              </w:rPr>
            </w:pPr>
            <w:r>
              <w:rPr>
                <w:rFonts w:hint="eastAsia"/>
              </w:rPr>
              <w:t>5.0</w:t>
            </w:r>
          </w:p>
        </w:tc>
        <w:tc>
          <w:tcPr>
            <w:tcW w:w="1219" w:type="dxa"/>
            <w:tcBorders>
              <w:tl2br w:val="nil"/>
              <w:tr2bl w:val="nil"/>
            </w:tcBorders>
            <w:vAlign w:val="center"/>
          </w:tcPr>
          <w:p w14:paraId="1179B41D">
            <w:pPr>
              <w:pStyle w:val="59"/>
              <w:rPr>
                <w:rFonts w:hint="eastAsia"/>
                <w:b/>
                <w:bCs/>
              </w:rPr>
            </w:pPr>
            <w:r>
              <w:rPr>
                <w:rFonts w:hint="eastAsia"/>
              </w:rPr>
              <w:t>6.0</w:t>
            </w:r>
          </w:p>
        </w:tc>
      </w:tr>
      <w:tr w14:paraId="557978E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218" w:type="dxa"/>
            <w:vMerge w:val="continue"/>
            <w:tcBorders>
              <w:tl2br w:val="nil"/>
              <w:tr2bl w:val="nil"/>
            </w:tcBorders>
            <w:vAlign w:val="center"/>
          </w:tcPr>
          <w:p w14:paraId="567614E4">
            <w:pPr>
              <w:pStyle w:val="59"/>
              <w:rPr>
                <w:rFonts w:hint="eastAsia"/>
              </w:rPr>
            </w:pPr>
          </w:p>
        </w:tc>
        <w:tc>
          <w:tcPr>
            <w:tcW w:w="1341" w:type="dxa"/>
            <w:tcBorders>
              <w:tl2br w:val="nil"/>
              <w:tr2bl w:val="nil"/>
            </w:tcBorders>
            <w:vAlign w:val="center"/>
          </w:tcPr>
          <w:p w14:paraId="0B0C4C58">
            <w:pPr>
              <w:pStyle w:val="59"/>
              <w:rPr>
                <w:rFonts w:hint="eastAsia"/>
                <w:b/>
                <w:bCs/>
              </w:rPr>
            </w:pPr>
            <w:r>
              <w:rPr>
                <w:rFonts w:hint="eastAsia"/>
              </w:rPr>
              <w:t>沿水平方向</w:t>
            </w:r>
          </w:p>
        </w:tc>
        <w:tc>
          <w:tcPr>
            <w:tcW w:w="1095" w:type="dxa"/>
            <w:tcBorders>
              <w:tl2br w:val="nil"/>
              <w:tr2bl w:val="nil"/>
            </w:tcBorders>
            <w:vAlign w:val="center"/>
          </w:tcPr>
          <w:p w14:paraId="71D97374">
            <w:pPr>
              <w:pStyle w:val="59"/>
              <w:rPr>
                <w:rFonts w:hint="eastAsia"/>
                <w:b/>
                <w:bCs/>
              </w:rPr>
            </w:pPr>
            <w:r>
              <w:rPr>
                <w:rFonts w:hint="eastAsia"/>
              </w:rPr>
              <w:t>1.0</w:t>
            </w:r>
          </w:p>
        </w:tc>
        <w:tc>
          <w:tcPr>
            <w:tcW w:w="1218" w:type="dxa"/>
            <w:tcBorders>
              <w:tl2br w:val="nil"/>
              <w:tr2bl w:val="nil"/>
            </w:tcBorders>
            <w:vAlign w:val="center"/>
          </w:tcPr>
          <w:p w14:paraId="3E2F1EC7">
            <w:pPr>
              <w:pStyle w:val="59"/>
              <w:rPr>
                <w:rFonts w:hint="eastAsia"/>
                <w:b/>
                <w:bCs/>
              </w:rPr>
            </w:pPr>
            <w:r>
              <w:rPr>
                <w:rFonts w:hint="eastAsia"/>
              </w:rPr>
              <w:t>1.5</w:t>
            </w:r>
          </w:p>
        </w:tc>
        <w:tc>
          <w:tcPr>
            <w:tcW w:w="1218" w:type="dxa"/>
            <w:tcBorders>
              <w:tl2br w:val="nil"/>
              <w:tr2bl w:val="nil"/>
            </w:tcBorders>
            <w:vAlign w:val="center"/>
          </w:tcPr>
          <w:p w14:paraId="30BC9907">
            <w:pPr>
              <w:pStyle w:val="59"/>
              <w:rPr>
                <w:rFonts w:hint="eastAsia"/>
                <w:b/>
                <w:bCs/>
              </w:rPr>
            </w:pPr>
            <w:r>
              <w:rPr>
                <w:rFonts w:hint="eastAsia"/>
              </w:rPr>
              <w:t>2.0</w:t>
            </w:r>
          </w:p>
        </w:tc>
        <w:tc>
          <w:tcPr>
            <w:tcW w:w="1219" w:type="dxa"/>
            <w:tcBorders>
              <w:tl2br w:val="nil"/>
              <w:tr2bl w:val="nil"/>
            </w:tcBorders>
            <w:vAlign w:val="center"/>
          </w:tcPr>
          <w:p w14:paraId="4E476820">
            <w:pPr>
              <w:pStyle w:val="59"/>
              <w:rPr>
                <w:rFonts w:hint="eastAsia"/>
                <w:b/>
                <w:bCs/>
              </w:rPr>
            </w:pPr>
            <w:r>
              <w:rPr>
                <w:rFonts w:hint="eastAsia"/>
              </w:rPr>
              <w:t>4.0</w:t>
            </w:r>
          </w:p>
        </w:tc>
        <w:tc>
          <w:tcPr>
            <w:tcW w:w="1219" w:type="dxa"/>
            <w:tcBorders>
              <w:tl2br w:val="nil"/>
              <w:tr2bl w:val="nil"/>
            </w:tcBorders>
            <w:vAlign w:val="center"/>
          </w:tcPr>
          <w:p w14:paraId="24727183">
            <w:pPr>
              <w:pStyle w:val="59"/>
              <w:rPr>
                <w:rFonts w:hint="eastAsia"/>
                <w:b/>
                <w:bCs/>
              </w:rPr>
            </w:pPr>
            <w:r>
              <w:rPr>
                <w:rFonts w:hint="eastAsia"/>
              </w:rPr>
              <w:t>6.0</w:t>
            </w:r>
          </w:p>
        </w:tc>
      </w:tr>
    </w:tbl>
    <w:p w14:paraId="3020B068">
      <w:pPr>
        <w:ind w:firstLine="480"/>
      </w:pPr>
      <w:r>
        <w:rPr>
          <w:rFonts w:hint="eastAsia"/>
        </w:rPr>
        <w:t>（4）塔吊吊钩滑轮组侧板，回转尾部和平衡重、臂架头部、外伸支腿和夹轨器要有黄黑相间的危险部位标志，扫轨板、轨道端部止挡要有红色标志。</w:t>
      </w:r>
    </w:p>
    <w:p w14:paraId="711C41DF">
      <w:pPr>
        <w:ind w:firstLine="480"/>
      </w:pPr>
      <w:r>
        <w:rPr>
          <w:rFonts w:hint="eastAsia"/>
        </w:rPr>
        <w:t>（5）在塔身底部易于观察的位置应固定产品标牌。内容应包括下列内容：</w:t>
      </w:r>
    </w:p>
    <w:p w14:paraId="6417FBC6">
      <w:pPr>
        <w:ind w:firstLine="480"/>
      </w:pPr>
      <w:r>
        <w:rPr>
          <w:rFonts w:hint="eastAsia"/>
        </w:rPr>
        <w:t>①产品名称和型号；</w:t>
      </w:r>
    </w:p>
    <w:p w14:paraId="0722CD33">
      <w:pPr>
        <w:ind w:firstLine="480"/>
      </w:pPr>
      <w:r>
        <w:rPr>
          <w:rFonts w:hint="eastAsia"/>
        </w:rPr>
        <w:t>②制造厂名称；</w:t>
      </w:r>
    </w:p>
    <w:p w14:paraId="5D26D114">
      <w:pPr>
        <w:ind w:firstLine="480"/>
      </w:pPr>
      <w:r>
        <w:rPr>
          <w:rFonts w:hint="eastAsia"/>
        </w:rPr>
        <w:t>③产品主要参数：幅度和相应起重量、起升高度、工作速度、电机功率、配重、压重；</w:t>
      </w:r>
    </w:p>
    <w:p w14:paraId="352FC4E8">
      <w:pPr>
        <w:ind w:firstLine="480"/>
      </w:pPr>
      <w:r>
        <w:rPr>
          <w:rFonts w:hint="eastAsia"/>
        </w:rPr>
        <w:t>④电源电压、频率、功率；</w:t>
      </w:r>
    </w:p>
    <w:p w14:paraId="04A1CD8E">
      <w:pPr>
        <w:ind w:firstLine="480"/>
      </w:pPr>
      <w:r>
        <w:rPr>
          <w:rFonts w:hint="eastAsia"/>
        </w:rPr>
        <w:t>⑤产品制造编号和出厂日期。</w:t>
      </w:r>
    </w:p>
    <w:p w14:paraId="4E5768D2">
      <w:pPr>
        <w:ind w:firstLine="480"/>
      </w:pPr>
      <w:r>
        <w:rPr>
          <w:rFonts w:hint="eastAsia"/>
        </w:rPr>
        <w:t>⑥塔吊顶部高于30m且高于周围建筑物的塔机，应在塔顶和臂架端部安装红色障碍指示灯，该指示灯的供电不应受停机影响。</w:t>
      </w:r>
    </w:p>
    <w:p w14:paraId="0A5D2EE3">
      <w:pPr>
        <w:ind w:firstLine="480"/>
      </w:pPr>
      <w:r>
        <w:rPr>
          <w:rFonts w:hint="eastAsia"/>
        </w:rPr>
        <w:t>⑦臂架根部铰点高度大于50m的塔机，应安装风速仪。当风速大于工作极限风速时，成能发出停止作业的警报。风速仪应安装在塔机顶部的不挡风处。</w:t>
      </w:r>
    </w:p>
    <w:p w14:paraId="33DC71D7">
      <w:pPr>
        <w:ind w:firstLine="480"/>
      </w:pPr>
      <w:r>
        <w:rPr>
          <w:rFonts w:hint="eastAsia"/>
        </w:rPr>
        <w:t>⑧塔机塔身高度不得大于说明书允许高度。</w:t>
      </w:r>
    </w:p>
    <w:p w14:paraId="2B080180">
      <w:pPr>
        <w:pStyle w:val="4"/>
        <w:spacing w:before="156" w:after="156"/>
        <w:ind w:firstLine="482"/>
      </w:pPr>
      <w:r>
        <w:rPr>
          <w:rFonts w:hint="eastAsia"/>
        </w:rPr>
        <w:t>基础</w:t>
      </w:r>
    </w:p>
    <w:p w14:paraId="6D2E4E69">
      <w:pPr>
        <w:ind w:firstLine="480"/>
      </w:pPr>
      <w:r>
        <w:rPr>
          <w:rFonts w:hint="eastAsia"/>
        </w:rPr>
        <w:t>（1）基础周围应有排水设施。</w:t>
      </w:r>
    </w:p>
    <w:p w14:paraId="2482F3DA">
      <w:pPr>
        <w:ind w:firstLine="480"/>
      </w:pPr>
      <w:r>
        <w:rPr>
          <w:rFonts w:hint="eastAsia"/>
        </w:rPr>
        <w:t>（2）基础的设置制作应符合说明书的要求。</w:t>
      </w:r>
    </w:p>
    <w:p w14:paraId="4ED1C6A4">
      <w:pPr>
        <w:pStyle w:val="4"/>
        <w:spacing w:before="156" w:after="156"/>
        <w:ind w:firstLine="482"/>
      </w:pPr>
      <w:r>
        <w:rPr>
          <w:rFonts w:hint="eastAsia"/>
        </w:rPr>
        <w:t>金属结构</w:t>
      </w:r>
    </w:p>
    <w:p w14:paraId="60BE5040">
      <w:pPr>
        <w:ind w:firstLine="480"/>
      </w:pPr>
      <w:r>
        <w:rPr>
          <w:rFonts w:hint="eastAsia"/>
        </w:rPr>
        <w:t>（1）安装后的塔机主要结构件不得出现下列情况：</w:t>
      </w:r>
    </w:p>
    <w:p w14:paraId="00199CD1">
      <w:pPr>
        <w:ind w:firstLine="480"/>
      </w:pPr>
      <w:r>
        <w:rPr>
          <w:rFonts w:hint="eastAsia"/>
        </w:rPr>
        <w:t>①目视可见的结构件裂纹及焊缝裂纹；</w:t>
      </w:r>
    </w:p>
    <w:p w14:paraId="71A1B12D">
      <w:pPr>
        <w:ind w:firstLine="480"/>
      </w:pPr>
      <w:r>
        <w:rPr>
          <w:rFonts w:hint="eastAsia"/>
        </w:rPr>
        <w:t>②连接件的轴、孔严重磨损；</w:t>
      </w:r>
    </w:p>
    <w:p w14:paraId="6316EE7A">
      <w:pPr>
        <w:ind w:firstLine="480"/>
      </w:pPr>
      <w:r>
        <w:rPr>
          <w:rFonts w:hint="eastAsia"/>
        </w:rPr>
        <w:t>③结构件母材严重锈蚀；</w:t>
      </w:r>
    </w:p>
    <w:p w14:paraId="01C7B1CA">
      <w:pPr>
        <w:ind w:firstLine="480"/>
      </w:pPr>
      <w:r>
        <w:rPr>
          <w:rFonts w:hint="eastAsia"/>
        </w:rPr>
        <w:t>④结构件整体或局部塑性变形，销孔塑性变形，必要时用探伤仪检查焊缝质量。</w:t>
      </w:r>
    </w:p>
    <w:p w14:paraId="64FC4256">
      <w:pPr>
        <w:ind w:firstLine="480"/>
      </w:pPr>
      <w:r>
        <w:rPr>
          <w:rFonts w:hint="eastAsia"/>
        </w:rPr>
        <w:t>（2）要结构连接件应安装正确且无缺陷。销轴有可靠轴向止动且正确使用开口销，高强度螺栓连接按要求预紧有防松措施，不得松动，不应有缺件、损坏等缺陷。螺栓不得低于螺母。</w:t>
      </w:r>
    </w:p>
    <w:p w14:paraId="3C89C0AD">
      <w:pPr>
        <w:ind w:firstLine="480"/>
      </w:pPr>
      <w:r>
        <w:rPr>
          <w:rFonts w:hint="eastAsia"/>
        </w:rPr>
        <w:t>（3）平衡重、压重的安装数量、位置应与设计要求相符，保证正常工作时不位移、不脱落。当使用散料物时应使用平衡重箱，平衡重箱应防水，保证重量准确稳定。根据安装说明书确认平衡重的重量，检查安装状况。</w:t>
      </w:r>
    </w:p>
    <w:p w14:paraId="0BB178C1">
      <w:pPr>
        <w:ind w:firstLine="480"/>
      </w:pPr>
      <w:r>
        <w:rPr>
          <w:rFonts w:hint="eastAsia"/>
        </w:rPr>
        <w:t>（4）塔机安装后，在空载、无风的状态下，塔身轴心线对支承面的侧向垂直度≤4/1000。将标尺分别水平固定在臂架铰点附近和基础节（或最高附着点）的塔身上，其中心位于塔身中心线上，臂架转到其纵向轴线与塔身的一个截面中心线重合的位置，分别在X、Y轴的两个方向上用经纬仪测量两标尺水平误差，即垂直度误差。</w:t>
      </w:r>
    </w:p>
    <w:p w14:paraId="327237AA">
      <w:pPr>
        <w:ind w:firstLine="480"/>
      </w:pPr>
      <w:r>
        <w:rPr>
          <w:rFonts w:hint="eastAsia"/>
        </w:rPr>
        <w:t>（5）与水平面呈不大于65°的阶梯两边应设置不低于1m高的扶手，扶手间宽度不小于600mm，踏板应由具有防滑性能的金属材料制作，踏板横向宽度不小于300mm，梯级间隔不大于300mm。扶手应固定可靠。</w:t>
      </w:r>
    </w:p>
    <w:p w14:paraId="62CE4D65">
      <w:pPr>
        <w:ind w:firstLine="480"/>
      </w:pPr>
      <w:r>
        <w:rPr>
          <w:rFonts w:hint="eastAsia"/>
        </w:rPr>
        <w:t>（6）</w:t>
      </w:r>
      <w:r>
        <w:rPr>
          <w:rFonts w:hint="eastAsia" w:ascii="宋体" w:hAnsi="宋体" w:cs="宋体"/>
        </w:rPr>
        <w:t>①</w:t>
      </w:r>
      <w:r>
        <w:rPr>
          <w:rFonts w:hint="eastAsia"/>
        </w:rPr>
        <w:t>直立梯边梁之间的宽度不小于300mm；</w:t>
      </w:r>
    </w:p>
    <w:p w14:paraId="1F7C1753">
      <w:pPr>
        <w:ind w:firstLine="960" w:firstLineChars="400"/>
      </w:pPr>
      <w:r>
        <w:rPr>
          <w:rFonts w:hint="eastAsia" w:ascii="宋体" w:hAnsi="宋体" w:cs="宋体"/>
        </w:rPr>
        <w:t>②</w:t>
      </w:r>
      <w:r>
        <w:rPr>
          <w:rFonts w:hint="eastAsia"/>
        </w:rPr>
        <w:t>踏杆间隔为250~300mm；</w:t>
      </w:r>
    </w:p>
    <w:p w14:paraId="769799C0">
      <w:pPr>
        <w:ind w:firstLine="960" w:firstLineChars="400"/>
      </w:pPr>
      <w:r>
        <w:rPr>
          <w:rFonts w:hint="eastAsia" w:ascii="宋体" w:hAnsi="宋体" w:cs="宋体"/>
        </w:rPr>
        <w:t>③</w:t>
      </w:r>
      <w:r>
        <w:rPr>
          <w:rFonts w:hint="eastAsia"/>
        </w:rPr>
        <w:t>踏杆与后面结构件间（踏角间隙）不小于160mm；</w:t>
      </w:r>
    </w:p>
    <w:p w14:paraId="30F24958">
      <w:pPr>
        <w:ind w:firstLine="960" w:firstLineChars="400"/>
      </w:pPr>
      <w:r>
        <w:rPr>
          <w:rFonts w:hint="eastAsia" w:ascii="宋体" w:hAnsi="宋体" w:cs="宋体"/>
        </w:rPr>
        <w:t>④</w:t>
      </w:r>
      <w:r>
        <w:rPr>
          <w:rFonts w:hint="eastAsia"/>
        </w:rPr>
        <w:t>边梁应可以抓握且没有尖锐边缘；</w:t>
      </w:r>
    </w:p>
    <w:p w14:paraId="59F492B4">
      <w:pPr>
        <w:ind w:firstLine="960" w:firstLineChars="400"/>
      </w:pPr>
      <w:r>
        <w:rPr>
          <w:rFonts w:hint="eastAsia" w:ascii="宋体" w:hAnsi="宋体" w:cs="宋体"/>
        </w:rPr>
        <w:t>⑤</w:t>
      </w:r>
      <w:r>
        <w:rPr>
          <w:rFonts w:hint="eastAsia"/>
        </w:rPr>
        <w:t>当梯子设于塔机内部时，正方形塔身边长不大于750mm，且侧面结构不允许直径为600mm的球体穿过时可不设护圈，否则在高于地面2m以上的直立梯应设置直径600～800mm护圈。直立梯及护圈固定可靠。</w:t>
      </w:r>
    </w:p>
    <w:p w14:paraId="16ACE626">
      <w:pPr>
        <w:ind w:firstLine="480"/>
      </w:pPr>
      <w:r>
        <w:rPr>
          <w:rFonts w:hint="eastAsia"/>
        </w:rPr>
        <w:t>（7）当梯子高度越过10m时，应设置休息小平台，第一个小平台应不超过12.5m高度处，以后每10m内设置一个。臂架走台的设置应符合GB5144-2006第4.5条规定。对快装塔式起重机或变幅小车上设置与小车一起移动的挂篮时，可以不设臂架走台。</w:t>
      </w:r>
    </w:p>
    <w:p w14:paraId="020602B8">
      <w:pPr>
        <w:pStyle w:val="4"/>
        <w:spacing w:before="156" w:after="156"/>
        <w:ind w:firstLine="482"/>
      </w:pPr>
      <w:r>
        <w:rPr>
          <w:rFonts w:hint="eastAsia"/>
        </w:rPr>
        <w:t>起升系统</w:t>
      </w:r>
    </w:p>
    <w:p w14:paraId="3BA30830">
      <w:pPr>
        <w:ind w:firstLine="480"/>
      </w:pPr>
      <w:r>
        <w:rPr>
          <w:rFonts w:hint="eastAsia"/>
        </w:rPr>
        <w:t>（1）吊钩应有标记和防脱棘爪，不允许使用铸造吊钩。</w:t>
      </w:r>
    </w:p>
    <w:p w14:paraId="787DEDE2">
      <w:pPr>
        <w:ind w:firstLine="480"/>
      </w:pPr>
      <w:r>
        <w:rPr>
          <w:rFonts w:hint="eastAsia"/>
        </w:rPr>
        <w:t>（2）吊钩不应有裂纹、剥裂等缺陷，存在缺陷不得焊补。钩尾和螺纹部分等危险截面及钩筋不得有永久性变形。</w:t>
      </w:r>
    </w:p>
    <w:p w14:paraId="121BDCC8">
      <w:pPr>
        <w:ind w:firstLine="480"/>
      </w:pPr>
      <w:r>
        <w:rPr>
          <w:rFonts w:hint="eastAsia"/>
        </w:rPr>
        <w:t>（3）挂绳处截面磨损量不超过原高度的10％。</w:t>
      </w:r>
    </w:p>
    <w:p w14:paraId="51F1AADD">
      <w:pPr>
        <w:ind w:firstLine="480"/>
      </w:pPr>
      <w:r>
        <w:rPr>
          <w:rFonts w:hint="eastAsia"/>
        </w:rPr>
        <w:t>（4）开口度增加量不应大于原尺寸的15%。</w:t>
      </w:r>
    </w:p>
    <w:p w14:paraId="3F34C1B1">
      <w:pPr>
        <w:ind w:firstLine="480"/>
      </w:pPr>
      <w:r>
        <w:rPr>
          <w:rFonts w:hint="eastAsia"/>
        </w:rPr>
        <w:t>（5）钢丝绳绳端固定应牢固、可靠。压板固定时应可靠，卷筒上的绳端固定装置应有防松或自紧的性能；金属压制接头固定时，接头不应有裂纹；楔块固定时，楔套不应有裂纹，楔块不应松动。绳卡固定时，绳卡安装应正确，绳夹数量不得少于3个，绳径10～20mm时4个、21～26mm时5个、28～36mm时6个、36～40mm时7个。绳夹间距不小于6倍绳径，绳头距最后一个绳夹不小于140mm，并采用细钢丝捆扎。绳头滑鞍在工作受力侧，U型螺栓扣在钢丝绳尾端，不得正反交错设置。</w:t>
      </w:r>
    </w:p>
    <w:p w14:paraId="65F7823C">
      <w:pPr>
        <w:ind w:firstLine="480"/>
      </w:pPr>
      <w:r>
        <w:rPr>
          <w:rFonts w:hint="eastAsia"/>
        </w:rPr>
        <w:t>（6）钢丝绳在放出最大工作长度后，卷筒上的钢丝绳至少应保留3圈做为安全圈。</w:t>
      </w:r>
    </w:p>
    <w:p w14:paraId="634C16F4">
      <w:pPr>
        <w:ind w:firstLine="480"/>
      </w:pPr>
      <w:r>
        <w:rPr>
          <w:rFonts w:hint="eastAsia"/>
        </w:rPr>
        <w:t>（7）塔吊钢丝绳的规格、型号应符合设计要求，与滑轮和卷筒相匹配，并正确穿绕。钢丝绳应润滑良好。不应与金属结构磨擦。</w:t>
      </w:r>
    </w:p>
    <w:p w14:paraId="791982B4">
      <w:pPr>
        <w:ind w:firstLine="480"/>
      </w:pPr>
      <w:r>
        <w:rPr>
          <w:rFonts w:hint="eastAsia"/>
        </w:rPr>
        <w:t>（8）钢丝绳不应有扭结、压扁、弯折、断股、笼状畸变、断芯等变形现象。</w:t>
      </w:r>
    </w:p>
    <w:p w14:paraId="62B81B17">
      <w:pPr>
        <w:ind w:firstLine="480"/>
      </w:pPr>
      <w:r>
        <w:rPr>
          <w:rFonts w:hint="eastAsia"/>
        </w:rPr>
        <w:t>（9）钢丝绳直径减小量不大于公称直径的7%。</w:t>
      </w:r>
    </w:p>
    <w:p w14:paraId="4BF42A2E">
      <w:pPr>
        <w:ind w:firstLine="480"/>
      </w:pPr>
      <w:r>
        <w:rPr>
          <w:rFonts w:hint="eastAsia"/>
        </w:rPr>
        <w:t>（10）塔吊滑轮应转动良好，出现下列情况应报废：</w:t>
      </w:r>
    </w:p>
    <w:p w14:paraId="710304F8">
      <w:pPr>
        <w:ind w:firstLine="480"/>
      </w:pPr>
      <w:r>
        <w:rPr>
          <w:rFonts w:hint="eastAsia"/>
        </w:rPr>
        <w:t>①出现裂纹、轮缘破损等损伤钢丝绳的缺陷；</w:t>
      </w:r>
    </w:p>
    <w:p w14:paraId="1BE28B44">
      <w:pPr>
        <w:ind w:firstLine="480"/>
      </w:pPr>
      <w:r>
        <w:rPr>
          <w:rFonts w:hint="eastAsia"/>
        </w:rPr>
        <w:t>②轮槽壁厚磨损达原壁厚的20%；</w:t>
      </w:r>
    </w:p>
    <w:p w14:paraId="5D057C34">
      <w:pPr>
        <w:ind w:firstLine="480"/>
      </w:pPr>
      <w:r>
        <w:rPr>
          <w:rFonts w:hint="eastAsia"/>
        </w:rPr>
        <w:t>③轮槽底部直径减少量达钢丝绳直径的50%或槽底出现沟糟。</w:t>
      </w:r>
    </w:p>
    <w:p w14:paraId="367AC230">
      <w:pPr>
        <w:ind w:firstLine="480"/>
      </w:pPr>
      <w:r>
        <w:rPr>
          <w:rFonts w:hint="eastAsia"/>
        </w:rPr>
        <w:t>（11）应有防止钢丝绳脱槽的装置，且可靠有效。该装置与滑轮最外缘的间隙不应超过钢丝绳直径的20％。</w:t>
      </w:r>
    </w:p>
    <w:p w14:paraId="1E78897A">
      <w:pPr>
        <w:ind w:firstLine="480"/>
      </w:pPr>
      <w:r>
        <w:rPr>
          <w:rFonts w:hint="eastAsia"/>
        </w:rPr>
        <w:t>（12）塔机每个机构都应装设制动器或具有相同功能的装置。起升和动臂变幅机构应采用常闭制动器，回转机构、运行机构、小车变幅机构的制动器应保证塔机制动时平稳性要求。</w:t>
      </w:r>
    </w:p>
    <w:p w14:paraId="113EBF3A">
      <w:pPr>
        <w:ind w:firstLine="480"/>
      </w:pPr>
      <w:r>
        <w:rPr>
          <w:rFonts w:hint="eastAsia"/>
        </w:rPr>
        <w:t>（13）塔吊的零部件不应有裂纹、过度磨损、塑性变形、缺件等缺陷。液压制动器不应漏油。制动片磨损达原厚度的50%或露出铆钉应报废。</w:t>
      </w:r>
    </w:p>
    <w:p w14:paraId="2F3AC680">
      <w:pPr>
        <w:ind w:firstLine="480"/>
      </w:pPr>
      <w:r>
        <w:rPr>
          <w:rFonts w:hint="eastAsia"/>
        </w:rPr>
        <w:t>（14）制动轮与摩擦片之间应接触均匀，且不能有影响制动性能的缺陷和油污。</w:t>
      </w:r>
    </w:p>
    <w:p w14:paraId="7CDDD957">
      <w:pPr>
        <w:ind w:firstLine="480"/>
      </w:pPr>
      <w:r>
        <w:rPr>
          <w:rFonts w:hint="eastAsia"/>
        </w:rPr>
        <w:t>（15）制动轮无裂纹(不包括制动轮表面淬硬层微裂纹)，凹凸不平度不得大于1.5mm。不得有摩擦垫片固定铆钉引起的划痕。</w:t>
      </w:r>
    </w:p>
    <w:p w14:paraId="65E7CB53">
      <w:pPr>
        <w:ind w:firstLine="480"/>
      </w:pPr>
      <w:r>
        <w:rPr>
          <w:rFonts w:hint="eastAsia"/>
        </w:rPr>
        <w:t>（16）地脚螺栓，壳体联接螺栓不得松动，螺栓不得缺损。</w:t>
      </w:r>
    </w:p>
    <w:p w14:paraId="08701E93">
      <w:pPr>
        <w:ind w:firstLine="480"/>
      </w:pPr>
      <w:r>
        <w:rPr>
          <w:rFonts w:hint="eastAsia"/>
        </w:rPr>
        <w:t>（17）联轴器零件无缺损，联接无松动，运转时无剧烈撞击声。</w:t>
      </w:r>
    </w:p>
    <w:p w14:paraId="5051A4B3">
      <w:pPr>
        <w:ind w:firstLine="480"/>
      </w:pPr>
      <w:r>
        <w:rPr>
          <w:rFonts w:hint="eastAsia"/>
        </w:rPr>
        <w:t>（18）塔吊卷筒两测凸缘的高度应超过最外层钢丝绳，其高出值应不小于钢丝绳直径的2倍。</w:t>
      </w:r>
    </w:p>
    <w:p w14:paraId="672842D0">
      <w:pPr>
        <w:ind w:firstLine="480"/>
      </w:pPr>
      <w:r>
        <w:rPr>
          <w:rFonts w:hint="eastAsia"/>
        </w:rPr>
        <w:t>（19）卷筒壁不应有裂纹或过度磨损。</w:t>
      </w:r>
    </w:p>
    <w:p w14:paraId="0E9812F6">
      <w:pPr>
        <w:ind w:firstLine="480"/>
      </w:pPr>
      <w:r>
        <w:rPr>
          <w:rFonts w:hint="eastAsia"/>
        </w:rPr>
        <w:t>（20）塔吊应有防止钢丝绳脱槽的装置，且可靠有效。该装置与卷筒最外缘的间隙不应超过钢丝绳直径的20％。</w:t>
      </w:r>
    </w:p>
    <w:p w14:paraId="7B1C2255">
      <w:pPr>
        <w:ind w:firstLine="480"/>
      </w:pPr>
      <w:r>
        <w:rPr>
          <w:rFonts w:hint="eastAsia"/>
        </w:rPr>
        <w:t>（21）塔机应安装起重量限制器，当载荷大于相应工况下额定值并小于额定值的110%时，应切断上升方向的电源，但机构可做下降方向的运动。起升额定载荷，以额定速度起升、下降，全过程中正常制动3次，起重量限制器不动作；保持载荷离地面100~200mm，逐渐无冲击继续加载至发出超载报警信号，此时应已切断上升方向动作，载荷不超过110%额定载荷。</w:t>
      </w:r>
    </w:p>
    <w:p w14:paraId="015E1536">
      <w:pPr>
        <w:ind w:firstLine="480"/>
      </w:pPr>
      <w:r>
        <w:rPr>
          <w:rFonts w:hint="eastAsia"/>
        </w:rPr>
        <w:t>（22）塔机必须安装力矩限制器，当起重力矩大于相应工况下额定值并小于额定值的110%时，应切断上升和幅度增加方向的电源，但机构可做下降和减小幅度方向的运动。</w:t>
      </w:r>
    </w:p>
    <w:p w14:paraId="116075B0">
      <w:pPr>
        <w:ind w:firstLine="480"/>
      </w:pPr>
      <w:r>
        <w:rPr>
          <w:rFonts w:hint="eastAsia"/>
        </w:rPr>
        <w:t>（23）塔机应安装吊钩上极限位置的起升高度限位器。应满足GB/T9462的规定。（上回转塔机2倍率时1m、4倍率时0.7m停止起升动作，只能下降）。空载吊钩慢慢上升碰撞限位装置，应停止上升运行。</w:t>
      </w:r>
    </w:p>
    <w:p w14:paraId="3C8F95D7">
      <w:pPr>
        <w:ind w:firstLine="480"/>
      </w:pPr>
      <w:r>
        <w:rPr>
          <w:rFonts w:hint="eastAsia"/>
        </w:rPr>
        <w:t>（24）对小车变幅的塔机，变幅的双向均应设置断绳保护装置，应设置变幅小车断轴保护装置，即使轮轴断裂，小车也不会掉落。小车变幅的塔机，应设置小车限位装置。动臂式塔机应设置臂架低位置和臂架高位置的幅度限位开关，以及防止臂架反弹后翻的装置。</w:t>
      </w:r>
    </w:p>
    <w:p w14:paraId="6B742139">
      <w:pPr>
        <w:ind w:firstLine="480"/>
      </w:pPr>
      <w:r>
        <w:rPr>
          <w:rFonts w:hint="eastAsia"/>
        </w:rPr>
        <w:t>（25）对回转部分不设集电器的塔机，应安装回转限位器，塔机回转部分在非工作状态下必须保证可自由旋转。对有自锁作用的回转机构，应安装安全极限力矩联轴器。</w:t>
      </w:r>
    </w:p>
    <w:p w14:paraId="612B6E35">
      <w:pPr>
        <w:ind w:firstLine="480"/>
      </w:pPr>
      <w:r>
        <w:rPr>
          <w:rFonts w:hint="eastAsia"/>
        </w:rPr>
        <w:t>（26）回转只承齿轮啮合应平稳，无裂纹、断齿和过度磨损。</w:t>
      </w:r>
    </w:p>
    <w:p w14:paraId="5A2FD3AD">
      <w:pPr>
        <w:ind w:firstLine="480"/>
      </w:pPr>
      <w:r>
        <w:rPr>
          <w:rFonts w:hint="eastAsia"/>
        </w:rPr>
        <w:t>（27）液压系统应有防止过载和液压冲击的安全装置。并应工作可靠、无漏油现象。</w:t>
      </w:r>
    </w:p>
    <w:p w14:paraId="77D86751">
      <w:pPr>
        <w:ind w:firstLine="480"/>
      </w:pPr>
      <w:r>
        <w:rPr>
          <w:rFonts w:hint="eastAsia"/>
        </w:rPr>
        <w:t>（28）顶升液压缸必须具有可靠的平衡阀或液压锁，平衡阀或液压锁与液压缸之间不得用软管连接。</w:t>
      </w:r>
    </w:p>
    <w:p w14:paraId="4400759A">
      <w:pPr>
        <w:ind w:firstLine="480"/>
      </w:pPr>
      <w:r>
        <w:rPr>
          <w:rFonts w:hint="eastAsia"/>
        </w:rPr>
        <w:t>（29）自升式塔机应具有防止塔身在正常加节、降节作业时，顶升横梁从塔身支承中自行脱出的功能。</w:t>
      </w:r>
    </w:p>
    <w:p w14:paraId="60AC736E">
      <w:pPr>
        <w:ind w:firstLine="480"/>
      </w:pPr>
      <w:r>
        <w:rPr>
          <w:rFonts w:hint="eastAsia"/>
        </w:rPr>
        <w:t>（30）司机室应固定牢固，并能与回转部分同步回转，其位置不应在臂架正下方，在正常工作情况下，塔机的活动部件不会撞击司机室。司机室内应有绝缘地板和灭火器。</w:t>
      </w:r>
    </w:p>
    <w:p w14:paraId="52D51EAC">
      <w:pPr>
        <w:ind w:firstLine="480"/>
      </w:pPr>
      <w:r>
        <w:rPr>
          <w:rFonts w:hint="eastAsia"/>
        </w:rPr>
        <w:t>（31）司机室必须具有良好的视野，其结构必须有足够的强度和刚度。</w:t>
      </w:r>
    </w:p>
    <w:p w14:paraId="550692E9">
      <w:pPr>
        <w:ind w:firstLine="480"/>
      </w:pPr>
      <w:r>
        <w:rPr>
          <w:rFonts w:hint="eastAsia"/>
        </w:rPr>
        <w:t>（32）司机室外面有走台时，门应向外开启；通过地板进入司机室的，门必须向内开启；顶棚有活动门时只能向上开启。所有门必须安装锁定装置。</w:t>
      </w:r>
    </w:p>
    <w:p w14:paraId="783EDA18">
      <w:pPr>
        <w:ind w:firstLine="480"/>
      </w:pPr>
      <w:r>
        <w:rPr>
          <w:rFonts w:hint="eastAsia"/>
        </w:rPr>
        <w:t>（33）在司机室内易于观察的位置应设有常用操作数据的标牌或显示屏。标牌或显示屏的内容应包括幅度载荷表、主要性能参数表、各起升速度档位的起重量等。标牌或显示屏应牢固、可靠，字迹清晰、醒目。</w:t>
      </w:r>
    </w:p>
    <w:p w14:paraId="1E41C8AD">
      <w:pPr>
        <w:ind w:firstLine="480"/>
      </w:pPr>
      <w:r>
        <w:rPr>
          <w:rFonts w:hint="eastAsia"/>
        </w:rPr>
        <w:t>（34）主电路和控制电路的对地绝缘电阻不低于0.5MΩ。断电、人为使塔机上的接触器、开关全部处于闭合状态，使塔机电气线路全部导通，将500V兆欧表L端接于电气线路，E端接于塔机金属结构或接地极上，测量绝缘电阻值。上述方法有困难时，可采用分段测量的方法。测量时应将容易击穿的电子元件短接。</w:t>
      </w:r>
    </w:p>
    <w:p w14:paraId="5CBC555C">
      <w:pPr>
        <w:ind w:firstLine="480"/>
      </w:pPr>
      <w:r>
        <w:rPr>
          <w:rFonts w:hint="eastAsia"/>
        </w:rPr>
        <w:t>（35）塔机供电电源应设总电源开关，该开关应设置在靠近塔机且地面人员易于操作的地方，开关出线端不得连接与塔机无关的电气设备。</w:t>
      </w:r>
    </w:p>
    <w:p w14:paraId="40239352">
      <w:pPr>
        <w:ind w:firstLine="480"/>
      </w:pPr>
      <w:r>
        <w:rPr>
          <w:rFonts w:hint="eastAsia"/>
        </w:rPr>
        <w:t>（36）塔机电源进线处宜设主隔离开关，或采取其他隔离措施。隔离开关应有明显标记。</w:t>
      </w:r>
    </w:p>
    <w:p w14:paraId="2FD79605">
      <w:pPr>
        <w:ind w:firstLine="480"/>
      </w:pPr>
      <w:r>
        <w:rPr>
          <w:rFonts w:hint="eastAsia"/>
        </w:rPr>
        <w:t>（37）塔机总电源回路至少应有一级短路保护。短路保护应由自动断路器或熔断器来实现。自动断路器每相均应有瞬时动作的过电流脱扣器，其整定值应随自动开关的型式而定。熔断器熔体的额定电流也应按塔机尖峰电流的1/2~1/1.6 选取。</w:t>
      </w:r>
    </w:p>
    <w:p w14:paraId="7CA30080">
      <w:pPr>
        <w:ind w:firstLine="480"/>
      </w:pPr>
      <w:r>
        <w:rPr>
          <w:rFonts w:hint="eastAsia"/>
        </w:rPr>
        <w:t>（38）塔吊上允许用整体金属结构做接地干线，金属结构必须是一个有可靠电气连续的导电整体。塔吊上所有电气设备正常不带电的金属外壳、变压器铁芯及金属隔离层、穿线金属管槽、电缆金阀护层等均应与金属结构间有可靠的接地联接。</w:t>
      </w:r>
    </w:p>
    <w:p w14:paraId="145721AB">
      <w:pPr>
        <w:ind w:firstLine="480"/>
      </w:pPr>
      <w:r>
        <w:rPr>
          <w:rFonts w:hint="eastAsia"/>
        </w:rPr>
        <w:t>（39）当塔机供电电源为中性点直接接地的低压系统时，整体金属结构的接地型式应采用TN-S接地系统，并设漏电保护器，接地电阻不大于4Ω。</w:t>
      </w:r>
    </w:p>
    <w:p w14:paraId="6DB357A3">
      <w:pPr>
        <w:ind w:firstLine="480"/>
      </w:pPr>
      <w:r>
        <w:rPr>
          <w:rFonts w:hint="eastAsia"/>
        </w:rPr>
        <w:t>（40）塔机上外露的有伤人可能的活动零部件均应装设防护罩。电气设备应装设防雨罩。</w:t>
      </w:r>
    </w:p>
    <w:p w14:paraId="1436031A">
      <w:pPr>
        <w:pStyle w:val="3"/>
        <w:tabs>
          <w:tab w:val="clear" w:pos="0"/>
        </w:tabs>
        <w:spacing w:before="156" w:after="156"/>
        <w:ind w:firstLine="562"/>
      </w:pPr>
      <w:bookmarkStart w:id="217" w:name="_Toc3271"/>
      <w:bookmarkStart w:id="218" w:name="_Toc53217795"/>
      <w:bookmarkStart w:id="219" w:name="_Toc21366"/>
      <w:r>
        <w:rPr>
          <w:rFonts w:hint="eastAsia"/>
        </w:rPr>
        <w:t>验收人员</w:t>
      </w:r>
      <w:bookmarkEnd w:id="214"/>
      <w:bookmarkEnd w:id="215"/>
      <w:bookmarkEnd w:id="216"/>
      <w:bookmarkEnd w:id="217"/>
      <w:bookmarkEnd w:id="218"/>
      <w:bookmarkEnd w:id="219"/>
    </w:p>
    <w:p w14:paraId="7721ABB9">
      <w:pPr>
        <w:pStyle w:val="30"/>
        <w:spacing w:line="360" w:lineRule="auto"/>
        <w:ind w:firstLine="480" w:firstLineChars="200"/>
        <w:jc w:val="left"/>
      </w:pPr>
      <w:r>
        <w:rPr>
          <w:rFonts w:hint="eastAsia"/>
        </w:rPr>
        <w:t>根据住房城乡建设部办公厅关于实施《危险性较大的分部分项工程安全管理规定》有关问题的通知(住建部37号令)危大工程验收人员应当包括：</w:t>
      </w:r>
    </w:p>
    <w:p w14:paraId="61C5C9A6">
      <w:pPr>
        <w:ind w:firstLine="480"/>
      </w:pPr>
      <w:r>
        <w:rPr>
          <w:rFonts w:hint="eastAsia"/>
        </w:rPr>
        <w:t>（1）总承包单位和分包单位技术负责人或授权委派的专业技术人员、项目负责人、项目技术负责人、专项施工方案编制人员、项目专职安全生产管理人员及相关人员；</w:t>
      </w:r>
    </w:p>
    <w:p w14:paraId="7BD5BF71">
      <w:pPr>
        <w:ind w:firstLine="480"/>
      </w:pPr>
      <w:r>
        <w:rPr>
          <w:rFonts w:hint="eastAsia"/>
        </w:rPr>
        <w:t>（2）监理单位项目总监理工程师及专业监理工程师；</w:t>
      </w:r>
    </w:p>
    <w:p w14:paraId="521E3F98">
      <w:pPr>
        <w:ind w:firstLine="480"/>
      </w:pPr>
      <w:r>
        <w:rPr>
          <w:rFonts w:hint="eastAsia"/>
        </w:rPr>
        <w:t>（3）项目所在地安监站及检测单位人员。验收人员如下表：</w:t>
      </w:r>
    </w:p>
    <w:p w14:paraId="6D7A99A2">
      <w:pPr>
        <w:ind w:firstLine="422"/>
        <w:jc w:val="center"/>
      </w:pPr>
      <w:r>
        <w:rPr>
          <w:rFonts w:hint="eastAsia" w:ascii="宋体" w:hAnsi="宋体" w:cs="宋体"/>
          <w:b/>
          <w:bCs/>
          <w:sz w:val="21"/>
        </w:rPr>
        <w:t>表7.4-1验收人员组成表</w:t>
      </w:r>
    </w:p>
    <w:tbl>
      <w:tblPr>
        <w:tblStyle w:val="33"/>
        <w:tblW w:w="4284"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1702"/>
        <w:gridCol w:w="4184"/>
      </w:tblGrid>
      <w:tr w14:paraId="0F5B460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969" w:type="pct"/>
            <w:tcBorders>
              <w:tl2br w:val="nil"/>
              <w:tr2bl w:val="nil"/>
            </w:tcBorders>
            <w:vAlign w:val="center"/>
          </w:tcPr>
          <w:p w14:paraId="1364DFE1">
            <w:pPr>
              <w:pStyle w:val="59"/>
              <w:rPr>
                <w:b/>
                <w:bCs/>
              </w:rPr>
            </w:pPr>
            <w:r>
              <w:rPr>
                <w:rFonts w:hint="eastAsia"/>
              </w:rPr>
              <w:t>责任主体</w:t>
            </w:r>
          </w:p>
        </w:tc>
        <w:tc>
          <w:tcPr>
            <w:tcW w:w="1165" w:type="pct"/>
            <w:tcBorders>
              <w:tl2br w:val="nil"/>
              <w:tr2bl w:val="nil"/>
            </w:tcBorders>
            <w:vAlign w:val="center"/>
          </w:tcPr>
          <w:p w14:paraId="1FED7050">
            <w:pPr>
              <w:pStyle w:val="59"/>
              <w:rPr>
                <w:b/>
                <w:bCs/>
              </w:rPr>
            </w:pPr>
            <w:r>
              <w:rPr>
                <w:rFonts w:hint="eastAsia"/>
              </w:rPr>
              <w:t>职务</w:t>
            </w:r>
          </w:p>
        </w:tc>
        <w:tc>
          <w:tcPr>
            <w:tcW w:w="2864" w:type="pct"/>
            <w:tcBorders>
              <w:tl2br w:val="nil"/>
              <w:tr2bl w:val="nil"/>
            </w:tcBorders>
            <w:vAlign w:val="center"/>
          </w:tcPr>
          <w:p w14:paraId="72FA8207">
            <w:pPr>
              <w:pStyle w:val="59"/>
              <w:rPr>
                <w:b/>
                <w:bCs/>
              </w:rPr>
            </w:pPr>
            <w:r>
              <w:rPr>
                <w:rFonts w:hint="eastAsia"/>
              </w:rPr>
              <w:t>单位</w:t>
            </w:r>
          </w:p>
        </w:tc>
      </w:tr>
      <w:tr w14:paraId="43B3D03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9" w:type="pct"/>
            <w:tcBorders>
              <w:tl2br w:val="nil"/>
              <w:tr2bl w:val="nil"/>
            </w:tcBorders>
            <w:vAlign w:val="center"/>
          </w:tcPr>
          <w:p w14:paraId="3B99206D">
            <w:pPr>
              <w:pStyle w:val="59"/>
              <w:rPr>
                <w:b/>
                <w:bCs/>
              </w:rPr>
            </w:pPr>
            <w:r>
              <w:rPr>
                <w:rFonts w:hint="eastAsia"/>
              </w:rPr>
              <w:t>监理单位</w:t>
            </w:r>
          </w:p>
        </w:tc>
        <w:tc>
          <w:tcPr>
            <w:tcW w:w="1165" w:type="pct"/>
            <w:tcBorders>
              <w:tl2br w:val="nil"/>
              <w:tr2bl w:val="nil"/>
            </w:tcBorders>
            <w:vAlign w:val="center"/>
          </w:tcPr>
          <w:p w14:paraId="7C7DD8CD">
            <w:pPr>
              <w:pStyle w:val="59"/>
              <w:rPr>
                <w:b/>
                <w:bCs/>
              </w:rPr>
            </w:pPr>
            <w:r>
              <w:rPr>
                <w:rFonts w:hint="eastAsia"/>
              </w:rPr>
              <w:t>监理总监</w:t>
            </w:r>
          </w:p>
        </w:tc>
        <w:tc>
          <w:tcPr>
            <w:tcW w:w="2864" w:type="pct"/>
            <w:tcBorders>
              <w:tl2br w:val="nil"/>
              <w:tr2bl w:val="nil"/>
            </w:tcBorders>
            <w:vAlign w:val="center"/>
          </w:tcPr>
          <w:p w14:paraId="02F31D33">
            <w:pPr>
              <w:pStyle w:val="59"/>
              <w:rPr>
                <w:b/>
                <w:bCs/>
                <w:color w:val="000000"/>
              </w:rPr>
            </w:pPr>
            <w:r>
              <w:rPr>
                <w:rFonts w:hint="eastAsia" w:ascii="宋体" w:hAnsi="宋体" w:eastAsia="宋体" w:cs="宋体"/>
                <w:lang w:val="en-US" w:eastAsia="zh-CN"/>
              </w:rPr>
              <w:t>四川省川建勘察设计院有限公司</w:t>
            </w:r>
          </w:p>
        </w:tc>
      </w:tr>
      <w:tr w14:paraId="6173F51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9" w:type="pct"/>
            <w:vMerge w:val="restart"/>
            <w:tcBorders>
              <w:tl2br w:val="nil"/>
              <w:tr2bl w:val="nil"/>
            </w:tcBorders>
            <w:vAlign w:val="center"/>
          </w:tcPr>
          <w:p w14:paraId="6447D201">
            <w:pPr>
              <w:pStyle w:val="59"/>
              <w:rPr>
                <w:b/>
                <w:bCs/>
              </w:rPr>
            </w:pPr>
            <w:r>
              <w:rPr>
                <w:rFonts w:hint="eastAsia"/>
              </w:rPr>
              <w:t>施工单位</w:t>
            </w:r>
          </w:p>
          <w:p w14:paraId="32506328">
            <w:pPr>
              <w:pStyle w:val="59"/>
            </w:pPr>
          </w:p>
          <w:p w14:paraId="50F8B37F">
            <w:pPr>
              <w:pStyle w:val="59"/>
            </w:pPr>
          </w:p>
        </w:tc>
        <w:tc>
          <w:tcPr>
            <w:tcW w:w="1165" w:type="pct"/>
            <w:tcBorders>
              <w:tl2br w:val="nil"/>
              <w:tr2bl w:val="nil"/>
            </w:tcBorders>
            <w:vAlign w:val="center"/>
          </w:tcPr>
          <w:p w14:paraId="700AF14A">
            <w:pPr>
              <w:pStyle w:val="59"/>
              <w:rPr>
                <w:b/>
                <w:bCs/>
              </w:rPr>
            </w:pPr>
            <w:r>
              <w:rPr>
                <w:rFonts w:hint="eastAsia"/>
              </w:rPr>
              <w:t>项目经理</w:t>
            </w:r>
          </w:p>
        </w:tc>
        <w:tc>
          <w:tcPr>
            <w:tcW w:w="2864" w:type="pct"/>
            <w:vMerge w:val="restart"/>
            <w:tcBorders>
              <w:tl2br w:val="nil"/>
              <w:tr2bl w:val="nil"/>
            </w:tcBorders>
            <w:vAlign w:val="center"/>
          </w:tcPr>
          <w:p w14:paraId="6ED7A222">
            <w:pPr>
              <w:pStyle w:val="59"/>
              <w:rPr>
                <w:b/>
                <w:bCs/>
              </w:rPr>
            </w:pPr>
            <w:r>
              <w:rPr>
                <w:rFonts w:hint="eastAsia"/>
              </w:rPr>
              <w:t>中交第二航务工程局有限公司</w:t>
            </w:r>
          </w:p>
        </w:tc>
      </w:tr>
      <w:tr w14:paraId="23FD616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9" w:type="pct"/>
            <w:vMerge w:val="continue"/>
            <w:tcBorders>
              <w:tl2br w:val="nil"/>
              <w:tr2bl w:val="nil"/>
            </w:tcBorders>
            <w:vAlign w:val="center"/>
          </w:tcPr>
          <w:p w14:paraId="388EBEF0">
            <w:pPr>
              <w:pStyle w:val="59"/>
            </w:pPr>
          </w:p>
        </w:tc>
        <w:tc>
          <w:tcPr>
            <w:tcW w:w="1165" w:type="pct"/>
            <w:tcBorders>
              <w:tl2br w:val="nil"/>
              <w:tr2bl w:val="nil"/>
            </w:tcBorders>
            <w:vAlign w:val="center"/>
          </w:tcPr>
          <w:p w14:paraId="573FC485">
            <w:pPr>
              <w:pStyle w:val="59"/>
              <w:rPr>
                <w:b/>
                <w:bCs/>
              </w:rPr>
            </w:pPr>
            <w:r>
              <w:rPr>
                <w:rFonts w:hint="eastAsia"/>
              </w:rPr>
              <w:t>技术总工</w:t>
            </w:r>
          </w:p>
        </w:tc>
        <w:tc>
          <w:tcPr>
            <w:tcW w:w="2864" w:type="pct"/>
            <w:vMerge w:val="continue"/>
            <w:tcBorders>
              <w:tl2br w:val="nil"/>
              <w:tr2bl w:val="nil"/>
            </w:tcBorders>
          </w:tcPr>
          <w:p w14:paraId="4462F929">
            <w:pPr>
              <w:pStyle w:val="59"/>
              <w:rPr>
                <w:rFonts w:hint="eastAsia"/>
              </w:rPr>
            </w:pPr>
          </w:p>
        </w:tc>
      </w:tr>
      <w:tr w14:paraId="196251C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9" w:type="pct"/>
            <w:vMerge w:val="continue"/>
            <w:tcBorders>
              <w:tl2br w:val="nil"/>
              <w:tr2bl w:val="nil"/>
            </w:tcBorders>
            <w:vAlign w:val="center"/>
          </w:tcPr>
          <w:p w14:paraId="4A8D84A7">
            <w:pPr>
              <w:pStyle w:val="59"/>
            </w:pPr>
          </w:p>
        </w:tc>
        <w:tc>
          <w:tcPr>
            <w:tcW w:w="1165" w:type="pct"/>
            <w:tcBorders>
              <w:tl2br w:val="nil"/>
              <w:tr2bl w:val="nil"/>
            </w:tcBorders>
            <w:vAlign w:val="center"/>
          </w:tcPr>
          <w:p w14:paraId="3226E046">
            <w:pPr>
              <w:pStyle w:val="59"/>
              <w:rPr>
                <w:b/>
                <w:bCs/>
              </w:rPr>
            </w:pPr>
            <w:r>
              <w:rPr>
                <w:rFonts w:hint="eastAsia"/>
              </w:rPr>
              <w:t>安全总监</w:t>
            </w:r>
          </w:p>
        </w:tc>
        <w:tc>
          <w:tcPr>
            <w:tcW w:w="2864" w:type="pct"/>
            <w:vMerge w:val="continue"/>
            <w:tcBorders>
              <w:tl2br w:val="nil"/>
              <w:tr2bl w:val="nil"/>
            </w:tcBorders>
          </w:tcPr>
          <w:p w14:paraId="18769C99">
            <w:pPr>
              <w:pStyle w:val="59"/>
              <w:rPr>
                <w:rFonts w:hint="eastAsia"/>
              </w:rPr>
            </w:pPr>
          </w:p>
        </w:tc>
      </w:tr>
      <w:tr w14:paraId="198B413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9" w:type="pct"/>
            <w:vMerge w:val="continue"/>
            <w:tcBorders>
              <w:tl2br w:val="nil"/>
              <w:tr2bl w:val="nil"/>
            </w:tcBorders>
            <w:vAlign w:val="center"/>
          </w:tcPr>
          <w:p w14:paraId="6BE821F9">
            <w:pPr>
              <w:pStyle w:val="59"/>
            </w:pPr>
          </w:p>
        </w:tc>
        <w:tc>
          <w:tcPr>
            <w:tcW w:w="1165" w:type="pct"/>
            <w:tcBorders>
              <w:tl2br w:val="nil"/>
              <w:tr2bl w:val="nil"/>
            </w:tcBorders>
            <w:vAlign w:val="center"/>
          </w:tcPr>
          <w:p w14:paraId="436C2FC3">
            <w:pPr>
              <w:pStyle w:val="59"/>
              <w:rPr>
                <w:b/>
                <w:bCs/>
              </w:rPr>
            </w:pPr>
            <w:r>
              <w:rPr>
                <w:rFonts w:hint="eastAsia"/>
              </w:rPr>
              <w:t>生产经理</w:t>
            </w:r>
          </w:p>
        </w:tc>
        <w:tc>
          <w:tcPr>
            <w:tcW w:w="2864" w:type="pct"/>
            <w:vMerge w:val="continue"/>
            <w:tcBorders>
              <w:tl2br w:val="nil"/>
              <w:tr2bl w:val="nil"/>
            </w:tcBorders>
          </w:tcPr>
          <w:p w14:paraId="287131AB">
            <w:pPr>
              <w:pStyle w:val="59"/>
              <w:rPr>
                <w:rFonts w:hint="eastAsia"/>
              </w:rPr>
            </w:pPr>
          </w:p>
        </w:tc>
      </w:tr>
    </w:tbl>
    <w:p w14:paraId="0E50C700">
      <w:pPr>
        <w:pStyle w:val="26"/>
        <w:ind w:firstLine="0" w:firstLineChars="0"/>
        <w:rPr>
          <w:b w:val="0"/>
        </w:rPr>
      </w:pPr>
    </w:p>
    <w:p w14:paraId="4BEF0871">
      <w:pPr>
        <w:pStyle w:val="32"/>
        <w:ind w:left="0" w:leftChars="0" w:firstLine="0" w:firstLineChars="0"/>
        <w:sectPr>
          <w:headerReference r:id="rId15" w:type="default"/>
          <w:footerReference r:id="rId16" w:type="default"/>
          <w:pgSz w:w="11906" w:h="16838"/>
          <w:pgMar w:top="1440" w:right="1800" w:bottom="1440" w:left="1800" w:header="851" w:footer="992" w:gutter="0"/>
          <w:cols w:space="425" w:num="1"/>
          <w:docGrid w:type="lines" w:linePitch="312" w:charSpace="0"/>
        </w:sectPr>
      </w:pPr>
    </w:p>
    <w:p w14:paraId="2C23AECB">
      <w:pPr>
        <w:pStyle w:val="2"/>
        <w:spacing w:before="166" w:after="166"/>
        <w:ind w:firstLine="643"/>
      </w:pPr>
      <w:bookmarkStart w:id="220" w:name="_Toc31260"/>
      <w:r>
        <w:rPr>
          <w:rFonts w:hint="eastAsia"/>
        </w:rPr>
        <w:t>应急处置措施</w:t>
      </w:r>
      <w:bookmarkEnd w:id="173"/>
      <w:bookmarkEnd w:id="174"/>
      <w:bookmarkEnd w:id="175"/>
      <w:bookmarkEnd w:id="176"/>
      <w:bookmarkEnd w:id="177"/>
      <w:bookmarkEnd w:id="178"/>
      <w:bookmarkEnd w:id="220"/>
    </w:p>
    <w:p w14:paraId="550A33AB">
      <w:pPr>
        <w:pStyle w:val="3"/>
        <w:spacing w:before="166" w:after="166"/>
        <w:ind w:firstLine="562"/>
        <w:rPr>
          <w:rFonts w:hint="eastAsia" w:eastAsia="宋体"/>
        </w:rPr>
      </w:pPr>
      <w:bookmarkStart w:id="221" w:name="_Toc2442"/>
      <w:bookmarkStart w:id="222" w:name="_Toc3908"/>
      <w:bookmarkStart w:id="223" w:name="_Toc21097"/>
      <w:bookmarkStart w:id="224" w:name="_Toc29565"/>
      <w:bookmarkStart w:id="225" w:name="_Toc14444"/>
      <w:bookmarkStart w:id="226" w:name="_Toc22921_WPSOffice_Level2"/>
      <w:bookmarkStart w:id="227" w:name="_Toc16742"/>
      <w:bookmarkStart w:id="228" w:name="_Toc9431"/>
      <w:bookmarkStart w:id="229" w:name="_Toc9959"/>
      <w:r>
        <w:rPr>
          <w:rFonts w:hint="eastAsia" w:eastAsia="宋体"/>
        </w:rPr>
        <w:t>组织</w:t>
      </w:r>
      <w:r>
        <w:rPr>
          <w:rFonts w:hint="eastAsia" w:eastAsia="宋体"/>
          <w:lang w:val="en-US" w:eastAsia="zh-CN"/>
        </w:rPr>
        <w:t>机</w:t>
      </w:r>
      <w:r>
        <w:rPr>
          <w:rFonts w:hint="eastAsia" w:eastAsia="宋体"/>
        </w:rPr>
        <w:t>构及职责</w:t>
      </w:r>
      <w:bookmarkEnd w:id="221"/>
    </w:p>
    <w:p w14:paraId="355B7B4E">
      <w:pPr>
        <w:pStyle w:val="4"/>
        <w:spacing w:before="166"/>
        <w:ind w:firstLine="482"/>
        <w:rPr>
          <w:rFonts w:hint="eastAsia" w:ascii="Times New Roman" w:hAnsi="Times New Roman" w:eastAsia="宋体" w:cs="Times New Roman"/>
          <w:lang w:val="en-US" w:eastAsia="zh-CN"/>
        </w:rPr>
      </w:pPr>
      <w:bookmarkStart w:id="230" w:name="_Toc530055718"/>
      <w:r>
        <w:rPr>
          <w:rFonts w:hint="eastAsia" w:ascii="Times New Roman" w:hAnsi="Times New Roman" w:eastAsia="宋体" w:cs="Times New Roman"/>
          <w:lang w:val="en-US" w:eastAsia="zh-CN"/>
        </w:rPr>
        <w:t>应急处置领导小组</w:t>
      </w:r>
      <w:bookmarkEnd w:id="230"/>
    </w:p>
    <w:p w14:paraId="766442E2">
      <w:pPr>
        <w:spacing w:line="360" w:lineRule="auto"/>
        <w:ind w:firstLine="480"/>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rPr>
        <w:t>组  长：</w:t>
      </w:r>
      <w:r>
        <w:rPr>
          <w:rFonts w:hint="eastAsia" w:ascii="宋体" w:hAnsi="宋体" w:cs="宋体"/>
          <w:color w:val="auto"/>
          <w:kern w:val="2"/>
          <w:sz w:val="24"/>
          <w:szCs w:val="24"/>
          <w:lang w:val="en-US" w:eastAsia="zh-CN"/>
        </w:rPr>
        <w:t>明兴富</w:t>
      </w:r>
    </w:p>
    <w:p w14:paraId="66DE01DA">
      <w:pPr>
        <w:spacing w:line="360" w:lineRule="auto"/>
        <w:ind w:firstLine="480"/>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rPr>
        <w:t>副组长：</w:t>
      </w:r>
      <w:r>
        <w:rPr>
          <w:rFonts w:hint="eastAsia" w:ascii="宋体" w:hAnsi="宋体" w:cs="宋体"/>
          <w:color w:val="auto"/>
          <w:kern w:val="2"/>
          <w:sz w:val="24"/>
          <w:szCs w:val="24"/>
          <w:lang w:val="en-US" w:eastAsia="zh-CN"/>
        </w:rPr>
        <w:t>温涛</w:t>
      </w:r>
    </w:p>
    <w:p w14:paraId="346C18C9">
      <w:pPr>
        <w:spacing w:line="360" w:lineRule="auto"/>
        <w:ind w:firstLine="480"/>
        <w:rPr>
          <w:rFonts w:hint="default" w:eastAsia="宋体"/>
          <w:color w:val="auto"/>
          <w:lang w:val="en-US" w:eastAsia="zh-CN"/>
        </w:rPr>
      </w:pPr>
      <w:r>
        <w:rPr>
          <w:rFonts w:hint="eastAsia" w:ascii="宋体" w:hAnsi="宋体" w:eastAsia="宋体" w:cs="宋体"/>
          <w:color w:val="auto"/>
          <w:kern w:val="2"/>
          <w:sz w:val="24"/>
          <w:szCs w:val="24"/>
        </w:rPr>
        <w:t>组  员：</w:t>
      </w:r>
      <w:r>
        <w:rPr>
          <w:rFonts w:hint="eastAsia" w:ascii="宋体" w:hAnsi="宋体" w:cs="宋体"/>
          <w:color w:val="auto"/>
          <w:kern w:val="2"/>
          <w:sz w:val="24"/>
          <w:szCs w:val="24"/>
          <w:lang w:val="en-US" w:eastAsia="zh-CN"/>
        </w:rPr>
        <w:t>黄科、蒲贵良、徐刚、黄仁训</w:t>
      </w:r>
    </w:p>
    <w:p w14:paraId="645CE420">
      <w:pPr>
        <w:pStyle w:val="4"/>
        <w:spacing w:before="166"/>
        <w:ind w:firstLine="482"/>
        <w:rPr>
          <w:rFonts w:hint="eastAsia" w:ascii="Times New Roman" w:hAnsi="Times New Roman" w:eastAsia="宋体" w:cs="Times New Roman"/>
          <w:lang w:val="en-US" w:eastAsia="zh-CN"/>
        </w:rPr>
      </w:pPr>
      <w:bookmarkStart w:id="231" w:name="_Toc530055719"/>
      <w:r>
        <w:rPr>
          <w:rFonts w:hint="eastAsia" w:ascii="Times New Roman" w:hAnsi="Times New Roman" w:eastAsia="宋体" w:cs="Times New Roman"/>
          <w:lang w:val="en-US" w:eastAsia="zh-CN"/>
        </w:rPr>
        <w:t>职责</w:t>
      </w:r>
      <w:bookmarkEnd w:id="231"/>
    </w:p>
    <w:p w14:paraId="771D48B8">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（1）负责组织和制定应急处置措施；</w:t>
      </w:r>
    </w:p>
    <w:p w14:paraId="517F1FAE">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（2）按规定的报告程序和时限，逐级上报事故；</w:t>
      </w:r>
    </w:p>
    <w:p w14:paraId="124C1602">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（3）检查督促做好各项预防措施及应急资源的落实情况；</w:t>
      </w:r>
    </w:p>
    <w:p w14:paraId="2672A4BE">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（4）应急处置措施的组织与实施；</w:t>
      </w:r>
    </w:p>
    <w:p w14:paraId="5F950F5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（5）当施工现场发生紧急情况时，发布和解除应急救援命令；</w:t>
      </w:r>
    </w:p>
    <w:p w14:paraId="6B01560D">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（6）随时了解和掌握处理事故的实际情况，根据情况作出应急对策；</w:t>
      </w:r>
    </w:p>
    <w:p w14:paraId="29E026F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（7）保护好事故现场，确保内外通讯畅通。</w:t>
      </w:r>
    </w:p>
    <w:p w14:paraId="42BCF409">
      <w:pPr>
        <w:pStyle w:val="4"/>
        <w:spacing w:before="166"/>
        <w:ind w:firstLine="482"/>
        <w:rPr>
          <w:rFonts w:hint="eastAsia" w:ascii="Times New Roman" w:hAnsi="Times New Roman" w:eastAsia="宋体" w:cs="Times New Roman"/>
          <w:lang w:val="en-US" w:eastAsia="zh-CN"/>
        </w:rPr>
      </w:pPr>
      <w:bookmarkStart w:id="232" w:name="_Toc530055720"/>
      <w:r>
        <w:rPr>
          <w:rFonts w:hint="eastAsia" w:ascii="Times New Roman" w:hAnsi="Times New Roman" w:eastAsia="宋体" w:cs="Times New Roman"/>
          <w:lang w:val="en-US" w:eastAsia="zh-CN"/>
        </w:rPr>
        <w:t>领导小组人员分工</w:t>
      </w:r>
      <w:bookmarkEnd w:id="232"/>
    </w:p>
    <w:p w14:paraId="5809435D">
      <w:pPr>
        <w:spacing w:line="360" w:lineRule="auto"/>
        <w:ind w:firstLine="480"/>
        <w:jc w:val="left"/>
        <w:rPr>
          <w:rFonts w:hint="eastAsia" w:ascii="宋体" w:hAnsi="宋体" w:eastAsia="宋体" w:cs="宋体"/>
          <w:color w:val="auto"/>
          <w:sz w:val="24"/>
          <w:szCs w:val="24"/>
        </w:rPr>
      </w:pPr>
      <w:r>
        <w:rPr>
          <w:rFonts w:hint="eastAsia" w:ascii="宋体" w:hAnsi="宋体" w:eastAsia="宋体" w:cs="宋体"/>
          <w:color w:val="auto"/>
          <w:kern w:val="2"/>
          <w:sz w:val="24"/>
          <w:szCs w:val="24"/>
        </w:rPr>
        <w:t>组长</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lang w:val="en-US" w:eastAsia="zh-CN"/>
        </w:rPr>
        <w:t>总指挥</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rPr>
        <w:t>：</w:t>
      </w:r>
      <w:r>
        <w:rPr>
          <w:rFonts w:hint="eastAsia" w:ascii="宋体" w:hAnsi="宋体" w:eastAsia="宋体" w:cs="宋体"/>
          <w:color w:val="auto"/>
          <w:sz w:val="24"/>
          <w:szCs w:val="24"/>
        </w:rPr>
        <w:t>发生吊装安全事故时，发布和解除应急救援指令；组织指挥应急队伍实施救援行动；向上级汇报和公司通报事故情况，必要时向有关单位发出救援要求；组织事故调查，总结应急救援经验教育等。</w:t>
      </w:r>
    </w:p>
    <w:p w14:paraId="66899FA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副组长</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lang w:val="en-US" w:eastAsia="zh-CN"/>
        </w:rPr>
        <w:t>副总指挥</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rPr>
        <w:t>：协助组长工作，</w:t>
      </w:r>
      <w:r>
        <w:rPr>
          <w:rFonts w:hint="eastAsia" w:ascii="宋体" w:hAnsi="宋体" w:eastAsia="宋体" w:cs="宋体"/>
          <w:color w:val="auto"/>
          <w:sz w:val="24"/>
          <w:szCs w:val="24"/>
        </w:rPr>
        <w:t>负责</w:t>
      </w:r>
      <w:r>
        <w:rPr>
          <w:rFonts w:hint="eastAsia" w:ascii="宋体" w:hAnsi="宋体" w:eastAsia="宋体" w:cs="宋体"/>
          <w:color w:val="auto"/>
          <w:kern w:val="2"/>
          <w:sz w:val="24"/>
          <w:szCs w:val="24"/>
        </w:rPr>
        <w:t>指挥应急处置工作的具体实施。</w:t>
      </w:r>
    </w:p>
    <w:p w14:paraId="1EE98A74">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小组成员：</w:t>
      </w:r>
    </w:p>
    <w:p w14:paraId="08705EF3">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（1）负责警戒、治安保卫、人员疏散，道路交通管制工作。</w:t>
      </w:r>
    </w:p>
    <w:p w14:paraId="2A6E84A7">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（2）协助副组长工作，做好事故报警，情况通报及事故处置工作，负责事故现场的通讯联络、对外联络及事故现场的监测工作。</w:t>
      </w:r>
    </w:p>
    <w:p w14:paraId="197B8C0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w:t>
      </w:r>
      <w:r>
        <w:rPr>
          <w:rFonts w:hint="eastAsia" w:ascii="宋体" w:hAnsi="宋体" w:eastAsia="宋体" w:cs="宋体"/>
          <w:color w:val="auto"/>
          <w:sz w:val="24"/>
          <w:szCs w:val="24"/>
        </w:rPr>
        <w:t>负责协助抢险机械设备的调转；负责抢险救援物质的供应和运输工作。</w:t>
      </w:r>
    </w:p>
    <w:p w14:paraId="5CE79BF3">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（4）负责抢险车辆调度和现场医疗救护指挥及受伤人员分类抢救和护送医院，受伤人员的生活必需品、抢险救援物资供应，资金保证。</w:t>
      </w:r>
    </w:p>
    <w:p w14:paraId="26DB4E8A">
      <w:pPr>
        <w:pStyle w:val="3"/>
        <w:spacing w:before="166" w:after="166"/>
        <w:ind w:firstLine="562"/>
        <w:rPr>
          <w:rFonts w:hint="eastAsia" w:eastAsia="宋体"/>
        </w:rPr>
      </w:pPr>
      <w:bookmarkStart w:id="233" w:name="_Toc28776"/>
      <w:bookmarkStart w:id="234" w:name="_Toc15798"/>
      <w:bookmarkStart w:id="235" w:name="_Toc10154"/>
      <w:bookmarkStart w:id="236" w:name="_Toc8722"/>
      <w:bookmarkStart w:id="237" w:name="_Toc10409840"/>
      <w:bookmarkStart w:id="238" w:name="_Toc10789"/>
      <w:bookmarkStart w:id="239" w:name="_Toc14880"/>
      <w:r>
        <w:rPr>
          <w:rFonts w:hint="eastAsia" w:eastAsia="宋体"/>
        </w:rPr>
        <w:t>预防与预警</w:t>
      </w:r>
      <w:bookmarkEnd w:id="233"/>
      <w:bookmarkEnd w:id="234"/>
      <w:bookmarkEnd w:id="235"/>
      <w:bookmarkEnd w:id="236"/>
      <w:bookmarkEnd w:id="237"/>
      <w:bookmarkEnd w:id="238"/>
      <w:bookmarkEnd w:id="239"/>
    </w:p>
    <w:p w14:paraId="0A9ABD08">
      <w:pPr>
        <w:spacing w:line="360" w:lineRule="auto"/>
        <w:ind w:firstLine="480"/>
        <w:rPr>
          <w:rFonts w:hint="eastAsia" w:ascii="宋体" w:hAnsi="宋体" w:eastAsia="宋体" w:cs="宋体"/>
          <w:color w:val="auto"/>
          <w:kern w:val="2"/>
          <w:sz w:val="24"/>
          <w:szCs w:val="24"/>
        </w:rPr>
      </w:pPr>
      <w:bookmarkStart w:id="240" w:name="_Toc10409841"/>
      <w:r>
        <w:rPr>
          <w:rFonts w:hint="eastAsia" w:ascii="宋体" w:hAnsi="宋体" w:eastAsia="宋体" w:cs="宋体"/>
          <w:color w:val="auto"/>
          <w:kern w:val="2"/>
          <w:sz w:val="24"/>
          <w:szCs w:val="24"/>
        </w:rPr>
        <w:t>（1）施工现场设安全领导小组，负责吊装过程中可能造成的人员 伤亡事故的控制。</w:t>
      </w:r>
    </w:p>
    <w:p w14:paraId="329E143B">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（2）发生事故时，安全领导小组要立即救人。救人时先排除危险，防止抢救时事故的再发生。</w:t>
      </w:r>
    </w:p>
    <w:p w14:paraId="4157F58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3）遇到安全事故较大或人员受伤时，现场人员在组织自救的同时，应及时拨打急救中心电话“120”或公安及生产中心电话“110”求的外部支援；支援时必须讲明地点、基本情况、联系电话等详细情况，并派人到路上接警。  </w:t>
      </w:r>
    </w:p>
    <w:p w14:paraId="2E25107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（4）将受伤人员及时转送医院进行紧急救护。</w:t>
      </w:r>
    </w:p>
    <w:p w14:paraId="2CCFC08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（5）将信息迅速传递给项目部；传递内容包括发生的时间、地点、部位、简要经过、伤人数和已采取的应急措施等。  </w:t>
      </w:r>
    </w:p>
    <w:p w14:paraId="7B0267D4">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（6）项目部接到应急信息后应立即核实现场的处置情况，组织有关人员或应急队伍赶赴现场。</w:t>
      </w:r>
    </w:p>
    <w:p w14:paraId="4050CCB0">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 （7）应急队伍到达现场后，应服从现场指挥人员统指挥，按分工要求进行疏散人员，抢救物质，尽可能减少生命财产损失，防止事故蔓延；可能对区域内外人群安全构成威胁时，必须对与事故应急救援无关的人员进行紧急疏散。</w:t>
      </w:r>
    </w:p>
    <w:p w14:paraId="3C19678D">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（8）事故处理完毕后，施工现场应保护好现场，接受事故调查并如实提供事故的情况。</w:t>
      </w:r>
    </w:p>
    <w:bookmarkEnd w:id="240"/>
    <w:p w14:paraId="6963BE36">
      <w:pPr>
        <w:pStyle w:val="3"/>
        <w:spacing w:before="166" w:after="166"/>
        <w:ind w:firstLine="562"/>
      </w:pPr>
      <w:bookmarkStart w:id="241" w:name="_Toc20787"/>
      <w:r>
        <w:rPr>
          <w:rFonts w:hint="eastAsia"/>
        </w:rPr>
        <w:t>处置流程</w:t>
      </w:r>
      <w:bookmarkEnd w:id="222"/>
      <w:bookmarkEnd w:id="223"/>
      <w:bookmarkEnd w:id="224"/>
      <w:bookmarkEnd w:id="225"/>
      <w:bookmarkEnd w:id="226"/>
      <w:bookmarkEnd w:id="241"/>
    </w:p>
    <w:p w14:paraId="32850984">
      <w:pPr>
        <w:pStyle w:val="4"/>
        <w:spacing w:before="166"/>
        <w:ind w:firstLine="482"/>
      </w:pPr>
      <w:bookmarkStart w:id="242" w:name="_Toc7010"/>
      <w:r>
        <w:rPr>
          <w:rFonts w:hint="eastAsia"/>
        </w:rPr>
        <w:t>应急响应程序</w:t>
      </w:r>
      <w:bookmarkEnd w:id="242"/>
    </w:p>
    <w:p w14:paraId="34CAD602">
      <w:pPr>
        <w:ind w:firstLine="480"/>
      </w:pPr>
      <w:bookmarkStart w:id="243" w:name="_Toc2404"/>
      <w:r>
        <w:rPr>
          <w:rFonts w:hint="eastAsia"/>
        </w:rPr>
        <w:t>事故应急救援系统的应急响应程序按照过程可分为接警、响应级别的确定、应急启动、救援行动、应急恢复和应急结束等几个过程。</w:t>
      </w:r>
    </w:p>
    <w:p w14:paraId="6480E863">
      <w:pPr>
        <w:ind w:firstLine="480"/>
      </w:pPr>
      <w:r>
        <w:rPr>
          <w:rFonts w:hint="eastAsia"/>
        </w:rPr>
        <w:t>（1）三级响应。事故事件类别为：一般等级以下事故。应急救援及处置由项目部主导和具体实施，所属分公司协助处理。</w:t>
      </w:r>
    </w:p>
    <w:p w14:paraId="405FF9C1">
      <w:pPr>
        <w:ind w:firstLine="480"/>
      </w:pPr>
      <w:r>
        <w:rPr>
          <w:rFonts w:hint="eastAsia"/>
        </w:rPr>
        <w:t>（2）二级紧急情况。事故事件类别为：发生重伤事故或者可能造成较大伤害和影响的事故，且事态得以控制，不会造成严重社会影响。应急救援及处置协调由分公司主导，局综合协调，项目部具体实施。</w:t>
      </w:r>
    </w:p>
    <w:p w14:paraId="3CFD2825">
      <w:pPr>
        <w:ind w:firstLine="480"/>
      </w:pPr>
      <w:r>
        <w:rPr>
          <w:rFonts w:hint="eastAsia"/>
        </w:rPr>
        <w:t>（3）一级紧急情况。事故事件类别为：发生较大及以上等级生产安全事故；发生一般等级生产安全事故，但可能造成进一步损失或严重社会影响。应急救援及处置协调由二航局主导，分公司配合，项目部具体实施。</w:t>
      </w:r>
    </w:p>
    <w:p w14:paraId="56F9F4C6">
      <w:pPr>
        <w:pStyle w:val="4"/>
        <w:spacing w:before="166"/>
        <w:ind w:firstLine="482"/>
      </w:pPr>
      <w:r>
        <w:rPr>
          <w:rFonts w:hint="eastAsia"/>
        </w:rPr>
        <w:t>应急处置程序</w:t>
      </w:r>
      <w:bookmarkEnd w:id="243"/>
    </w:p>
    <w:p w14:paraId="4E3027E5">
      <w:pPr>
        <w:ind w:firstLine="480"/>
        <w:jc w:val="center"/>
      </w:pPr>
      <w:bookmarkStart w:id="244" w:name="_Toc31517"/>
      <w:r>
        <w:drawing>
          <wp:inline distT="0" distB="0" distL="114300" distR="114300">
            <wp:extent cx="3735070" cy="3555365"/>
            <wp:effectExtent l="0" t="0" r="0" b="6985"/>
            <wp:docPr id="3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9"/>
                    <pic:cNvPicPr>
                      <a:picLocks noChangeAspect="1"/>
                    </pic:cNvPicPr>
                  </pic:nvPicPr>
                  <pic:blipFill>
                    <a:blip r:embed="rId43"/>
                    <a:stretch>
                      <a:fillRect/>
                    </a:stretch>
                  </pic:blipFill>
                  <pic:spPr>
                    <a:xfrm>
                      <a:off x="0" y="0"/>
                      <a:ext cx="3735070" cy="3555365"/>
                    </a:xfrm>
                    <a:prstGeom prst="rect">
                      <a:avLst/>
                    </a:prstGeom>
                    <a:noFill/>
                    <a:ln>
                      <a:noFill/>
                    </a:ln>
                  </pic:spPr>
                </pic:pic>
              </a:graphicData>
            </a:graphic>
          </wp:inline>
        </w:drawing>
      </w:r>
    </w:p>
    <w:p w14:paraId="28775F79">
      <w:pPr>
        <w:pStyle w:val="60"/>
      </w:pPr>
      <w:r>
        <w:rPr>
          <w:rFonts w:hint="eastAsia"/>
        </w:rPr>
        <w:t>图8.2-1应急处置程序图</w:t>
      </w:r>
    </w:p>
    <w:p w14:paraId="06967249">
      <w:pPr>
        <w:pStyle w:val="4"/>
        <w:spacing w:before="166"/>
        <w:ind w:firstLine="482"/>
      </w:pPr>
      <w:r>
        <w:t>事故报告及内容</w:t>
      </w:r>
      <w:bookmarkEnd w:id="244"/>
    </w:p>
    <w:p w14:paraId="54AB1F61">
      <w:pPr>
        <w:ind w:firstLine="480"/>
      </w:pPr>
      <w:bookmarkStart w:id="245" w:name="_Toc12642"/>
      <w:bookmarkStart w:id="246" w:name="_Toc11632"/>
      <w:bookmarkStart w:id="247" w:name="_Toc6310_WPSOffice_Level2"/>
      <w:r>
        <w:rPr>
          <w:rFonts w:hint="eastAsia"/>
        </w:rPr>
        <w:t>报告流程：当事故发生时，按以下工作流程迅速报告：事故第一发现人→现场值班人员→安监部→现场指挥组(应急领导组)→医院→上级主管部门。</w:t>
      </w:r>
    </w:p>
    <w:p w14:paraId="43DFA34E">
      <w:pPr>
        <w:ind w:firstLine="480"/>
      </w:pPr>
      <w:r>
        <w:rPr>
          <w:rFonts w:hint="eastAsia"/>
        </w:rPr>
        <w:t>报告内容：现场伤害事故发生时间、地点、伤亡和财产损失基本情况、初步原因，可能产生的后果、性质、当前现场状况。</w:t>
      </w:r>
    </w:p>
    <w:p w14:paraId="3B16B213">
      <w:pPr>
        <w:ind w:firstLine="480"/>
      </w:pPr>
      <w:r>
        <w:rPr>
          <w:rFonts w:hint="eastAsia"/>
        </w:rPr>
        <w:t xml:space="preserve">火警电话：119               匪警电话：110     </w:t>
      </w:r>
    </w:p>
    <w:p w14:paraId="70BA4A88">
      <w:pPr>
        <w:ind w:firstLine="480"/>
      </w:pPr>
      <w:r>
        <w:rPr>
          <w:rFonts w:hint="eastAsia"/>
        </w:rPr>
        <w:t>急救中心：120               交通事故：122</w:t>
      </w:r>
    </w:p>
    <w:p w14:paraId="35CA361F">
      <w:pPr>
        <w:pStyle w:val="11"/>
        <w:ind w:firstLine="480"/>
        <w:rPr>
          <w:lang w:val="de-DE"/>
        </w:rPr>
      </w:pPr>
    </w:p>
    <w:p w14:paraId="298B20B3">
      <w:pPr>
        <w:pStyle w:val="3"/>
        <w:spacing w:before="166" w:after="166"/>
        <w:ind w:firstLine="562"/>
      </w:pPr>
      <w:bookmarkStart w:id="248" w:name="_Toc12815"/>
      <w:r>
        <w:rPr>
          <w:rFonts w:hint="eastAsia"/>
        </w:rPr>
        <w:t>应急处置措施</w:t>
      </w:r>
      <w:bookmarkEnd w:id="245"/>
      <w:bookmarkEnd w:id="246"/>
      <w:bookmarkEnd w:id="247"/>
      <w:bookmarkEnd w:id="248"/>
    </w:p>
    <w:p w14:paraId="597239E9">
      <w:pPr>
        <w:pStyle w:val="4"/>
        <w:spacing w:before="166"/>
        <w:ind w:firstLine="482"/>
      </w:pPr>
      <w:r>
        <w:rPr>
          <w:rFonts w:hint="eastAsia"/>
        </w:rPr>
        <w:t>高处坠落应急处置措施</w:t>
      </w:r>
    </w:p>
    <w:p w14:paraId="0E24730B">
      <w:pPr>
        <w:ind w:firstLine="480"/>
      </w:pPr>
      <w:r>
        <w:rPr>
          <w:rFonts w:hint="eastAsia"/>
        </w:rPr>
        <w:t>（1）发生高处坠落事故，应马上组织抢救伤者，首先观察伤者的受伤情况、部位、伤害性质，如伤员发生休克，应先去除伤员身上的用具和口袋中的硬物。遇呼吸、心跳停止者，应立即进行人工呼吸，胸外心脏挤压。处于休克状态的伤员要让其安静、保暖、平卧、少动，并将下肢抬高约20度，尽快送医院进行抢救治疗。应采用担架或硬质木板搬运和转送伤员，避免颈部和躯干前屈或扭转，使脊柱伸直，绝对禁止一个抬肩一个抬腿的搬法，以免造成截瘫。</w:t>
      </w:r>
    </w:p>
    <w:p w14:paraId="275E26D8">
      <w:pPr>
        <w:ind w:firstLine="480"/>
      </w:pPr>
      <w:r>
        <w:rPr>
          <w:rFonts w:hint="eastAsia"/>
        </w:rPr>
        <w:t>（2）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就近医院治疗。</w:t>
      </w:r>
    </w:p>
    <w:p w14:paraId="6204E8A2">
      <w:pPr>
        <w:ind w:firstLine="480"/>
      </w:pPr>
      <w:r>
        <w:rPr>
          <w:rFonts w:hint="eastAsia"/>
        </w:rPr>
        <w:t>（3）颌面部伤员首先应保持呼吸道畅通，清除移位的组织碎片、血凝块、口腔分泌物等，同时松解伤员的颈、胸部钮扣。</w:t>
      </w:r>
    </w:p>
    <w:p w14:paraId="715D8995">
      <w:pPr>
        <w:ind w:firstLine="480"/>
      </w:pPr>
      <w:r>
        <w:rPr>
          <w:rFonts w:hint="eastAsia"/>
        </w:rPr>
        <w:t>（4）发现脊椎受伤者，创伤处用消毒的纱布或清洁布等覆盖伤口，用绷带或布条包扎。搬运时，将伤者平卧放在担架或硬板上，以免受伤的脊椎移位、断裂造成截瘫，甚至死亡。抢救脊椎受伤者，搬运过程严禁只抬伤者的两肩与两腿或单肩背运。</w:t>
      </w:r>
    </w:p>
    <w:p w14:paraId="2C740733">
      <w:pPr>
        <w:ind w:firstLine="480"/>
      </w:pPr>
      <w:r>
        <w:rPr>
          <w:rFonts w:hint="eastAsia"/>
        </w:rPr>
        <w:t>（5）发现伤者手足骨折，不要盲目搬动伤者。应在骨折部位用夹板把受伤位置临时固定，使断端不再移位或刺伤肌肉、神经或血管。固定方法：以固定骨折处上下关节为原则，可就地取材，用木板、竹片等。</w:t>
      </w:r>
    </w:p>
    <w:p w14:paraId="7A4502EB">
      <w:pPr>
        <w:ind w:firstLine="480"/>
      </w:pPr>
      <w:r>
        <w:rPr>
          <w:rFonts w:hint="eastAsia"/>
        </w:rPr>
        <w:t>（6）复合伤要求平仰卧位，保持呼吸道畅通，解开衣领扣。</w:t>
      </w:r>
    </w:p>
    <w:p w14:paraId="448DF7F1">
      <w:pPr>
        <w:ind w:firstLine="480"/>
      </w:pPr>
      <w:r>
        <w:rPr>
          <w:rFonts w:hint="eastAsia"/>
        </w:rPr>
        <w:t>（7）遇有创伤性出血的伤员，应迅速包扎止血，使伤员保持在头低脚高的卧位，并注意保暖。及时把伤者送往邻近医院抢救，运送途中应尽量减少颠簸。同时，密切注意伤者的呼吸、脉搏、血压及伤口的情况。</w:t>
      </w:r>
    </w:p>
    <w:p w14:paraId="156DBB16">
      <w:pPr>
        <w:ind w:firstLine="480"/>
      </w:pPr>
      <w:r>
        <w:rPr>
          <w:rFonts w:hint="eastAsia"/>
        </w:rPr>
        <w:t>（8）配合上级主管部门和调查组开展调查处理，并做好伤员及家属善后工作。</w:t>
      </w:r>
    </w:p>
    <w:p w14:paraId="2DAEE900">
      <w:pPr>
        <w:pStyle w:val="4"/>
        <w:spacing w:before="166"/>
        <w:ind w:firstLine="482"/>
      </w:pPr>
      <w:r>
        <w:rPr>
          <w:rFonts w:hint="eastAsia"/>
        </w:rPr>
        <w:t>物体打击应急处置措施</w:t>
      </w:r>
    </w:p>
    <w:p w14:paraId="2A2D6CB5">
      <w:pPr>
        <w:ind w:firstLine="480"/>
      </w:pPr>
      <w:bookmarkStart w:id="249" w:name="_Toc14496"/>
      <w:bookmarkStart w:id="250" w:name="_Toc9152_WPSOffice_Level2"/>
      <w:bookmarkStart w:id="251" w:name="_Toc16007"/>
      <w:r>
        <w:rPr>
          <w:rFonts w:hint="eastAsia"/>
        </w:rPr>
        <w:t>（1）当发生物体打击事故时，根据现场和受伤者的伤情的具体情况，立即打“120”急救电话，详细报告事故发生地址、人员受伤的情况和可能需要配合救援的设备。</w:t>
      </w:r>
    </w:p>
    <w:p w14:paraId="2BB02F13">
      <w:pPr>
        <w:ind w:firstLine="480"/>
      </w:pPr>
      <w:r>
        <w:rPr>
          <w:rFonts w:hint="eastAsia"/>
        </w:rPr>
        <w:t>（2）在急救中心专业人员未到达之前，应根据事故现场的整体情况、位置和伤者的伤情、部位，在排除人为加重伤者伤情的情况下，立即组织人员进行抢救。</w:t>
      </w:r>
    </w:p>
    <w:p w14:paraId="210AC525">
      <w:pPr>
        <w:ind w:firstLine="480"/>
      </w:pPr>
      <w:r>
        <w:rPr>
          <w:rFonts w:hint="eastAsia"/>
        </w:rPr>
        <w:t>（3）抢救前首先观察伤者的受伤情况、部位、伤害性质，如伤者发生休克，应先处理休克。遇呼吸、心跳停止者，应当进行人工呼吸，胸外心脏挤压（但必须注意骨折的部位）。处于休克状态的伤员要让其安静、保暖、平卧、少动，并将下肢抬高约20度左右，尽快送医院进行抢救治疗。</w:t>
      </w:r>
    </w:p>
    <w:p w14:paraId="3539DCBB">
      <w:pPr>
        <w:ind w:firstLine="480"/>
      </w:pPr>
      <w:r>
        <w:rPr>
          <w:rFonts w:hint="eastAsia"/>
        </w:rPr>
        <w:t>（4）出现颅脑外伤，必须维持呼吸道通畅。昏迷者应平卧，面部转向一侧，以防舌根下坠或分泌物、呕吐物吸入，发生喉阻塞。有骨折者，应初步固定后再搬运。偶有凹陷骨折、严重的颅底骨折及严重的脑损伤症状出现，创伤处用消毒的纱布或清洁布等覆盖伤口，用绷带或布条包扎后，及时送就近有条件的医院治疗。</w:t>
      </w:r>
    </w:p>
    <w:p w14:paraId="07D5C5EF">
      <w:pPr>
        <w:ind w:firstLine="480"/>
      </w:pPr>
      <w:r>
        <w:rPr>
          <w:rFonts w:hint="eastAsia"/>
        </w:rPr>
        <w:t>（5）发现脊椎受伤者，创伤处用消毒的纱布或清洁布等覆盖伤口，用绷带或布条包扎后。搬运时，将伤者平卧放在帆布担架或硬板上，以免受伤的脊椎移位、断裂造成截瘫，导致死亡。抢救脊椎受伤者，搬运过程，严禁只抬伤者的两肩与两腿或单肩背运。</w:t>
      </w:r>
    </w:p>
    <w:p w14:paraId="2F1706B1">
      <w:pPr>
        <w:ind w:firstLine="480"/>
      </w:pPr>
      <w:r>
        <w:rPr>
          <w:rFonts w:hint="eastAsia"/>
        </w:rPr>
        <w:t>（6）发现伤者手足骨折或其他部位骨折的，不要盲目搬动伤者，应在骨折部位用夹板临时固定，使断端不再移位或刺伤肌肉、神经或血管。</w:t>
      </w:r>
    </w:p>
    <w:p w14:paraId="216875DD">
      <w:pPr>
        <w:ind w:firstLine="480"/>
      </w:pPr>
      <w:r>
        <w:rPr>
          <w:rFonts w:hint="eastAsia"/>
        </w:rPr>
        <w:t>（7）遇有创伤性出血的伤员，应迅速包扎止血，使伤员保持头低脚高的卧位，并注意保暖；若伤员有断肢情况发生应尽早用干净的干布（灭菌敷料）包裹装入塑料袋内，随伤员一起转送。</w:t>
      </w:r>
    </w:p>
    <w:p w14:paraId="3F7E76A7">
      <w:pPr>
        <w:ind w:firstLine="480"/>
      </w:pPr>
      <w:r>
        <w:rPr>
          <w:rFonts w:hint="eastAsia"/>
        </w:rPr>
        <w:t>（8）在施救的同时应尽快送往就近医院；伤者送往医院抢救时，途中尽量减少颠簸，同时，密切注意伤者的呼吸、脉搏、血压及伤口的情况。</w:t>
      </w:r>
    </w:p>
    <w:p w14:paraId="719AB690">
      <w:pPr>
        <w:ind w:firstLine="480"/>
      </w:pPr>
      <w:r>
        <w:rPr>
          <w:rFonts w:hint="eastAsia"/>
        </w:rPr>
        <w:t>（9）如因长方形构件（钢管）打击（压倒）致伤，要根据现场的实际情况迅速调动起重机、手提点工具等机械设备配合施救。</w:t>
      </w:r>
    </w:p>
    <w:p w14:paraId="575AA09B">
      <w:pPr>
        <w:ind w:firstLine="480"/>
      </w:pPr>
      <w:r>
        <w:rPr>
          <w:rFonts w:hint="eastAsia"/>
        </w:rPr>
        <w:t>现场应急指挥小组在抢救伤员的同时，应安排人员维护现场秩序，保护事故现场，并根据事态，迅速调动人员、设备进行现场救援，并做好现场警戒工作，以防事态扩大，同时向上级汇报。当现场救援力量控制不了现场事态的发展，应立即启动上一级应急响应，并根据实际情况借助于社会救援力量。现场应急救援指挥人员应充分听取专家和专业救援人员的意见，做好救援人员、设备、物资、器材的统一调配。</w:t>
      </w:r>
    </w:p>
    <w:p w14:paraId="4AD04289">
      <w:pPr>
        <w:pStyle w:val="4"/>
        <w:spacing w:before="166"/>
        <w:ind w:firstLine="482"/>
      </w:pPr>
      <w:r>
        <w:rPr>
          <w:rFonts w:hint="eastAsia"/>
        </w:rPr>
        <w:t>起重伤害应急处置措施</w:t>
      </w:r>
    </w:p>
    <w:p w14:paraId="32954EA6">
      <w:pPr>
        <w:ind w:firstLine="480"/>
      </w:pPr>
      <w:r>
        <w:rPr>
          <w:rFonts w:hint="eastAsia"/>
        </w:rPr>
        <w:t>（1）起重伤害事故目击者应高声呼救，并立即向安全人员报告，各单位其他管理人员也都有认真接受报告和向上级反映事故情况的责任。</w:t>
      </w:r>
    </w:p>
    <w:p w14:paraId="24F6F7B8">
      <w:pPr>
        <w:ind w:firstLine="480"/>
      </w:pPr>
      <w:r>
        <w:rPr>
          <w:rFonts w:hint="eastAsia"/>
        </w:rPr>
        <w:t>（2）事故发生后，应立即向当地救援机构、公安部门求援。</w:t>
      </w:r>
    </w:p>
    <w:p w14:paraId="318A1746">
      <w:pPr>
        <w:ind w:firstLine="480"/>
      </w:pPr>
      <w:r>
        <w:rPr>
          <w:rFonts w:hint="eastAsia"/>
        </w:rPr>
        <w:t>（3）安全人员应准确判断事故影响范围，协调各组之间的工作，派专人进行检查，确定抢救方案，保证事故现场相对安全和稳定时，抢救队员才可进入现场抢救受伤人员。</w:t>
      </w:r>
    </w:p>
    <w:p w14:paraId="19ABB292">
      <w:pPr>
        <w:ind w:firstLine="480"/>
      </w:pPr>
      <w:r>
        <w:rPr>
          <w:rFonts w:hint="eastAsia"/>
        </w:rPr>
        <w:t>（4）安全人员与当地医院立即取得联系，利用现场救援船只和车辆火速把伤者送往附近医院救治，但对伤势严重者应注意搬运方法，不得由此加重伤者伤情；在急救医疗机构人员赶到前抢险救护组应对受伤者进行必要的救助，根据伤情对伤者进行分类处理，处理的原则是先重后轻、先急后缓、先近后远。</w:t>
      </w:r>
    </w:p>
    <w:p w14:paraId="6AEE5238">
      <w:pPr>
        <w:ind w:firstLine="480"/>
      </w:pPr>
      <w:r>
        <w:rPr>
          <w:rFonts w:hint="eastAsia"/>
        </w:rPr>
        <w:t>（5）安全人员做好应急状态下现场所有设施和物资的安全，支援和保障现场抢救组的工作，负责事故现场的保护，并检查事故现场有无其它安全隐患。</w:t>
      </w:r>
    </w:p>
    <w:p w14:paraId="53D51D9D">
      <w:pPr>
        <w:pStyle w:val="3"/>
        <w:spacing w:before="166" w:after="166"/>
        <w:ind w:firstLine="562"/>
      </w:pPr>
      <w:bookmarkStart w:id="252" w:name="_Toc31602"/>
      <w:r>
        <w:rPr>
          <w:rFonts w:hint="eastAsia"/>
        </w:rPr>
        <w:t>应急车辆、物资及设备</w:t>
      </w:r>
      <w:bookmarkEnd w:id="249"/>
      <w:bookmarkEnd w:id="250"/>
      <w:bookmarkEnd w:id="251"/>
      <w:bookmarkEnd w:id="252"/>
    </w:p>
    <w:p w14:paraId="31DDDFD6">
      <w:pPr>
        <w:pStyle w:val="84"/>
        <w:snapToGrid w:val="0"/>
        <w:spacing w:before="0" w:after="0"/>
        <w:ind w:firstLine="560"/>
        <w:rPr>
          <w:rFonts w:hint="eastAsia" w:hAnsi="宋体" w:cs="宋体"/>
          <w:sz w:val="24"/>
          <w:szCs w:val="24"/>
        </w:rPr>
      </w:pPr>
      <w:r>
        <w:rPr>
          <w:rFonts w:hint="eastAsia" w:hAnsi="宋体" w:cs="宋体"/>
          <w:sz w:val="24"/>
          <w:szCs w:val="24"/>
        </w:rPr>
        <w:t>应急物资安排，基础施工前，应提前做好物资、材料的准备，物资到场后应按照要求放入应急物资库，具体材料用量计划见下表：</w:t>
      </w:r>
    </w:p>
    <w:p w14:paraId="27E0D961">
      <w:pPr>
        <w:pStyle w:val="47"/>
        <w:ind w:firstLine="422"/>
        <w:jc w:val="center"/>
        <w:rPr>
          <w:b/>
          <w:bCs/>
          <w:sz w:val="21"/>
        </w:rPr>
      </w:pPr>
    </w:p>
    <w:p w14:paraId="78002066">
      <w:pPr>
        <w:pStyle w:val="47"/>
        <w:ind w:firstLine="422"/>
        <w:jc w:val="center"/>
        <w:rPr>
          <w:b/>
          <w:bCs/>
          <w:sz w:val="21"/>
        </w:rPr>
      </w:pPr>
    </w:p>
    <w:p w14:paraId="37E7D1CE">
      <w:pPr>
        <w:pStyle w:val="47"/>
        <w:ind w:firstLine="422"/>
        <w:jc w:val="center"/>
        <w:rPr>
          <w:rFonts w:cs="宋体"/>
          <w:szCs w:val="24"/>
        </w:rPr>
      </w:pPr>
      <w:r>
        <w:rPr>
          <w:rFonts w:hint="eastAsia"/>
          <w:b/>
          <w:bCs/>
          <w:sz w:val="21"/>
        </w:rPr>
        <w:t>表8.</w:t>
      </w:r>
      <w:r>
        <w:rPr>
          <w:rFonts w:hint="eastAsia"/>
          <w:b/>
          <w:bCs/>
          <w:sz w:val="21"/>
          <w:lang w:val="en-US" w:eastAsia="zh-CN"/>
        </w:rPr>
        <w:t>5</w:t>
      </w:r>
      <w:r>
        <w:rPr>
          <w:rFonts w:hint="eastAsia"/>
          <w:b/>
          <w:bCs/>
          <w:sz w:val="21"/>
        </w:rPr>
        <w:t>-1应急救援物资表</w:t>
      </w:r>
    </w:p>
    <w:tbl>
      <w:tblPr>
        <w:tblStyle w:val="33"/>
        <w:tblW w:w="9081"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900"/>
        <w:gridCol w:w="2445"/>
        <w:gridCol w:w="1454"/>
        <w:gridCol w:w="941"/>
        <w:gridCol w:w="1173"/>
        <w:gridCol w:w="2168"/>
      </w:tblGrid>
      <w:tr w14:paraId="673D1166">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15" w:hRule="atLeast"/>
          <w:jc w:val="center"/>
        </w:trPr>
        <w:tc>
          <w:tcPr>
            <w:tcW w:w="900" w:type="dxa"/>
            <w:tcBorders>
              <w:tl2br w:val="nil"/>
              <w:tr2bl w:val="nil"/>
            </w:tcBorders>
            <w:vAlign w:val="center"/>
          </w:tcPr>
          <w:p w14:paraId="5368A347">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序号</w:t>
            </w:r>
          </w:p>
        </w:tc>
        <w:tc>
          <w:tcPr>
            <w:tcW w:w="2445" w:type="dxa"/>
            <w:tcBorders>
              <w:tl2br w:val="nil"/>
              <w:tr2bl w:val="nil"/>
            </w:tcBorders>
            <w:vAlign w:val="center"/>
          </w:tcPr>
          <w:p w14:paraId="704CB3A8">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应急物资名称</w:t>
            </w:r>
          </w:p>
        </w:tc>
        <w:tc>
          <w:tcPr>
            <w:tcW w:w="1454" w:type="dxa"/>
            <w:tcBorders>
              <w:tl2br w:val="nil"/>
              <w:tr2bl w:val="nil"/>
            </w:tcBorders>
            <w:vAlign w:val="center"/>
          </w:tcPr>
          <w:p w14:paraId="49951E34">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规格/型号</w:t>
            </w:r>
          </w:p>
        </w:tc>
        <w:tc>
          <w:tcPr>
            <w:tcW w:w="941" w:type="dxa"/>
            <w:tcBorders>
              <w:tl2br w:val="nil"/>
              <w:tr2bl w:val="nil"/>
            </w:tcBorders>
            <w:vAlign w:val="center"/>
          </w:tcPr>
          <w:p w14:paraId="78B49990">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单位</w:t>
            </w:r>
          </w:p>
        </w:tc>
        <w:tc>
          <w:tcPr>
            <w:tcW w:w="1173" w:type="dxa"/>
            <w:tcBorders>
              <w:tl2br w:val="nil"/>
              <w:tr2bl w:val="nil"/>
            </w:tcBorders>
            <w:vAlign w:val="center"/>
          </w:tcPr>
          <w:p w14:paraId="43742000">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数量</w:t>
            </w:r>
          </w:p>
        </w:tc>
        <w:tc>
          <w:tcPr>
            <w:tcW w:w="2168" w:type="dxa"/>
            <w:tcBorders>
              <w:tl2br w:val="nil"/>
              <w:tr2bl w:val="nil"/>
            </w:tcBorders>
            <w:vAlign w:val="center"/>
          </w:tcPr>
          <w:p w14:paraId="58FC6F0C">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存放地点</w:t>
            </w:r>
          </w:p>
        </w:tc>
      </w:tr>
      <w:tr w14:paraId="0DB143D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2CD1616E">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1</w:t>
            </w:r>
          </w:p>
        </w:tc>
        <w:tc>
          <w:tcPr>
            <w:tcW w:w="2445" w:type="dxa"/>
            <w:tcBorders>
              <w:tl2br w:val="nil"/>
              <w:tr2bl w:val="nil"/>
            </w:tcBorders>
            <w:vAlign w:val="center"/>
          </w:tcPr>
          <w:p w14:paraId="77937799">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雨衣</w:t>
            </w:r>
          </w:p>
        </w:tc>
        <w:tc>
          <w:tcPr>
            <w:tcW w:w="1454" w:type="dxa"/>
            <w:tcBorders>
              <w:tl2br w:val="nil"/>
              <w:tr2bl w:val="nil"/>
            </w:tcBorders>
            <w:vAlign w:val="center"/>
          </w:tcPr>
          <w:p w14:paraId="6F602316">
            <w:pPr>
              <w:widowControl/>
              <w:adjustRightInd w:val="0"/>
              <w:snapToGrid w:val="0"/>
              <w:spacing w:line="240" w:lineRule="auto"/>
              <w:ind w:firstLine="0" w:firstLineChars="0"/>
              <w:jc w:val="center"/>
              <w:rPr>
                <w:rFonts w:hint="eastAsia" w:ascii="宋体" w:hAnsi="宋体" w:cs="宋体"/>
                <w:sz w:val="21"/>
              </w:rPr>
            </w:pPr>
          </w:p>
        </w:tc>
        <w:tc>
          <w:tcPr>
            <w:tcW w:w="941" w:type="dxa"/>
            <w:tcBorders>
              <w:tl2br w:val="nil"/>
              <w:tr2bl w:val="nil"/>
            </w:tcBorders>
            <w:vAlign w:val="center"/>
          </w:tcPr>
          <w:p w14:paraId="562F0298">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套</w:t>
            </w:r>
          </w:p>
        </w:tc>
        <w:tc>
          <w:tcPr>
            <w:tcW w:w="1173" w:type="dxa"/>
            <w:tcBorders>
              <w:tl2br w:val="nil"/>
              <w:tr2bl w:val="nil"/>
            </w:tcBorders>
            <w:vAlign w:val="center"/>
          </w:tcPr>
          <w:p w14:paraId="648367F2">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10</w:t>
            </w:r>
          </w:p>
        </w:tc>
        <w:tc>
          <w:tcPr>
            <w:tcW w:w="2168" w:type="dxa"/>
            <w:tcBorders>
              <w:tl2br w:val="nil"/>
              <w:tr2bl w:val="nil"/>
            </w:tcBorders>
            <w:vAlign w:val="center"/>
          </w:tcPr>
          <w:p w14:paraId="203789E1">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63E514D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64849DC4">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2</w:t>
            </w:r>
          </w:p>
        </w:tc>
        <w:tc>
          <w:tcPr>
            <w:tcW w:w="2445" w:type="dxa"/>
            <w:tcBorders>
              <w:tl2br w:val="nil"/>
              <w:tr2bl w:val="nil"/>
            </w:tcBorders>
            <w:vAlign w:val="center"/>
          </w:tcPr>
          <w:p w14:paraId="4EA56269">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雨靴</w:t>
            </w:r>
          </w:p>
        </w:tc>
        <w:tc>
          <w:tcPr>
            <w:tcW w:w="1454" w:type="dxa"/>
            <w:tcBorders>
              <w:tl2br w:val="nil"/>
              <w:tr2bl w:val="nil"/>
            </w:tcBorders>
            <w:vAlign w:val="center"/>
          </w:tcPr>
          <w:p w14:paraId="39BD39CD">
            <w:pPr>
              <w:widowControl/>
              <w:adjustRightInd w:val="0"/>
              <w:snapToGrid w:val="0"/>
              <w:spacing w:line="240" w:lineRule="auto"/>
              <w:ind w:firstLine="0" w:firstLineChars="0"/>
              <w:jc w:val="center"/>
              <w:rPr>
                <w:rFonts w:hint="eastAsia" w:ascii="宋体" w:hAnsi="宋体" w:cs="宋体"/>
                <w:sz w:val="21"/>
              </w:rPr>
            </w:pPr>
          </w:p>
        </w:tc>
        <w:tc>
          <w:tcPr>
            <w:tcW w:w="941" w:type="dxa"/>
            <w:tcBorders>
              <w:tl2br w:val="nil"/>
              <w:tr2bl w:val="nil"/>
            </w:tcBorders>
            <w:vAlign w:val="center"/>
          </w:tcPr>
          <w:p w14:paraId="2B5F3747">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双</w:t>
            </w:r>
          </w:p>
        </w:tc>
        <w:tc>
          <w:tcPr>
            <w:tcW w:w="1173" w:type="dxa"/>
            <w:tcBorders>
              <w:tl2br w:val="nil"/>
              <w:tr2bl w:val="nil"/>
            </w:tcBorders>
            <w:vAlign w:val="center"/>
          </w:tcPr>
          <w:p w14:paraId="7ED87568">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10</w:t>
            </w:r>
          </w:p>
        </w:tc>
        <w:tc>
          <w:tcPr>
            <w:tcW w:w="2168" w:type="dxa"/>
            <w:tcBorders>
              <w:tl2br w:val="nil"/>
              <w:tr2bl w:val="nil"/>
            </w:tcBorders>
            <w:vAlign w:val="center"/>
          </w:tcPr>
          <w:p w14:paraId="511D1615">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250BC056">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665D8DEA">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3</w:t>
            </w:r>
          </w:p>
        </w:tc>
        <w:tc>
          <w:tcPr>
            <w:tcW w:w="2445" w:type="dxa"/>
            <w:tcBorders>
              <w:tl2br w:val="nil"/>
              <w:tr2bl w:val="nil"/>
            </w:tcBorders>
            <w:vAlign w:val="center"/>
          </w:tcPr>
          <w:p w14:paraId="2E1A35FB">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编织袋</w:t>
            </w:r>
          </w:p>
        </w:tc>
        <w:tc>
          <w:tcPr>
            <w:tcW w:w="1454" w:type="dxa"/>
            <w:tcBorders>
              <w:tl2br w:val="nil"/>
              <w:tr2bl w:val="nil"/>
            </w:tcBorders>
            <w:vAlign w:val="center"/>
          </w:tcPr>
          <w:p w14:paraId="3E95AE35">
            <w:pPr>
              <w:widowControl/>
              <w:adjustRightInd w:val="0"/>
              <w:snapToGrid w:val="0"/>
              <w:spacing w:line="240" w:lineRule="auto"/>
              <w:ind w:firstLine="0" w:firstLineChars="0"/>
              <w:jc w:val="center"/>
              <w:rPr>
                <w:rFonts w:hint="eastAsia" w:ascii="宋体" w:hAnsi="宋体" w:cs="宋体"/>
                <w:sz w:val="21"/>
              </w:rPr>
            </w:pPr>
          </w:p>
        </w:tc>
        <w:tc>
          <w:tcPr>
            <w:tcW w:w="941" w:type="dxa"/>
            <w:tcBorders>
              <w:tl2br w:val="nil"/>
              <w:tr2bl w:val="nil"/>
            </w:tcBorders>
            <w:vAlign w:val="center"/>
          </w:tcPr>
          <w:p w14:paraId="0F4900CC">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个</w:t>
            </w:r>
          </w:p>
        </w:tc>
        <w:tc>
          <w:tcPr>
            <w:tcW w:w="1173" w:type="dxa"/>
            <w:tcBorders>
              <w:tl2br w:val="nil"/>
              <w:tr2bl w:val="nil"/>
            </w:tcBorders>
            <w:vAlign w:val="center"/>
          </w:tcPr>
          <w:p w14:paraId="7EB047E8">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1000</w:t>
            </w:r>
          </w:p>
        </w:tc>
        <w:tc>
          <w:tcPr>
            <w:tcW w:w="2168" w:type="dxa"/>
            <w:tcBorders>
              <w:tl2br w:val="nil"/>
              <w:tr2bl w:val="nil"/>
            </w:tcBorders>
            <w:vAlign w:val="center"/>
          </w:tcPr>
          <w:p w14:paraId="4BC37928">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6A20CE94">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4EDE5DB0">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4</w:t>
            </w:r>
          </w:p>
        </w:tc>
        <w:tc>
          <w:tcPr>
            <w:tcW w:w="2445" w:type="dxa"/>
            <w:tcBorders>
              <w:tl2br w:val="nil"/>
              <w:tr2bl w:val="nil"/>
            </w:tcBorders>
            <w:vAlign w:val="center"/>
          </w:tcPr>
          <w:p w14:paraId="43BCF67D">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消防水管</w:t>
            </w:r>
          </w:p>
        </w:tc>
        <w:tc>
          <w:tcPr>
            <w:tcW w:w="1454" w:type="dxa"/>
            <w:tcBorders>
              <w:tl2br w:val="nil"/>
              <w:tr2bl w:val="nil"/>
            </w:tcBorders>
            <w:vAlign w:val="center"/>
          </w:tcPr>
          <w:p w14:paraId="4348F32D">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30米/卷</w:t>
            </w:r>
          </w:p>
        </w:tc>
        <w:tc>
          <w:tcPr>
            <w:tcW w:w="941" w:type="dxa"/>
            <w:tcBorders>
              <w:tl2br w:val="nil"/>
              <w:tr2bl w:val="nil"/>
            </w:tcBorders>
            <w:vAlign w:val="center"/>
          </w:tcPr>
          <w:p w14:paraId="60A5D00D">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卷</w:t>
            </w:r>
          </w:p>
        </w:tc>
        <w:tc>
          <w:tcPr>
            <w:tcW w:w="1173" w:type="dxa"/>
            <w:tcBorders>
              <w:tl2br w:val="nil"/>
              <w:tr2bl w:val="nil"/>
            </w:tcBorders>
            <w:vAlign w:val="center"/>
          </w:tcPr>
          <w:p w14:paraId="542B603B">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2</w:t>
            </w:r>
          </w:p>
        </w:tc>
        <w:tc>
          <w:tcPr>
            <w:tcW w:w="2168" w:type="dxa"/>
            <w:tcBorders>
              <w:tl2br w:val="nil"/>
              <w:tr2bl w:val="nil"/>
            </w:tcBorders>
            <w:vAlign w:val="center"/>
          </w:tcPr>
          <w:p w14:paraId="1F17ABA6">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360EFE11">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07A1E45A">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5</w:t>
            </w:r>
          </w:p>
        </w:tc>
        <w:tc>
          <w:tcPr>
            <w:tcW w:w="2445" w:type="dxa"/>
            <w:tcBorders>
              <w:tl2br w:val="nil"/>
              <w:tr2bl w:val="nil"/>
            </w:tcBorders>
            <w:vAlign w:val="center"/>
          </w:tcPr>
          <w:p w14:paraId="68C20957">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安全带</w:t>
            </w:r>
          </w:p>
        </w:tc>
        <w:tc>
          <w:tcPr>
            <w:tcW w:w="1454" w:type="dxa"/>
            <w:tcBorders>
              <w:tl2br w:val="nil"/>
              <w:tr2bl w:val="nil"/>
            </w:tcBorders>
            <w:vAlign w:val="center"/>
          </w:tcPr>
          <w:p w14:paraId="76ED34BB">
            <w:pPr>
              <w:widowControl/>
              <w:adjustRightInd w:val="0"/>
              <w:snapToGrid w:val="0"/>
              <w:spacing w:line="240" w:lineRule="auto"/>
              <w:ind w:firstLine="0" w:firstLineChars="0"/>
              <w:jc w:val="center"/>
              <w:rPr>
                <w:rFonts w:hint="eastAsia" w:ascii="宋体" w:hAnsi="宋体" w:cs="宋体"/>
                <w:sz w:val="21"/>
              </w:rPr>
            </w:pPr>
          </w:p>
        </w:tc>
        <w:tc>
          <w:tcPr>
            <w:tcW w:w="941" w:type="dxa"/>
            <w:tcBorders>
              <w:tl2br w:val="nil"/>
              <w:tr2bl w:val="nil"/>
            </w:tcBorders>
            <w:vAlign w:val="center"/>
          </w:tcPr>
          <w:p w14:paraId="050CD9E1">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个</w:t>
            </w:r>
          </w:p>
        </w:tc>
        <w:tc>
          <w:tcPr>
            <w:tcW w:w="1173" w:type="dxa"/>
            <w:tcBorders>
              <w:tl2br w:val="nil"/>
              <w:tr2bl w:val="nil"/>
            </w:tcBorders>
            <w:vAlign w:val="center"/>
          </w:tcPr>
          <w:p w14:paraId="590F4E99">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4</w:t>
            </w:r>
          </w:p>
        </w:tc>
        <w:tc>
          <w:tcPr>
            <w:tcW w:w="2168" w:type="dxa"/>
            <w:tcBorders>
              <w:tl2br w:val="nil"/>
              <w:tr2bl w:val="nil"/>
            </w:tcBorders>
            <w:vAlign w:val="center"/>
          </w:tcPr>
          <w:p w14:paraId="3B4736D3">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2B555DF7">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78359B9A">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6</w:t>
            </w:r>
          </w:p>
        </w:tc>
        <w:tc>
          <w:tcPr>
            <w:tcW w:w="2445" w:type="dxa"/>
            <w:tcBorders>
              <w:tl2br w:val="nil"/>
              <w:tr2bl w:val="nil"/>
            </w:tcBorders>
            <w:vAlign w:val="center"/>
          </w:tcPr>
          <w:p w14:paraId="3B9F6373">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锯子</w:t>
            </w:r>
          </w:p>
        </w:tc>
        <w:tc>
          <w:tcPr>
            <w:tcW w:w="1454" w:type="dxa"/>
            <w:tcBorders>
              <w:tl2br w:val="nil"/>
              <w:tr2bl w:val="nil"/>
            </w:tcBorders>
            <w:vAlign w:val="center"/>
          </w:tcPr>
          <w:p w14:paraId="6CB6FA08">
            <w:pPr>
              <w:widowControl/>
              <w:adjustRightInd w:val="0"/>
              <w:snapToGrid w:val="0"/>
              <w:spacing w:line="240" w:lineRule="auto"/>
              <w:ind w:firstLine="0" w:firstLineChars="0"/>
              <w:jc w:val="center"/>
              <w:rPr>
                <w:rFonts w:hint="eastAsia" w:ascii="宋体" w:hAnsi="宋体" w:cs="宋体"/>
                <w:sz w:val="21"/>
              </w:rPr>
            </w:pPr>
          </w:p>
        </w:tc>
        <w:tc>
          <w:tcPr>
            <w:tcW w:w="941" w:type="dxa"/>
            <w:tcBorders>
              <w:tl2br w:val="nil"/>
              <w:tr2bl w:val="nil"/>
            </w:tcBorders>
            <w:vAlign w:val="center"/>
          </w:tcPr>
          <w:p w14:paraId="42A2FB25">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把</w:t>
            </w:r>
          </w:p>
        </w:tc>
        <w:tc>
          <w:tcPr>
            <w:tcW w:w="1173" w:type="dxa"/>
            <w:tcBorders>
              <w:tl2br w:val="nil"/>
              <w:tr2bl w:val="nil"/>
            </w:tcBorders>
            <w:vAlign w:val="center"/>
          </w:tcPr>
          <w:p w14:paraId="01898633">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1</w:t>
            </w:r>
          </w:p>
        </w:tc>
        <w:tc>
          <w:tcPr>
            <w:tcW w:w="2168" w:type="dxa"/>
            <w:tcBorders>
              <w:tl2br w:val="nil"/>
              <w:tr2bl w:val="nil"/>
            </w:tcBorders>
            <w:vAlign w:val="center"/>
          </w:tcPr>
          <w:p w14:paraId="13EDF825">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714F6236">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05028664">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7</w:t>
            </w:r>
          </w:p>
        </w:tc>
        <w:tc>
          <w:tcPr>
            <w:tcW w:w="2445" w:type="dxa"/>
            <w:tcBorders>
              <w:tl2br w:val="nil"/>
              <w:tr2bl w:val="nil"/>
            </w:tcBorders>
            <w:vAlign w:val="center"/>
          </w:tcPr>
          <w:p w14:paraId="4CEA6842">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安全绳</w:t>
            </w:r>
          </w:p>
        </w:tc>
        <w:tc>
          <w:tcPr>
            <w:tcW w:w="1454" w:type="dxa"/>
            <w:tcBorders>
              <w:tl2br w:val="nil"/>
              <w:tr2bl w:val="nil"/>
            </w:tcBorders>
            <w:vAlign w:val="center"/>
          </w:tcPr>
          <w:p w14:paraId="57AE7777">
            <w:pPr>
              <w:widowControl/>
              <w:adjustRightInd w:val="0"/>
              <w:snapToGrid w:val="0"/>
              <w:spacing w:line="240" w:lineRule="auto"/>
              <w:ind w:firstLine="0" w:firstLineChars="0"/>
              <w:jc w:val="center"/>
              <w:rPr>
                <w:rFonts w:hint="eastAsia" w:ascii="宋体" w:hAnsi="宋体" w:cs="宋体"/>
                <w:sz w:val="21"/>
              </w:rPr>
            </w:pPr>
          </w:p>
        </w:tc>
        <w:tc>
          <w:tcPr>
            <w:tcW w:w="941" w:type="dxa"/>
            <w:tcBorders>
              <w:tl2br w:val="nil"/>
              <w:tr2bl w:val="nil"/>
            </w:tcBorders>
            <w:vAlign w:val="center"/>
          </w:tcPr>
          <w:p w14:paraId="5B29FD53">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米</w:t>
            </w:r>
          </w:p>
        </w:tc>
        <w:tc>
          <w:tcPr>
            <w:tcW w:w="1173" w:type="dxa"/>
            <w:tcBorders>
              <w:tl2br w:val="nil"/>
              <w:tr2bl w:val="nil"/>
            </w:tcBorders>
            <w:vAlign w:val="center"/>
          </w:tcPr>
          <w:p w14:paraId="74E844F9">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100</w:t>
            </w:r>
          </w:p>
        </w:tc>
        <w:tc>
          <w:tcPr>
            <w:tcW w:w="2168" w:type="dxa"/>
            <w:tcBorders>
              <w:tl2br w:val="nil"/>
              <w:tr2bl w:val="nil"/>
            </w:tcBorders>
            <w:vAlign w:val="center"/>
          </w:tcPr>
          <w:p w14:paraId="0DAAECE9">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642B9C74">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0D779AF8">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8</w:t>
            </w:r>
          </w:p>
        </w:tc>
        <w:tc>
          <w:tcPr>
            <w:tcW w:w="2445" w:type="dxa"/>
            <w:tcBorders>
              <w:tl2br w:val="nil"/>
              <w:tr2bl w:val="nil"/>
            </w:tcBorders>
            <w:vAlign w:val="center"/>
          </w:tcPr>
          <w:p w14:paraId="4080DE8E">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铁丝</w:t>
            </w:r>
          </w:p>
        </w:tc>
        <w:tc>
          <w:tcPr>
            <w:tcW w:w="1454" w:type="dxa"/>
            <w:tcBorders>
              <w:tl2br w:val="nil"/>
              <w:tr2bl w:val="nil"/>
            </w:tcBorders>
            <w:vAlign w:val="center"/>
          </w:tcPr>
          <w:p w14:paraId="2AE6CBD9">
            <w:pPr>
              <w:widowControl/>
              <w:adjustRightInd w:val="0"/>
              <w:snapToGrid w:val="0"/>
              <w:spacing w:line="240" w:lineRule="auto"/>
              <w:ind w:firstLine="0" w:firstLineChars="0"/>
              <w:jc w:val="center"/>
              <w:rPr>
                <w:rFonts w:hint="eastAsia" w:ascii="宋体" w:hAnsi="宋体" w:cs="宋体"/>
                <w:sz w:val="21"/>
              </w:rPr>
            </w:pPr>
          </w:p>
        </w:tc>
        <w:tc>
          <w:tcPr>
            <w:tcW w:w="941" w:type="dxa"/>
            <w:tcBorders>
              <w:tl2br w:val="nil"/>
              <w:tr2bl w:val="nil"/>
            </w:tcBorders>
            <w:vAlign w:val="center"/>
          </w:tcPr>
          <w:p w14:paraId="73270AA3">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米</w:t>
            </w:r>
          </w:p>
        </w:tc>
        <w:tc>
          <w:tcPr>
            <w:tcW w:w="1173" w:type="dxa"/>
            <w:tcBorders>
              <w:tl2br w:val="nil"/>
              <w:tr2bl w:val="nil"/>
            </w:tcBorders>
            <w:vAlign w:val="center"/>
          </w:tcPr>
          <w:p w14:paraId="3BD00201">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100</w:t>
            </w:r>
          </w:p>
        </w:tc>
        <w:tc>
          <w:tcPr>
            <w:tcW w:w="2168" w:type="dxa"/>
            <w:tcBorders>
              <w:tl2br w:val="nil"/>
              <w:tr2bl w:val="nil"/>
            </w:tcBorders>
            <w:vAlign w:val="center"/>
          </w:tcPr>
          <w:p w14:paraId="35E9C4B1">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66066AD2">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781E0C64">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9</w:t>
            </w:r>
          </w:p>
        </w:tc>
        <w:tc>
          <w:tcPr>
            <w:tcW w:w="2445" w:type="dxa"/>
            <w:tcBorders>
              <w:tl2br w:val="nil"/>
              <w:tr2bl w:val="nil"/>
            </w:tcBorders>
            <w:vAlign w:val="center"/>
          </w:tcPr>
          <w:p w14:paraId="33CE5B01">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灭火器箱</w:t>
            </w:r>
          </w:p>
        </w:tc>
        <w:tc>
          <w:tcPr>
            <w:tcW w:w="1454" w:type="dxa"/>
            <w:tcBorders>
              <w:tl2br w:val="nil"/>
              <w:tr2bl w:val="nil"/>
            </w:tcBorders>
            <w:vAlign w:val="center"/>
          </w:tcPr>
          <w:p w14:paraId="0E8606D0">
            <w:pPr>
              <w:widowControl/>
              <w:adjustRightInd w:val="0"/>
              <w:snapToGrid w:val="0"/>
              <w:spacing w:line="240" w:lineRule="auto"/>
              <w:ind w:firstLine="0" w:firstLineChars="0"/>
              <w:jc w:val="center"/>
              <w:rPr>
                <w:rFonts w:hint="eastAsia" w:ascii="宋体" w:hAnsi="宋体" w:cs="宋体"/>
                <w:sz w:val="21"/>
              </w:rPr>
            </w:pPr>
          </w:p>
        </w:tc>
        <w:tc>
          <w:tcPr>
            <w:tcW w:w="941" w:type="dxa"/>
            <w:tcBorders>
              <w:tl2br w:val="nil"/>
              <w:tr2bl w:val="nil"/>
            </w:tcBorders>
            <w:vAlign w:val="center"/>
          </w:tcPr>
          <w:p w14:paraId="46C01E0C">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个</w:t>
            </w:r>
          </w:p>
        </w:tc>
        <w:tc>
          <w:tcPr>
            <w:tcW w:w="1173" w:type="dxa"/>
            <w:tcBorders>
              <w:tl2br w:val="nil"/>
              <w:tr2bl w:val="nil"/>
            </w:tcBorders>
            <w:vAlign w:val="center"/>
          </w:tcPr>
          <w:p w14:paraId="534D8CF2">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9</w:t>
            </w:r>
          </w:p>
        </w:tc>
        <w:tc>
          <w:tcPr>
            <w:tcW w:w="2168" w:type="dxa"/>
            <w:tcBorders>
              <w:tl2br w:val="nil"/>
              <w:tr2bl w:val="nil"/>
            </w:tcBorders>
            <w:vAlign w:val="center"/>
          </w:tcPr>
          <w:p w14:paraId="612510E7">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761C53A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1F3CF2A0">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10</w:t>
            </w:r>
          </w:p>
        </w:tc>
        <w:tc>
          <w:tcPr>
            <w:tcW w:w="2445" w:type="dxa"/>
            <w:tcBorders>
              <w:tl2br w:val="nil"/>
              <w:tr2bl w:val="nil"/>
            </w:tcBorders>
            <w:vAlign w:val="center"/>
          </w:tcPr>
          <w:p w14:paraId="0034B307">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灭火器</w:t>
            </w:r>
          </w:p>
        </w:tc>
        <w:tc>
          <w:tcPr>
            <w:tcW w:w="1454" w:type="dxa"/>
            <w:tcBorders>
              <w:tl2br w:val="nil"/>
              <w:tr2bl w:val="nil"/>
            </w:tcBorders>
            <w:vAlign w:val="center"/>
          </w:tcPr>
          <w:p w14:paraId="00C4D14A">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4KG</w:t>
            </w:r>
          </w:p>
        </w:tc>
        <w:tc>
          <w:tcPr>
            <w:tcW w:w="941" w:type="dxa"/>
            <w:tcBorders>
              <w:tl2br w:val="nil"/>
              <w:tr2bl w:val="nil"/>
            </w:tcBorders>
            <w:vAlign w:val="center"/>
          </w:tcPr>
          <w:p w14:paraId="199DAAC6">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个</w:t>
            </w:r>
          </w:p>
        </w:tc>
        <w:tc>
          <w:tcPr>
            <w:tcW w:w="1173" w:type="dxa"/>
            <w:tcBorders>
              <w:tl2br w:val="nil"/>
              <w:tr2bl w:val="nil"/>
            </w:tcBorders>
            <w:vAlign w:val="center"/>
          </w:tcPr>
          <w:p w14:paraId="50AD3A31">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20</w:t>
            </w:r>
          </w:p>
        </w:tc>
        <w:tc>
          <w:tcPr>
            <w:tcW w:w="2168" w:type="dxa"/>
            <w:tcBorders>
              <w:tl2br w:val="nil"/>
              <w:tr2bl w:val="nil"/>
            </w:tcBorders>
            <w:vAlign w:val="center"/>
          </w:tcPr>
          <w:p w14:paraId="209E5B2B">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0501CDFE">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37C19E4F">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11</w:t>
            </w:r>
          </w:p>
        </w:tc>
        <w:tc>
          <w:tcPr>
            <w:tcW w:w="2445" w:type="dxa"/>
            <w:tcBorders>
              <w:tl2br w:val="nil"/>
              <w:tr2bl w:val="nil"/>
            </w:tcBorders>
            <w:vAlign w:val="center"/>
          </w:tcPr>
          <w:p w14:paraId="19E30D8D">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推车式干粉灭火器</w:t>
            </w:r>
          </w:p>
        </w:tc>
        <w:tc>
          <w:tcPr>
            <w:tcW w:w="1454" w:type="dxa"/>
            <w:tcBorders>
              <w:tl2br w:val="nil"/>
              <w:tr2bl w:val="nil"/>
            </w:tcBorders>
            <w:vAlign w:val="center"/>
          </w:tcPr>
          <w:p w14:paraId="368B8D53">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35KG</w:t>
            </w:r>
          </w:p>
        </w:tc>
        <w:tc>
          <w:tcPr>
            <w:tcW w:w="941" w:type="dxa"/>
            <w:tcBorders>
              <w:tl2br w:val="nil"/>
              <w:tr2bl w:val="nil"/>
            </w:tcBorders>
            <w:vAlign w:val="center"/>
          </w:tcPr>
          <w:p w14:paraId="22B97E59">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个</w:t>
            </w:r>
          </w:p>
        </w:tc>
        <w:tc>
          <w:tcPr>
            <w:tcW w:w="1173" w:type="dxa"/>
            <w:tcBorders>
              <w:tl2br w:val="nil"/>
              <w:tr2bl w:val="nil"/>
            </w:tcBorders>
            <w:vAlign w:val="center"/>
          </w:tcPr>
          <w:p w14:paraId="4130E3F7">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2</w:t>
            </w:r>
          </w:p>
        </w:tc>
        <w:tc>
          <w:tcPr>
            <w:tcW w:w="2168" w:type="dxa"/>
            <w:tcBorders>
              <w:tl2br w:val="nil"/>
              <w:tr2bl w:val="nil"/>
            </w:tcBorders>
            <w:vAlign w:val="center"/>
          </w:tcPr>
          <w:p w14:paraId="0BA64716">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6901444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900" w:type="dxa"/>
            <w:tcBorders>
              <w:tl2br w:val="nil"/>
              <w:tr2bl w:val="nil"/>
            </w:tcBorders>
            <w:vAlign w:val="center"/>
          </w:tcPr>
          <w:p w14:paraId="31484930">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12</w:t>
            </w:r>
          </w:p>
        </w:tc>
        <w:tc>
          <w:tcPr>
            <w:tcW w:w="2445" w:type="dxa"/>
            <w:tcBorders>
              <w:tl2br w:val="nil"/>
              <w:tr2bl w:val="nil"/>
            </w:tcBorders>
            <w:vAlign w:val="center"/>
          </w:tcPr>
          <w:p w14:paraId="3D2C8DF4">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消防水桶</w:t>
            </w:r>
          </w:p>
        </w:tc>
        <w:tc>
          <w:tcPr>
            <w:tcW w:w="1454" w:type="dxa"/>
            <w:tcBorders>
              <w:tl2br w:val="nil"/>
              <w:tr2bl w:val="nil"/>
            </w:tcBorders>
            <w:vAlign w:val="center"/>
          </w:tcPr>
          <w:p w14:paraId="714EA979">
            <w:pPr>
              <w:widowControl/>
              <w:adjustRightInd w:val="0"/>
              <w:snapToGrid w:val="0"/>
              <w:spacing w:line="240" w:lineRule="auto"/>
              <w:ind w:firstLine="0" w:firstLineChars="0"/>
              <w:jc w:val="center"/>
              <w:rPr>
                <w:rFonts w:hint="eastAsia" w:ascii="宋体" w:hAnsi="宋体" w:cs="宋体"/>
                <w:sz w:val="21"/>
              </w:rPr>
            </w:pPr>
          </w:p>
        </w:tc>
        <w:tc>
          <w:tcPr>
            <w:tcW w:w="941" w:type="dxa"/>
            <w:tcBorders>
              <w:tl2br w:val="nil"/>
              <w:tr2bl w:val="nil"/>
            </w:tcBorders>
            <w:vAlign w:val="center"/>
          </w:tcPr>
          <w:p w14:paraId="71C86D02">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个</w:t>
            </w:r>
          </w:p>
        </w:tc>
        <w:tc>
          <w:tcPr>
            <w:tcW w:w="1173" w:type="dxa"/>
            <w:tcBorders>
              <w:tl2br w:val="nil"/>
              <w:tr2bl w:val="nil"/>
            </w:tcBorders>
            <w:vAlign w:val="center"/>
          </w:tcPr>
          <w:p w14:paraId="310ACEDA">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4</w:t>
            </w:r>
          </w:p>
        </w:tc>
        <w:tc>
          <w:tcPr>
            <w:tcW w:w="2168" w:type="dxa"/>
            <w:tcBorders>
              <w:tl2br w:val="nil"/>
              <w:tr2bl w:val="nil"/>
            </w:tcBorders>
            <w:vAlign w:val="center"/>
          </w:tcPr>
          <w:p w14:paraId="06AE550B">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5E9ACD42">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70A594AF">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13</w:t>
            </w:r>
          </w:p>
        </w:tc>
        <w:tc>
          <w:tcPr>
            <w:tcW w:w="2445" w:type="dxa"/>
            <w:tcBorders>
              <w:tl2br w:val="nil"/>
              <w:tr2bl w:val="nil"/>
            </w:tcBorders>
            <w:vAlign w:val="center"/>
          </w:tcPr>
          <w:p w14:paraId="1B45FA8F">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医药箱</w:t>
            </w:r>
          </w:p>
        </w:tc>
        <w:tc>
          <w:tcPr>
            <w:tcW w:w="1454" w:type="dxa"/>
            <w:tcBorders>
              <w:tl2br w:val="nil"/>
              <w:tr2bl w:val="nil"/>
            </w:tcBorders>
            <w:vAlign w:val="center"/>
          </w:tcPr>
          <w:p w14:paraId="66A9F286">
            <w:pPr>
              <w:widowControl/>
              <w:adjustRightInd w:val="0"/>
              <w:snapToGrid w:val="0"/>
              <w:spacing w:line="240" w:lineRule="auto"/>
              <w:ind w:firstLine="0" w:firstLineChars="0"/>
              <w:jc w:val="center"/>
              <w:rPr>
                <w:rFonts w:hint="eastAsia" w:ascii="宋体" w:hAnsi="宋体" w:cs="宋体"/>
                <w:sz w:val="21"/>
              </w:rPr>
            </w:pPr>
          </w:p>
        </w:tc>
        <w:tc>
          <w:tcPr>
            <w:tcW w:w="941" w:type="dxa"/>
            <w:tcBorders>
              <w:tl2br w:val="nil"/>
              <w:tr2bl w:val="nil"/>
            </w:tcBorders>
            <w:vAlign w:val="center"/>
          </w:tcPr>
          <w:p w14:paraId="20C9EFD3">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盒</w:t>
            </w:r>
          </w:p>
        </w:tc>
        <w:tc>
          <w:tcPr>
            <w:tcW w:w="1173" w:type="dxa"/>
            <w:tcBorders>
              <w:tl2br w:val="nil"/>
              <w:tr2bl w:val="nil"/>
            </w:tcBorders>
            <w:vAlign w:val="center"/>
          </w:tcPr>
          <w:p w14:paraId="7E022FC4">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1</w:t>
            </w:r>
          </w:p>
        </w:tc>
        <w:tc>
          <w:tcPr>
            <w:tcW w:w="2168" w:type="dxa"/>
            <w:tcBorders>
              <w:tl2br w:val="nil"/>
              <w:tr2bl w:val="nil"/>
            </w:tcBorders>
            <w:vAlign w:val="center"/>
          </w:tcPr>
          <w:p w14:paraId="34EF624C">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2FED50AB">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600" w:hRule="atLeast"/>
          <w:jc w:val="center"/>
        </w:trPr>
        <w:tc>
          <w:tcPr>
            <w:tcW w:w="900" w:type="dxa"/>
            <w:tcBorders>
              <w:tl2br w:val="nil"/>
              <w:tr2bl w:val="nil"/>
            </w:tcBorders>
            <w:vAlign w:val="center"/>
          </w:tcPr>
          <w:p w14:paraId="73C13A09">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14</w:t>
            </w:r>
          </w:p>
        </w:tc>
        <w:tc>
          <w:tcPr>
            <w:tcW w:w="2445" w:type="dxa"/>
            <w:tcBorders>
              <w:tl2br w:val="nil"/>
              <w:tr2bl w:val="nil"/>
            </w:tcBorders>
            <w:vAlign w:val="center"/>
          </w:tcPr>
          <w:p w14:paraId="56DC5C09">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纱布、消毒酒精、红花油等药品若干</w:t>
            </w:r>
          </w:p>
        </w:tc>
        <w:tc>
          <w:tcPr>
            <w:tcW w:w="1454" w:type="dxa"/>
            <w:tcBorders>
              <w:tl2br w:val="nil"/>
              <w:tr2bl w:val="nil"/>
            </w:tcBorders>
            <w:vAlign w:val="center"/>
          </w:tcPr>
          <w:p w14:paraId="5EC3AD58">
            <w:pPr>
              <w:widowControl/>
              <w:adjustRightInd w:val="0"/>
              <w:snapToGrid w:val="0"/>
              <w:spacing w:line="240" w:lineRule="auto"/>
              <w:ind w:firstLine="0" w:firstLineChars="0"/>
              <w:jc w:val="center"/>
              <w:rPr>
                <w:rFonts w:hint="eastAsia" w:ascii="宋体" w:hAnsi="宋体" w:cs="宋体"/>
                <w:sz w:val="21"/>
              </w:rPr>
            </w:pPr>
          </w:p>
        </w:tc>
        <w:tc>
          <w:tcPr>
            <w:tcW w:w="941" w:type="dxa"/>
            <w:tcBorders>
              <w:tl2br w:val="nil"/>
              <w:tr2bl w:val="nil"/>
            </w:tcBorders>
            <w:vAlign w:val="center"/>
          </w:tcPr>
          <w:p w14:paraId="13DDEE46">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套</w:t>
            </w:r>
          </w:p>
        </w:tc>
        <w:tc>
          <w:tcPr>
            <w:tcW w:w="1173" w:type="dxa"/>
            <w:tcBorders>
              <w:tl2br w:val="nil"/>
              <w:tr2bl w:val="nil"/>
            </w:tcBorders>
            <w:vAlign w:val="center"/>
          </w:tcPr>
          <w:p w14:paraId="440ABD16">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1</w:t>
            </w:r>
          </w:p>
        </w:tc>
        <w:tc>
          <w:tcPr>
            <w:tcW w:w="2168" w:type="dxa"/>
            <w:tcBorders>
              <w:tl2br w:val="nil"/>
              <w:tr2bl w:val="nil"/>
            </w:tcBorders>
            <w:vAlign w:val="center"/>
          </w:tcPr>
          <w:p w14:paraId="6B04BDAC">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2D9CC0D6">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3E3C7A3A">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15</w:t>
            </w:r>
          </w:p>
        </w:tc>
        <w:tc>
          <w:tcPr>
            <w:tcW w:w="2445" w:type="dxa"/>
            <w:tcBorders>
              <w:tl2br w:val="nil"/>
              <w:tr2bl w:val="nil"/>
            </w:tcBorders>
            <w:vAlign w:val="center"/>
          </w:tcPr>
          <w:p w14:paraId="3129CF33">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手提式手电筒</w:t>
            </w:r>
          </w:p>
        </w:tc>
        <w:tc>
          <w:tcPr>
            <w:tcW w:w="1454" w:type="dxa"/>
            <w:tcBorders>
              <w:tl2br w:val="nil"/>
              <w:tr2bl w:val="nil"/>
            </w:tcBorders>
            <w:vAlign w:val="center"/>
          </w:tcPr>
          <w:p w14:paraId="2BFE9FFC">
            <w:pPr>
              <w:widowControl/>
              <w:adjustRightInd w:val="0"/>
              <w:snapToGrid w:val="0"/>
              <w:spacing w:line="240" w:lineRule="auto"/>
              <w:ind w:firstLine="0" w:firstLineChars="0"/>
              <w:jc w:val="center"/>
              <w:rPr>
                <w:rFonts w:hint="eastAsia" w:ascii="宋体" w:hAnsi="宋体" w:cs="宋体"/>
                <w:sz w:val="21"/>
              </w:rPr>
            </w:pPr>
          </w:p>
        </w:tc>
        <w:tc>
          <w:tcPr>
            <w:tcW w:w="941" w:type="dxa"/>
            <w:tcBorders>
              <w:tl2br w:val="nil"/>
              <w:tr2bl w:val="nil"/>
            </w:tcBorders>
            <w:vAlign w:val="center"/>
          </w:tcPr>
          <w:p w14:paraId="624C52D2">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个</w:t>
            </w:r>
          </w:p>
        </w:tc>
        <w:tc>
          <w:tcPr>
            <w:tcW w:w="1173" w:type="dxa"/>
            <w:tcBorders>
              <w:tl2br w:val="nil"/>
              <w:tr2bl w:val="nil"/>
            </w:tcBorders>
            <w:vAlign w:val="center"/>
          </w:tcPr>
          <w:p w14:paraId="25123F0C">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2</w:t>
            </w:r>
          </w:p>
        </w:tc>
        <w:tc>
          <w:tcPr>
            <w:tcW w:w="2168" w:type="dxa"/>
            <w:tcBorders>
              <w:tl2br w:val="nil"/>
              <w:tr2bl w:val="nil"/>
            </w:tcBorders>
            <w:vAlign w:val="center"/>
          </w:tcPr>
          <w:p w14:paraId="48097365">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7FDC05E6">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719E8EBB">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16</w:t>
            </w:r>
          </w:p>
        </w:tc>
        <w:tc>
          <w:tcPr>
            <w:tcW w:w="2445" w:type="dxa"/>
            <w:tcBorders>
              <w:tl2br w:val="nil"/>
              <w:tr2bl w:val="nil"/>
            </w:tcBorders>
            <w:vAlign w:val="center"/>
          </w:tcPr>
          <w:p w14:paraId="6AD69697">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彩条旗</w:t>
            </w:r>
          </w:p>
        </w:tc>
        <w:tc>
          <w:tcPr>
            <w:tcW w:w="1454" w:type="dxa"/>
            <w:tcBorders>
              <w:tl2br w:val="nil"/>
              <w:tr2bl w:val="nil"/>
            </w:tcBorders>
            <w:vAlign w:val="center"/>
          </w:tcPr>
          <w:p w14:paraId="455C0608">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20米/袋</w:t>
            </w:r>
          </w:p>
        </w:tc>
        <w:tc>
          <w:tcPr>
            <w:tcW w:w="941" w:type="dxa"/>
            <w:tcBorders>
              <w:tl2br w:val="nil"/>
              <w:tr2bl w:val="nil"/>
            </w:tcBorders>
            <w:vAlign w:val="center"/>
          </w:tcPr>
          <w:p w14:paraId="76603F63">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袋</w:t>
            </w:r>
          </w:p>
        </w:tc>
        <w:tc>
          <w:tcPr>
            <w:tcW w:w="1173" w:type="dxa"/>
            <w:tcBorders>
              <w:tl2br w:val="nil"/>
              <w:tr2bl w:val="nil"/>
            </w:tcBorders>
            <w:vAlign w:val="center"/>
          </w:tcPr>
          <w:p w14:paraId="656CBB0A">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4</w:t>
            </w:r>
          </w:p>
        </w:tc>
        <w:tc>
          <w:tcPr>
            <w:tcW w:w="2168" w:type="dxa"/>
            <w:tcBorders>
              <w:tl2br w:val="nil"/>
              <w:tr2bl w:val="nil"/>
            </w:tcBorders>
            <w:vAlign w:val="center"/>
          </w:tcPr>
          <w:p w14:paraId="17505510">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6162EB5A">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36DB4683">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17</w:t>
            </w:r>
          </w:p>
        </w:tc>
        <w:tc>
          <w:tcPr>
            <w:tcW w:w="2445" w:type="dxa"/>
            <w:tcBorders>
              <w:tl2br w:val="nil"/>
              <w:tr2bl w:val="nil"/>
            </w:tcBorders>
            <w:vAlign w:val="center"/>
          </w:tcPr>
          <w:p w14:paraId="152CD01B">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闪光背心</w:t>
            </w:r>
          </w:p>
        </w:tc>
        <w:tc>
          <w:tcPr>
            <w:tcW w:w="1454" w:type="dxa"/>
            <w:tcBorders>
              <w:tl2br w:val="nil"/>
              <w:tr2bl w:val="nil"/>
            </w:tcBorders>
            <w:vAlign w:val="center"/>
          </w:tcPr>
          <w:p w14:paraId="73385E58">
            <w:pPr>
              <w:widowControl/>
              <w:adjustRightInd w:val="0"/>
              <w:snapToGrid w:val="0"/>
              <w:spacing w:line="240" w:lineRule="auto"/>
              <w:ind w:firstLine="0" w:firstLineChars="0"/>
              <w:jc w:val="center"/>
              <w:rPr>
                <w:rFonts w:hint="eastAsia" w:ascii="宋体" w:hAnsi="宋体" w:cs="宋体"/>
                <w:sz w:val="21"/>
              </w:rPr>
            </w:pPr>
          </w:p>
        </w:tc>
        <w:tc>
          <w:tcPr>
            <w:tcW w:w="941" w:type="dxa"/>
            <w:tcBorders>
              <w:tl2br w:val="nil"/>
              <w:tr2bl w:val="nil"/>
            </w:tcBorders>
            <w:vAlign w:val="center"/>
          </w:tcPr>
          <w:p w14:paraId="54883B32">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件</w:t>
            </w:r>
          </w:p>
        </w:tc>
        <w:tc>
          <w:tcPr>
            <w:tcW w:w="1173" w:type="dxa"/>
            <w:tcBorders>
              <w:tl2br w:val="nil"/>
              <w:tr2bl w:val="nil"/>
            </w:tcBorders>
            <w:vAlign w:val="center"/>
          </w:tcPr>
          <w:p w14:paraId="0953D64B">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10</w:t>
            </w:r>
          </w:p>
        </w:tc>
        <w:tc>
          <w:tcPr>
            <w:tcW w:w="2168" w:type="dxa"/>
            <w:tcBorders>
              <w:tl2br w:val="nil"/>
              <w:tr2bl w:val="nil"/>
            </w:tcBorders>
            <w:vAlign w:val="center"/>
          </w:tcPr>
          <w:p w14:paraId="7050A8A6">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0F38A94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2AEBD010">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18</w:t>
            </w:r>
          </w:p>
        </w:tc>
        <w:tc>
          <w:tcPr>
            <w:tcW w:w="2445" w:type="dxa"/>
            <w:tcBorders>
              <w:tl2br w:val="nil"/>
              <w:tr2bl w:val="nil"/>
            </w:tcBorders>
            <w:vAlign w:val="center"/>
          </w:tcPr>
          <w:p w14:paraId="3399ACA9">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担架</w:t>
            </w:r>
          </w:p>
        </w:tc>
        <w:tc>
          <w:tcPr>
            <w:tcW w:w="1454" w:type="dxa"/>
            <w:tcBorders>
              <w:tl2br w:val="nil"/>
              <w:tr2bl w:val="nil"/>
            </w:tcBorders>
            <w:vAlign w:val="center"/>
          </w:tcPr>
          <w:p w14:paraId="2981A7BD">
            <w:pPr>
              <w:widowControl/>
              <w:adjustRightInd w:val="0"/>
              <w:snapToGrid w:val="0"/>
              <w:spacing w:line="240" w:lineRule="auto"/>
              <w:ind w:firstLine="0" w:firstLineChars="0"/>
              <w:jc w:val="center"/>
              <w:rPr>
                <w:rFonts w:hint="eastAsia" w:ascii="宋体" w:hAnsi="宋体" w:cs="宋体"/>
                <w:sz w:val="21"/>
              </w:rPr>
            </w:pPr>
          </w:p>
        </w:tc>
        <w:tc>
          <w:tcPr>
            <w:tcW w:w="941" w:type="dxa"/>
            <w:tcBorders>
              <w:tl2br w:val="nil"/>
              <w:tr2bl w:val="nil"/>
            </w:tcBorders>
            <w:vAlign w:val="center"/>
          </w:tcPr>
          <w:p w14:paraId="6E0CB70E">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幅</w:t>
            </w:r>
          </w:p>
        </w:tc>
        <w:tc>
          <w:tcPr>
            <w:tcW w:w="1173" w:type="dxa"/>
            <w:tcBorders>
              <w:tl2br w:val="nil"/>
              <w:tr2bl w:val="nil"/>
            </w:tcBorders>
            <w:vAlign w:val="center"/>
          </w:tcPr>
          <w:p w14:paraId="78D7732B">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1</w:t>
            </w:r>
          </w:p>
        </w:tc>
        <w:tc>
          <w:tcPr>
            <w:tcW w:w="2168" w:type="dxa"/>
            <w:tcBorders>
              <w:tl2br w:val="nil"/>
              <w:tr2bl w:val="nil"/>
            </w:tcBorders>
            <w:vAlign w:val="center"/>
          </w:tcPr>
          <w:p w14:paraId="7C6A25CA">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3520D58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0BC1C143">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19</w:t>
            </w:r>
          </w:p>
        </w:tc>
        <w:tc>
          <w:tcPr>
            <w:tcW w:w="2445" w:type="dxa"/>
            <w:tcBorders>
              <w:tl2br w:val="nil"/>
              <w:tr2bl w:val="nil"/>
            </w:tcBorders>
            <w:vAlign w:val="center"/>
          </w:tcPr>
          <w:p w14:paraId="231FE5FB">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安全警示带</w:t>
            </w:r>
          </w:p>
        </w:tc>
        <w:tc>
          <w:tcPr>
            <w:tcW w:w="1454" w:type="dxa"/>
            <w:tcBorders>
              <w:tl2br w:val="nil"/>
              <w:tr2bl w:val="nil"/>
            </w:tcBorders>
            <w:vAlign w:val="center"/>
          </w:tcPr>
          <w:p w14:paraId="19C6A255">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50米/盒</w:t>
            </w:r>
          </w:p>
        </w:tc>
        <w:tc>
          <w:tcPr>
            <w:tcW w:w="941" w:type="dxa"/>
            <w:tcBorders>
              <w:tl2br w:val="nil"/>
              <w:tr2bl w:val="nil"/>
            </w:tcBorders>
            <w:vAlign w:val="center"/>
          </w:tcPr>
          <w:p w14:paraId="744E49AD">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盒</w:t>
            </w:r>
          </w:p>
        </w:tc>
        <w:tc>
          <w:tcPr>
            <w:tcW w:w="1173" w:type="dxa"/>
            <w:tcBorders>
              <w:tl2br w:val="nil"/>
              <w:tr2bl w:val="nil"/>
            </w:tcBorders>
            <w:vAlign w:val="center"/>
          </w:tcPr>
          <w:p w14:paraId="7A6D77E4">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5</w:t>
            </w:r>
          </w:p>
        </w:tc>
        <w:tc>
          <w:tcPr>
            <w:tcW w:w="2168" w:type="dxa"/>
            <w:tcBorders>
              <w:tl2br w:val="nil"/>
              <w:tr2bl w:val="nil"/>
            </w:tcBorders>
            <w:vAlign w:val="center"/>
          </w:tcPr>
          <w:p w14:paraId="549D6462">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0543E697">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47AB576E">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20</w:t>
            </w:r>
          </w:p>
        </w:tc>
        <w:tc>
          <w:tcPr>
            <w:tcW w:w="2445" w:type="dxa"/>
            <w:tcBorders>
              <w:tl2br w:val="nil"/>
              <w:tr2bl w:val="nil"/>
            </w:tcBorders>
            <w:vAlign w:val="center"/>
          </w:tcPr>
          <w:p w14:paraId="1345FF30">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铲子</w:t>
            </w:r>
          </w:p>
        </w:tc>
        <w:tc>
          <w:tcPr>
            <w:tcW w:w="1454" w:type="dxa"/>
            <w:tcBorders>
              <w:tl2br w:val="nil"/>
              <w:tr2bl w:val="nil"/>
            </w:tcBorders>
            <w:vAlign w:val="center"/>
          </w:tcPr>
          <w:p w14:paraId="7F5BA14F">
            <w:pPr>
              <w:widowControl/>
              <w:adjustRightInd w:val="0"/>
              <w:snapToGrid w:val="0"/>
              <w:spacing w:line="240" w:lineRule="auto"/>
              <w:ind w:firstLine="0" w:firstLineChars="0"/>
              <w:jc w:val="center"/>
              <w:rPr>
                <w:rFonts w:hint="eastAsia" w:ascii="宋体" w:hAnsi="宋体" w:cs="宋体"/>
                <w:sz w:val="21"/>
              </w:rPr>
            </w:pPr>
          </w:p>
        </w:tc>
        <w:tc>
          <w:tcPr>
            <w:tcW w:w="941" w:type="dxa"/>
            <w:tcBorders>
              <w:tl2br w:val="nil"/>
              <w:tr2bl w:val="nil"/>
            </w:tcBorders>
            <w:vAlign w:val="center"/>
          </w:tcPr>
          <w:p w14:paraId="794861D6">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把</w:t>
            </w:r>
          </w:p>
        </w:tc>
        <w:tc>
          <w:tcPr>
            <w:tcW w:w="1173" w:type="dxa"/>
            <w:tcBorders>
              <w:tl2br w:val="nil"/>
              <w:tr2bl w:val="nil"/>
            </w:tcBorders>
            <w:vAlign w:val="center"/>
          </w:tcPr>
          <w:p w14:paraId="68DE3E9C">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5</w:t>
            </w:r>
          </w:p>
        </w:tc>
        <w:tc>
          <w:tcPr>
            <w:tcW w:w="2168" w:type="dxa"/>
            <w:tcBorders>
              <w:tl2br w:val="nil"/>
              <w:tr2bl w:val="nil"/>
            </w:tcBorders>
            <w:vAlign w:val="center"/>
          </w:tcPr>
          <w:p w14:paraId="3114C7DB">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6CA156F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18F1F404">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21</w:t>
            </w:r>
          </w:p>
        </w:tc>
        <w:tc>
          <w:tcPr>
            <w:tcW w:w="2445" w:type="dxa"/>
            <w:tcBorders>
              <w:tl2br w:val="nil"/>
              <w:tr2bl w:val="nil"/>
            </w:tcBorders>
            <w:vAlign w:val="center"/>
          </w:tcPr>
          <w:p w14:paraId="152B0A08">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大铁锤</w:t>
            </w:r>
          </w:p>
        </w:tc>
        <w:tc>
          <w:tcPr>
            <w:tcW w:w="1454" w:type="dxa"/>
            <w:tcBorders>
              <w:tl2br w:val="nil"/>
              <w:tr2bl w:val="nil"/>
            </w:tcBorders>
            <w:vAlign w:val="center"/>
          </w:tcPr>
          <w:p w14:paraId="2F2CA0CF">
            <w:pPr>
              <w:widowControl/>
              <w:adjustRightInd w:val="0"/>
              <w:snapToGrid w:val="0"/>
              <w:spacing w:line="240" w:lineRule="auto"/>
              <w:ind w:firstLine="0" w:firstLineChars="0"/>
              <w:jc w:val="center"/>
              <w:rPr>
                <w:rFonts w:hint="eastAsia" w:ascii="宋体" w:hAnsi="宋体" w:cs="宋体"/>
                <w:sz w:val="21"/>
              </w:rPr>
            </w:pPr>
          </w:p>
        </w:tc>
        <w:tc>
          <w:tcPr>
            <w:tcW w:w="941" w:type="dxa"/>
            <w:tcBorders>
              <w:tl2br w:val="nil"/>
              <w:tr2bl w:val="nil"/>
            </w:tcBorders>
            <w:vAlign w:val="center"/>
          </w:tcPr>
          <w:p w14:paraId="5E21FF1D">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把</w:t>
            </w:r>
          </w:p>
        </w:tc>
        <w:tc>
          <w:tcPr>
            <w:tcW w:w="1173" w:type="dxa"/>
            <w:tcBorders>
              <w:tl2br w:val="nil"/>
              <w:tr2bl w:val="nil"/>
            </w:tcBorders>
            <w:vAlign w:val="center"/>
          </w:tcPr>
          <w:p w14:paraId="5944D42D">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1</w:t>
            </w:r>
          </w:p>
        </w:tc>
        <w:tc>
          <w:tcPr>
            <w:tcW w:w="2168" w:type="dxa"/>
            <w:tcBorders>
              <w:tl2br w:val="nil"/>
              <w:tr2bl w:val="nil"/>
            </w:tcBorders>
            <w:vAlign w:val="center"/>
          </w:tcPr>
          <w:p w14:paraId="408C979E">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671806B4">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0493633C">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22</w:t>
            </w:r>
          </w:p>
        </w:tc>
        <w:tc>
          <w:tcPr>
            <w:tcW w:w="2445" w:type="dxa"/>
            <w:tcBorders>
              <w:tl2br w:val="nil"/>
              <w:tr2bl w:val="nil"/>
            </w:tcBorders>
            <w:vAlign w:val="center"/>
          </w:tcPr>
          <w:p w14:paraId="2552AC2C">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消防斧</w:t>
            </w:r>
          </w:p>
        </w:tc>
        <w:tc>
          <w:tcPr>
            <w:tcW w:w="1454" w:type="dxa"/>
            <w:tcBorders>
              <w:tl2br w:val="nil"/>
              <w:tr2bl w:val="nil"/>
            </w:tcBorders>
            <w:vAlign w:val="center"/>
          </w:tcPr>
          <w:p w14:paraId="6FA3D060">
            <w:pPr>
              <w:widowControl/>
              <w:adjustRightInd w:val="0"/>
              <w:snapToGrid w:val="0"/>
              <w:spacing w:line="240" w:lineRule="auto"/>
              <w:ind w:firstLine="0" w:firstLineChars="0"/>
              <w:jc w:val="center"/>
              <w:rPr>
                <w:rFonts w:hint="eastAsia" w:ascii="宋体" w:hAnsi="宋体" w:cs="宋体"/>
                <w:sz w:val="21"/>
              </w:rPr>
            </w:pPr>
          </w:p>
        </w:tc>
        <w:tc>
          <w:tcPr>
            <w:tcW w:w="941" w:type="dxa"/>
            <w:tcBorders>
              <w:tl2br w:val="nil"/>
              <w:tr2bl w:val="nil"/>
            </w:tcBorders>
            <w:vAlign w:val="center"/>
          </w:tcPr>
          <w:p w14:paraId="7A7DDC25">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把</w:t>
            </w:r>
          </w:p>
        </w:tc>
        <w:tc>
          <w:tcPr>
            <w:tcW w:w="1173" w:type="dxa"/>
            <w:tcBorders>
              <w:tl2br w:val="nil"/>
              <w:tr2bl w:val="nil"/>
            </w:tcBorders>
            <w:vAlign w:val="center"/>
          </w:tcPr>
          <w:p w14:paraId="49737F96">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3</w:t>
            </w:r>
          </w:p>
        </w:tc>
        <w:tc>
          <w:tcPr>
            <w:tcW w:w="2168" w:type="dxa"/>
            <w:tcBorders>
              <w:tl2br w:val="nil"/>
              <w:tr2bl w:val="nil"/>
            </w:tcBorders>
            <w:vAlign w:val="center"/>
          </w:tcPr>
          <w:p w14:paraId="6EF278FA">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28C0486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1FC61936">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23</w:t>
            </w:r>
          </w:p>
        </w:tc>
        <w:tc>
          <w:tcPr>
            <w:tcW w:w="2445" w:type="dxa"/>
            <w:tcBorders>
              <w:tl2br w:val="nil"/>
              <w:tr2bl w:val="nil"/>
            </w:tcBorders>
            <w:vAlign w:val="center"/>
          </w:tcPr>
          <w:p w14:paraId="0DC1DCB9">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消防铲</w:t>
            </w:r>
          </w:p>
        </w:tc>
        <w:tc>
          <w:tcPr>
            <w:tcW w:w="1454" w:type="dxa"/>
            <w:tcBorders>
              <w:tl2br w:val="nil"/>
              <w:tr2bl w:val="nil"/>
            </w:tcBorders>
            <w:vAlign w:val="center"/>
          </w:tcPr>
          <w:p w14:paraId="613D7035">
            <w:pPr>
              <w:widowControl/>
              <w:adjustRightInd w:val="0"/>
              <w:snapToGrid w:val="0"/>
              <w:spacing w:line="240" w:lineRule="auto"/>
              <w:ind w:firstLine="0" w:firstLineChars="0"/>
              <w:jc w:val="center"/>
              <w:rPr>
                <w:rFonts w:hint="eastAsia" w:ascii="宋体" w:hAnsi="宋体" w:cs="宋体"/>
                <w:sz w:val="21"/>
              </w:rPr>
            </w:pPr>
          </w:p>
        </w:tc>
        <w:tc>
          <w:tcPr>
            <w:tcW w:w="941" w:type="dxa"/>
            <w:tcBorders>
              <w:tl2br w:val="nil"/>
              <w:tr2bl w:val="nil"/>
            </w:tcBorders>
            <w:vAlign w:val="center"/>
          </w:tcPr>
          <w:p w14:paraId="0D069AA4">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把</w:t>
            </w:r>
          </w:p>
        </w:tc>
        <w:tc>
          <w:tcPr>
            <w:tcW w:w="1173" w:type="dxa"/>
            <w:tcBorders>
              <w:tl2br w:val="nil"/>
              <w:tr2bl w:val="nil"/>
            </w:tcBorders>
            <w:vAlign w:val="center"/>
          </w:tcPr>
          <w:p w14:paraId="516742F2">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4</w:t>
            </w:r>
          </w:p>
        </w:tc>
        <w:tc>
          <w:tcPr>
            <w:tcW w:w="2168" w:type="dxa"/>
            <w:tcBorders>
              <w:tl2br w:val="nil"/>
              <w:tr2bl w:val="nil"/>
            </w:tcBorders>
            <w:vAlign w:val="center"/>
          </w:tcPr>
          <w:p w14:paraId="01800EB1">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23513E9D">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73A7A3A3">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24</w:t>
            </w:r>
          </w:p>
        </w:tc>
        <w:tc>
          <w:tcPr>
            <w:tcW w:w="2445" w:type="dxa"/>
            <w:tcBorders>
              <w:tl2br w:val="nil"/>
              <w:tr2bl w:val="nil"/>
            </w:tcBorders>
            <w:vAlign w:val="center"/>
          </w:tcPr>
          <w:p w14:paraId="013D9D57">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警示灯</w:t>
            </w:r>
          </w:p>
        </w:tc>
        <w:tc>
          <w:tcPr>
            <w:tcW w:w="1454" w:type="dxa"/>
            <w:tcBorders>
              <w:tl2br w:val="nil"/>
              <w:tr2bl w:val="nil"/>
            </w:tcBorders>
            <w:vAlign w:val="center"/>
          </w:tcPr>
          <w:p w14:paraId="33C9CAE1">
            <w:pPr>
              <w:widowControl/>
              <w:adjustRightInd w:val="0"/>
              <w:snapToGrid w:val="0"/>
              <w:spacing w:line="240" w:lineRule="auto"/>
              <w:ind w:firstLine="0" w:firstLineChars="0"/>
              <w:jc w:val="center"/>
              <w:rPr>
                <w:rFonts w:hint="eastAsia" w:ascii="宋体" w:hAnsi="宋体" w:cs="宋体"/>
                <w:sz w:val="21"/>
              </w:rPr>
            </w:pPr>
          </w:p>
        </w:tc>
        <w:tc>
          <w:tcPr>
            <w:tcW w:w="941" w:type="dxa"/>
            <w:tcBorders>
              <w:tl2br w:val="nil"/>
              <w:tr2bl w:val="nil"/>
            </w:tcBorders>
            <w:vAlign w:val="center"/>
          </w:tcPr>
          <w:p w14:paraId="5F78DD06">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把</w:t>
            </w:r>
          </w:p>
        </w:tc>
        <w:tc>
          <w:tcPr>
            <w:tcW w:w="1173" w:type="dxa"/>
            <w:tcBorders>
              <w:tl2br w:val="nil"/>
              <w:tr2bl w:val="nil"/>
            </w:tcBorders>
            <w:vAlign w:val="center"/>
          </w:tcPr>
          <w:p w14:paraId="3AC418DE">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8</w:t>
            </w:r>
          </w:p>
        </w:tc>
        <w:tc>
          <w:tcPr>
            <w:tcW w:w="2168" w:type="dxa"/>
            <w:tcBorders>
              <w:tl2br w:val="nil"/>
              <w:tr2bl w:val="nil"/>
            </w:tcBorders>
            <w:vAlign w:val="center"/>
          </w:tcPr>
          <w:p w14:paraId="0FFACB2D">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7C0F6CEE">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7EDBC886">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25</w:t>
            </w:r>
          </w:p>
        </w:tc>
        <w:tc>
          <w:tcPr>
            <w:tcW w:w="2445" w:type="dxa"/>
            <w:tcBorders>
              <w:tl2br w:val="nil"/>
              <w:tr2bl w:val="nil"/>
            </w:tcBorders>
            <w:vAlign w:val="center"/>
          </w:tcPr>
          <w:p w14:paraId="50A8C56C">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撬棍</w:t>
            </w:r>
          </w:p>
        </w:tc>
        <w:tc>
          <w:tcPr>
            <w:tcW w:w="1454" w:type="dxa"/>
            <w:tcBorders>
              <w:tl2br w:val="nil"/>
              <w:tr2bl w:val="nil"/>
            </w:tcBorders>
            <w:vAlign w:val="center"/>
          </w:tcPr>
          <w:p w14:paraId="75AAAD1A">
            <w:pPr>
              <w:widowControl/>
              <w:adjustRightInd w:val="0"/>
              <w:snapToGrid w:val="0"/>
              <w:spacing w:line="240" w:lineRule="auto"/>
              <w:ind w:firstLine="0" w:firstLineChars="0"/>
              <w:jc w:val="center"/>
              <w:rPr>
                <w:rFonts w:hint="eastAsia" w:ascii="宋体" w:hAnsi="宋体" w:cs="宋体"/>
                <w:sz w:val="21"/>
              </w:rPr>
            </w:pPr>
          </w:p>
        </w:tc>
        <w:tc>
          <w:tcPr>
            <w:tcW w:w="941" w:type="dxa"/>
            <w:tcBorders>
              <w:tl2br w:val="nil"/>
              <w:tr2bl w:val="nil"/>
            </w:tcBorders>
            <w:vAlign w:val="center"/>
          </w:tcPr>
          <w:p w14:paraId="2FBFBBBA">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根</w:t>
            </w:r>
          </w:p>
        </w:tc>
        <w:tc>
          <w:tcPr>
            <w:tcW w:w="1173" w:type="dxa"/>
            <w:tcBorders>
              <w:tl2br w:val="nil"/>
              <w:tr2bl w:val="nil"/>
            </w:tcBorders>
            <w:vAlign w:val="center"/>
          </w:tcPr>
          <w:p w14:paraId="69919D05">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4</w:t>
            </w:r>
          </w:p>
        </w:tc>
        <w:tc>
          <w:tcPr>
            <w:tcW w:w="2168" w:type="dxa"/>
            <w:tcBorders>
              <w:tl2br w:val="nil"/>
              <w:tr2bl w:val="nil"/>
            </w:tcBorders>
            <w:vAlign w:val="center"/>
          </w:tcPr>
          <w:p w14:paraId="1241A97A">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5E9E570D">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76D2EED4">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26</w:t>
            </w:r>
          </w:p>
        </w:tc>
        <w:tc>
          <w:tcPr>
            <w:tcW w:w="2445" w:type="dxa"/>
            <w:tcBorders>
              <w:tl2br w:val="nil"/>
              <w:tr2bl w:val="nil"/>
            </w:tcBorders>
            <w:vAlign w:val="center"/>
          </w:tcPr>
          <w:p w14:paraId="15212B56">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配电箱</w:t>
            </w:r>
          </w:p>
        </w:tc>
        <w:tc>
          <w:tcPr>
            <w:tcW w:w="1454" w:type="dxa"/>
            <w:tcBorders>
              <w:tl2br w:val="nil"/>
              <w:tr2bl w:val="nil"/>
            </w:tcBorders>
            <w:vAlign w:val="center"/>
          </w:tcPr>
          <w:p w14:paraId="34884082">
            <w:pPr>
              <w:widowControl/>
              <w:adjustRightInd w:val="0"/>
              <w:snapToGrid w:val="0"/>
              <w:spacing w:line="240" w:lineRule="auto"/>
              <w:ind w:firstLine="0" w:firstLineChars="0"/>
              <w:jc w:val="center"/>
              <w:rPr>
                <w:rFonts w:hint="eastAsia" w:ascii="宋体" w:hAnsi="宋体" w:cs="宋体"/>
                <w:sz w:val="21"/>
              </w:rPr>
            </w:pPr>
          </w:p>
        </w:tc>
        <w:tc>
          <w:tcPr>
            <w:tcW w:w="941" w:type="dxa"/>
            <w:tcBorders>
              <w:tl2br w:val="nil"/>
              <w:tr2bl w:val="nil"/>
            </w:tcBorders>
            <w:vAlign w:val="center"/>
          </w:tcPr>
          <w:p w14:paraId="6A1F92E4">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台</w:t>
            </w:r>
          </w:p>
        </w:tc>
        <w:tc>
          <w:tcPr>
            <w:tcW w:w="1173" w:type="dxa"/>
            <w:tcBorders>
              <w:tl2br w:val="nil"/>
              <w:tr2bl w:val="nil"/>
            </w:tcBorders>
            <w:vAlign w:val="center"/>
          </w:tcPr>
          <w:p w14:paraId="58532299">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10</w:t>
            </w:r>
          </w:p>
        </w:tc>
        <w:tc>
          <w:tcPr>
            <w:tcW w:w="2168" w:type="dxa"/>
            <w:tcBorders>
              <w:tl2br w:val="nil"/>
              <w:tr2bl w:val="nil"/>
            </w:tcBorders>
            <w:vAlign w:val="center"/>
          </w:tcPr>
          <w:p w14:paraId="08632565">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1CFE5401">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7B7E72DF">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27</w:t>
            </w:r>
          </w:p>
        </w:tc>
        <w:tc>
          <w:tcPr>
            <w:tcW w:w="2445" w:type="dxa"/>
            <w:tcBorders>
              <w:tl2br w:val="nil"/>
              <w:tr2bl w:val="nil"/>
            </w:tcBorders>
            <w:vAlign w:val="center"/>
          </w:tcPr>
          <w:p w14:paraId="3D09DD75">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水泵</w:t>
            </w:r>
          </w:p>
        </w:tc>
        <w:tc>
          <w:tcPr>
            <w:tcW w:w="1454" w:type="dxa"/>
            <w:tcBorders>
              <w:tl2br w:val="nil"/>
              <w:tr2bl w:val="nil"/>
            </w:tcBorders>
            <w:vAlign w:val="center"/>
          </w:tcPr>
          <w:p w14:paraId="3E81A280">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4KW</w:t>
            </w:r>
          </w:p>
        </w:tc>
        <w:tc>
          <w:tcPr>
            <w:tcW w:w="941" w:type="dxa"/>
            <w:tcBorders>
              <w:tl2br w:val="nil"/>
              <w:tr2bl w:val="nil"/>
            </w:tcBorders>
            <w:vAlign w:val="center"/>
          </w:tcPr>
          <w:p w14:paraId="0E43EFE8">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台</w:t>
            </w:r>
          </w:p>
        </w:tc>
        <w:tc>
          <w:tcPr>
            <w:tcW w:w="1173" w:type="dxa"/>
            <w:tcBorders>
              <w:tl2br w:val="nil"/>
              <w:tr2bl w:val="nil"/>
            </w:tcBorders>
            <w:vAlign w:val="center"/>
          </w:tcPr>
          <w:p w14:paraId="5F573DDE">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4</w:t>
            </w:r>
          </w:p>
        </w:tc>
        <w:tc>
          <w:tcPr>
            <w:tcW w:w="2168" w:type="dxa"/>
            <w:tcBorders>
              <w:tl2br w:val="nil"/>
              <w:tr2bl w:val="nil"/>
            </w:tcBorders>
            <w:vAlign w:val="center"/>
          </w:tcPr>
          <w:p w14:paraId="30ED5C65">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7249A3A1">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63E95E83">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28</w:t>
            </w:r>
          </w:p>
        </w:tc>
        <w:tc>
          <w:tcPr>
            <w:tcW w:w="2445" w:type="dxa"/>
            <w:tcBorders>
              <w:tl2br w:val="nil"/>
              <w:tr2bl w:val="nil"/>
            </w:tcBorders>
            <w:vAlign w:val="center"/>
          </w:tcPr>
          <w:p w14:paraId="0ADBB19E">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锥形桶</w:t>
            </w:r>
          </w:p>
        </w:tc>
        <w:tc>
          <w:tcPr>
            <w:tcW w:w="1454" w:type="dxa"/>
            <w:tcBorders>
              <w:tl2br w:val="nil"/>
              <w:tr2bl w:val="nil"/>
            </w:tcBorders>
            <w:vAlign w:val="center"/>
          </w:tcPr>
          <w:p w14:paraId="2939AEB3">
            <w:pPr>
              <w:widowControl/>
              <w:adjustRightInd w:val="0"/>
              <w:snapToGrid w:val="0"/>
              <w:spacing w:line="240" w:lineRule="auto"/>
              <w:ind w:firstLine="0" w:firstLineChars="0"/>
              <w:jc w:val="center"/>
              <w:rPr>
                <w:rFonts w:hint="eastAsia" w:ascii="宋体" w:hAnsi="宋体" w:cs="宋体"/>
                <w:sz w:val="21"/>
              </w:rPr>
            </w:pPr>
          </w:p>
        </w:tc>
        <w:tc>
          <w:tcPr>
            <w:tcW w:w="941" w:type="dxa"/>
            <w:tcBorders>
              <w:tl2br w:val="nil"/>
              <w:tr2bl w:val="nil"/>
            </w:tcBorders>
            <w:vAlign w:val="center"/>
          </w:tcPr>
          <w:p w14:paraId="24EFDAA0">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个</w:t>
            </w:r>
          </w:p>
        </w:tc>
        <w:tc>
          <w:tcPr>
            <w:tcW w:w="1173" w:type="dxa"/>
            <w:tcBorders>
              <w:tl2br w:val="nil"/>
              <w:tr2bl w:val="nil"/>
            </w:tcBorders>
            <w:vAlign w:val="center"/>
          </w:tcPr>
          <w:p w14:paraId="20A2FE8C">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20</w:t>
            </w:r>
          </w:p>
        </w:tc>
        <w:tc>
          <w:tcPr>
            <w:tcW w:w="2168" w:type="dxa"/>
            <w:tcBorders>
              <w:tl2br w:val="nil"/>
              <w:tr2bl w:val="nil"/>
            </w:tcBorders>
            <w:vAlign w:val="center"/>
          </w:tcPr>
          <w:p w14:paraId="280C1335">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施工现场</w:t>
            </w:r>
          </w:p>
        </w:tc>
      </w:tr>
      <w:tr w14:paraId="0D86162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0E174D5B">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29</w:t>
            </w:r>
          </w:p>
        </w:tc>
        <w:tc>
          <w:tcPr>
            <w:tcW w:w="2445" w:type="dxa"/>
            <w:tcBorders>
              <w:tl2br w:val="nil"/>
              <w:tr2bl w:val="nil"/>
            </w:tcBorders>
            <w:vAlign w:val="center"/>
          </w:tcPr>
          <w:p w14:paraId="2EFF44E5">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方木</w:t>
            </w:r>
          </w:p>
        </w:tc>
        <w:tc>
          <w:tcPr>
            <w:tcW w:w="1454" w:type="dxa"/>
            <w:tcBorders>
              <w:tl2br w:val="nil"/>
              <w:tr2bl w:val="nil"/>
            </w:tcBorders>
            <w:vAlign w:val="center"/>
          </w:tcPr>
          <w:p w14:paraId="1202DECF">
            <w:pPr>
              <w:widowControl/>
              <w:adjustRightInd w:val="0"/>
              <w:snapToGrid w:val="0"/>
              <w:spacing w:line="240" w:lineRule="auto"/>
              <w:ind w:firstLine="0" w:firstLineChars="0"/>
              <w:jc w:val="center"/>
              <w:rPr>
                <w:rFonts w:hint="eastAsia" w:ascii="宋体" w:hAnsi="宋体" w:cs="宋体"/>
                <w:sz w:val="21"/>
              </w:rPr>
            </w:pPr>
          </w:p>
        </w:tc>
        <w:tc>
          <w:tcPr>
            <w:tcW w:w="941" w:type="dxa"/>
            <w:tcBorders>
              <w:tl2br w:val="nil"/>
              <w:tr2bl w:val="nil"/>
            </w:tcBorders>
            <w:vAlign w:val="center"/>
          </w:tcPr>
          <w:p w14:paraId="132A67F8">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M3</w:t>
            </w:r>
          </w:p>
        </w:tc>
        <w:tc>
          <w:tcPr>
            <w:tcW w:w="1173" w:type="dxa"/>
            <w:tcBorders>
              <w:tl2br w:val="nil"/>
              <w:tr2bl w:val="nil"/>
            </w:tcBorders>
            <w:vAlign w:val="center"/>
          </w:tcPr>
          <w:p w14:paraId="5CE3547B">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4</w:t>
            </w:r>
          </w:p>
        </w:tc>
        <w:tc>
          <w:tcPr>
            <w:tcW w:w="2168" w:type="dxa"/>
            <w:tcBorders>
              <w:tl2br w:val="nil"/>
              <w:tr2bl w:val="nil"/>
            </w:tcBorders>
            <w:vAlign w:val="center"/>
          </w:tcPr>
          <w:p w14:paraId="182CE627">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施工现场</w:t>
            </w:r>
          </w:p>
        </w:tc>
      </w:tr>
      <w:tr w14:paraId="5CBB224B">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6C0B86B0">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30</w:t>
            </w:r>
          </w:p>
        </w:tc>
        <w:tc>
          <w:tcPr>
            <w:tcW w:w="2445" w:type="dxa"/>
            <w:tcBorders>
              <w:tl2br w:val="nil"/>
              <w:tr2bl w:val="nil"/>
            </w:tcBorders>
            <w:vAlign w:val="center"/>
          </w:tcPr>
          <w:p w14:paraId="113B0F91">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项目救护车</w:t>
            </w:r>
          </w:p>
        </w:tc>
        <w:tc>
          <w:tcPr>
            <w:tcW w:w="1454" w:type="dxa"/>
            <w:tcBorders>
              <w:tl2br w:val="nil"/>
              <w:tr2bl w:val="nil"/>
            </w:tcBorders>
            <w:vAlign w:val="center"/>
          </w:tcPr>
          <w:p w14:paraId="21D0EA72">
            <w:pPr>
              <w:widowControl/>
              <w:adjustRightInd w:val="0"/>
              <w:snapToGrid w:val="0"/>
              <w:spacing w:line="240" w:lineRule="auto"/>
              <w:ind w:firstLine="0" w:firstLineChars="0"/>
              <w:jc w:val="center"/>
              <w:rPr>
                <w:rFonts w:hint="eastAsia" w:ascii="宋体" w:hAnsi="宋体" w:cs="宋体"/>
                <w:sz w:val="21"/>
              </w:rPr>
            </w:pPr>
          </w:p>
        </w:tc>
        <w:tc>
          <w:tcPr>
            <w:tcW w:w="941" w:type="dxa"/>
            <w:tcBorders>
              <w:tl2br w:val="nil"/>
              <w:tr2bl w:val="nil"/>
            </w:tcBorders>
            <w:vAlign w:val="center"/>
          </w:tcPr>
          <w:p w14:paraId="66BED6CD">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辆</w:t>
            </w:r>
          </w:p>
        </w:tc>
        <w:tc>
          <w:tcPr>
            <w:tcW w:w="1173" w:type="dxa"/>
            <w:tcBorders>
              <w:tl2br w:val="nil"/>
              <w:tr2bl w:val="nil"/>
            </w:tcBorders>
            <w:vAlign w:val="center"/>
          </w:tcPr>
          <w:p w14:paraId="424369F0">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1</w:t>
            </w:r>
          </w:p>
        </w:tc>
        <w:tc>
          <w:tcPr>
            <w:tcW w:w="2168" w:type="dxa"/>
            <w:tcBorders>
              <w:tl2br w:val="nil"/>
              <w:tr2bl w:val="nil"/>
            </w:tcBorders>
            <w:vAlign w:val="center"/>
          </w:tcPr>
          <w:p w14:paraId="2F43F282">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施工现场</w:t>
            </w:r>
          </w:p>
        </w:tc>
      </w:tr>
    </w:tbl>
    <w:p w14:paraId="121F7283">
      <w:pPr>
        <w:pStyle w:val="3"/>
        <w:spacing w:before="166" w:after="166"/>
        <w:ind w:firstLine="562"/>
      </w:pPr>
      <w:bookmarkStart w:id="253" w:name="_Toc8700"/>
      <w:bookmarkStart w:id="254" w:name="_Toc422"/>
      <w:bookmarkStart w:id="255" w:name="_Toc30550"/>
      <w:bookmarkStart w:id="256" w:name="_Toc22928_WPSOffice_Level2"/>
      <w:r>
        <w:rPr>
          <w:rFonts w:hint="eastAsia"/>
        </w:rPr>
        <w:t>应急医院及线路图</w:t>
      </w:r>
      <w:bookmarkEnd w:id="253"/>
      <w:bookmarkEnd w:id="254"/>
      <w:bookmarkEnd w:id="255"/>
      <w:bookmarkEnd w:id="256"/>
    </w:p>
    <w:p w14:paraId="5B78C835">
      <w:pPr>
        <w:pStyle w:val="85"/>
      </w:pPr>
      <w:bookmarkStart w:id="257" w:name="_Toc21442"/>
      <w:bookmarkStart w:id="258" w:name="_Toc24956_WPSOffice_Level2"/>
      <w:bookmarkStart w:id="259" w:name="_Toc23895"/>
      <w:r>
        <w:rPr>
          <w:rFonts w:hint="eastAsia"/>
        </w:rPr>
        <w:t>医疗救护组负责人，按职责规定负责在外部救援机构未到达前，对受害者进行必要的抢救（如人工呼吸、包扎止血、防止受伤部位受污染等）。如情况特殊，</w:t>
      </w:r>
      <w:r>
        <w:t xml:space="preserve"> </w:t>
      </w:r>
      <w:r>
        <w:rPr>
          <w:rFonts w:hint="eastAsia"/>
        </w:rPr>
        <w:t>在有条件的情况下，安排项目部的车辆将重度受害者尽快送到医院。</w:t>
      </w:r>
    </w:p>
    <w:tbl>
      <w:tblPr>
        <w:tblStyle w:val="33"/>
        <w:tblW w:w="500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57" w:type="dxa"/>
          <w:left w:w="108" w:type="dxa"/>
          <w:bottom w:w="28" w:type="dxa"/>
          <w:right w:w="108" w:type="dxa"/>
        </w:tblCellMar>
      </w:tblPr>
      <w:tblGrid>
        <w:gridCol w:w="8516"/>
      </w:tblGrid>
      <w:tr w14:paraId="3CEF94E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57" w:type="dxa"/>
            <w:left w:w="108" w:type="dxa"/>
            <w:bottom w:w="28" w:type="dxa"/>
            <w:right w:w="108" w:type="dxa"/>
          </w:tblCellMar>
        </w:tblPrEx>
        <w:trPr>
          <w:trHeight w:val="414" w:hRule="atLeast"/>
          <w:tblHeader/>
        </w:trPr>
        <w:tc>
          <w:tcPr>
            <w:tcW w:w="5000" w:type="pct"/>
            <w:tcBorders>
              <w:tl2br w:val="nil"/>
              <w:tr2bl w:val="nil"/>
            </w:tcBorders>
            <w:shd w:val="clear" w:color="auto" w:fill="auto"/>
            <w:vAlign w:val="center"/>
          </w:tcPr>
          <w:p w14:paraId="43A57112">
            <w:pPr>
              <w:pStyle w:val="59"/>
              <w:rPr>
                <w:rFonts w:hint="eastAsia"/>
                <w:b/>
                <w:bCs/>
                <w:highlight w:val="yellow"/>
              </w:rPr>
            </w:pPr>
            <w:r>
              <w:rPr>
                <w:rFonts w:hint="eastAsia"/>
              </w:rPr>
              <w:t>医院相关信息</w:t>
            </w:r>
          </w:p>
        </w:tc>
      </w:tr>
      <w:tr w14:paraId="0E0EC59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57" w:type="dxa"/>
            <w:left w:w="108" w:type="dxa"/>
            <w:bottom w:w="28" w:type="dxa"/>
            <w:right w:w="108" w:type="dxa"/>
          </w:tblCellMar>
        </w:tblPrEx>
        <w:trPr>
          <w:trHeight w:val="454" w:hRule="atLeast"/>
        </w:trPr>
        <w:tc>
          <w:tcPr>
            <w:tcW w:w="5000" w:type="pct"/>
            <w:tcBorders>
              <w:tl2br w:val="nil"/>
              <w:tr2bl w:val="nil"/>
            </w:tcBorders>
            <w:shd w:val="clear" w:color="auto" w:fill="auto"/>
            <w:vAlign w:val="center"/>
          </w:tcPr>
          <w:p w14:paraId="4E2F77AB">
            <w:pPr>
              <w:pStyle w:val="59"/>
              <w:rPr>
                <w:rFonts w:hint="eastAsia"/>
                <w:b/>
                <w:bCs/>
              </w:rPr>
            </w:pPr>
            <w:r>
              <w:rPr>
                <w:rFonts w:hint="eastAsia"/>
              </w:rPr>
              <w:t>医院名称：彭州市第二人民医院</w:t>
            </w:r>
          </w:p>
        </w:tc>
      </w:tr>
      <w:tr w14:paraId="2D9413C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57" w:type="dxa"/>
            <w:left w:w="108" w:type="dxa"/>
            <w:bottom w:w="28" w:type="dxa"/>
            <w:right w:w="108" w:type="dxa"/>
          </w:tblCellMar>
        </w:tblPrEx>
        <w:trPr>
          <w:trHeight w:val="454" w:hRule="atLeast"/>
        </w:trPr>
        <w:tc>
          <w:tcPr>
            <w:tcW w:w="5000" w:type="pct"/>
            <w:tcBorders>
              <w:tl2br w:val="nil"/>
              <w:tr2bl w:val="nil"/>
            </w:tcBorders>
            <w:shd w:val="clear" w:color="auto" w:fill="auto"/>
            <w:vAlign w:val="center"/>
          </w:tcPr>
          <w:p w14:paraId="67BF3654">
            <w:pPr>
              <w:pStyle w:val="59"/>
              <w:rPr>
                <w:rFonts w:hint="eastAsia"/>
                <w:b/>
                <w:bCs/>
              </w:rPr>
            </w:pPr>
            <w:r>
              <w:rPr>
                <w:rFonts w:hint="eastAsia"/>
              </w:rPr>
              <w:t>医院地址：彭州市濛北三路696号</w:t>
            </w:r>
          </w:p>
        </w:tc>
      </w:tr>
      <w:tr w14:paraId="6E5FC97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57" w:type="dxa"/>
            <w:left w:w="108" w:type="dxa"/>
            <w:bottom w:w="28" w:type="dxa"/>
            <w:right w:w="108" w:type="dxa"/>
          </w:tblCellMar>
        </w:tblPrEx>
        <w:trPr>
          <w:trHeight w:val="454" w:hRule="atLeast"/>
        </w:trPr>
        <w:tc>
          <w:tcPr>
            <w:tcW w:w="5000" w:type="pct"/>
            <w:tcBorders>
              <w:tl2br w:val="nil"/>
              <w:tr2bl w:val="nil"/>
            </w:tcBorders>
            <w:shd w:val="clear" w:color="auto" w:fill="auto"/>
            <w:vAlign w:val="center"/>
          </w:tcPr>
          <w:p w14:paraId="24C6816C">
            <w:pPr>
              <w:pStyle w:val="59"/>
              <w:rPr>
                <w:rFonts w:hint="eastAsia"/>
                <w:b/>
                <w:bCs/>
              </w:rPr>
            </w:pPr>
            <w:r>
              <w:rPr>
                <w:rFonts w:hint="eastAsia"/>
              </w:rPr>
              <w:t>医院电话：028-83829087</w:t>
            </w:r>
          </w:p>
        </w:tc>
      </w:tr>
      <w:tr w14:paraId="4617368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57" w:type="dxa"/>
            <w:left w:w="108" w:type="dxa"/>
            <w:bottom w:w="28" w:type="dxa"/>
            <w:right w:w="108" w:type="dxa"/>
          </w:tblCellMar>
        </w:tblPrEx>
        <w:trPr>
          <w:trHeight w:val="454" w:hRule="atLeast"/>
        </w:trPr>
        <w:tc>
          <w:tcPr>
            <w:tcW w:w="5000" w:type="pct"/>
            <w:tcBorders>
              <w:tl2br w:val="nil"/>
              <w:tr2bl w:val="nil"/>
            </w:tcBorders>
            <w:shd w:val="clear" w:color="auto" w:fill="auto"/>
            <w:vAlign w:val="center"/>
          </w:tcPr>
          <w:p w14:paraId="6BC029F9">
            <w:pPr>
              <w:pStyle w:val="59"/>
              <w:rPr>
                <w:rFonts w:hint="eastAsia"/>
                <w:b/>
                <w:bCs/>
              </w:rPr>
            </w:pPr>
            <w:r>
              <w:rPr>
                <w:rFonts w:hint="eastAsia"/>
              </w:rPr>
              <w:t>医院科室设立：外科、骨科、疼痛科、急诊科等</w:t>
            </w:r>
          </w:p>
        </w:tc>
      </w:tr>
      <w:tr w14:paraId="02124A2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54" w:hRule="atLeast"/>
        </w:trPr>
        <w:tc>
          <w:tcPr>
            <w:tcW w:w="5000" w:type="pct"/>
            <w:tcBorders>
              <w:tl2br w:val="nil"/>
              <w:tr2bl w:val="nil"/>
            </w:tcBorders>
            <w:shd w:val="clear" w:color="auto" w:fill="auto"/>
            <w:vAlign w:val="center"/>
          </w:tcPr>
          <w:p w14:paraId="0394E498">
            <w:pPr>
              <w:pStyle w:val="59"/>
              <w:rPr>
                <w:rFonts w:hint="eastAsia"/>
                <w:b/>
                <w:bCs/>
              </w:rPr>
            </w:pPr>
            <w:r>
              <w:rPr>
                <w:rFonts w:hint="eastAsia"/>
              </w:rPr>
              <w:t>乘车方式及路程、时间：项目驾车、医院救护车，2.2公里，7分钟</w:t>
            </w:r>
          </w:p>
        </w:tc>
      </w:tr>
      <w:tr w14:paraId="7D4F52C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54" w:hRule="atLeast"/>
        </w:trPr>
        <w:tc>
          <w:tcPr>
            <w:tcW w:w="5000" w:type="pct"/>
            <w:tcBorders>
              <w:tl2br w:val="nil"/>
              <w:tr2bl w:val="nil"/>
            </w:tcBorders>
            <w:shd w:val="clear" w:color="auto" w:fill="auto"/>
            <w:vAlign w:val="center"/>
          </w:tcPr>
          <w:p w14:paraId="12B27C3A">
            <w:pPr>
              <w:pStyle w:val="59"/>
              <w:rPr>
                <w:rFonts w:hint="eastAsia"/>
                <w:b/>
                <w:bCs/>
              </w:rPr>
            </w:pPr>
            <w:r>
              <w:rPr>
                <w:rFonts w:hint="eastAsia"/>
              </w:rPr>
              <w:t>就医路线</w:t>
            </w:r>
          </w:p>
          <w:p w14:paraId="6454854D">
            <w:pPr>
              <w:widowControl/>
              <w:spacing w:line="240" w:lineRule="auto"/>
              <w:ind w:firstLine="420"/>
              <w:jc w:val="left"/>
              <w:rPr>
                <w:rFonts w:hint="eastAsia" w:ascii="宋体" w:hAnsi="宋体" w:cs="宋体"/>
                <w:sz w:val="21"/>
              </w:rPr>
            </w:pPr>
            <w:r>
              <w:rPr>
                <w:rFonts w:hint="eastAsia" w:ascii="宋体" w:hAnsi="宋体" w:cs="宋体"/>
                <w:sz w:val="21"/>
              </w:rPr>
              <w:t xml:space="preserve">  </w:t>
            </w:r>
            <w:r>
              <w:rPr>
                <w:rFonts w:hint="eastAsia" w:ascii="宋体" w:hAnsi="宋体" w:cs="宋体"/>
                <w:sz w:val="21"/>
              </w:rPr>
              <w:drawing>
                <wp:inline distT="0" distB="0" distL="114300" distR="114300">
                  <wp:extent cx="4257675" cy="3143885"/>
                  <wp:effectExtent l="0" t="0" r="9525" b="184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4"/>
                          <a:stretch>
                            <a:fillRect/>
                          </a:stretch>
                        </pic:blipFill>
                        <pic:spPr>
                          <a:xfrm>
                            <a:off x="0" y="0"/>
                            <a:ext cx="4257675" cy="3143885"/>
                          </a:xfrm>
                          <a:prstGeom prst="rect">
                            <a:avLst/>
                          </a:prstGeom>
                          <a:noFill/>
                          <a:ln>
                            <a:noFill/>
                          </a:ln>
                        </pic:spPr>
                      </pic:pic>
                    </a:graphicData>
                  </a:graphic>
                </wp:inline>
              </w:drawing>
            </w:r>
          </w:p>
          <w:p w14:paraId="198ACFB7">
            <w:pPr>
              <w:pStyle w:val="59"/>
              <w:rPr>
                <w:rFonts w:hint="eastAsia"/>
              </w:rPr>
            </w:pPr>
          </w:p>
        </w:tc>
      </w:tr>
    </w:tbl>
    <w:p w14:paraId="672892EF">
      <w:pPr>
        <w:pStyle w:val="3"/>
        <w:spacing w:before="166" w:after="166"/>
        <w:ind w:firstLine="562"/>
      </w:pPr>
      <w:bookmarkStart w:id="260" w:name="_Toc26547"/>
      <w:r>
        <w:rPr>
          <w:rFonts w:hint="eastAsia"/>
        </w:rPr>
        <w:t>事故善后及恢复生产</w:t>
      </w:r>
      <w:bookmarkEnd w:id="257"/>
      <w:bookmarkEnd w:id="258"/>
      <w:bookmarkEnd w:id="259"/>
      <w:bookmarkEnd w:id="260"/>
    </w:p>
    <w:p w14:paraId="1A99BC75">
      <w:pPr>
        <w:ind w:firstLine="480"/>
      </w:pPr>
      <w:r>
        <w:rPr>
          <w:rFonts w:hint="eastAsia"/>
        </w:rPr>
        <w:t>应急小组在抢援工作结束后，对发生人员伤亡、机损事故和财产损失等事故的，遵循下列原则进行处理。</w:t>
      </w:r>
    </w:p>
    <w:p w14:paraId="16DFA1FC">
      <w:pPr>
        <w:ind w:firstLine="480"/>
      </w:pPr>
      <w:r>
        <w:rPr>
          <w:rFonts w:hint="eastAsia"/>
        </w:rPr>
        <w:t>（1）伤员处理</w:t>
      </w:r>
    </w:p>
    <w:p w14:paraId="1C55ECFB">
      <w:pPr>
        <w:ind w:firstLine="480"/>
      </w:pPr>
      <w:r>
        <w:rPr>
          <w:rFonts w:hint="eastAsia"/>
        </w:rPr>
        <w:t>按国家有关规定，做好事后伤亡家属的接待、安抚和善后处理以及保险赔偿工作。</w:t>
      </w:r>
    </w:p>
    <w:p w14:paraId="27712803">
      <w:pPr>
        <w:ind w:firstLine="480"/>
      </w:pPr>
      <w:r>
        <w:rPr>
          <w:rFonts w:hint="eastAsia"/>
        </w:rPr>
        <w:t>（2）调查分析</w:t>
      </w:r>
    </w:p>
    <w:p w14:paraId="3B18B1DD">
      <w:pPr>
        <w:ind w:firstLine="480"/>
      </w:pPr>
      <w:r>
        <w:rPr>
          <w:rFonts w:hint="eastAsia"/>
        </w:rPr>
        <w:t>对事故原因调查分析，确定责任和应该吸取的教训。</w:t>
      </w:r>
    </w:p>
    <w:p w14:paraId="3D6C3CA8">
      <w:pPr>
        <w:ind w:firstLine="480"/>
      </w:pPr>
      <w:r>
        <w:rPr>
          <w:rFonts w:hint="eastAsia"/>
        </w:rPr>
        <w:t>（3）事故处理</w:t>
      </w:r>
    </w:p>
    <w:p w14:paraId="7C5FDCE8">
      <w:pPr>
        <w:ind w:firstLine="480"/>
      </w:pPr>
      <w:r>
        <w:rPr>
          <w:rFonts w:hint="eastAsia"/>
        </w:rPr>
        <w:t>根据事故调查结果，按“四不放过”原则（</w:t>
      </w:r>
      <w:r>
        <w:rPr>
          <w:rFonts w:ascii="宋体" w:hAnsi="宋体" w:cs="宋体"/>
          <w:szCs w:val="24"/>
        </w:rPr>
        <w:t>事故原因未查清不放过、责任人员未处理不放过、整改措施未落实不放过、有关人员未受到教育不放过</w:t>
      </w:r>
      <w:r>
        <w:rPr>
          <w:rFonts w:hint="eastAsia"/>
        </w:rPr>
        <w:t>），认真总结事故经验教训，对发生事故的责任人或责任部门依照相关法律法规，提出事故处理意见。</w:t>
      </w:r>
    </w:p>
    <w:p w14:paraId="04AAB55C">
      <w:pPr>
        <w:ind w:firstLine="480"/>
      </w:pPr>
      <w:r>
        <w:rPr>
          <w:rFonts w:hint="eastAsia"/>
        </w:rPr>
        <w:t>（4）事故总结</w:t>
      </w:r>
    </w:p>
    <w:p w14:paraId="23FC2E51">
      <w:pPr>
        <w:ind w:firstLine="480"/>
      </w:pPr>
      <w:r>
        <w:rPr>
          <w:rFonts w:hint="eastAsia"/>
        </w:rPr>
        <w:t>事故处理完毕后，认真总结经验教训，完善管理，对事故后的处理过程认真分析总结、防范措施及应急预案进行补充和修改。</w:t>
      </w:r>
    </w:p>
    <w:p w14:paraId="1C898D21">
      <w:pPr>
        <w:ind w:firstLine="480"/>
      </w:pPr>
      <w:r>
        <w:rPr>
          <w:rFonts w:hint="eastAsia"/>
        </w:rPr>
        <w:t>（5）恢复生产</w:t>
      </w:r>
    </w:p>
    <w:p w14:paraId="63F7EB33">
      <w:pPr>
        <w:ind w:firstLine="480"/>
        <w:sectPr>
          <w:headerReference r:id="rId17" w:type="default"/>
          <w:footerReference r:id="rId18" w:type="default"/>
          <w:pgSz w:w="11906" w:h="16838"/>
          <w:pgMar w:top="1440" w:right="1803" w:bottom="1440" w:left="1803" w:header="851" w:footer="992" w:gutter="0"/>
          <w:cols w:space="0" w:num="1"/>
          <w:docGrid w:type="lines" w:linePitch="332" w:charSpace="0"/>
        </w:sectPr>
      </w:pPr>
      <w:r>
        <w:rPr>
          <w:rFonts w:hint="eastAsia"/>
        </w:rPr>
        <w:t>对现场隐患进行全面排查，整改完毕后报请业主、监理单位审批，同意后方可组织恢复生产工作。</w:t>
      </w:r>
    </w:p>
    <w:bookmarkEnd w:id="227"/>
    <w:bookmarkEnd w:id="228"/>
    <w:bookmarkEnd w:id="229"/>
    <w:p w14:paraId="3906F6EB">
      <w:pPr>
        <w:pStyle w:val="2"/>
        <w:spacing w:before="156" w:after="156"/>
        <w:ind w:firstLine="643"/>
      </w:pPr>
      <w:bookmarkStart w:id="261" w:name="_Toc26100"/>
      <w:bookmarkStart w:id="262" w:name="_Toc20247"/>
      <w:bookmarkStart w:id="263" w:name="_Toc30780"/>
      <w:bookmarkStart w:id="264" w:name="_Toc12420"/>
      <w:bookmarkStart w:id="265" w:name="_Toc20397_WPSOffice_Level1"/>
      <w:bookmarkStart w:id="266" w:name="_Toc32327"/>
      <w:r>
        <w:rPr>
          <w:rFonts w:hint="eastAsia"/>
        </w:rPr>
        <w:t>绿色及文明施工</w:t>
      </w:r>
      <w:bookmarkEnd w:id="261"/>
      <w:bookmarkEnd w:id="262"/>
    </w:p>
    <w:bookmarkEnd w:id="263"/>
    <w:bookmarkEnd w:id="264"/>
    <w:bookmarkEnd w:id="265"/>
    <w:bookmarkEnd w:id="266"/>
    <w:p w14:paraId="5B3B64B8">
      <w:pPr>
        <w:pStyle w:val="3"/>
        <w:spacing w:before="156" w:after="156"/>
        <w:ind w:firstLine="562"/>
      </w:pPr>
      <w:bookmarkStart w:id="267" w:name="_Toc19161"/>
      <w:bookmarkStart w:id="268" w:name="_Toc31795"/>
      <w:bookmarkStart w:id="269" w:name="_Toc7161"/>
      <w:r>
        <w:rPr>
          <w:rFonts w:hint="eastAsia"/>
        </w:rPr>
        <w:t>绿色施工管理组织机构图</w:t>
      </w:r>
      <w:bookmarkEnd w:id="267"/>
      <w:bookmarkEnd w:id="268"/>
      <w:bookmarkEnd w:id="269"/>
    </w:p>
    <w:p w14:paraId="1093CE66">
      <w:pPr>
        <w:ind w:firstLine="480"/>
      </w:pPr>
      <w:r>
        <w:rPr>
          <w:rFonts w:hint="eastAsia"/>
        </w:rPr>
        <w:t>目部成立相应绿色施工、环保、水保领导小组，以确保项目施工期间各项环境、水土指标符合环保、水保要求。领导小组由项目经理任组长，项目副经理和项目总工负责环境污染的控制和保证措施，各职能部门层层分解把关。</w:t>
      </w:r>
    </w:p>
    <w:p w14:paraId="1161D395">
      <w:pPr>
        <w:pStyle w:val="13"/>
        <w:ind w:firstLine="480"/>
        <w:rPr>
          <w:rFonts w:hint="default"/>
        </w:rPr>
      </w:pPr>
      <w:r>
        <w:rPr>
          <w:rFonts w:ascii="宋体" w:hAnsi="宋体"/>
        </w:rPr>
        <w:drawing>
          <wp:inline distT="0" distB="0" distL="114300" distR="114300">
            <wp:extent cx="5064125" cy="2259965"/>
            <wp:effectExtent l="0" t="0" r="0" b="0"/>
            <wp:docPr id="26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40"/>
                    <pic:cNvPicPr>
                      <a:picLocks noChangeAspect="1"/>
                    </pic:cNvPicPr>
                  </pic:nvPicPr>
                  <pic:blipFill>
                    <a:blip r:embed="rId45"/>
                    <a:srcRect t="12862" b="59512"/>
                    <a:stretch>
                      <a:fillRect/>
                    </a:stretch>
                  </pic:blipFill>
                  <pic:spPr>
                    <a:xfrm>
                      <a:off x="0" y="0"/>
                      <a:ext cx="5064125" cy="2259965"/>
                    </a:xfrm>
                    <a:prstGeom prst="rect">
                      <a:avLst/>
                    </a:prstGeom>
                    <a:noFill/>
                    <a:ln>
                      <a:noFill/>
                    </a:ln>
                  </pic:spPr>
                </pic:pic>
              </a:graphicData>
            </a:graphic>
          </wp:inline>
        </w:drawing>
      </w:r>
    </w:p>
    <w:p w14:paraId="70FEBB44">
      <w:pPr>
        <w:ind w:firstLine="422"/>
        <w:jc w:val="center"/>
        <w:rPr>
          <w:rFonts w:hint="eastAsia" w:ascii="仿宋" w:hAnsi="仿宋" w:eastAsia="仿宋"/>
          <w:color w:val="000000" w:themeColor="text1"/>
          <w:sz w:val="21"/>
          <w14:textFill>
            <w14:solidFill>
              <w14:schemeClr w14:val="tx1"/>
            </w14:solidFill>
          </w14:textFill>
        </w:rPr>
      </w:pPr>
      <w:r>
        <w:rPr>
          <w:rFonts w:hint="eastAsia" w:ascii="宋体" w:hAnsi="宋体" w:cs="宋体"/>
          <w:b/>
          <w:bCs/>
          <w:sz w:val="21"/>
        </w:rPr>
        <w:t>图</w:t>
      </w:r>
      <w:r>
        <w:rPr>
          <w:rFonts w:hint="eastAsia" w:ascii="宋体" w:hAnsi="宋体" w:cs="宋体"/>
          <w:b/>
          <w:bCs/>
          <w:sz w:val="21"/>
          <w:lang w:val="en-US" w:eastAsia="zh-CN"/>
        </w:rPr>
        <w:t>9</w:t>
      </w:r>
      <w:r>
        <w:rPr>
          <w:rFonts w:hint="eastAsia" w:ascii="宋体" w:hAnsi="宋体" w:cs="宋体"/>
          <w:b/>
          <w:bCs/>
          <w:sz w:val="21"/>
        </w:rPr>
        <w:t>.1-1安全保证体系机构图</w:t>
      </w:r>
    </w:p>
    <w:p w14:paraId="77630C1F">
      <w:pPr>
        <w:pStyle w:val="3"/>
        <w:spacing w:before="156" w:after="156"/>
        <w:ind w:firstLine="562"/>
      </w:pPr>
      <w:bookmarkStart w:id="270" w:name="_Toc30504"/>
      <w:bookmarkStart w:id="271" w:name="_Toc25449"/>
      <w:bookmarkStart w:id="272" w:name="_Toc21536"/>
      <w:r>
        <w:rPr>
          <w:rFonts w:hint="eastAsia"/>
        </w:rPr>
        <w:t>绿色施工管理保证体系</w:t>
      </w:r>
      <w:bookmarkEnd w:id="270"/>
      <w:bookmarkEnd w:id="271"/>
      <w:bookmarkEnd w:id="272"/>
    </w:p>
    <w:p w14:paraId="2DD4FB2C">
      <w:pPr>
        <w:pStyle w:val="60"/>
        <w:ind w:firstLine="422"/>
      </w:pPr>
      <w:r>
        <w:rPr>
          <w:rFonts w:hint="eastAsia"/>
        </w:rPr>
        <w:t>表</w:t>
      </w:r>
      <w:r>
        <w:rPr>
          <w:rFonts w:hint="eastAsia"/>
          <w:lang w:val="en-US" w:eastAsia="zh-CN"/>
        </w:rPr>
        <w:t>9</w:t>
      </w:r>
      <w:r>
        <w:rPr>
          <w:rFonts w:hint="eastAsia"/>
        </w:rPr>
        <w:t>.2-1 绿色施工管理保证体系职责表</w:t>
      </w:r>
    </w:p>
    <w:tbl>
      <w:tblPr>
        <w:tblStyle w:val="33"/>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1337"/>
        <w:gridCol w:w="6381"/>
      </w:tblGrid>
      <w:tr w14:paraId="27B7070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04" w:type="dxa"/>
            <w:tcBorders>
              <w:top w:val="double" w:color="auto" w:sz="4" w:space="0"/>
              <w:bottom w:val="single" w:color="auto" w:sz="4" w:space="0"/>
            </w:tcBorders>
            <w:shd w:val="clear" w:color="auto" w:fill="D9D9D9"/>
            <w:vAlign w:val="center"/>
          </w:tcPr>
          <w:p w14:paraId="5EB48ED7">
            <w:pPr>
              <w:pStyle w:val="83"/>
              <w:jc w:val="both"/>
              <w:rPr>
                <w:rFonts w:hint="eastAsia" w:ascii="宋体" w:hAnsi="宋体" w:cs="宋体"/>
                <w:b/>
                <w:bCs/>
              </w:rPr>
            </w:pPr>
            <w:r>
              <w:rPr>
                <w:rFonts w:hint="eastAsia" w:ascii="宋体" w:hAnsi="宋体" w:cs="宋体"/>
                <w:b/>
                <w:bCs/>
              </w:rPr>
              <w:t>序号</w:t>
            </w:r>
          </w:p>
        </w:tc>
        <w:tc>
          <w:tcPr>
            <w:tcW w:w="1337" w:type="dxa"/>
            <w:tcBorders>
              <w:top w:val="double" w:color="auto" w:sz="4" w:space="0"/>
              <w:bottom w:val="single" w:color="auto" w:sz="4" w:space="0"/>
            </w:tcBorders>
            <w:shd w:val="clear" w:color="auto" w:fill="D9D9D9"/>
            <w:vAlign w:val="center"/>
          </w:tcPr>
          <w:p w14:paraId="4FD8AF5D">
            <w:pPr>
              <w:pStyle w:val="83"/>
              <w:jc w:val="both"/>
              <w:rPr>
                <w:rFonts w:hint="eastAsia" w:ascii="宋体" w:hAnsi="宋体" w:cs="宋体"/>
                <w:b/>
                <w:bCs/>
              </w:rPr>
            </w:pPr>
            <w:r>
              <w:rPr>
                <w:rFonts w:hint="eastAsia" w:ascii="宋体" w:hAnsi="宋体" w:cs="宋体"/>
                <w:b/>
                <w:bCs/>
              </w:rPr>
              <w:t>岗位/部门</w:t>
            </w:r>
          </w:p>
        </w:tc>
        <w:tc>
          <w:tcPr>
            <w:tcW w:w="6381" w:type="dxa"/>
            <w:tcBorders>
              <w:top w:val="double" w:color="auto" w:sz="4" w:space="0"/>
              <w:bottom w:val="single" w:color="auto" w:sz="4" w:space="0"/>
            </w:tcBorders>
            <w:shd w:val="clear" w:color="auto" w:fill="D9D9D9"/>
            <w:vAlign w:val="center"/>
          </w:tcPr>
          <w:p w14:paraId="46CC53C8">
            <w:pPr>
              <w:pStyle w:val="83"/>
              <w:ind w:firstLine="422"/>
              <w:rPr>
                <w:rFonts w:hint="eastAsia" w:ascii="宋体" w:hAnsi="宋体" w:cs="宋体"/>
                <w:b/>
                <w:bCs/>
              </w:rPr>
            </w:pPr>
            <w:r>
              <w:rPr>
                <w:rFonts w:hint="eastAsia" w:ascii="宋体" w:hAnsi="宋体" w:cs="宋体"/>
                <w:b/>
                <w:bCs/>
              </w:rPr>
              <w:t>绿色施工、环境保护管理职责</w:t>
            </w:r>
          </w:p>
        </w:tc>
      </w:tr>
      <w:tr w14:paraId="32305E2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04" w:type="dxa"/>
            <w:tcBorders>
              <w:top w:val="single" w:color="auto" w:sz="4" w:space="0"/>
            </w:tcBorders>
            <w:vAlign w:val="center"/>
          </w:tcPr>
          <w:p w14:paraId="33969767">
            <w:pPr>
              <w:pStyle w:val="83"/>
              <w:rPr>
                <w:rFonts w:hint="eastAsia" w:ascii="宋体" w:hAnsi="宋体" w:cs="宋体"/>
              </w:rPr>
            </w:pPr>
            <w:r>
              <w:rPr>
                <w:rFonts w:hint="eastAsia" w:ascii="宋体" w:hAnsi="宋体" w:cs="宋体"/>
              </w:rPr>
              <w:t>1</w:t>
            </w:r>
          </w:p>
        </w:tc>
        <w:tc>
          <w:tcPr>
            <w:tcW w:w="1337" w:type="dxa"/>
            <w:tcBorders>
              <w:top w:val="single" w:color="auto" w:sz="4" w:space="0"/>
            </w:tcBorders>
            <w:vAlign w:val="center"/>
          </w:tcPr>
          <w:p w14:paraId="333B12CD">
            <w:pPr>
              <w:pStyle w:val="83"/>
              <w:jc w:val="both"/>
              <w:rPr>
                <w:rFonts w:hint="eastAsia" w:ascii="宋体" w:hAnsi="宋体" w:cs="宋体"/>
              </w:rPr>
            </w:pPr>
            <w:r>
              <w:rPr>
                <w:rFonts w:hint="eastAsia" w:ascii="宋体" w:hAnsi="宋体" w:cs="宋体"/>
              </w:rPr>
              <w:t>项目经理</w:t>
            </w:r>
          </w:p>
        </w:tc>
        <w:tc>
          <w:tcPr>
            <w:tcW w:w="6381" w:type="dxa"/>
            <w:tcBorders>
              <w:top w:val="single" w:color="auto" w:sz="4" w:space="0"/>
            </w:tcBorders>
            <w:vAlign w:val="center"/>
          </w:tcPr>
          <w:p w14:paraId="7C4D07C7">
            <w:pPr>
              <w:pStyle w:val="83"/>
              <w:jc w:val="left"/>
              <w:rPr>
                <w:rFonts w:hint="eastAsia" w:ascii="宋体" w:hAnsi="宋体" w:cs="宋体"/>
              </w:rPr>
            </w:pPr>
            <w:r>
              <w:rPr>
                <w:rFonts w:hint="eastAsia" w:ascii="宋体" w:hAnsi="宋体" w:cs="宋体"/>
              </w:rPr>
              <w:t>第一责任人，负责绿色施工的组织实施及目标实现，并指定绿色施工管理人员和监督人员。贯彻执行绿色施工法律法规和各项规章制度，对项目施工全过程的绿色施工负全面领导责任。</w:t>
            </w:r>
          </w:p>
        </w:tc>
      </w:tr>
      <w:tr w14:paraId="22764EB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04" w:type="dxa"/>
            <w:vAlign w:val="center"/>
          </w:tcPr>
          <w:p w14:paraId="049981A6">
            <w:pPr>
              <w:pStyle w:val="83"/>
              <w:rPr>
                <w:rFonts w:hint="eastAsia" w:ascii="宋体" w:hAnsi="宋体" w:cs="宋体"/>
              </w:rPr>
            </w:pPr>
            <w:r>
              <w:rPr>
                <w:rFonts w:hint="eastAsia" w:ascii="宋体" w:hAnsi="宋体" w:cs="宋体"/>
              </w:rPr>
              <w:t>2</w:t>
            </w:r>
          </w:p>
        </w:tc>
        <w:tc>
          <w:tcPr>
            <w:tcW w:w="1337" w:type="dxa"/>
            <w:vAlign w:val="center"/>
          </w:tcPr>
          <w:p w14:paraId="100F719C">
            <w:pPr>
              <w:pStyle w:val="83"/>
              <w:jc w:val="both"/>
              <w:rPr>
                <w:rFonts w:hint="eastAsia" w:ascii="宋体" w:hAnsi="宋体" w:cs="宋体"/>
              </w:rPr>
            </w:pPr>
            <w:r>
              <w:rPr>
                <w:rFonts w:hint="eastAsia" w:ascii="宋体" w:hAnsi="宋体" w:cs="宋体"/>
              </w:rPr>
              <w:t>工程技术部</w:t>
            </w:r>
          </w:p>
        </w:tc>
        <w:tc>
          <w:tcPr>
            <w:tcW w:w="6381" w:type="dxa"/>
            <w:vAlign w:val="center"/>
          </w:tcPr>
          <w:p w14:paraId="3B8618E8">
            <w:pPr>
              <w:pStyle w:val="83"/>
              <w:jc w:val="left"/>
              <w:rPr>
                <w:rFonts w:hint="eastAsia" w:ascii="宋体" w:hAnsi="宋体" w:cs="宋体"/>
              </w:rPr>
            </w:pPr>
            <w:r>
              <w:rPr>
                <w:rFonts w:hint="eastAsia" w:ascii="宋体" w:hAnsi="宋体" w:cs="宋体"/>
              </w:rPr>
              <w:t>负责实施绿色施工措施，参加绿色施工检查，提出相应的整改措施，督促落实。</w:t>
            </w:r>
          </w:p>
        </w:tc>
      </w:tr>
      <w:tr w14:paraId="0AC3CD8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04" w:type="dxa"/>
            <w:vAlign w:val="center"/>
          </w:tcPr>
          <w:p w14:paraId="2FB621BD">
            <w:pPr>
              <w:pStyle w:val="83"/>
              <w:rPr>
                <w:rFonts w:hint="eastAsia" w:ascii="宋体" w:hAnsi="宋体" w:cs="宋体"/>
              </w:rPr>
            </w:pPr>
            <w:r>
              <w:rPr>
                <w:rFonts w:hint="eastAsia" w:ascii="宋体" w:hAnsi="宋体" w:cs="宋体"/>
              </w:rPr>
              <w:t>3</w:t>
            </w:r>
          </w:p>
        </w:tc>
        <w:tc>
          <w:tcPr>
            <w:tcW w:w="1337" w:type="dxa"/>
            <w:vAlign w:val="center"/>
          </w:tcPr>
          <w:p w14:paraId="79391B09">
            <w:pPr>
              <w:pStyle w:val="83"/>
              <w:jc w:val="both"/>
              <w:rPr>
                <w:rFonts w:hint="eastAsia" w:ascii="宋体" w:hAnsi="宋体" w:cs="宋体"/>
              </w:rPr>
            </w:pPr>
            <w:r>
              <w:rPr>
                <w:rFonts w:hint="eastAsia" w:ascii="宋体" w:hAnsi="宋体" w:cs="宋体"/>
              </w:rPr>
              <w:t>安全监督部</w:t>
            </w:r>
          </w:p>
        </w:tc>
        <w:tc>
          <w:tcPr>
            <w:tcW w:w="6381" w:type="dxa"/>
            <w:vAlign w:val="center"/>
          </w:tcPr>
          <w:p w14:paraId="1ECF1E22">
            <w:pPr>
              <w:pStyle w:val="83"/>
              <w:jc w:val="left"/>
              <w:rPr>
                <w:rFonts w:hint="eastAsia" w:ascii="宋体" w:hAnsi="宋体" w:cs="宋体"/>
              </w:rPr>
            </w:pPr>
            <w:r>
              <w:rPr>
                <w:rFonts w:hint="eastAsia" w:ascii="宋体" w:hAnsi="宋体" w:cs="宋体"/>
              </w:rPr>
              <w:t>贯彻和宣传有关的绿色施工法律法规，组织落实各项绿色施工规章制度，并监督检查。</w:t>
            </w:r>
          </w:p>
        </w:tc>
      </w:tr>
      <w:tr w14:paraId="3F9C0F7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04" w:type="dxa"/>
            <w:vAlign w:val="center"/>
          </w:tcPr>
          <w:p w14:paraId="14B173D7">
            <w:pPr>
              <w:pStyle w:val="83"/>
              <w:rPr>
                <w:rFonts w:hint="eastAsia" w:ascii="宋体" w:hAnsi="宋体" w:cs="宋体"/>
              </w:rPr>
            </w:pPr>
            <w:r>
              <w:rPr>
                <w:rFonts w:hint="eastAsia" w:ascii="宋体" w:hAnsi="宋体" w:cs="宋体"/>
              </w:rPr>
              <w:t>4</w:t>
            </w:r>
          </w:p>
        </w:tc>
        <w:tc>
          <w:tcPr>
            <w:tcW w:w="1337" w:type="dxa"/>
            <w:vAlign w:val="center"/>
          </w:tcPr>
          <w:p w14:paraId="76B5BBDF">
            <w:pPr>
              <w:pStyle w:val="83"/>
              <w:jc w:val="both"/>
              <w:rPr>
                <w:rFonts w:hint="eastAsia" w:ascii="宋体" w:hAnsi="宋体" w:cs="宋体"/>
              </w:rPr>
            </w:pPr>
            <w:r>
              <w:rPr>
                <w:rFonts w:hint="eastAsia" w:ascii="宋体" w:hAnsi="宋体" w:cs="宋体"/>
              </w:rPr>
              <w:t>质检部</w:t>
            </w:r>
          </w:p>
        </w:tc>
        <w:tc>
          <w:tcPr>
            <w:tcW w:w="6381" w:type="dxa"/>
            <w:vAlign w:val="center"/>
          </w:tcPr>
          <w:p w14:paraId="34F53FC4">
            <w:pPr>
              <w:pStyle w:val="83"/>
              <w:jc w:val="left"/>
              <w:rPr>
                <w:rFonts w:hint="eastAsia" w:ascii="宋体" w:hAnsi="宋体" w:cs="宋体"/>
              </w:rPr>
            </w:pPr>
            <w:r>
              <w:rPr>
                <w:rFonts w:hint="eastAsia" w:ascii="宋体" w:hAnsi="宋体" w:cs="宋体"/>
              </w:rPr>
              <w:t>对绿色施工负总技术责任，严格审核技术方案、技术交底等，贯彻落实国家环境管理方针、政策，严格执行技术规程、规范、标准文件。</w:t>
            </w:r>
          </w:p>
        </w:tc>
      </w:tr>
      <w:tr w14:paraId="13624AB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04" w:type="dxa"/>
            <w:vAlign w:val="center"/>
          </w:tcPr>
          <w:p w14:paraId="6109B965">
            <w:pPr>
              <w:pStyle w:val="83"/>
              <w:rPr>
                <w:rFonts w:hint="eastAsia" w:ascii="宋体" w:hAnsi="宋体" w:cs="宋体"/>
              </w:rPr>
            </w:pPr>
            <w:r>
              <w:rPr>
                <w:rFonts w:hint="eastAsia" w:ascii="宋体" w:hAnsi="宋体" w:cs="宋体"/>
              </w:rPr>
              <w:t>5</w:t>
            </w:r>
          </w:p>
        </w:tc>
        <w:tc>
          <w:tcPr>
            <w:tcW w:w="1337" w:type="dxa"/>
            <w:vAlign w:val="center"/>
          </w:tcPr>
          <w:p w14:paraId="4D1A32E1">
            <w:pPr>
              <w:pStyle w:val="83"/>
              <w:jc w:val="both"/>
              <w:rPr>
                <w:rFonts w:hint="eastAsia" w:ascii="宋体" w:hAnsi="宋体" w:cs="宋体"/>
              </w:rPr>
            </w:pPr>
            <w:r>
              <w:rPr>
                <w:rFonts w:hint="eastAsia" w:ascii="宋体" w:hAnsi="宋体" w:cs="宋体"/>
              </w:rPr>
              <w:t>物资设备部</w:t>
            </w:r>
          </w:p>
        </w:tc>
        <w:tc>
          <w:tcPr>
            <w:tcW w:w="6381" w:type="dxa"/>
            <w:vAlign w:val="center"/>
          </w:tcPr>
          <w:p w14:paraId="011EBDC1">
            <w:pPr>
              <w:pStyle w:val="83"/>
              <w:jc w:val="left"/>
              <w:rPr>
                <w:rFonts w:hint="eastAsia" w:ascii="宋体" w:hAnsi="宋体" w:cs="宋体"/>
              </w:rPr>
            </w:pPr>
            <w:r>
              <w:rPr>
                <w:rFonts w:hint="eastAsia" w:ascii="宋体" w:hAnsi="宋体" w:cs="宋体"/>
              </w:rPr>
              <w:t>参加绿色施工检查，对检查出的不符合因素，提出相应整改措施。负责材料设备等绿色施工措施落实。</w:t>
            </w:r>
          </w:p>
        </w:tc>
      </w:tr>
      <w:tr w14:paraId="5DF7CF7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04" w:type="dxa"/>
            <w:vAlign w:val="center"/>
          </w:tcPr>
          <w:p w14:paraId="3CD816E8">
            <w:pPr>
              <w:pStyle w:val="83"/>
              <w:rPr>
                <w:rFonts w:hint="eastAsia" w:ascii="宋体" w:hAnsi="宋体" w:cs="宋体"/>
              </w:rPr>
            </w:pPr>
            <w:r>
              <w:rPr>
                <w:rFonts w:hint="eastAsia" w:ascii="宋体" w:hAnsi="宋体" w:cs="宋体"/>
              </w:rPr>
              <w:t>6</w:t>
            </w:r>
          </w:p>
        </w:tc>
        <w:tc>
          <w:tcPr>
            <w:tcW w:w="1337" w:type="dxa"/>
            <w:vAlign w:val="center"/>
          </w:tcPr>
          <w:p w14:paraId="48F3A6DF">
            <w:pPr>
              <w:pStyle w:val="83"/>
              <w:jc w:val="both"/>
              <w:rPr>
                <w:rFonts w:hint="eastAsia" w:ascii="宋体" w:hAnsi="宋体" w:cs="宋体"/>
              </w:rPr>
            </w:pPr>
            <w:r>
              <w:rPr>
                <w:rFonts w:hint="eastAsia" w:ascii="宋体" w:hAnsi="宋体" w:cs="宋体"/>
              </w:rPr>
              <w:t>财务部</w:t>
            </w:r>
          </w:p>
        </w:tc>
        <w:tc>
          <w:tcPr>
            <w:tcW w:w="6381" w:type="dxa"/>
            <w:vAlign w:val="center"/>
          </w:tcPr>
          <w:p w14:paraId="4655A06A">
            <w:pPr>
              <w:pStyle w:val="83"/>
              <w:jc w:val="left"/>
              <w:rPr>
                <w:rFonts w:hint="eastAsia" w:ascii="宋体" w:hAnsi="宋体" w:cs="宋体"/>
              </w:rPr>
            </w:pPr>
            <w:r>
              <w:rPr>
                <w:rFonts w:hint="eastAsia" w:ascii="宋体" w:hAnsi="宋体" w:cs="宋体"/>
              </w:rPr>
              <w:t>负责节能减排及绿色施工相关费用的落实和管理。</w:t>
            </w:r>
          </w:p>
        </w:tc>
      </w:tr>
      <w:tr w14:paraId="2CE64EE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04" w:type="dxa"/>
            <w:vAlign w:val="center"/>
          </w:tcPr>
          <w:p w14:paraId="06DEAA40">
            <w:pPr>
              <w:pStyle w:val="83"/>
              <w:rPr>
                <w:rFonts w:hint="eastAsia" w:ascii="宋体" w:hAnsi="宋体" w:cs="宋体"/>
              </w:rPr>
            </w:pPr>
            <w:r>
              <w:rPr>
                <w:rFonts w:hint="eastAsia" w:ascii="宋体" w:hAnsi="宋体" w:cs="宋体"/>
              </w:rPr>
              <w:t>7</w:t>
            </w:r>
          </w:p>
        </w:tc>
        <w:tc>
          <w:tcPr>
            <w:tcW w:w="1337" w:type="dxa"/>
            <w:vAlign w:val="center"/>
          </w:tcPr>
          <w:p w14:paraId="27361E8F">
            <w:pPr>
              <w:pStyle w:val="83"/>
              <w:jc w:val="both"/>
              <w:rPr>
                <w:rFonts w:hint="eastAsia" w:ascii="宋体" w:hAnsi="宋体" w:cs="宋体"/>
              </w:rPr>
            </w:pPr>
            <w:r>
              <w:rPr>
                <w:rFonts w:hint="eastAsia" w:ascii="宋体" w:hAnsi="宋体" w:cs="宋体"/>
              </w:rPr>
              <w:t>综合办公室</w:t>
            </w:r>
          </w:p>
        </w:tc>
        <w:tc>
          <w:tcPr>
            <w:tcW w:w="6381" w:type="dxa"/>
            <w:vAlign w:val="center"/>
          </w:tcPr>
          <w:p w14:paraId="623F2E76">
            <w:pPr>
              <w:pStyle w:val="83"/>
              <w:jc w:val="left"/>
              <w:rPr>
                <w:rFonts w:hint="eastAsia" w:ascii="宋体" w:hAnsi="宋体" w:cs="宋体"/>
              </w:rPr>
            </w:pPr>
            <w:r>
              <w:rPr>
                <w:rFonts w:hint="eastAsia" w:ascii="宋体" w:hAnsi="宋体" w:cs="宋体"/>
              </w:rPr>
              <w:t>负责后勤管理、疫情防治管理、保卫管理等工作。</w:t>
            </w:r>
          </w:p>
        </w:tc>
      </w:tr>
    </w:tbl>
    <w:p w14:paraId="1A6D5B7E">
      <w:pPr>
        <w:pStyle w:val="3"/>
        <w:spacing w:before="156" w:after="156"/>
        <w:ind w:firstLine="562"/>
      </w:pPr>
      <w:bookmarkStart w:id="273" w:name="_Toc19354"/>
      <w:bookmarkStart w:id="274" w:name="_Toc4137"/>
      <w:bookmarkStart w:id="275" w:name="_Toc5105"/>
      <w:r>
        <w:rPr>
          <w:rFonts w:hint="eastAsia"/>
        </w:rPr>
        <w:t>绿色施工四节一环保措施</w:t>
      </w:r>
      <w:bookmarkEnd w:id="273"/>
      <w:bookmarkEnd w:id="274"/>
      <w:bookmarkEnd w:id="275"/>
      <w:bookmarkStart w:id="276" w:name="_Toc17277"/>
    </w:p>
    <w:p w14:paraId="705BC25E">
      <w:pPr>
        <w:pStyle w:val="4"/>
        <w:tabs>
          <w:tab w:val="left" w:pos="0"/>
        </w:tabs>
        <w:spacing w:before="156" w:after="156"/>
        <w:ind w:firstLine="482"/>
        <w:rPr>
          <w:color w:val="000000" w:themeColor="text1"/>
          <w14:textFill>
            <w14:solidFill>
              <w14:schemeClr w14:val="tx1"/>
            </w14:solidFill>
          </w14:textFill>
        </w:rPr>
      </w:pPr>
      <w:r>
        <w:rPr>
          <w:rFonts w:hint="eastAsia"/>
          <w:color w:val="000000" w:themeColor="text1"/>
          <w14:textFill>
            <w14:solidFill>
              <w14:schemeClr w14:val="tx1"/>
            </w14:solidFill>
          </w14:textFill>
        </w:rPr>
        <w:t>节能措施</w:t>
      </w:r>
      <w:bookmarkEnd w:id="276"/>
    </w:p>
    <w:p w14:paraId="0B3C88F0">
      <w:pPr>
        <w:ind w:firstLine="480"/>
      </w:pPr>
      <w:r>
        <w:rPr>
          <w:rFonts w:hint="eastAsia"/>
        </w:rPr>
        <w:t>（1）制订合理施工能耗指标，提高施工能源利用率，优先使用国家、行业推荐的节能、高效、环保的施工设备和机具。且能耗达到国家节能标准的产品。</w:t>
      </w:r>
    </w:p>
    <w:p w14:paraId="2C5E0B2C">
      <w:pPr>
        <w:ind w:firstLine="480"/>
      </w:pPr>
      <w:r>
        <w:rPr>
          <w:rFonts w:hint="eastAsia"/>
        </w:rPr>
        <w:t>（2）不使用国家、行业、地方政府明令淘汰的施工设备、机具和产品。</w:t>
      </w:r>
    </w:p>
    <w:p w14:paraId="2EDF625D">
      <w:pPr>
        <w:ind w:firstLine="480"/>
      </w:pPr>
      <w:r>
        <w:rPr>
          <w:rFonts w:hint="eastAsia"/>
        </w:rPr>
        <w:t>（3）施工现场分别设定生产、生活、办公和主要耗能施工设备的耗能控制指标，定期进行计量、核算、对比分析，并有预防与纠正措施。</w:t>
      </w:r>
    </w:p>
    <w:p w14:paraId="4ACD5949">
      <w:pPr>
        <w:ind w:firstLine="480"/>
      </w:pPr>
      <w:r>
        <w:rPr>
          <w:rFonts w:hint="eastAsia"/>
        </w:rPr>
        <w:t>（4）在施工组织设计中，合理安排施工顺序、工作面，以减少作业区域的机具数量，相邻作业区充分利用共有的机具资源。安排施工工艺时，应优先考虑耗用电能少或其它能耗较少的施工工艺。避免设备额定功率远大于使用功率或超负荷使用设备的现象。</w:t>
      </w:r>
    </w:p>
    <w:p w14:paraId="42E714A5">
      <w:pPr>
        <w:ind w:firstLine="480"/>
      </w:pPr>
      <w:r>
        <w:rPr>
          <w:rFonts w:hint="eastAsia"/>
        </w:rPr>
        <w:t>（5）在保证施工质量等情况下，采用国家先进的、耗能少的施工工艺。</w:t>
      </w:r>
    </w:p>
    <w:p w14:paraId="360FD097">
      <w:pPr>
        <w:ind w:firstLine="480"/>
      </w:pPr>
      <w:r>
        <w:rPr>
          <w:rFonts w:hint="eastAsia"/>
        </w:rPr>
        <w:t>（6）在不影响施工进度和质量的情况下合理安排施工工序，降低消耗。</w:t>
      </w:r>
    </w:p>
    <w:p w14:paraId="17C1F1BF">
      <w:pPr>
        <w:ind w:firstLine="480"/>
      </w:pPr>
      <w:r>
        <w:rPr>
          <w:rFonts w:hint="eastAsia"/>
        </w:rPr>
        <w:t>（7）定期监控重点耗能设备的能源利用情况，并有记录</w:t>
      </w:r>
    </w:p>
    <w:p w14:paraId="0663EB68">
      <w:pPr>
        <w:pStyle w:val="4"/>
        <w:tabs>
          <w:tab w:val="left" w:pos="0"/>
        </w:tabs>
        <w:spacing w:before="156" w:after="156"/>
        <w:ind w:firstLine="482"/>
        <w:rPr>
          <w:color w:val="000000" w:themeColor="text1"/>
          <w14:textFill>
            <w14:solidFill>
              <w14:schemeClr w14:val="tx1"/>
            </w14:solidFill>
          </w14:textFill>
        </w:rPr>
      </w:pPr>
      <w:bookmarkStart w:id="277" w:name="_Toc12384"/>
      <w:r>
        <w:rPr>
          <w:rFonts w:hint="eastAsia"/>
          <w:color w:val="000000" w:themeColor="text1"/>
          <w14:textFill>
            <w14:solidFill>
              <w14:schemeClr w14:val="tx1"/>
            </w14:solidFill>
          </w14:textFill>
        </w:rPr>
        <w:t>节水措施</w:t>
      </w:r>
      <w:bookmarkEnd w:id="277"/>
    </w:p>
    <w:p w14:paraId="424A9F0A">
      <w:pPr>
        <w:pStyle w:val="13"/>
        <w:ind w:firstLine="480"/>
        <w:rPr>
          <w:rFonts w:hint="default"/>
        </w:rPr>
      </w:pPr>
      <w:r>
        <w:t>（1）施工中采用先进的节水施工工艺。</w:t>
      </w:r>
    </w:p>
    <w:p w14:paraId="43C42D8E">
      <w:pPr>
        <w:pStyle w:val="13"/>
        <w:ind w:firstLine="480"/>
        <w:rPr>
          <w:rFonts w:hint="default"/>
        </w:rPr>
      </w:pPr>
      <w:r>
        <w:t>（2）施工现场喷洒路面、绿化浇灌不宜使用市政自来水。现场搅拌用水、养护用水应采取有效的节水措施，严禁无措施浇水养护混凝土。</w:t>
      </w:r>
    </w:p>
    <w:p w14:paraId="58148224">
      <w:pPr>
        <w:pStyle w:val="13"/>
        <w:ind w:firstLine="480"/>
        <w:rPr>
          <w:rFonts w:hint="default"/>
        </w:rPr>
      </w:pPr>
      <w:r>
        <w:t>（3）施工现场供水管网应根据用水量设计布置，管径合理、管路简捷，采取有效措施减少管网和用水器具的漏损。</w:t>
      </w:r>
    </w:p>
    <w:p w14:paraId="25D18BF3">
      <w:pPr>
        <w:pStyle w:val="13"/>
        <w:ind w:firstLine="480"/>
        <w:rPr>
          <w:rFonts w:hint="default"/>
        </w:rPr>
      </w:pPr>
      <w:r>
        <w:t>（4）现场机具、设备、车辆冲洗用水必须设立循环用水装置。施工现场办公区、生活区的生活用水采用节水系统和节水器具，项目临时用水使用节水型产品，节水器具配置率应达到100％，安装计量装置，采取针对性的节水措施。</w:t>
      </w:r>
    </w:p>
    <w:p w14:paraId="72F2C031">
      <w:pPr>
        <w:pStyle w:val="13"/>
        <w:ind w:firstLine="480"/>
        <w:rPr>
          <w:rFonts w:hint="default"/>
        </w:rPr>
      </w:pPr>
      <w:r>
        <w:t>（5）施工现场建立可再利用水的收集处理系统，使水资源得到梯级循环利用。</w:t>
      </w:r>
    </w:p>
    <w:p w14:paraId="65C40C9D">
      <w:pPr>
        <w:pStyle w:val="13"/>
        <w:ind w:firstLine="480"/>
        <w:rPr>
          <w:rFonts w:hint="default"/>
        </w:rPr>
      </w:pPr>
      <w:r>
        <w:t>（6）施工现场分别对生活用水与工程用水确定用水定额指标，并将节水指标纳入分包或劳务合同。并分别计量管理。</w:t>
      </w:r>
    </w:p>
    <w:p w14:paraId="2D24C3C5">
      <w:pPr>
        <w:pStyle w:val="13"/>
        <w:ind w:firstLine="480"/>
        <w:rPr>
          <w:rFonts w:hint="default"/>
        </w:rPr>
      </w:pPr>
      <w:r>
        <w:t>（7）对混凝土搅拌站点等用水集中的区域和工艺点进行专项计量考核。施工现场建立雨水、中水或可再利用水的搜集循环利用系统。</w:t>
      </w:r>
    </w:p>
    <w:p w14:paraId="76772325">
      <w:pPr>
        <w:pStyle w:val="4"/>
        <w:tabs>
          <w:tab w:val="left" w:pos="0"/>
        </w:tabs>
        <w:spacing w:before="156" w:after="156"/>
        <w:ind w:firstLine="482"/>
        <w:rPr>
          <w:color w:val="000000" w:themeColor="text1"/>
          <w14:textFill>
            <w14:solidFill>
              <w14:schemeClr w14:val="tx1"/>
            </w14:solidFill>
          </w14:textFill>
        </w:rPr>
      </w:pPr>
      <w:bookmarkStart w:id="278" w:name="_Toc31315"/>
      <w:r>
        <w:rPr>
          <w:rFonts w:hint="eastAsia"/>
          <w:color w:val="000000" w:themeColor="text1"/>
          <w14:textFill>
            <w14:solidFill>
              <w14:schemeClr w14:val="tx1"/>
            </w14:solidFill>
          </w14:textFill>
        </w:rPr>
        <w:t>节地措施</w:t>
      </w:r>
      <w:bookmarkEnd w:id="278"/>
    </w:p>
    <w:p w14:paraId="538C46B0">
      <w:pPr>
        <w:pStyle w:val="13"/>
        <w:ind w:firstLine="480"/>
        <w:rPr>
          <w:rFonts w:hint="default"/>
        </w:rPr>
      </w:pPr>
      <w:r>
        <w:t xml:space="preserve">（1）工程完工后，及时对红线外占地恢复原地形、地貌，使施工活动对周边环境的影响降至最低。 </w:t>
      </w:r>
    </w:p>
    <w:p w14:paraId="4780BEB4">
      <w:pPr>
        <w:pStyle w:val="13"/>
        <w:ind w:firstLine="480"/>
        <w:rPr>
          <w:rFonts w:hint="default"/>
        </w:rPr>
      </w:pPr>
      <w:r>
        <w:t>（2）利用和保护施工用地范围内原有绿色植被。</w:t>
      </w:r>
    </w:p>
    <w:p w14:paraId="3120E764">
      <w:pPr>
        <w:pStyle w:val="13"/>
        <w:ind w:firstLine="480"/>
        <w:rPr>
          <w:rFonts w:hint="default"/>
        </w:rPr>
      </w:pPr>
      <w:r>
        <w:t>（3）施工现场设有清洗池、沉淀池等，同时做好场地内的临时绿化工作，减少水土流失。</w:t>
      </w:r>
    </w:p>
    <w:p w14:paraId="5659C5A9">
      <w:pPr>
        <w:pStyle w:val="4"/>
        <w:tabs>
          <w:tab w:val="left" w:pos="0"/>
        </w:tabs>
        <w:spacing w:before="156" w:after="156"/>
        <w:ind w:firstLine="482"/>
        <w:rPr>
          <w:color w:val="000000" w:themeColor="text1"/>
          <w14:textFill>
            <w14:solidFill>
              <w14:schemeClr w14:val="tx1"/>
            </w14:solidFill>
          </w14:textFill>
        </w:rPr>
      </w:pPr>
      <w:bookmarkStart w:id="279" w:name="_Toc8471"/>
      <w:r>
        <w:rPr>
          <w:rFonts w:hint="eastAsia"/>
          <w:color w:val="000000" w:themeColor="text1"/>
          <w14:textFill>
            <w14:solidFill>
              <w14:schemeClr w14:val="tx1"/>
            </w14:solidFill>
          </w14:textFill>
        </w:rPr>
        <w:t>节材措施</w:t>
      </w:r>
      <w:bookmarkEnd w:id="279"/>
    </w:p>
    <w:p w14:paraId="4D00D888">
      <w:pPr>
        <w:pStyle w:val="13"/>
        <w:ind w:firstLine="480"/>
        <w:rPr>
          <w:rFonts w:hint="default"/>
        </w:rPr>
      </w:pPr>
      <w:r>
        <w:t>（1）图纸会审时，应审核节材与材料资源利用的相关内容，达到材料损耗率比定额损耗率降低30%。</w:t>
      </w:r>
    </w:p>
    <w:p w14:paraId="347FC814">
      <w:pPr>
        <w:pStyle w:val="13"/>
        <w:ind w:firstLine="480"/>
        <w:rPr>
          <w:rFonts w:hint="default"/>
        </w:rPr>
      </w:pPr>
      <w:r>
        <w:t>（2）根据施工进度、库存情况等合理安排材料的采购、进场时间和批次，减少库存。</w:t>
      </w:r>
    </w:p>
    <w:p w14:paraId="252B659C">
      <w:pPr>
        <w:pStyle w:val="13"/>
        <w:ind w:firstLine="480"/>
        <w:rPr>
          <w:rFonts w:hint="default"/>
        </w:rPr>
      </w:pPr>
      <w:r>
        <w:t>（3）现场材料堆放有序。储存环境适宜，措施得当。保管制度健全，责任落实。</w:t>
      </w:r>
    </w:p>
    <w:p w14:paraId="0CE5C9F2">
      <w:pPr>
        <w:pStyle w:val="13"/>
        <w:ind w:firstLine="480"/>
        <w:rPr>
          <w:rFonts w:hint="default"/>
        </w:rPr>
      </w:pPr>
      <w:r>
        <w:t>（4）材料运输工具适宜，装卸方法得当，防止损坏和遗洒。合理布置车间和堆场，避免和减少二次搬运。</w:t>
      </w:r>
    </w:p>
    <w:p w14:paraId="66810C33">
      <w:pPr>
        <w:pStyle w:val="13"/>
        <w:ind w:firstLine="480"/>
        <w:rPr>
          <w:rFonts w:hint="default"/>
        </w:rPr>
      </w:pPr>
      <w:r>
        <w:t>（5）采取技术和管理措施提高模板、脚手架等的周转次数。</w:t>
      </w:r>
    </w:p>
    <w:p w14:paraId="7FBDDEB5">
      <w:pPr>
        <w:pStyle w:val="13"/>
        <w:ind w:firstLine="480"/>
        <w:rPr>
          <w:rFonts w:hint="default"/>
        </w:rPr>
      </w:pPr>
      <w:r>
        <w:t>（6）优化安装工程的预留、预埋、管线路径等方案。</w:t>
      </w:r>
    </w:p>
    <w:p w14:paraId="3215D252">
      <w:pPr>
        <w:pStyle w:val="13"/>
        <w:ind w:firstLine="480"/>
        <w:rPr>
          <w:rFonts w:hint="default"/>
        </w:rPr>
      </w:pPr>
      <w:r>
        <w:t>（7）应就地取材，施工现场500公里以内生产的建筑材料用量占建筑材料总重量的70％以上。</w:t>
      </w:r>
    </w:p>
    <w:p w14:paraId="0A326457">
      <w:pPr>
        <w:pStyle w:val="13"/>
        <w:ind w:firstLine="480"/>
        <w:rPr>
          <w:rFonts w:hint="default" w:cs="仿宋"/>
          <w:szCs w:val="28"/>
        </w:rPr>
      </w:pPr>
      <w:r>
        <w:t>（8）临建设施采用彩钢板搭设，为可拆迁、重复利用材料。</w:t>
      </w:r>
    </w:p>
    <w:p w14:paraId="4A401B32">
      <w:pPr>
        <w:pStyle w:val="4"/>
        <w:tabs>
          <w:tab w:val="left" w:pos="0"/>
        </w:tabs>
        <w:spacing w:before="156" w:after="156"/>
        <w:ind w:firstLine="482"/>
        <w:rPr>
          <w:color w:val="000000" w:themeColor="text1"/>
          <w14:textFill>
            <w14:solidFill>
              <w14:schemeClr w14:val="tx1"/>
            </w14:solidFill>
          </w14:textFill>
        </w:rPr>
      </w:pPr>
      <w:bookmarkStart w:id="280" w:name="_Toc15262"/>
      <w:r>
        <w:rPr>
          <w:rFonts w:hint="eastAsia"/>
          <w:color w:val="000000" w:themeColor="text1"/>
          <w14:textFill>
            <w14:solidFill>
              <w14:schemeClr w14:val="tx1"/>
            </w14:solidFill>
          </w14:textFill>
        </w:rPr>
        <w:t>环保措施</w:t>
      </w:r>
      <w:bookmarkEnd w:id="280"/>
    </w:p>
    <w:p w14:paraId="186032D8">
      <w:pPr>
        <w:pStyle w:val="13"/>
        <w:ind w:firstLine="480"/>
        <w:rPr>
          <w:rFonts w:hint="default"/>
        </w:rPr>
      </w:pPr>
      <w:r>
        <w:t>（1）大气污染的防治措施</w:t>
      </w:r>
    </w:p>
    <w:p w14:paraId="3D8B4E9A">
      <w:pPr>
        <w:pStyle w:val="13"/>
        <w:ind w:firstLine="480"/>
        <w:rPr>
          <w:rFonts w:hint="default"/>
        </w:rPr>
      </w:pPr>
      <w:r>
        <w:t>防治大气污染的重点是控制煤烟污染、控制机动车尾气污染以及控制扬尘污染。</w:t>
      </w:r>
    </w:p>
    <w:p w14:paraId="24534463">
      <w:pPr>
        <w:pStyle w:val="13"/>
        <w:ind w:firstLine="480"/>
        <w:rPr>
          <w:rFonts w:hint="default"/>
        </w:rPr>
      </w:pPr>
      <w:r>
        <w:rPr>
          <w:rFonts w:ascii="宋体" w:hAnsi="宋体" w:cs="宋体"/>
        </w:rPr>
        <w:t>①</w:t>
      </w:r>
      <w:r>
        <w:t>控制煤烟污染</w:t>
      </w:r>
    </w:p>
    <w:p w14:paraId="297346A9">
      <w:pPr>
        <w:pStyle w:val="13"/>
        <w:ind w:firstLine="480"/>
        <w:rPr>
          <w:rFonts w:hint="default"/>
        </w:rPr>
      </w:pPr>
      <w:r>
        <w:t>a.严格执行《低硫优质煤及制品》标准，强制推广使用低硫低灰优质煤。加强对民工租住房屋的燃煤管理，推广使用气体燃料。</w:t>
      </w:r>
    </w:p>
    <w:p w14:paraId="466A79D1">
      <w:pPr>
        <w:pStyle w:val="13"/>
        <w:ind w:firstLine="480"/>
        <w:rPr>
          <w:rFonts w:hint="default"/>
        </w:rPr>
      </w:pPr>
      <w:r>
        <w:t>b．发展液体燃料。</w:t>
      </w:r>
    </w:p>
    <w:p w14:paraId="7DD01825">
      <w:pPr>
        <w:pStyle w:val="13"/>
        <w:ind w:firstLine="480"/>
        <w:rPr>
          <w:rFonts w:hint="default"/>
        </w:rPr>
      </w:pPr>
      <w:r>
        <w:t>c．积极利用电、太阳能等清洁能源，热水、采暖尽量使用电器设备。</w:t>
      </w:r>
    </w:p>
    <w:p w14:paraId="333B3FC0">
      <w:pPr>
        <w:pStyle w:val="13"/>
        <w:ind w:firstLine="480"/>
        <w:rPr>
          <w:rFonts w:hint="default"/>
        </w:rPr>
      </w:pPr>
      <w:r>
        <w:rPr>
          <w:rFonts w:ascii="宋体" w:hAnsi="宋体" w:cs="宋体"/>
        </w:rPr>
        <w:t>②</w:t>
      </w:r>
      <w:r>
        <w:t>控制扬尘污染：对易产生扬尘的砂石料，进行遮盖或适当洒水，淘汰落后工艺，降低粉尘排放。生产、生活区道路要定期洒水降尘。</w:t>
      </w:r>
    </w:p>
    <w:p w14:paraId="0309696B">
      <w:pPr>
        <w:pStyle w:val="13"/>
        <w:ind w:firstLine="480"/>
        <w:rPr>
          <w:rFonts w:hint="default"/>
        </w:rPr>
      </w:pPr>
      <w:r>
        <w:rPr>
          <w:rFonts w:ascii="宋体" w:hAnsi="宋体" w:cs="宋体"/>
        </w:rPr>
        <w:t>③</w:t>
      </w:r>
      <w:r>
        <w:t>控制机动车尾气污染</w:t>
      </w:r>
    </w:p>
    <w:p w14:paraId="1B1DD7FC">
      <w:pPr>
        <w:pStyle w:val="13"/>
        <w:ind w:firstLine="480"/>
        <w:rPr>
          <w:rFonts w:hint="default"/>
        </w:rPr>
      </w:pPr>
      <w:r>
        <w:t>严格执行用车淘汰报废制度，选用符合国家卫生防护标准的车辆，严格控制各种柴油车尾气排放，保证上路行驶的机动车尾气完全达标。</w:t>
      </w:r>
    </w:p>
    <w:p w14:paraId="62F3952C">
      <w:pPr>
        <w:pStyle w:val="13"/>
        <w:ind w:firstLine="480"/>
        <w:rPr>
          <w:rFonts w:hint="default"/>
        </w:rPr>
      </w:pPr>
      <w:r>
        <w:rPr>
          <w:rFonts w:ascii="宋体" w:hAnsi="宋体" w:cs="宋体"/>
        </w:rPr>
        <w:t>④</w:t>
      </w:r>
      <w:r>
        <w:t>施工过程中受大气污染最为严重的是施工人员，对于施工人员，我们采取防护和劳动保护措施，减轻其危害。</w:t>
      </w:r>
    </w:p>
    <w:p w14:paraId="35AE936C">
      <w:pPr>
        <w:pStyle w:val="13"/>
        <w:ind w:firstLine="480"/>
        <w:rPr>
          <w:rFonts w:hint="default"/>
        </w:rPr>
      </w:pPr>
      <w:r>
        <w:t>（2）水污染的防治措施</w:t>
      </w:r>
    </w:p>
    <w:p w14:paraId="055A794B">
      <w:pPr>
        <w:pStyle w:val="13"/>
        <w:ind w:firstLine="480"/>
        <w:rPr>
          <w:rFonts w:hint="default"/>
        </w:rPr>
      </w:pPr>
      <w:r>
        <w:rPr>
          <w:rFonts w:ascii="宋体" w:hAnsi="宋体" w:cs="宋体"/>
        </w:rPr>
        <w:t>①</w:t>
      </w:r>
      <w:r>
        <w:t>施工机械运转中产生的油污水，采取隔油池等措施处理，不得超标排放。</w:t>
      </w:r>
    </w:p>
    <w:p w14:paraId="7AEBEAAA">
      <w:pPr>
        <w:pStyle w:val="13"/>
        <w:ind w:firstLine="480"/>
        <w:rPr>
          <w:rFonts w:hint="default"/>
        </w:rPr>
      </w:pPr>
      <w:r>
        <w:rPr>
          <w:rFonts w:ascii="宋体" w:hAnsi="宋体" w:cs="宋体"/>
        </w:rPr>
        <w:t>②</w:t>
      </w:r>
      <w:r>
        <w:t>清洗骨料及其它生产污水，须进行过滤沉淀后排放。</w:t>
      </w:r>
    </w:p>
    <w:p w14:paraId="47967358">
      <w:pPr>
        <w:pStyle w:val="13"/>
        <w:ind w:firstLine="480"/>
        <w:rPr>
          <w:rFonts w:hint="default"/>
        </w:rPr>
      </w:pPr>
      <w:r>
        <w:rPr>
          <w:rFonts w:ascii="宋体" w:hAnsi="宋体" w:cs="宋体"/>
        </w:rPr>
        <w:t>③</w:t>
      </w:r>
      <w:r>
        <w:t>办公区的电磁污染物统一由办公室回收，收集一定数量后交环保部门处理。</w:t>
      </w:r>
    </w:p>
    <w:p w14:paraId="71D3CCE9">
      <w:pPr>
        <w:pStyle w:val="13"/>
        <w:ind w:firstLine="480"/>
        <w:rPr>
          <w:rFonts w:hint="default"/>
        </w:rPr>
      </w:pPr>
      <w:r>
        <w:t>（3）噪声污染的防治措施</w:t>
      </w:r>
    </w:p>
    <w:p w14:paraId="6568ED98">
      <w:pPr>
        <w:pStyle w:val="13"/>
        <w:ind w:firstLine="480"/>
        <w:rPr>
          <w:rFonts w:hint="default"/>
        </w:rPr>
      </w:pPr>
      <w:r>
        <w:rPr>
          <w:rFonts w:ascii="宋体" w:hAnsi="宋体" w:cs="宋体"/>
        </w:rPr>
        <w:t>①</w:t>
      </w:r>
      <w:r>
        <w:t>声音在传播中能量是随着距离增加而衰减的，因此，根据施工现场平面布置情况，尽量使噪声源远离需要安静的地方。</w:t>
      </w:r>
    </w:p>
    <w:p w14:paraId="056FD03E">
      <w:pPr>
        <w:pStyle w:val="13"/>
        <w:ind w:firstLine="480"/>
        <w:rPr>
          <w:rFonts w:hint="default"/>
        </w:rPr>
      </w:pPr>
      <w:r>
        <w:rPr>
          <w:rFonts w:ascii="宋体" w:hAnsi="宋体" w:cs="宋体"/>
        </w:rPr>
        <w:t>②</w:t>
      </w:r>
      <w:r>
        <w:t>声音传播具有方向性，在与声源距离相同的地方，因处在声源不同方向上，接受到噪音强度也不同，因此，控制噪声传播方向（包括改变声源的发射方向）是降低噪声尤其是高频噪声的有效措施。</w:t>
      </w:r>
    </w:p>
    <w:p w14:paraId="2D947CD8">
      <w:pPr>
        <w:pStyle w:val="13"/>
        <w:ind w:firstLine="480"/>
        <w:rPr>
          <w:rFonts w:hint="default" w:cs="仿宋"/>
          <w:szCs w:val="28"/>
        </w:rPr>
      </w:pPr>
      <w:r>
        <w:rPr>
          <w:rFonts w:ascii="宋体" w:hAnsi="宋体" w:cs="宋体"/>
        </w:rPr>
        <w:t>③</w:t>
      </w:r>
      <w:r>
        <w:t>建立隔声屏障，根据施工现场情况，使用隔声材料或结构来阻挡噪声传播。</w:t>
      </w:r>
    </w:p>
    <w:p w14:paraId="4D227471">
      <w:pPr>
        <w:ind w:firstLine="0" w:firstLineChars="0"/>
      </w:pPr>
    </w:p>
    <w:sectPr>
      <w:footerReference r:id="rId19"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楷体">
    <w:altName w:val="宋体"/>
    <w:panose1 w:val="00000000000000000000"/>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Lucida Sans">
    <w:altName w:val="Lucida Sans Unicode"/>
    <w:panose1 w:val="00000000000000000000"/>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仿宋_GB2312">
    <w:altName w:val="仿宋"/>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6D1F2">
    <w:pPr>
      <w:pStyle w:val="22"/>
      <w:ind w:firstLine="360"/>
      <w:jc w:val="center"/>
    </w:pPr>
  </w:p>
  <w:p w14:paraId="02C0F747">
    <w:pPr>
      <w:pStyle w:val="2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AAA8C">
    <w:pPr>
      <w:pStyle w:val="2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979A0">
    <w:pPr>
      <w:pStyle w:val="2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FEB30">
    <w:pPr>
      <w:pStyle w:val="22"/>
      <w:ind w:firstLine="360"/>
      <w:jc w:val="center"/>
    </w:pPr>
  </w:p>
  <w:p w14:paraId="268E4484">
    <w:pPr>
      <w:pStyle w:val="22"/>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3A1B0">
    <w:pPr>
      <w:pStyle w:val="22"/>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B60813">
                          <w:pPr>
                            <w:pStyle w:val="22"/>
                            <w:ind w:firstLine="360"/>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rPr>
                            <w:t>5</w:t>
                          </w:r>
                          <w:r>
                            <w:rPr>
                              <w:rFonts w:hint="eastAsia"/>
                              <w:lang w:val="en-US" w:eastAsia="zh-CN"/>
                            </w:rPr>
                            <w:t>5</w:t>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12B60813">
                    <w:pPr>
                      <w:pStyle w:val="22"/>
                      <w:ind w:firstLine="360"/>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rPr>
                      <w:t>5</w:t>
                    </w:r>
                    <w:r>
                      <w:rPr>
                        <w:rFonts w:hint="eastAsia"/>
                        <w:lang w:val="en-US" w:eastAsia="zh-CN"/>
                      </w:rPr>
                      <w:t>5</w:t>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DCB7C">
    <w:pPr>
      <w:pStyle w:val="22"/>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85BD19">
                          <w:pPr>
                            <w:pStyle w:val="22"/>
                            <w:ind w:firstLine="360"/>
                          </w:pPr>
                          <w:r>
                            <w:t xml:space="preserve">第 </w:t>
                          </w:r>
                          <w:r>
                            <w:fldChar w:fldCharType="begin"/>
                          </w:r>
                          <w:r>
                            <w:instrText xml:space="preserve"> PAGE  \* MERGEFORMAT </w:instrText>
                          </w:r>
                          <w:r>
                            <w:fldChar w:fldCharType="separate"/>
                          </w:r>
                          <w:r>
                            <w:t>24</w:t>
                          </w:r>
                          <w:r>
                            <w:fldChar w:fldCharType="end"/>
                          </w:r>
                          <w:r>
                            <w:t xml:space="preserve"> 页 共 </w:t>
                          </w:r>
                          <w:r>
                            <w:fldChar w:fldCharType="begin"/>
                          </w:r>
                          <w:r>
                            <w:instrText xml:space="preserve"> NUMPAGES  \* MERGEFORMAT </w:instrText>
                          </w:r>
                          <w:r>
                            <w:fldChar w:fldCharType="separate"/>
                          </w:r>
                          <w:r>
                            <w:t>64</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4B85BD19">
                    <w:pPr>
                      <w:pStyle w:val="22"/>
                      <w:ind w:firstLine="360"/>
                    </w:pPr>
                    <w:r>
                      <w:t xml:space="preserve">第 </w:t>
                    </w:r>
                    <w:r>
                      <w:fldChar w:fldCharType="begin"/>
                    </w:r>
                    <w:r>
                      <w:instrText xml:space="preserve"> PAGE  \* MERGEFORMAT </w:instrText>
                    </w:r>
                    <w:r>
                      <w:fldChar w:fldCharType="separate"/>
                    </w:r>
                    <w:r>
                      <w:t>24</w:t>
                    </w:r>
                    <w:r>
                      <w:fldChar w:fldCharType="end"/>
                    </w:r>
                    <w:r>
                      <w:t xml:space="preserve"> 页 共 </w:t>
                    </w:r>
                    <w:r>
                      <w:fldChar w:fldCharType="begin"/>
                    </w:r>
                    <w:r>
                      <w:instrText xml:space="preserve"> NUMPAGES  \* MERGEFORMAT </w:instrText>
                    </w:r>
                    <w:r>
                      <w:fldChar w:fldCharType="separate"/>
                    </w:r>
                    <w:r>
                      <w:t>64</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BA9A">
    <w:pPr>
      <w:pStyle w:val="22"/>
      <w:ind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1AAC55">
                          <w:pPr>
                            <w:pStyle w:val="22"/>
                            <w:ind w:firstLine="360"/>
                          </w:pPr>
                          <w:r>
                            <w:t xml:space="preserve">第 </w:t>
                          </w:r>
                          <w:r>
                            <w:fldChar w:fldCharType="begin"/>
                          </w:r>
                          <w:r>
                            <w:instrText xml:space="preserve"> PAGE  \* MERGEFORMAT </w:instrText>
                          </w:r>
                          <w:r>
                            <w:fldChar w:fldCharType="separate"/>
                          </w:r>
                          <w:r>
                            <w:t>28</w:t>
                          </w:r>
                          <w:r>
                            <w:fldChar w:fldCharType="end"/>
                          </w:r>
                          <w:r>
                            <w:t xml:space="preserve"> 页 共 </w:t>
                          </w:r>
                          <w:r>
                            <w:rPr>
                              <w:rFonts w:hint="eastAsia"/>
                            </w:rPr>
                            <w:t>5</w:t>
                          </w:r>
                          <w:r>
                            <w:rPr>
                              <w:rFonts w:hint="eastAsia"/>
                              <w:lang w:val="en-US" w:eastAsia="zh-CN"/>
                            </w:rPr>
                            <w:t>5</w:t>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751AAC55">
                    <w:pPr>
                      <w:pStyle w:val="22"/>
                      <w:ind w:firstLine="360"/>
                    </w:pPr>
                    <w:r>
                      <w:t xml:space="preserve">第 </w:t>
                    </w:r>
                    <w:r>
                      <w:fldChar w:fldCharType="begin"/>
                    </w:r>
                    <w:r>
                      <w:instrText xml:space="preserve"> PAGE  \* MERGEFORMAT </w:instrText>
                    </w:r>
                    <w:r>
                      <w:fldChar w:fldCharType="separate"/>
                    </w:r>
                    <w:r>
                      <w:t>28</w:t>
                    </w:r>
                    <w:r>
                      <w:fldChar w:fldCharType="end"/>
                    </w:r>
                    <w:r>
                      <w:t xml:space="preserve"> 页 共 </w:t>
                    </w:r>
                    <w:r>
                      <w:rPr>
                        <w:rFonts w:hint="eastAsia"/>
                      </w:rPr>
                      <w:t>5</w:t>
                    </w:r>
                    <w:r>
                      <w:rPr>
                        <w:rFonts w:hint="eastAsia"/>
                        <w:lang w:val="en-US" w:eastAsia="zh-CN"/>
                      </w:rPr>
                      <w:t>5</w:t>
                    </w:r>
                    <w: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A49792">
                          <w:pPr>
                            <w:pStyle w:val="22"/>
                            <w:ind w:firstLine="360"/>
                            <w:jc w:val="cente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38A49792">
                    <w:pPr>
                      <w:pStyle w:val="22"/>
                      <w:ind w:firstLine="360"/>
                      <w:jc w:val="center"/>
                    </w:pPr>
                  </w:p>
                </w:txbxContent>
              </v:textbox>
            </v:shape>
          </w:pict>
        </mc:Fallback>
      </mc:AlternateContent>
    </w:r>
  </w:p>
  <w:p w14:paraId="29437286">
    <w:pPr>
      <w:pStyle w:val="22"/>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4987C">
    <w:pPr>
      <w:pStyle w:val="22"/>
      <w:ind w:firstLine="36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65872D">
                          <w:pPr>
                            <w:pStyle w:val="22"/>
                            <w:ind w:firstLine="360"/>
                          </w:pPr>
                          <w:r>
                            <w:t xml:space="preserve">第 </w:t>
                          </w:r>
                          <w:r>
                            <w:fldChar w:fldCharType="begin"/>
                          </w:r>
                          <w:r>
                            <w:instrText xml:space="preserve"> PAGE  \* MERGEFORMAT </w:instrText>
                          </w:r>
                          <w:r>
                            <w:fldChar w:fldCharType="separate"/>
                          </w:r>
                          <w:r>
                            <w:t>46</w:t>
                          </w:r>
                          <w:r>
                            <w:fldChar w:fldCharType="end"/>
                          </w:r>
                          <w:r>
                            <w:t xml:space="preserve"> 页 共 </w:t>
                          </w:r>
                          <w:r>
                            <w:rPr>
                              <w:rFonts w:hint="eastAsia"/>
                            </w:rPr>
                            <w:t>59</w:t>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p w14:paraId="4465872D">
                    <w:pPr>
                      <w:pStyle w:val="22"/>
                      <w:ind w:firstLine="360"/>
                    </w:pPr>
                    <w:r>
                      <w:t xml:space="preserve">第 </w:t>
                    </w:r>
                    <w:r>
                      <w:fldChar w:fldCharType="begin"/>
                    </w:r>
                    <w:r>
                      <w:instrText xml:space="preserve"> PAGE  \* MERGEFORMAT </w:instrText>
                    </w:r>
                    <w:r>
                      <w:fldChar w:fldCharType="separate"/>
                    </w:r>
                    <w:r>
                      <w:t>46</w:t>
                    </w:r>
                    <w:r>
                      <w:fldChar w:fldCharType="end"/>
                    </w:r>
                    <w:r>
                      <w:t xml:space="preserve"> 页 共 </w:t>
                    </w:r>
                    <w:r>
                      <w:rPr>
                        <w:rFonts w:hint="eastAsia"/>
                      </w:rPr>
                      <w:t>59</w:t>
                    </w:r>
                    <w:r>
                      <w:t xml:space="preserve"> 页</w:t>
                    </w:r>
                  </w:p>
                </w:txbxContent>
              </v:textbox>
            </v:shape>
          </w:pict>
        </mc:Fallback>
      </mc:AlternateContent>
    </w:r>
  </w:p>
  <w:p w14:paraId="779A9BA5">
    <w:pPr>
      <w:pStyle w:val="22"/>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22081">
    <w:pPr>
      <w:pStyle w:val="22"/>
      <w:ind w:firstLine="360"/>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E1C610">
                          <w:pPr>
                            <w:pStyle w:val="22"/>
                            <w:ind w:firstLine="360"/>
                          </w:pPr>
                          <w:r>
                            <w:t xml:space="preserve">第 </w:t>
                          </w:r>
                          <w:r>
                            <w:fldChar w:fldCharType="begin"/>
                          </w:r>
                          <w:r>
                            <w:instrText xml:space="preserve"> PAGE  \* MERGEFORMAT </w:instrText>
                          </w:r>
                          <w:r>
                            <w:fldChar w:fldCharType="separate"/>
                          </w:r>
                          <w:r>
                            <w:t>57</w:t>
                          </w:r>
                          <w:r>
                            <w:fldChar w:fldCharType="end"/>
                          </w:r>
                          <w:r>
                            <w:t xml:space="preserve"> 页 共 </w:t>
                          </w:r>
                          <w:r>
                            <w:rPr>
                              <w:rFonts w:hint="eastAsia"/>
                            </w:rPr>
                            <w:t>5</w:t>
                          </w:r>
                          <w:r>
                            <w:rPr>
                              <w:rFonts w:hint="eastAsia"/>
                              <w:lang w:val="en-US" w:eastAsia="zh-CN"/>
                            </w:rPr>
                            <w:t>5</w:t>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14:paraId="3CE1C610">
                    <w:pPr>
                      <w:pStyle w:val="22"/>
                      <w:ind w:firstLine="360"/>
                    </w:pPr>
                    <w:r>
                      <w:t xml:space="preserve">第 </w:t>
                    </w:r>
                    <w:r>
                      <w:fldChar w:fldCharType="begin"/>
                    </w:r>
                    <w:r>
                      <w:instrText xml:space="preserve"> PAGE  \* MERGEFORMAT </w:instrText>
                    </w:r>
                    <w:r>
                      <w:fldChar w:fldCharType="separate"/>
                    </w:r>
                    <w:r>
                      <w:t>57</w:t>
                    </w:r>
                    <w:r>
                      <w:fldChar w:fldCharType="end"/>
                    </w:r>
                    <w:r>
                      <w:t xml:space="preserve"> 页 共 </w:t>
                    </w:r>
                    <w:r>
                      <w:rPr>
                        <w:rFonts w:hint="eastAsia"/>
                      </w:rPr>
                      <w:t>5</w:t>
                    </w:r>
                    <w:r>
                      <w:rPr>
                        <w:rFonts w:hint="eastAsia"/>
                        <w:lang w:val="en-US" w:eastAsia="zh-CN"/>
                      </w:rPr>
                      <w:t>5</w:t>
                    </w:r>
                    <w:r>
                      <w:t xml:space="preserve"> 页</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6D7AF7">
                          <w:pPr>
                            <w:pStyle w:val="22"/>
                            <w:ind w:firstLine="360"/>
                            <w:jc w:val="cente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laO5nCwCAABZBAAADgAAAAAAAAABACAAAAAfAQAAZHJzL2Uyb0RvYy54bWxQSwUGAAAAAAYA&#10;BgBZAQAAvQUAAAAA&#10;">
              <v:fill on="f" focussize="0,0"/>
              <v:stroke on="f" weight="0.5pt"/>
              <v:imagedata o:title=""/>
              <o:lock v:ext="edit" aspectratio="f"/>
              <v:textbox inset="0mm,0mm,0mm,0mm" style="mso-fit-shape-to-text:t;">
                <w:txbxContent>
                  <w:p w14:paraId="6B6D7AF7">
                    <w:pPr>
                      <w:pStyle w:val="22"/>
                      <w:ind w:firstLine="360"/>
                      <w:jc w:val="center"/>
                    </w:pPr>
                  </w:p>
                </w:txbxContent>
              </v:textbox>
            </v:shape>
          </w:pict>
        </mc:Fallback>
      </mc:AlternateContent>
    </w:r>
  </w:p>
  <w:p w14:paraId="40F5D79F">
    <w:pPr>
      <w:pStyle w:val="2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89002">
    <w:pPr>
      <w:pStyle w:val="23"/>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4F0B8">
    <w:pPr>
      <w:pStyle w:val="2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1EFD7">
    <w:pPr>
      <w:pStyle w:val="2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4F0BA">
    <w:pPr>
      <w:pStyle w:val="23"/>
      <w:pBdr>
        <w:bottom w:val="none" w:color="auto" w:sz="0" w:space="1"/>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EECC1">
    <w:pPr>
      <w:pStyle w:val="23"/>
      <w:pBdr>
        <w:bottom w:val="none" w:color="auto" w:sz="0" w:space="1"/>
      </w:pBdr>
      <w:ind w:firstLine="0" w:firstLineChars="0"/>
      <w:jc w:val="both"/>
      <w:rPr>
        <w:rFonts w:eastAsia="楷体"/>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3100C">
    <w:pPr>
      <w:pStyle w:val="23"/>
      <w:pBdr>
        <w:bottom w:val="none" w:color="auto" w:sz="0" w:space="1"/>
      </w:pBdr>
      <w:ind w:firstLine="0" w:firstLineChars="0"/>
      <w:jc w:val="both"/>
      <w:rPr>
        <w:rFonts w:hint="eastAsia" w:ascii="楷体" w:hAnsi="楷体" w:eastAsia="楷体" w:cs="楷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86DA04"/>
    <w:multiLevelType w:val="multilevel"/>
    <w:tmpl w:val="A486DA04"/>
    <w:lvl w:ilvl="0" w:tentative="0">
      <w:start w:val="1"/>
      <w:numFmt w:val="decimal"/>
      <w:pStyle w:val="2"/>
      <w:suff w:val="space"/>
      <w:lvlText w:val="%1"/>
      <w:lvlJc w:val="center"/>
      <w:pPr>
        <w:tabs>
          <w:tab w:val="left" w:pos="0"/>
        </w:tabs>
        <w:ind w:left="0" w:firstLine="0"/>
      </w:pPr>
      <w:rPr>
        <w:rFonts w:hint="default" w:ascii="宋体" w:hAnsi="宋体" w:eastAsia="宋体" w:cs="宋体"/>
      </w:rPr>
    </w:lvl>
    <w:lvl w:ilvl="1" w:tentative="0">
      <w:start w:val="1"/>
      <w:numFmt w:val="decimal"/>
      <w:pStyle w:val="3"/>
      <w:suff w:val="space"/>
      <w:lvlText w:val="%1.%2"/>
      <w:lvlJc w:val="left"/>
      <w:pPr>
        <w:tabs>
          <w:tab w:val="left" w:pos="0"/>
        </w:tabs>
        <w:ind w:left="0" w:firstLine="0"/>
      </w:pPr>
      <w:rPr>
        <w:rFonts w:hint="default" w:ascii="宋体" w:hAnsi="宋体" w:eastAsia="宋体" w:cs="宋体"/>
        <w:sz w:val="24"/>
        <w:szCs w:val="24"/>
      </w:rPr>
    </w:lvl>
    <w:lvl w:ilvl="2" w:tentative="0">
      <w:start w:val="1"/>
      <w:numFmt w:val="decimal"/>
      <w:pStyle w:val="4"/>
      <w:suff w:val="space"/>
      <w:lvlText w:val="%1.%2.%3"/>
      <w:lvlJc w:val="left"/>
      <w:pPr>
        <w:tabs>
          <w:tab w:val="left" w:pos="420"/>
        </w:tabs>
        <w:ind w:left="0" w:firstLine="0"/>
      </w:pPr>
      <w:rPr>
        <w:rFonts w:hint="default" w:ascii="宋体" w:hAnsi="宋体" w:eastAsia="宋体" w:cs="宋体"/>
      </w:rPr>
    </w:lvl>
    <w:lvl w:ilvl="3" w:tentative="0">
      <w:start w:val="1"/>
      <w:numFmt w:val="decimal"/>
      <w:pStyle w:val="5"/>
      <w:suff w:val="space"/>
      <w:lvlText w:val="%1.%2.%3.%4"/>
      <w:lvlJc w:val="left"/>
      <w:pPr>
        <w:tabs>
          <w:tab w:val="left" w:pos="0"/>
        </w:tabs>
        <w:ind w:left="420" w:hanging="420"/>
      </w:pPr>
      <w:rPr>
        <w:rFonts w:hint="default" w:ascii="宋体" w:hAnsi="宋体" w:eastAsia="宋体" w:cs="宋体"/>
      </w:rPr>
    </w:lvl>
    <w:lvl w:ilvl="4" w:tentative="0">
      <w:start w:val="1"/>
      <w:numFmt w:val="decimal"/>
      <w:pStyle w:val="6"/>
      <w:lvlText w:val="%1.%2.%3.%4.%5."/>
      <w:lvlJc w:val="left"/>
      <w:pPr>
        <w:ind w:left="2647" w:hanging="1008"/>
      </w:pPr>
      <w:rPr>
        <w:rFonts w:hint="default"/>
      </w:rPr>
    </w:lvl>
    <w:lvl w:ilvl="5" w:tentative="0">
      <w:start w:val="1"/>
      <w:numFmt w:val="decimal"/>
      <w:pStyle w:val="7"/>
      <w:lvlText w:val="%1.%2.%3.%4.%5.%6."/>
      <w:lvlJc w:val="left"/>
      <w:pPr>
        <w:ind w:left="2790" w:hanging="1151"/>
      </w:pPr>
      <w:rPr>
        <w:rFonts w:hint="default"/>
      </w:rPr>
    </w:lvl>
    <w:lvl w:ilvl="6" w:tentative="0">
      <w:start w:val="1"/>
      <w:numFmt w:val="decimal"/>
      <w:pStyle w:val="8"/>
      <w:lvlText w:val="%1.%2.%3.%4.%5.%6.%7."/>
      <w:lvlJc w:val="left"/>
      <w:pPr>
        <w:ind w:left="2935" w:hanging="1296"/>
      </w:pPr>
      <w:rPr>
        <w:rFonts w:hint="default"/>
      </w:rPr>
    </w:lvl>
    <w:lvl w:ilvl="7" w:tentative="0">
      <w:start w:val="1"/>
      <w:numFmt w:val="decimal"/>
      <w:pStyle w:val="9"/>
      <w:lvlText w:val="%1.%2.%3.%4.%5.%6.%7.%8."/>
      <w:lvlJc w:val="left"/>
      <w:pPr>
        <w:ind w:left="3079" w:hanging="1440"/>
      </w:pPr>
      <w:rPr>
        <w:rFonts w:hint="default"/>
      </w:rPr>
    </w:lvl>
    <w:lvl w:ilvl="8" w:tentative="0">
      <w:start w:val="1"/>
      <w:numFmt w:val="decimal"/>
      <w:pStyle w:val="10"/>
      <w:lvlText w:val="%1.%2.%3.%4.%5.%6.%7.%8.%9."/>
      <w:lvlJc w:val="left"/>
      <w:pPr>
        <w:ind w:left="3222" w:hanging="1583"/>
      </w:pPr>
      <w:rPr>
        <w:rFonts w:hint="default"/>
      </w:rPr>
    </w:lvl>
  </w:abstractNum>
  <w:abstractNum w:abstractNumId="1">
    <w:nsid w:val="B7590AF5"/>
    <w:multiLevelType w:val="singleLevel"/>
    <w:tmpl w:val="B7590AF5"/>
    <w:lvl w:ilvl="0" w:tentative="0">
      <w:start w:val="2"/>
      <w:numFmt w:val="decimal"/>
      <w:suff w:val="nothing"/>
      <w:lvlText w:val="（%1）"/>
      <w:lvlJc w:val="left"/>
    </w:lvl>
  </w:abstractNum>
  <w:abstractNum w:abstractNumId="2">
    <w:nsid w:val="DAA0019D"/>
    <w:multiLevelType w:val="singleLevel"/>
    <w:tmpl w:val="DAA0019D"/>
    <w:lvl w:ilvl="0" w:tentative="0">
      <w:start w:val="1"/>
      <w:numFmt w:val="decimal"/>
      <w:pStyle w:val="107"/>
      <w:suff w:val="nothing"/>
      <w:lvlText w:val="（%1）"/>
      <w:lvlJc w:val="left"/>
    </w:lvl>
  </w:abstractNum>
  <w:abstractNum w:abstractNumId="3">
    <w:nsid w:val="EDCCA5BB"/>
    <w:multiLevelType w:val="singleLevel"/>
    <w:tmpl w:val="EDCCA5BB"/>
    <w:lvl w:ilvl="0" w:tentative="0">
      <w:start w:val="1"/>
      <w:numFmt w:val="decimal"/>
      <w:suff w:val="nothing"/>
      <w:lvlText w:val="（%1）"/>
      <w:lvlJc w:val="left"/>
    </w:lvl>
  </w:abstractNum>
  <w:abstractNum w:abstractNumId="4">
    <w:nsid w:val="5E847B55"/>
    <w:multiLevelType w:val="singleLevel"/>
    <w:tmpl w:val="5E847B55"/>
    <w:lvl w:ilvl="0" w:tentative="0">
      <w:start w:val="1"/>
      <w:numFmt w:val="decimalEnclosedCircleChinese"/>
      <w:suff w:val="nothing"/>
      <w:lvlText w:val="%1　"/>
      <w:lvlJc w:val="left"/>
      <w:pPr>
        <w:ind w:left="0" w:firstLine="400"/>
      </w:pPr>
      <w:rPr>
        <w:rFonts w:hint="eastAsia"/>
      </w:rPr>
    </w:lvl>
  </w:abstractNum>
  <w:abstractNum w:abstractNumId="5">
    <w:nsid w:val="73AB4B07"/>
    <w:multiLevelType w:val="singleLevel"/>
    <w:tmpl w:val="73AB4B07"/>
    <w:lvl w:ilvl="0" w:tentative="0">
      <w:start w:val="1"/>
      <w:numFmt w:val="decimal"/>
      <w:suff w:val="nothing"/>
      <w:lvlText w:val="（%1）"/>
      <w:lvlJc w:val="left"/>
    </w:lvl>
  </w:abstractNum>
  <w:num w:numId="1">
    <w:abstractNumId w:val="0"/>
  </w:num>
  <w:num w:numId="2">
    <w:abstractNumId w:val="2"/>
  </w:num>
  <w:num w:numId="3">
    <w:abstractNumId w:val="4"/>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yZWQ0MjM2NDEyNWJlNDk5MzI2MGI5ZDZlMGM2NjcifQ=="/>
  </w:docVars>
  <w:rsids>
    <w:rsidRoot w:val="00172A27"/>
    <w:rsid w:val="00020314"/>
    <w:rsid w:val="0005660D"/>
    <w:rsid w:val="000C70E7"/>
    <w:rsid w:val="000E6B57"/>
    <w:rsid w:val="001101E7"/>
    <w:rsid w:val="00114695"/>
    <w:rsid w:val="001166E1"/>
    <w:rsid w:val="001260CF"/>
    <w:rsid w:val="0014520E"/>
    <w:rsid w:val="00153ED1"/>
    <w:rsid w:val="00172A27"/>
    <w:rsid w:val="00173C2E"/>
    <w:rsid w:val="00192F49"/>
    <w:rsid w:val="001A69A0"/>
    <w:rsid w:val="001C4C41"/>
    <w:rsid w:val="001D33A5"/>
    <w:rsid w:val="001E65D2"/>
    <w:rsid w:val="00225C51"/>
    <w:rsid w:val="00236A11"/>
    <w:rsid w:val="00247054"/>
    <w:rsid w:val="002653E4"/>
    <w:rsid w:val="002873C3"/>
    <w:rsid w:val="0029039B"/>
    <w:rsid w:val="00295FF6"/>
    <w:rsid w:val="00297F07"/>
    <w:rsid w:val="002B2E32"/>
    <w:rsid w:val="002E6143"/>
    <w:rsid w:val="00301ED7"/>
    <w:rsid w:val="00304466"/>
    <w:rsid w:val="00306575"/>
    <w:rsid w:val="003245B6"/>
    <w:rsid w:val="00343B98"/>
    <w:rsid w:val="003821A3"/>
    <w:rsid w:val="00383701"/>
    <w:rsid w:val="003C72CF"/>
    <w:rsid w:val="003D0852"/>
    <w:rsid w:val="0041217C"/>
    <w:rsid w:val="00425E28"/>
    <w:rsid w:val="00435525"/>
    <w:rsid w:val="00477F4E"/>
    <w:rsid w:val="004866C2"/>
    <w:rsid w:val="004A6A9F"/>
    <w:rsid w:val="004B13FC"/>
    <w:rsid w:val="004C09E7"/>
    <w:rsid w:val="004D5980"/>
    <w:rsid w:val="004E1FC1"/>
    <w:rsid w:val="0053261F"/>
    <w:rsid w:val="00532FD8"/>
    <w:rsid w:val="00534576"/>
    <w:rsid w:val="0054747E"/>
    <w:rsid w:val="00547D4C"/>
    <w:rsid w:val="00560243"/>
    <w:rsid w:val="00564FBF"/>
    <w:rsid w:val="005728D8"/>
    <w:rsid w:val="005D0BEC"/>
    <w:rsid w:val="005D3085"/>
    <w:rsid w:val="005D31A4"/>
    <w:rsid w:val="005E4BAC"/>
    <w:rsid w:val="005E5AE6"/>
    <w:rsid w:val="005F7283"/>
    <w:rsid w:val="006376B7"/>
    <w:rsid w:val="006504D5"/>
    <w:rsid w:val="00690997"/>
    <w:rsid w:val="006D60F8"/>
    <w:rsid w:val="006E44F6"/>
    <w:rsid w:val="006F1355"/>
    <w:rsid w:val="00721202"/>
    <w:rsid w:val="00731577"/>
    <w:rsid w:val="007339F4"/>
    <w:rsid w:val="00737364"/>
    <w:rsid w:val="007378D5"/>
    <w:rsid w:val="00785FDA"/>
    <w:rsid w:val="007B2EF7"/>
    <w:rsid w:val="007C60D9"/>
    <w:rsid w:val="007D6600"/>
    <w:rsid w:val="007E2A4A"/>
    <w:rsid w:val="007F3E9C"/>
    <w:rsid w:val="00816956"/>
    <w:rsid w:val="008701F0"/>
    <w:rsid w:val="008B28ED"/>
    <w:rsid w:val="008B301D"/>
    <w:rsid w:val="008D28FA"/>
    <w:rsid w:val="008F34C6"/>
    <w:rsid w:val="009071C7"/>
    <w:rsid w:val="00922D32"/>
    <w:rsid w:val="00955730"/>
    <w:rsid w:val="009804E5"/>
    <w:rsid w:val="009D6F43"/>
    <w:rsid w:val="009F630F"/>
    <w:rsid w:val="00A01437"/>
    <w:rsid w:val="00A15210"/>
    <w:rsid w:val="00A2573B"/>
    <w:rsid w:val="00A432B3"/>
    <w:rsid w:val="00A50568"/>
    <w:rsid w:val="00A8436E"/>
    <w:rsid w:val="00AB1759"/>
    <w:rsid w:val="00AB41E2"/>
    <w:rsid w:val="00AB49B4"/>
    <w:rsid w:val="00AC3947"/>
    <w:rsid w:val="00B14BFA"/>
    <w:rsid w:val="00B353B9"/>
    <w:rsid w:val="00B7587A"/>
    <w:rsid w:val="00B87564"/>
    <w:rsid w:val="00BA0809"/>
    <w:rsid w:val="00BC02E3"/>
    <w:rsid w:val="00C25374"/>
    <w:rsid w:val="00C4434C"/>
    <w:rsid w:val="00CB7636"/>
    <w:rsid w:val="00CC51DB"/>
    <w:rsid w:val="00D15C1B"/>
    <w:rsid w:val="00D76CCE"/>
    <w:rsid w:val="00D901DC"/>
    <w:rsid w:val="00DB112C"/>
    <w:rsid w:val="00E052E2"/>
    <w:rsid w:val="00E53D8A"/>
    <w:rsid w:val="00E71469"/>
    <w:rsid w:val="00E84CD0"/>
    <w:rsid w:val="00EB04FC"/>
    <w:rsid w:val="00F27907"/>
    <w:rsid w:val="00F36082"/>
    <w:rsid w:val="00F40808"/>
    <w:rsid w:val="00F60C4F"/>
    <w:rsid w:val="00F8564D"/>
    <w:rsid w:val="00FA11F7"/>
    <w:rsid w:val="00FA4991"/>
    <w:rsid w:val="00FB1F25"/>
    <w:rsid w:val="00FF0C32"/>
    <w:rsid w:val="010A1CE1"/>
    <w:rsid w:val="010C297A"/>
    <w:rsid w:val="012B61BB"/>
    <w:rsid w:val="01594B2D"/>
    <w:rsid w:val="01604E3B"/>
    <w:rsid w:val="01644906"/>
    <w:rsid w:val="016D1651"/>
    <w:rsid w:val="01844F7A"/>
    <w:rsid w:val="01CD1315"/>
    <w:rsid w:val="01EC3C21"/>
    <w:rsid w:val="02027D08"/>
    <w:rsid w:val="020F5B16"/>
    <w:rsid w:val="020F5EB1"/>
    <w:rsid w:val="02367E00"/>
    <w:rsid w:val="023B056E"/>
    <w:rsid w:val="026A5507"/>
    <w:rsid w:val="027E15AD"/>
    <w:rsid w:val="02842EB4"/>
    <w:rsid w:val="028936BB"/>
    <w:rsid w:val="0296792B"/>
    <w:rsid w:val="02A97465"/>
    <w:rsid w:val="02D452FD"/>
    <w:rsid w:val="02DD445B"/>
    <w:rsid w:val="02FA6389"/>
    <w:rsid w:val="03263B9E"/>
    <w:rsid w:val="0340166F"/>
    <w:rsid w:val="03503E58"/>
    <w:rsid w:val="0354550C"/>
    <w:rsid w:val="0357644D"/>
    <w:rsid w:val="035F328E"/>
    <w:rsid w:val="036A0AEA"/>
    <w:rsid w:val="03774CAE"/>
    <w:rsid w:val="03904E5D"/>
    <w:rsid w:val="03A432DB"/>
    <w:rsid w:val="03A5613C"/>
    <w:rsid w:val="03A64228"/>
    <w:rsid w:val="03A76E14"/>
    <w:rsid w:val="03D46D62"/>
    <w:rsid w:val="03D6305C"/>
    <w:rsid w:val="03F42766"/>
    <w:rsid w:val="03F83330"/>
    <w:rsid w:val="03FE4503"/>
    <w:rsid w:val="04217AFC"/>
    <w:rsid w:val="04321B5F"/>
    <w:rsid w:val="043501C6"/>
    <w:rsid w:val="04365E73"/>
    <w:rsid w:val="04467087"/>
    <w:rsid w:val="045C372E"/>
    <w:rsid w:val="046436DE"/>
    <w:rsid w:val="04787C88"/>
    <w:rsid w:val="04926A58"/>
    <w:rsid w:val="049F6FE3"/>
    <w:rsid w:val="04D1210E"/>
    <w:rsid w:val="04E76B7D"/>
    <w:rsid w:val="053134C0"/>
    <w:rsid w:val="054060F1"/>
    <w:rsid w:val="05463C0D"/>
    <w:rsid w:val="05477FEB"/>
    <w:rsid w:val="054E653A"/>
    <w:rsid w:val="05566690"/>
    <w:rsid w:val="05591323"/>
    <w:rsid w:val="0576425F"/>
    <w:rsid w:val="057D4C42"/>
    <w:rsid w:val="057F2EF1"/>
    <w:rsid w:val="058D7570"/>
    <w:rsid w:val="05A50360"/>
    <w:rsid w:val="05C245FC"/>
    <w:rsid w:val="05C91796"/>
    <w:rsid w:val="05E97A8A"/>
    <w:rsid w:val="06000F04"/>
    <w:rsid w:val="06255967"/>
    <w:rsid w:val="06385BA2"/>
    <w:rsid w:val="064B00BF"/>
    <w:rsid w:val="064E6764"/>
    <w:rsid w:val="067A7C8C"/>
    <w:rsid w:val="06847A44"/>
    <w:rsid w:val="06877E54"/>
    <w:rsid w:val="068D4F99"/>
    <w:rsid w:val="069057C2"/>
    <w:rsid w:val="06C6149A"/>
    <w:rsid w:val="06CA60F2"/>
    <w:rsid w:val="06CE0AEE"/>
    <w:rsid w:val="06E576C8"/>
    <w:rsid w:val="07125631"/>
    <w:rsid w:val="071B7AB6"/>
    <w:rsid w:val="072B7F27"/>
    <w:rsid w:val="07500F03"/>
    <w:rsid w:val="075F6373"/>
    <w:rsid w:val="07602A0A"/>
    <w:rsid w:val="07606842"/>
    <w:rsid w:val="076D5710"/>
    <w:rsid w:val="07857B54"/>
    <w:rsid w:val="07AA2216"/>
    <w:rsid w:val="07B8711F"/>
    <w:rsid w:val="07BF19E8"/>
    <w:rsid w:val="07C33C38"/>
    <w:rsid w:val="07EC0AB8"/>
    <w:rsid w:val="08016B45"/>
    <w:rsid w:val="08043058"/>
    <w:rsid w:val="081B1324"/>
    <w:rsid w:val="081E55D3"/>
    <w:rsid w:val="083A6E28"/>
    <w:rsid w:val="084A277F"/>
    <w:rsid w:val="086C01DC"/>
    <w:rsid w:val="08B616F2"/>
    <w:rsid w:val="08C00C4D"/>
    <w:rsid w:val="08C30225"/>
    <w:rsid w:val="08E07B5F"/>
    <w:rsid w:val="092E1232"/>
    <w:rsid w:val="09511AC5"/>
    <w:rsid w:val="0951409B"/>
    <w:rsid w:val="09632D06"/>
    <w:rsid w:val="09646075"/>
    <w:rsid w:val="0976555C"/>
    <w:rsid w:val="09870DE3"/>
    <w:rsid w:val="0990373B"/>
    <w:rsid w:val="09B25D2A"/>
    <w:rsid w:val="09CE2E98"/>
    <w:rsid w:val="09D704D2"/>
    <w:rsid w:val="09F66537"/>
    <w:rsid w:val="09FF5B20"/>
    <w:rsid w:val="0A015DEC"/>
    <w:rsid w:val="0A025D23"/>
    <w:rsid w:val="0A175FCB"/>
    <w:rsid w:val="0A2967DA"/>
    <w:rsid w:val="0A4739F8"/>
    <w:rsid w:val="0A4E71C2"/>
    <w:rsid w:val="0A8D5C85"/>
    <w:rsid w:val="0AAD6BB2"/>
    <w:rsid w:val="0AB6095D"/>
    <w:rsid w:val="0AC35627"/>
    <w:rsid w:val="0ACE17DE"/>
    <w:rsid w:val="0AEB3292"/>
    <w:rsid w:val="0AEE0212"/>
    <w:rsid w:val="0B081B9C"/>
    <w:rsid w:val="0B296003"/>
    <w:rsid w:val="0B3E1638"/>
    <w:rsid w:val="0B4256EE"/>
    <w:rsid w:val="0B5B4DCC"/>
    <w:rsid w:val="0B7D628F"/>
    <w:rsid w:val="0B935359"/>
    <w:rsid w:val="0BDB73EA"/>
    <w:rsid w:val="0BDE288B"/>
    <w:rsid w:val="0BEC3749"/>
    <w:rsid w:val="0BF74B60"/>
    <w:rsid w:val="0BFD7E71"/>
    <w:rsid w:val="0C1F264C"/>
    <w:rsid w:val="0C222817"/>
    <w:rsid w:val="0C2E3BC7"/>
    <w:rsid w:val="0C336AF3"/>
    <w:rsid w:val="0C407E8D"/>
    <w:rsid w:val="0C977BC8"/>
    <w:rsid w:val="0C9B1D82"/>
    <w:rsid w:val="0CAD572E"/>
    <w:rsid w:val="0CCC6122"/>
    <w:rsid w:val="0CD04DE9"/>
    <w:rsid w:val="0CDA1CC3"/>
    <w:rsid w:val="0CEB0AF4"/>
    <w:rsid w:val="0D05749C"/>
    <w:rsid w:val="0D1630A9"/>
    <w:rsid w:val="0D2F0A45"/>
    <w:rsid w:val="0D335301"/>
    <w:rsid w:val="0D5056AA"/>
    <w:rsid w:val="0D5147C5"/>
    <w:rsid w:val="0D523274"/>
    <w:rsid w:val="0D560DC5"/>
    <w:rsid w:val="0D7D0092"/>
    <w:rsid w:val="0D941595"/>
    <w:rsid w:val="0DA064A0"/>
    <w:rsid w:val="0DAC5193"/>
    <w:rsid w:val="0DBB1328"/>
    <w:rsid w:val="0DCE7E5C"/>
    <w:rsid w:val="0DE54461"/>
    <w:rsid w:val="0DF64CB0"/>
    <w:rsid w:val="0DF849BC"/>
    <w:rsid w:val="0E3B53CA"/>
    <w:rsid w:val="0E3C4FB8"/>
    <w:rsid w:val="0E63106C"/>
    <w:rsid w:val="0EB824F0"/>
    <w:rsid w:val="0EDF3215"/>
    <w:rsid w:val="0EEC6000"/>
    <w:rsid w:val="0EEE3A05"/>
    <w:rsid w:val="0EF369EA"/>
    <w:rsid w:val="0F056C11"/>
    <w:rsid w:val="0F170C81"/>
    <w:rsid w:val="0F1B1511"/>
    <w:rsid w:val="0F1E201D"/>
    <w:rsid w:val="0F3F439A"/>
    <w:rsid w:val="0F435C06"/>
    <w:rsid w:val="0F506314"/>
    <w:rsid w:val="0F55265A"/>
    <w:rsid w:val="0F807642"/>
    <w:rsid w:val="0F8A5C8F"/>
    <w:rsid w:val="0FB13BF7"/>
    <w:rsid w:val="0FC510E9"/>
    <w:rsid w:val="0FD968D3"/>
    <w:rsid w:val="10203298"/>
    <w:rsid w:val="10280B0D"/>
    <w:rsid w:val="102D0F77"/>
    <w:rsid w:val="103D5BFA"/>
    <w:rsid w:val="103D6221"/>
    <w:rsid w:val="10455958"/>
    <w:rsid w:val="10785A0D"/>
    <w:rsid w:val="10947832"/>
    <w:rsid w:val="109E17AE"/>
    <w:rsid w:val="10A70ADF"/>
    <w:rsid w:val="10D22626"/>
    <w:rsid w:val="10F9758E"/>
    <w:rsid w:val="10FE54EE"/>
    <w:rsid w:val="110467FC"/>
    <w:rsid w:val="110A0436"/>
    <w:rsid w:val="11285D61"/>
    <w:rsid w:val="11340FCD"/>
    <w:rsid w:val="113548F0"/>
    <w:rsid w:val="114B0B0B"/>
    <w:rsid w:val="118D3E50"/>
    <w:rsid w:val="118F24FC"/>
    <w:rsid w:val="119B32F6"/>
    <w:rsid w:val="11AF2F60"/>
    <w:rsid w:val="11BE0C1D"/>
    <w:rsid w:val="11CB53BC"/>
    <w:rsid w:val="11D1521A"/>
    <w:rsid w:val="11DA1600"/>
    <w:rsid w:val="11DA5043"/>
    <w:rsid w:val="11EB5D23"/>
    <w:rsid w:val="11FF2C6A"/>
    <w:rsid w:val="1241657F"/>
    <w:rsid w:val="12446452"/>
    <w:rsid w:val="124C3571"/>
    <w:rsid w:val="125D66C3"/>
    <w:rsid w:val="12C25A37"/>
    <w:rsid w:val="12D6472B"/>
    <w:rsid w:val="12DA30EF"/>
    <w:rsid w:val="12F01788"/>
    <w:rsid w:val="13383DB9"/>
    <w:rsid w:val="1349455B"/>
    <w:rsid w:val="13580FDB"/>
    <w:rsid w:val="136541F1"/>
    <w:rsid w:val="136F2D64"/>
    <w:rsid w:val="13714617"/>
    <w:rsid w:val="1380565C"/>
    <w:rsid w:val="13C02584"/>
    <w:rsid w:val="13FA0781"/>
    <w:rsid w:val="13FE52D9"/>
    <w:rsid w:val="14192526"/>
    <w:rsid w:val="141E220A"/>
    <w:rsid w:val="142A35E6"/>
    <w:rsid w:val="1441194F"/>
    <w:rsid w:val="14421CDD"/>
    <w:rsid w:val="144A2A3D"/>
    <w:rsid w:val="146B5E9F"/>
    <w:rsid w:val="147420D9"/>
    <w:rsid w:val="147E5C9D"/>
    <w:rsid w:val="147F32DD"/>
    <w:rsid w:val="149503A2"/>
    <w:rsid w:val="14C72582"/>
    <w:rsid w:val="14CF0B92"/>
    <w:rsid w:val="14D159DC"/>
    <w:rsid w:val="14D60A52"/>
    <w:rsid w:val="14EA7A62"/>
    <w:rsid w:val="14F42CD8"/>
    <w:rsid w:val="152C6448"/>
    <w:rsid w:val="15470492"/>
    <w:rsid w:val="15593AEE"/>
    <w:rsid w:val="157A513E"/>
    <w:rsid w:val="158C6B59"/>
    <w:rsid w:val="15BB6DA6"/>
    <w:rsid w:val="15D6031C"/>
    <w:rsid w:val="15F84D8D"/>
    <w:rsid w:val="16034B00"/>
    <w:rsid w:val="16116AF6"/>
    <w:rsid w:val="162241C0"/>
    <w:rsid w:val="16243C94"/>
    <w:rsid w:val="16245503"/>
    <w:rsid w:val="162962E9"/>
    <w:rsid w:val="163C44D8"/>
    <w:rsid w:val="164976AB"/>
    <w:rsid w:val="16575A93"/>
    <w:rsid w:val="166562B9"/>
    <w:rsid w:val="166D339A"/>
    <w:rsid w:val="167D6056"/>
    <w:rsid w:val="169C709D"/>
    <w:rsid w:val="16A52081"/>
    <w:rsid w:val="16B25BEB"/>
    <w:rsid w:val="16C716B2"/>
    <w:rsid w:val="16DA4174"/>
    <w:rsid w:val="170726B0"/>
    <w:rsid w:val="17122790"/>
    <w:rsid w:val="17507BF7"/>
    <w:rsid w:val="175522EB"/>
    <w:rsid w:val="177B101A"/>
    <w:rsid w:val="17805552"/>
    <w:rsid w:val="1781506F"/>
    <w:rsid w:val="17976623"/>
    <w:rsid w:val="17A91723"/>
    <w:rsid w:val="17BF02E5"/>
    <w:rsid w:val="17C72195"/>
    <w:rsid w:val="17EA7304"/>
    <w:rsid w:val="18066B03"/>
    <w:rsid w:val="181447AD"/>
    <w:rsid w:val="18150245"/>
    <w:rsid w:val="181A412D"/>
    <w:rsid w:val="182076FE"/>
    <w:rsid w:val="1887710D"/>
    <w:rsid w:val="18995B47"/>
    <w:rsid w:val="189975E1"/>
    <w:rsid w:val="18A9742D"/>
    <w:rsid w:val="18AA6E7B"/>
    <w:rsid w:val="18D4660A"/>
    <w:rsid w:val="18EE08C0"/>
    <w:rsid w:val="19231C1C"/>
    <w:rsid w:val="193B5792"/>
    <w:rsid w:val="193C34A8"/>
    <w:rsid w:val="194B3C6F"/>
    <w:rsid w:val="194D2162"/>
    <w:rsid w:val="194E1767"/>
    <w:rsid w:val="19564B0B"/>
    <w:rsid w:val="19892B17"/>
    <w:rsid w:val="198D3F61"/>
    <w:rsid w:val="199B6C8D"/>
    <w:rsid w:val="19A056BC"/>
    <w:rsid w:val="19B30D2F"/>
    <w:rsid w:val="19BB4E36"/>
    <w:rsid w:val="19C343A7"/>
    <w:rsid w:val="19EB62AB"/>
    <w:rsid w:val="19F61455"/>
    <w:rsid w:val="19F92E98"/>
    <w:rsid w:val="1A1D453F"/>
    <w:rsid w:val="1A1F1FD4"/>
    <w:rsid w:val="1A614EAC"/>
    <w:rsid w:val="1A6611F1"/>
    <w:rsid w:val="1A7A5809"/>
    <w:rsid w:val="1A7A64F8"/>
    <w:rsid w:val="1A82720E"/>
    <w:rsid w:val="1A833706"/>
    <w:rsid w:val="1AB47FDA"/>
    <w:rsid w:val="1ABA0B2D"/>
    <w:rsid w:val="1AD04502"/>
    <w:rsid w:val="1AD1520E"/>
    <w:rsid w:val="1AD40685"/>
    <w:rsid w:val="1AE20945"/>
    <w:rsid w:val="1B0313A4"/>
    <w:rsid w:val="1B17688A"/>
    <w:rsid w:val="1B1920EE"/>
    <w:rsid w:val="1B21099E"/>
    <w:rsid w:val="1B26173D"/>
    <w:rsid w:val="1B2D0176"/>
    <w:rsid w:val="1B2E17BB"/>
    <w:rsid w:val="1B304959"/>
    <w:rsid w:val="1B35668E"/>
    <w:rsid w:val="1B5653EA"/>
    <w:rsid w:val="1B5B13E0"/>
    <w:rsid w:val="1B8C75EA"/>
    <w:rsid w:val="1B997F6E"/>
    <w:rsid w:val="1B9F71A8"/>
    <w:rsid w:val="1BC26B77"/>
    <w:rsid w:val="1BD76591"/>
    <w:rsid w:val="1BD768CA"/>
    <w:rsid w:val="1BDC4044"/>
    <w:rsid w:val="1BDF2E7A"/>
    <w:rsid w:val="1BE7108E"/>
    <w:rsid w:val="1BF25005"/>
    <w:rsid w:val="1BF82FEF"/>
    <w:rsid w:val="1BFB07C7"/>
    <w:rsid w:val="1C105C5D"/>
    <w:rsid w:val="1C49195E"/>
    <w:rsid w:val="1C514DE3"/>
    <w:rsid w:val="1C562E45"/>
    <w:rsid w:val="1C587ED8"/>
    <w:rsid w:val="1C797EF2"/>
    <w:rsid w:val="1C84497D"/>
    <w:rsid w:val="1C986179"/>
    <w:rsid w:val="1CA07588"/>
    <w:rsid w:val="1CA10C23"/>
    <w:rsid w:val="1CC530D3"/>
    <w:rsid w:val="1CC65232"/>
    <w:rsid w:val="1CDC656D"/>
    <w:rsid w:val="1CDD0B0B"/>
    <w:rsid w:val="1CE23D8F"/>
    <w:rsid w:val="1CF1503E"/>
    <w:rsid w:val="1CF876AF"/>
    <w:rsid w:val="1D0C3911"/>
    <w:rsid w:val="1D0D6E4F"/>
    <w:rsid w:val="1D2E2785"/>
    <w:rsid w:val="1D4868B4"/>
    <w:rsid w:val="1D4F3A5F"/>
    <w:rsid w:val="1D7D0679"/>
    <w:rsid w:val="1D8330C5"/>
    <w:rsid w:val="1D9D5EB7"/>
    <w:rsid w:val="1DB25F26"/>
    <w:rsid w:val="1DBE23AD"/>
    <w:rsid w:val="1DD54E66"/>
    <w:rsid w:val="1DD56F84"/>
    <w:rsid w:val="1DD7420C"/>
    <w:rsid w:val="1DE650F4"/>
    <w:rsid w:val="1DEA61FA"/>
    <w:rsid w:val="1DF40C22"/>
    <w:rsid w:val="1E305A7E"/>
    <w:rsid w:val="1E31561E"/>
    <w:rsid w:val="1E3D5392"/>
    <w:rsid w:val="1E3F1BAC"/>
    <w:rsid w:val="1E716BB3"/>
    <w:rsid w:val="1EA668DF"/>
    <w:rsid w:val="1EAB0B42"/>
    <w:rsid w:val="1ED64D5B"/>
    <w:rsid w:val="1ED95808"/>
    <w:rsid w:val="1EE539C5"/>
    <w:rsid w:val="1EF74A9C"/>
    <w:rsid w:val="1F0D299A"/>
    <w:rsid w:val="1F240C3A"/>
    <w:rsid w:val="1F441934"/>
    <w:rsid w:val="1F627C92"/>
    <w:rsid w:val="1F6D4AB9"/>
    <w:rsid w:val="1F836E73"/>
    <w:rsid w:val="1F987CA6"/>
    <w:rsid w:val="1F9D2EF5"/>
    <w:rsid w:val="1FB66148"/>
    <w:rsid w:val="1FBC76F9"/>
    <w:rsid w:val="1FC91F4D"/>
    <w:rsid w:val="1FD54A0E"/>
    <w:rsid w:val="1FDC3B08"/>
    <w:rsid w:val="1FE05E95"/>
    <w:rsid w:val="1FF5284B"/>
    <w:rsid w:val="1FF80DA6"/>
    <w:rsid w:val="1FFB3657"/>
    <w:rsid w:val="1FFE0D24"/>
    <w:rsid w:val="201F5699"/>
    <w:rsid w:val="2029614C"/>
    <w:rsid w:val="203F1110"/>
    <w:rsid w:val="203F33D8"/>
    <w:rsid w:val="204E2304"/>
    <w:rsid w:val="20501BC4"/>
    <w:rsid w:val="20955145"/>
    <w:rsid w:val="209A7557"/>
    <w:rsid w:val="20C90246"/>
    <w:rsid w:val="20C973D4"/>
    <w:rsid w:val="20DA0AB7"/>
    <w:rsid w:val="2124761A"/>
    <w:rsid w:val="212500F5"/>
    <w:rsid w:val="21281405"/>
    <w:rsid w:val="214C4EF9"/>
    <w:rsid w:val="21790806"/>
    <w:rsid w:val="21AC4560"/>
    <w:rsid w:val="21BC6683"/>
    <w:rsid w:val="21F759AB"/>
    <w:rsid w:val="21FF37B3"/>
    <w:rsid w:val="22033937"/>
    <w:rsid w:val="22050797"/>
    <w:rsid w:val="220B4362"/>
    <w:rsid w:val="220E7A93"/>
    <w:rsid w:val="22141540"/>
    <w:rsid w:val="221523F1"/>
    <w:rsid w:val="221A4311"/>
    <w:rsid w:val="222078DD"/>
    <w:rsid w:val="22450BA1"/>
    <w:rsid w:val="22661D85"/>
    <w:rsid w:val="22A52CDE"/>
    <w:rsid w:val="22A70B0B"/>
    <w:rsid w:val="22E469B8"/>
    <w:rsid w:val="22E83823"/>
    <w:rsid w:val="230A777B"/>
    <w:rsid w:val="231F6631"/>
    <w:rsid w:val="234053C1"/>
    <w:rsid w:val="234819B0"/>
    <w:rsid w:val="234E2A44"/>
    <w:rsid w:val="23551450"/>
    <w:rsid w:val="23A2346B"/>
    <w:rsid w:val="23B077AD"/>
    <w:rsid w:val="23B23F50"/>
    <w:rsid w:val="23D05736"/>
    <w:rsid w:val="23D45255"/>
    <w:rsid w:val="23D842F1"/>
    <w:rsid w:val="23E173E4"/>
    <w:rsid w:val="23F43C8A"/>
    <w:rsid w:val="23F7149D"/>
    <w:rsid w:val="23FC2373"/>
    <w:rsid w:val="24294510"/>
    <w:rsid w:val="244668BA"/>
    <w:rsid w:val="244C7F69"/>
    <w:rsid w:val="24544A84"/>
    <w:rsid w:val="24616981"/>
    <w:rsid w:val="246373F0"/>
    <w:rsid w:val="247A09AA"/>
    <w:rsid w:val="248446B8"/>
    <w:rsid w:val="24853FA4"/>
    <w:rsid w:val="24865D44"/>
    <w:rsid w:val="24BB4D4E"/>
    <w:rsid w:val="24BE61D1"/>
    <w:rsid w:val="24EB6431"/>
    <w:rsid w:val="24F4507B"/>
    <w:rsid w:val="25090731"/>
    <w:rsid w:val="25187433"/>
    <w:rsid w:val="251A536A"/>
    <w:rsid w:val="251F5FAE"/>
    <w:rsid w:val="252355D4"/>
    <w:rsid w:val="25281FE5"/>
    <w:rsid w:val="252F5AB7"/>
    <w:rsid w:val="254413F6"/>
    <w:rsid w:val="25651D65"/>
    <w:rsid w:val="25765A4E"/>
    <w:rsid w:val="25860D64"/>
    <w:rsid w:val="25B337DA"/>
    <w:rsid w:val="25C2523C"/>
    <w:rsid w:val="25D35133"/>
    <w:rsid w:val="25E11E58"/>
    <w:rsid w:val="260F2A48"/>
    <w:rsid w:val="26212011"/>
    <w:rsid w:val="26396E0B"/>
    <w:rsid w:val="2669234B"/>
    <w:rsid w:val="268E2E71"/>
    <w:rsid w:val="26933A59"/>
    <w:rsid w:val="26A4536D"/>
    <w:rsid w:val="26AE2183"/>
    <w:rsid w:val="26C451CB"/>
    <w:rsid w:val="26D755AB"/>
    <w:rsid w:val="26E26C87"/>
    <w:rsid w:val="26EE11B3"/>
    <w:rsid w:val="26EF6BD4"/>
    <w:rsid w:val="26F36485"/>
    <w:rsid w:val="27041962"/>
    <w:rsid w:val="27066890"/>
    <w:rsid w:val="27181D3D"/>
    <w:rsid w:val="27247414"/>
    <w:rsid w:val="27386C07"/>
    <w:rsid w:val="274046EE"/>
    <w:rsid w:val="2746290A"/>
    <w:rsid w:val="279A6BE8"/>
    <w:rsid w:val="279E3B1E"/>
    <w:rsid w:val="27CF78ED"/>
    <w:rsid w:val="27FD2AAB"/>
    <w:rsid w:val="281C0B3B"/>
    <w:rsid w:val="283024FB"/>
    <w:rsid w:val="28345B1B"/>
    <w:rsid w:val="28534F46"/>
    <w:rsid w:val="286F163E"/>
    <w:rsid w:val="289E67F9"/>
    <w:rsid w:val="28AB69AE"/>
    <w:rsid w:val="28EE779F"/>
    <w:rsid w:val="29012B34"/>
    <w:rsid w:val="290137C2"/>
    <w:rsid w:val="291D2517"/>
    <w:rsid w:val="292511F1"/>
    <w:rsid w:val="294467F1"/>
    <w:rsid w:val="2947392C"/>
    <w:rsid w:val="294D6D4D"/>
    <w:rsid w:val="2966123F"/>
    <w:rsid w:val="296B5002"/>
    <w:rsid w:val="297804D0"/>
    <w:rsid w:val="298159C4"/>
    <w:rsid w:val="29847361"/>
    <w:rsid w:val="2989792D"/>
    <w:rsid w:val="29A86910"/>
    <w:rsid w:val="29BB01AB"/>
    <w:rsid w:val="29BE6321"/>
    <w:rsid w:val="29BF2214"/>
    <w:rsid w:val="29DE4B72"/>
    <w:rsid w:val="29FD45DD"/>
    <w:rsid w:val="2A107E34"/>
    <w:rsid w:val="2A2512C2"/>
    <w:rsid w:val="2A4E14DA"/>
    <w:rsid w:val="2A5C59E8"/>
    <w:rsid w:val="2A7E3EFD"/>
    <w:rsid w:val="2AA16EA4"/>
    <w:rsid w:val="2AA50414"/>
    <w:rsid w:val="2AB57ECB"/>
    <w:rsid w:val="2ABF2465"/>
    <w:rsid w:val="2AE0734F"/>
    <w:rsid w:val="2AEA64F8"/>
    <w:rsid w:val="2B0D48B5"/>
    <w:rsid w:val="2B2023D1"/>
    <w:rsid w:val="2B2600D9"/>
    <w:rsid w:val="2B453595"/>
    <w:rsid w:val="2B471D13"/>
    <w:rsid w:val="2B8A219E"/>
    <w:rsid w:val="2B8F6DBA"/>
    <w:rsid w:val="2B9133AA"/>
    <w:rsid w:val="2B94360D"/>
    <w:rsid w:val="2B966217"/>
    <w:rsid w:val="2B9D31E1"/>
    <w:rsid w:val="2BB061B3"/>
    <w:rsid w:val="2BDF553A"/>
    <w:rsid w:val="2BF07D7F"/>
    <w:rsid w:val="2BFA1EDC"/>
    <w:rsid w:val="2C0C13CC"/>
    <w:rsid w:val="2C2833DC"/>
    <w:rsid w:val="2C3152B0"/>
    <w:rsid w:val="2C354C31"/>
    <w:rsid w:val="2C5F14F2"/>
    <w:rsid w:val="2C5F38BE"/>
    <w:rsid w:val="2C626E23"/>
    <w:rsid w:val="2C657BCE"/>
    <w:rsid w:val="2C725228"/>
    <w:rsid w:val="2C804D4A"/>
    <w:rsid w:val="2C88132F"/>
    <w:rsid w:val="2CBE6C1A"/>
    <w:rsid w:val="2CCB4D7B"/>
    <w:rsid w:val="2CDB065F"/>
    <w:rsid w:val="2D012E95"/>
    <w:rsid w:val="2D351AFC"/>
    <w:rsid w:val="2D44125D"/>
    <w:rsid w:val="2D476845"/>
    <w:rsid w:val="2D68509F"/>
    <w:rsid w:val="2D812E5E"/>
    <w:rsid w:val="2D8661E1"/>
    <w:rsid w:val="2D8A03BF"/>
    <w:rsid w:val="2D8E3012"/>
    <w:rsid w:val="2DC005A0"/>
    <w:rsid w:val="2DE6257F"/>
    <w:rsid w:val="2E034D64"/>
    <w:rsid w:val="2E1E269D"/>
    <w:rsid w:val="2E4F3BF4"/>
    <w:rsid w:val="2E623278"/>
    <w:rsid w:val="2E7B1B38"/>
    <w:rsid w:val="2E7D4D16"/>
    <w:rsid w:val="2E814EC9"/>
    <w:rsid w:val="2E836309"/>
    <w:rsid w:val="2E872138"/>
    <w:rsid w:val="2E9C4207"/>
    <w:rsid w:val="2EAF3494"/>
    <w:rsid w:val="2EB62B7D"/>
    <w:rsid w:val="2EBD6CFD"/>
    <w:rsid w:val="2ED260B6"/>
    <w:rsid w:val="2ED27B3D"/>
    <w:rsid w:val="2EE52CDE"/>
    <w:rsid w:val="2EEE2CB9"/>
    <w:rsid w:val="2F122D80"/>
    <w:rsid w:val="2F223796"/>
    <w:rsid w:val="2F4D43C5"/>
    <w:rsid w:val="2F5A1319"/>
    <w:rsid w:val="2F5B1FE1"/>
    <w:rsid w:val="2F5D1B49"/>
    <w:rsid w:val="2F601F8B"/>
    <w:rsid w:val="2F674EE6"/>
    <w:rsid w:val="2FC12B10"/>
    <w:rsid w:val="2FD266DC"/>
    <w:rsid w:val="2FD878DC"/>
    <w:rsid w:val="2FEE6F75"/>
    <w:rsid w:val="30004D4D"/>
    <w:rsid w:val="30222CB0"/>
    <w:rsid w:val="303353B4"/>
    <w:rsid w:val="303632E1"/>
    <w:rsid w:val="303D30DC"/>
    <w:rsid w:val="30432E9B"/>
    <w:rsid w:val="304D0735"/>
    <w:rsid w:val="306E69EC"/>
    <w:rsid w:val="30763F03"/>
    <w:rsid w:val="30AE005A"/>
    <w:rsid w:val="30B97F6C"/>
    <w:rsid w:val="30C11FAA"/>
    <w:rsid w:val="30C326FE"/>
    <w:rsid w:val="30C64700"/>
    <w:rsid w:val="30D534CB"/>
    <w:rsid w:val="30F92892"/>
    <w:rsid w:val="30FC3BBB"/>
    <w:rsid w:val="30FF5743"/>
    <w:rsid w:val="310A1CF1"/>
    <w:rsid w:val="31123FB4"/>
    <w:rsid w:val="3148232E"/>
    <w:rsid w:val="31640EB2"/>
    <w:rsid w:val="31761882"/>
    <w:rsid w:val="319F0A69"/>
    <w:rsid w:val="31A078FE"/>
    <w:rsid w:val="31A806DC"/>
    <w:rsid w:val="31C97606"/>
    <w:rsid w:val="31D2538C"/>
    <w:rsid w:val="31DB5E59"/>
    <w:rsid w:val="31EB3A55"/>
    <w:rsid w:val="31FF5EE1"/>
    <w:rsid w:val="32070CFC"/>
    <w:rsid w:val="32197858"/>
    <w:rsid w:val="323449FE"/>
    <w:rsid w:val="32404851"/>
    <w:rsid w:val="32535E28"/>
    <w:rsid w:val="325C5D52"/>
    <w:rsid w:val="326362B5"/>
    <w:rsid w:val="3292400D"/>
    <w:rsid w:val="32955A8E"/>
    <w:rsid w:val="329A3DC4"/>
    <w:rsid w:val="32A3555F"/>
    <w:rsid w:val="32EC0F2A"/>
    <w:rsid w:val="33032989"/>
    <w:rsid w:val="330363C7"/>
    <w:rsid w:val="33276734"/>
    <w:rsid w:val="332A7F97"/>
    <w:rsid w:val="335A30AE"/>
    <w:rsid w:val="339742E9"/>
    <w:rsid w:val="339F30D6"/>
    <w:rsid w:val="33AF5EDB"/>
    <w:rsid w:val="33BA6570"/>
    <w:rsid w:val="33BD5FA3"/>
    <w:rsid w:val="33CF6D2D"/>
    <w:rsid w:val="33E10570"/>
    <w:rsid w:val="33E535AB"/>
    <w:rsid w:val="33E541EA"/>
    <w:rsid w:val="33F0695D"/>
    <w:rsid w:val="33F60A4A"/>
    <w:rsid w:val="3404687F"/>
    <w:rsid w:val="341134C3"/>
    <w:rsid w:val="342E2201"/>
    <w:rsid w:val="34337189"/>
    <w:rsid w:val="344608EA"/>
    <w:rsid w:val="34482F53"/>
    <w:rsid w:val="345C7E3A"/>
    <w:rsid w:val="347172C6"/>
    <w:rsid w:val="347E1DD4"/>
    <w:rsid w:val="348523D7"/>
    <w:rsid w:val="34A34B8D"/>
    <w:rsid w:val="34CD4FDC"/>
    <w:rsid w:val="34EB0C4D"/>
    <w:rsid w:val="35055FBC"/>
    <w:rsid w:val="350C57FD"/>
    <w:rsid w:val="350D3989"/>
    <w:rsid w:val="351E2B85"/>
    <w:rsid w:val="35560948"/>
    <w:rsid w:val="35836D45"/>
    <w:rsid w:val="359408AB"/>
    <w:rsid w:val="359C5E3C"/>
    <w:rsid w:val="35AF4DF4"/>
    <w:rsid w:val="35B5798D"/>
    <w:rsid w:val="35C12DB4"/>
    <w:rsid w:val="35CE4C45"/>
    <w:rsid w:val="35FB33FB"/>
    <w:rsid w:val="360C0280"/>
    <w:rsid w:val="36120C34"/>
    <w:rsid w:val="36186630"/>
    <w:rsid w:val="363131F5"/>
    <w:rsid w:val="366A64F3"/>
    <w:rsid w:val="36710C1F"/>
    <w:rsid w:val="36756FAE"/>
    <w:rsid w:val="368D2653"/>
    <w:rsid w:val="36973078"/>
    <w:rsid w:val="369C0E89"/>
    <w:rsid w:val="36A70FFB"/>
    <w:rsid w:val="36B42132"/>
    <w:rsid w:val="36C02298"/>
    <w:rsid w:val="36CB2715"/>
    <w:rsid w:val="36D95B28"/>
    <w:rsid w:val="37112884"/>
    <w:rsid w:val="37256BB5"/>
    <w:rsid w:val="372E018C"/>
    <w:rsid w:val="372E73EF"/>
    <w:rsid w:val="376E14A9"/>
    <w:rsid w:val="379178F8"/>
    <w:rsid w:val="37A2410D"/>
    <w:rsid w:val="37C6485A"/>
    <w:rsid w:val="37CE0CBC"/>
    <w:rsid w:val="37DD7156"/>
    <w:rsid w:val="37DF13B0"/>
    <w:rsid w:val="38056F89"/>
    <w:rsid w:val="38117114"/>
    <w:rsid w:val="381D39C7"/>
    <w:rsid w:val="382037A7"/>
    <w:rsid w:val="38404568"/>
    <w:rsid w:val="38481E04"/>
    <w:rsid w:val="38773947"/>
    <w:rsid w:val="388A2E07"/>
    <w:rsid w:val="388A3F05"/>
    <w:rsid w:val="38B12B42"/>
    <w:rsid w:val="38DD0858"/>
    <w:rsid w:val="38E95843"/>
    <w:rsid w:val="3936753F"/>
    <w:rsid w:val="394C6B9F"/>
    <w:rsid w:val="396001D0"/>
    <w:rsid w:val="3964489B"/>
    <w:rsid w:val="3982375B"/>
    <w:rsid w:val="399C4B1D"/>
    <w:rsid w:val="399F1232"/>
    <w:rsid w:val="399F7DDF"/>
    <w:rsid w:val="39A602A2"/>
    <w:rsid w:val="39A71C06"/>
    <w:rsid w:val="39D2199B"/>
    <w:rsid w:val="39D22464"/>
    <w:rsid w:val="39D76BC2"/>
    <w:rsid w:val="39F4158D"/>
    <w:rsid w:val="39FA49ED"/>
    <w:rsid w:val="3A33660F"/>
    <w:rsid w:val="3A391632"/>
    <w:rsid w:val="3A7247E7"/>
    <w:rsid w:val="3AA62B35"/>
    <w:rsid w:val="3AB52339"/>
    <w:rsid w:val="3AB52E3D"/>
    <w:rsid w:val="3ABF167A"/>
    <w:rsid w:val="3AF35093"/>
    <w:rsid w:val="3AFF3DB2"/>
    <w:rsid w:val="3B034F11"/>
    <w:rsid w:val="3B05308E"/>
    <w:rsid w:val="3B157EDE"/>
    <w:rsid w:val="3B1B47DE"/>
    <w:rsid w:val="3B222EBE"/>
    <w:rsid w:val="3B2A51C5"/>
    <w:rsid w:val="3B346256"/>
    <w:rsid w:val="3B347ED1"/>
    <w:rsid w:val="3B580D35"/>
    <w:rsid w:val="3B5A7D08"/>
    <w:rsid w:val="3B646D0F"/>
    <w:rsid w:val="3B6E113C"/>
    <w:rsid w:val="3B731DB8"/>
    <w:rsid w:val="3B783D42"/>
    <w:rsid w:val="3B9C3AF0"/>
    <w:rsid w:val="3BA663B9"/>
    <w:rsid w:val="3BC01226"/>
    <w:rsid w:val="3BCF1E45"/>
    <w:rsid w:val="3BEC598E"/>
    <w:rsid w:val="3C094668"/>
    <w:rsid w:val="3C1F382D"/>
    <w:rsid w:val="3C20281C"/>
    <w:rsid w:val="3C31339A"/>
    <w:rsid w:val="3C4E7F20"/>
    <w:rsid w:val="3C5B5982"/>
    <w:rsid w:val="3C5C7722"/>
    <w:rsid w:val="3C6E2D39"/>
    <w:rsid w:val="3C727CB2"/>
    <w:rsid w:val="3C77756C"/>
    <w:rsid w:val="3C7B1787"/>
    <w:rsid w:val="3C8234FD"/>
    <w:rsid w:val="3C97560E"/>
    <w:rsid w:val="3C9B54C9"/>
    <w:rsid w:val="3C9C398B"/>
    <w:rsid w:val="3CDE18A5"/>
    <w:rsid w:val="3CFD385C"/>
    <w:rsid w:val="3D02595D"/>
    <w:rsid w:val="3D0C2D02"/>
    <w:rsid w:val="3D28158E"/>
    <w:rsid w:val="3D4263B7"/>
    <w:rsid w:val="3D5601DF"/>
    <w:rsid w:val="3D5F0778"/>
    <w:rsid w:val="3D6F2E00"/>
    <w:rsid w:val="3D7C45BB"/>
    <w:rsid w:val="3DA125A0"/>
    <w:rsid w:val="3DC23321"/>
    <w:rsid w:val="3DCA6EEB"/>
    <w:rsid w:val="3DDC1580"/>
    <w:rsid w:val="3DEA11EF"/>
    <w:rsid w:val="3DF93F51"/>
    <w:rsid w:val="3E1A3143"/>
    <w:rsid w:val="3E227D3E"/>
    <w:rsid w:val="3E463008"/>
    <w:rsid w:val="3E4E6FC3"/>
    <w:rsid w:val="3E6209AD"/>
    <w:rsid w:val="3EA12C20"/>
    <w:rsid w:val="3ED05A9A"/>
    <w:rsid w:val="3EE005C1"/>
    <w:rsid w:val="3EE10970"/>
    <w:rsid w:val="3EE40DAB"/>
    <w:rsid w:val="3EF512EF"/>
    <w:rsid w:val="3EF71D70"/>
    <w:rsid w:val="3F265F35"/>
    <w:rsid w:val="3F341F5F"/>
    <w:rsid w:val="3F3839A5"/>
    <w:rsid w:val="3F41403A"/>
    <w:rsid w:val="3F461CD0"/>
    <w:rsid w:val="3F474E96"/>
    <w:rsid w:val="3F6F634D"/>
    <w:rsid w:val="3F757D6B"/>
    <w:rsid w:val="3F8216C0"/>
    <w:rsid w:val="3F922AAD"/>
    <w:rsid w:val="3F970E84"/>
    <w:rsid w:val="3FA83242"/>
    <w:rsid w:val="3FB174B5"/>
    <w:rsid w:val="3FC52E7B"/>
    <w:rsid w:val="3FD73964"/>
    <w:rsid w:val="3FE91478"/>
    <w:rsid w:val="40241848"/>
    <w:rsid w:val="403F0F9C"/>
    <w:rsid w:val="404A04E6"/>
    <w:rsid w:val="40711AA3"/>
    <w:rsid w:val="408A2651"/>
    <w:rsid w:val="4099524A"/>
    <w:rsid w:val="409A69EA"/>
    <w:rsid w:val="409C7A77"/>
    <w:rsid w:val="40B02711"/>
    <w:rsid w:val="40C67B2C"/>
    <w:rsid w:val="410F0A2B"/>
    <w:rsid w:val="4119586D"/>
    <w:rsid w:val="414D0355"/>
    <w:rsid w:val="414F6CE6"/>
    <w:rsid w:val="41594AE9"/>
    <w:rsid w:val="416D2235"/>
    <w:rsid w:val="417255A9"/>
    <w:rsid w:val="41B64819"/>
    <w:rsid w:val="41B9529D"/>
    <w:rsid w:val="41BE7C29"/>
    <w:rsid w:val="41C915A4"/>
    <w:rsid w:val="41D03C90"/>
    <w:rsid w:val="42087E9A"/>
    <w:rsid w:val="42202B0D"/>
    <w:rsid w:val="422E5489"/>
    <w:rsid w:val="42313FE6"/>
    <w:rsid w:val="42381F96"/>
    <w:rsid w:val="423C37AC"/>
    <w:rsid w:val="424121E7"/>
    <w:rsid w:val="42433DF4"/>
    <w:rsid w:val="426340FE"/>
    <w:rsid w:val="42865842"/>
    <w:rsid w:val="42932D47"/>
    <w:rsid w:val="42AE65CF"/>
    <w:rsid w:val="42B87064"/>
    <w:rsid w:val="42D724D1"/>
    <w:rsid w:val="431B759C"/>
    <w:rsid w:val="432779C3"/>
    <w:rsid w:val="433F6D18"/>
    <w:rsid w:val="434C2CEF"/>
    <w:rsid w:val="43611736"/>
    <w:rsid w:val="43632D10"/>
    <w:rsid w:val="43714EBD"/>
    <w:rsid w:val="438C34D6"/>
    <w:rsid w:val="439646F3"/>
    <w:rsid w:val="439A5569"/>
    <w:rsid w:val="43AD522E"/>
    <w:rsid w:val="43BE6EAF"/>
    <w:rsid w:val="43D13B0C"/>
    <w:rsid w:val="43E514C9"/>
    <w:rsid w:val="43F23BB2"/>
    <w:rsid w:val="43F24916"/>
    <w:rsid w:val="44050AC9"/>
    <w:rsid w:val="44066B50"/>
    <w:rsid w:val="440C7622"/>
    <w:rsid w:val="441F626A"/>
    <w:rsid w:val="44382337"/>
    <w:rsid w:val="443D5E8F"/>
    <w:rsid w:val="444D2644"/>
    <w:rsid w:val="445A1267"/>
    <w:rsid w:val="445F6FB1"/>
    <w:rsid w:val="44823841"/>
    <w:rsid w:val="448C2C90"/>
    <w:rsid w:val="44A92405"/>
    <w:rsid w:val="44B90A6A"/>
    <w:rsid w:val="44C34F18"/>
    <w:rsid w:val="45795286"/>
    <w:rsid w:val="457E2D45"/>
    <w:rsid w:val="45932A83"/>
    <w:rsid w:val="459B0CF0"/>
    <w:rsid w:val="45A247B8"/>
    <w:rsid w:val="45A67B20"/>
    <w:rsid w:val="45A9676E"/>
    <w:rsid w:val="45B61C08"/>
    <w:rsid w:val="45C503F4"/>
    <w:rsid w:val="46040B36"/>
    <w:rsid w:val="46093EC9"/>
    <w:rsid w:val="46165814"/>
    <w:rsid w:val="46410923"/>
    <w:rsid w:val="465621E9"/>
    <w:rsid w:val="46C77F9F"/>
    <w:rsid w:val="46CA6B0E"/>
    <w:rsid w:val="46CE6A98"/>
    <w:rsid w:val="46D5093F"/>
    <w:rsid w:val="46D607DC"/>
    <w:rsid w:val="46FF5D44"/>
    <w:rsid w:val="471D6534"/>
    <w:rsid w:val="472E0C76"/>
    <w:rsid w:val="47307F1B"/>
    <w:rsid w:val="474A78AE"/>
    <w:rsid w:val="478A52AA"/>
    <w:rsid w:val="478A7287"/>
    <w:rsid w:val="47A07F46"/>
    <w:rsid w:val="47AC0EFA"/>
    <w:rsid w:val="47E61B45"/>
    <w:rsid w:val="47E67B06"/>
    <w:rsid w:val="47E714D0"/>
    <w:rsid w:val="480C257A"/>
    <w:rsid w:val="482D043A"/>
    <w:rsid w:val="483704A9"/>
    <w:rsid w:val="483F7C21"/>
    <w:rsid w:val="485E0271"/>
    <w:rsid w:val="4876226B"/>
    <w:rsid w:val="487B4636"/>
    <w:rsid w:val="488B5915"/>
    <w:rsid w:val="488F159B"/>
    <w:rsid w:val="489340A7"/>
    <w:rsid w:val="48B3705F"/>
    <w:rsid w:val="48CC22BB"/>
    <w:rsid w:val="48D95AAF"/>
    <w:rsid w:val="48E82C70"/>
    <w:rsid w:val="48F30C89"/>
    <w:rsid w:val="49057D94"/>
    <w:rsid w:val="4909143D"/>
    <w:rsid w:val="492470E4"/>
    <w:rsid w:val="492A0141"/>
    <w:rsid w:val="49546729"/>
    <w:rsid w:val="495F3AF2"/>
    <w:rsid w:val="49656E29"/>
    <w:rsid w:val="49976E17"/>
    <w:rsid w:val="499B4240"/>
    <w:rsid w:val="499F3155"/>
    <w:rsid w:val="49A2551B"/>
    <w:rsid w:val="49A81ECE"/>
    <w:rsid w:val="49AF3A0A"/>
    <w:rsid w:val="49B27199"/>
    <w:rsid w:val="49C26EE8"/>
    <w:rsid w:val="49D24184"/>
    <w:rsid w:val="49E249D1"/>
    <w:rsid w:val="4A215392"/>
    <w:rsid w:val="4A76084E"/>
    <w:rsid w:val="4AF65E4E"/>
    <w:rsid w:val="4AF97927"/>
    <w:rsid w:val="4B1357D4"/>
    <w:rsid w:val="4B2A740C"/>
    <w:rsid w:val="4B2B40C6"/>
    <w:rsid w:val="4B2B66E0"/>
    <w:rsid w:val="4B3E17B0"/>
    <w:rsid w:val="4B483DFD"/>
    <w:rsid w:val="4BAB24B0"/>
    <w:rsid w:val="4BB66FA4"/>
    <w:rsid w:val="4BBB368F"/>
    <w:rsid w:val="4BBD1008"/>
    <w:rsid w:val="4BCA2CA2"/>
    <w:rsid w:val="4BDD4AD4"/>
    <w:rsid w:val="4BEA68EE"/>
    <w:rsid w:val="4BFA4DB1"/>
    <w:rsid w:val="4C1674FF"/>
    <w:rsid w:val="4C186BC2"/>
    <w:rsid w:val="4C1F4BD9"/>
    <w:rsid w:val="4C3569DB"/>
    <w:rsid w:val="4C515093"/>
    <w:rsid w:val="4C7E72C7"/>
    <w:rsid w:val="4C8E2AD0"/>
    <w:rsid w:val="4CA21907"/>
    <w:rsid w:val="4CAB57EB"/>
    <w:rsid w:val="4CC3205E"/>
    <w:rsid w:val="4CD21DE5"/>
    <w:rsid w:val="4CF15702"/>
    <w:rsid w:val="4CF40E2E"/>
    <w:rsid w:val="4CF80CBE"/>
    <w:rsid w:val="4D045E83"/>
    <w:rsid w:val="4D2F575F"/>
    <w:rsid w:val="4D300443"/>
    <w:rsid w:val="4D300852"/>
    <w:rsid w:val="4D331AA6"/>
    <w:rsid w:val="4D462735"/>
    <w:rsid w:val="4D541ED4"/>
    <w:rsid w:val="4D632E1D"/>
    <w:rsid w:val="4D6566A2"/>
    <w:rsid w:val="4D6E2BCB"/>
    <w:rsid w:val="4D843924"/>
    <w:rsid w:val="4D9616CF"/>
    <w:rsid w:val="4DA07FC2"/>
    <w:rsid w:val="4DC222FA"/>
    <w:rsid w:val="4DFE670B"/>
    <w:rsid w:val="4E063E1B"/>
    <w:rsid w:val="4E3B2586"/>
    <w:rsid w:val="4E446DC4"/>
    <w:rsid w:val="4E470BB9"/>
    <w:rsid w:val="4E52491B"/>
    <w:rsid w:val="4E6718F8"/>
    <w:rsid w:val="4E6C2A1F"/>
    <w:rsid w:val="4E7931F9"/>
    <w:rsid w:val="4E8F5571"/>
    <w:rsid w:val="4E9378E1"/>
    <w:rsid w:val="4EA26C02"/>
    <w:rsid w:val="4EA35C1E"/>
    <w:rsid w:val="4EAB0F45"/>
    <w:rsid w:val="4EAE760C"/>
    <w:rsid w:val="4EBB32DD"/>
    <w:rsid w:val="4EC8552B"/>
    <w:rsid w:val="4ED762FC"/>
    <w:rsid w:val="4EE2574D"/>
    <w:rsid w:val="4EFC49BC"/>
    <w:rsid w:val="4F0445CD"/>
    <w:rsid w:val="4F0A2BAC"/>
    <w:rsid w:val="4F1E4495"/>
    <w:rsid w:val="4F291C1D"/>
    <w:rsid w:val="4F3423DD"/>
    <w:rsid w:val="4F6A386B"/>
    <w:rsid w:val="4F7D2B6F"/>
    <w:rsid w:val="4F836487"/>
    <w:rsid w:val="4F973A94"/>
    <w:rsid w:val="4FAA4653"/>
    <w:rsid w:val="4FAE1E6B"/>
    <w:rsid w:val="4FB003B4"/>
    <w:rsid w:val="4FB42359"/>
    <w:rsid w:val="4FBD00B2"/>
    <w:rsid w:val="4FCD7B3C"/>
    <w:rsid w:val="4FF95FA2"/>
    <w:rsid w:val="500B40AA"/>
    <w:rsid w:val="50323C2D"/>
    <w:rsid w:val="50691DF6"/>
    <w:rsid w:val="50832E14"/>
    <w:rsid w:val="50875447"/>
    <w:rsid w:val="50AA2A3B"/>
    <w:rsid w:val="50B666F9"/>
    <w:rsid w:val="50C92BA3"/>
    <w:rsid w:val="50D30FE6"/>
    <w:rsid w:val="50E55A81"/>
    <w:rsid w:val="50F5149E"/>
    <w:rsid w:val="50FC3118"/>
    <w:rsid w:val="51075FB6"/>
    <w:rsid w:val="512A4C99"/>
    <w:rsid w:val="51336A5E"/>
    <w:rsid w:val="51404AC3"/>
    <w:rsid w:val="514331ED"/>
    <w:rsid w:val="514342CB"/>
    <w:rsid w:val="51495445"/>
    <w:rsid w:val="51566774"/>
    <w:rsid w:val="515F7497"/>
    <w:rsid w:val="51747210"/>
    <w:rsid w:val="51997EF8"/>
    <w:rsid w:val="51A55CF2"/>
    <w:rsid w:val="51B32A0F"/>
    <w:rsid w:val="51BE3638"/>
    <w:rsid w:val="51C427B9"/>
    <w:rsid w:val="51DB29A3"/>
    <w:rsid w:val="51EC4275"/>
    <w:rsid w:val="520116BF"/>
    <w:rsid w:val="521A59C7"/>
    <w:rsid w:val="521D6E41"/>
    <w:rsid w:val="52202023"/>
    <w:rsid w:val="526A5750"/>
    <w:rsid w:val="529933C2"/>
    <w:rsid w:val="52B62762"/>
    <w:rsid w:val="52C012AD"/>
    <w:rsid w:val="52C42987"/>
    <w:rsid w:val="52E33768"/>
    <w:rsid w:val="52F17DFC"/>
    <w:rsid w:val="52FD2853"/>
    <w:rsid w:val="53065DC7"/>
    <w:rsid w:val="532542CE"/>
    <w:rsid w:val="533A4D71"/>
    <w:rsid w:val="53595024"/>
    <w:rsid w:val="536A6B9C"/>
    <w:rsid w:val="5376114C"/>
    <w:rsid w:val="53780580"/>
    <w:rsid w:val="539F16F2"/>
    <w:rsid w:val="53B565A4"/>
    <w:rsid w:val="53CC438F"/>
    <w:rsid w:val="53DA61A0"/>
    <w:rsid w:val="53FB3257"/>
    <w:rsid w:val="54034729"/>
    <w:rsid w:val="540F2EF5"/>
    <w:rsid w:val="54100BBA"/>
    <w:rsid w:val="541254DB"/>
    <w:rsid w:val="54221DFE"/>
    <w:rsid w:val="542501FE"/>
    <w:rsid w:val="54273D68"/>
    <w:rsid w:val="542A2696"/>
    <w:rsid w:val="54556637"/>
    <w:rsid w:val="54586068"/>
    <w:rsid w:val="545E1B18"/>
    <w:rsid w:val="54674DA6"/>
    <w:rsid w:val="546B6880"/>
    <w:rsid w:val="546C4638"/>
    <w:rsid w:val="547A06F0"/>
    <w:rsid w:val="54843BB4"/>
    <w:rsid w:val="549E6F41"/>
    <w:rsid w:val="54D67676"/>
    <w:rsid w:val="54DC056A"/>
    <w:rsid w:val="54DD7016"/>
    <w:rsid w:val="54E12294"/>
    <w:rsid w:val="54F7041B"/>
    <w:rsid w:val="55021B87"/>
    <w:rsid w:val="550A70E2"/>
    <w:rsid w:val="551E7CDA"/>
    <w:rsid w:val="55216F9E"/>
    <w:rsid w:val="552757B0"/>
    <w:rsid w:val="55313954"/>
    <w:rsid w:val="55474B6A"/>
    <w:rsid w:val="55597FE1"/>
    <w:rsid w:val="555B4439"/>
    <w:rsid w:val="556478CD"/>
    <w:rsid w:val="556B4887"/>
    <w:rsid w:val="556C003C"/>
    <w:rsid w:val="5578171A"/>
    <w:rsid w:val="55830F7C"/>
    <w:rsid w:val="559D1298"/>
    <w:rsid w:val="55A21115"/>
    <w:rsid w:val="55A47CB9"/>
    <w:rsid w:val="55B76E6F"/>
    <w:rsid w:val="55BB2BF6"/>
    <w:rsid w:val="55D3036D"/>
    <w:rsid w:val="55E87E5A"/>
    <w:rsid w:val="55F42FAE"/>
    <w:rsid w:val="5616088D"/>
    <w:rsid w:val="562326BF"/>
    <w:rsid w:val="562C7F05"/>
    <w:rsid w:val="56674AC5"/>
    <w:rsid w:val="566B71BF"/>
    <w:rsid w:val="566D24A0"/>
    <w:rsid w:val="56876498"/>
    <w:rsid w:val="568D5E9D"/>
    <w:rsid w:val="568D6BAE"/>
    <w:rsid w:val="56D054EE"/>
    <w:rsid w:val="56E85BD7"/>
    <w:rsid w:val="570B2BA7"/>
    <w:rsid w:val="571708AD"/>
    <w:rsid w:val="571C60DD"/>
    <w:rsid w:val="572E2F1F"/>
    <w:rsid w:val="573132DE"/>
    <w:rsid w:val="573B3A62"/>
    <w:rsid w:val="5742269A"/>
    <w:rsid w:val="575A550C"/>
    <w:rsid w:val="5763083F"/>
    <w:rsid w:val="57777CCE"/>
    <w:rsid w:val="577D3DB1"/>
    <w:rsid w:val="578337F0"/>
    <w:rsid w:val="57996F8F"/>
    <w:rsid w:val="57A321FA"/>
    <w:rsid w:val="57A359BF"/>
    <w:rsid w:val="57A66556"/>
    <w:rsid w:val="57BB548F"/>
    <w:rsid w:val="57E20894"/>
    <w:rsid w:val="57E947F4"/>
    <w:rsid w:val="57ED3D4D"/>
    <w:rsid w:val="57F67B28"/>
    <w:rsid w:val="581F4C05"/>
    <w:rsid w:val="585F0095"/>
    <w:rsid w:val="5867543D"/>
    <w:rsid w:val="58762527"/>
    <w:rsid w:val="5888503A"/>
    <w:rsid w:val="590E659F"/>
    <w:rsid w:val="59551D5C"/>
    <w:rsid w:val="596C22F9"/>
    <w:rsid w:val="596D72F9"/>
    <w:rsid w:val="59791BCD"/>
    <w:rsid w:val="59911989"/>
    <w:rsid w:val="59967B42"/>
    <w:rsid w:val="599A7200"/>
    <w:rsid w:val="59A54BC1"/>
    <w:rsid w:val="59A736E0"/>
    <w:rsid w:val="59CB37F6"/>
    <w:rsid w:val="59CD78BE"/>
    <w:rsid w:val="59D36E2B"/>
    <w:rsid w:val="59E751BD"/>
    <w:rsid w:val="5A0B5E59"/>
    <w:rsid w:val="5A171006"/>
    <w:rsid w:val="5A28144D"/>
    <w:rsid w:val="5A2B1563"/>
    <w:rsid w:val="5A481401"/>
    <w:rsid w:val="5A84253F"/>
    <w:rsid w:val="5ADE5FD8"/>
    <w:rsid w:val="5B09613F"/>
    <w:rsid w:val="5B1E44D9"/>
    <w:rsid w:val="5B261D83"/>
    <w:rsid w:val="5B740FEF"/>
    <w:rsid w:val="5B806038"/>
    <w:rsid w:val="5B953F0C"/>
    <w:rsid w:val="5B960EBB"/>
    <w:rsid w:val="5BB85487"/>
    <w:rsid w:val="5BC30CAB"/>
    <w:rsid w:val="5BCC1960"/>
    <w:rsid w:val="5BDB76AF"/>
    <w:rsid w:val="5C0F35F1"/>
    <w:rsid w:val="5C6F1CF1"/>
    <w:rsid w:val="5C7B1EC5"/>
    <w:rsid w:val="5C886E68"/>
    <w:rsid w:val="5CA431E0"/>
    <w:rsid w:val="5CC72DB1"/>
    <w:rsid w:val="5CE04D22"/>
    <w:rsid w:val="5CEC51AB"/>
    <w:rsid w:val="5CFE05E5"/>
    <w:rsid w:val="5D1A3A34"/>
    <w:rsid w:val="5D3166F5"/>
    <w:rsid w:val="5D3B1264"/>
    <w:rsid w:val="5D903C20"/>
    <w:rsid w:val="5DBA1327"/>
    <w:rsid w:val="5E1D0898"/>
    <w:rsid w:val="5E6F57C9"/>
    <w:rsid w:val="5E7A34C2"/>
    <w:rsid w:val="5EA47F3A"/>
    <w:rsid w:val="5EA65796"/>
    <w:rsid w:val="5EAB4B06"/>
    <w:rsid w:val="5EE93C63"/>
    <w:rsid w:val="5F0B522D"/>
    <w:rsid w:val="5F3477A9"/>
    <w:rsid w:val="5F41277D"/>
    <w:rsid w:val="5F664316"/>
    <w:rsid w:val="5F7930B2"/>
    <w:rsid w:val="5F854574"/>
    <w:rsid w:val="5F99553E"/>
    <w:rsid w:val="5FB66DEB"/>
    <w:rsid w:val="5FC05173"/>
    <w:rsid w:val="60177DF8"/>
    <w:rsid w:val="601E4201"/>
    <w:rsid w:val="60237A5A"/>
    <w:rsid w:val="603C54E5"/>
    <w:rsid w:val="604C13CE"/>
    <w:rsid w:val="605A599B"/>
    <w:rsid w:val="606F39D3"/>
    <w:rsid w:val="606F4059"/>
    <w:rsid w:val="60747D59"/>
    <w:rsid w:val="607B5C79"/>
    <w:rsid w:val="608B6907"/>
    <w:rsid w:val="608D454B"/>
    <w:rsid w:val="60CF1898"/>
    <w:rsid w:val="60E23D09"/>
    <w:rsid w:val="60F258DF"/>
    <w:rsid w:val="60F60C3D"/>
    <w:rsid w:val="60FE0AE6"/>
    <w:rsid w:val="61105BB0"/>
    <w:rsid w:val="6142730E"/>
    <w:rsid w:val="615F32BF"/>
    <w:rsid w:val="617D3B95"/>
    <w:rsid w:val="61B2291A"/>
    <w:rsid w:val="61B9495C"/>
    <w:rsid w:val="61CA5EAF"/>
    <w:rsid w:val="61D154FC"/>
    <w:rsid w:val="61F31190"/>
    <w:rsid w:val="62013634"/>
    <w:rsid w:val="62097CD5"/>
    <w:rsid w:val="6215400E"/>
    <w:rsid w:val="62605AE6"/>
    <w:rsid w:val="62633B22"/>
    <w:rsid w:val="626908FC"/>
    <w:rsid w:val="627F2EAF"/>
    <w:rsid w:val="62825A41"/>
    <w:rsid w:val="62872863"/>
    <w:rsid w:val="62D20109"/>
    <w:rsid w:val="62D67466"/>
    <w:rsid w:val="62EA48F8"/>
    <w:rsid w:val="62F413CC"/>
    <w:rsid w:val="62FE574E"/>
    <w:rsid w:val="631B512E"/>
    <w:rsid w:val="631C304C"/>
    <w:rsid w:val="632A0D71"/>
    <w:rsid w:val="63442826"/>
    <w:rsid w:val="634D1C31"/>
    <w:rsid w:val="635E0C0A"/>
    <w:rsid w:val="63947AE4"/>
    <w:rsid w:val="639B691D"/>
    <w:rsid w:val="63E21C61"/>
    <w:rsid w:val="63F17DED"/>
    <w:rsid w:val="641946E2"/>
    <w:rsid w:val="641964CE"/>
    <w:rsid w:val="6426017B"/>
    <w:rsid w:val="642B4E33"/>
    <w:rsid w:val="642E6372"/>
    <w:rsid w:val="642E67AB"/>
    <w:rsid w:val="643F2028"/>
    <w:rsid w:val="644129F4"/>
    <w:rsid w:val="6451793D"/>
    <w:rsid w:val="64537DB3"/>
    <w:rsid w:val="645D489F"/>
    <w:rsid w:val="64782B72"/>
    <w:rsid w:val="647D4F5F"/>
    <w:rsid w:val="648F5C9A"/>
    <w:rsid w:val="649D1A66"/>
    <w:rsid w:val="64A050AC"/>
    <w:rsid w:val="64AE721C"/>
    <w:rsid w:val="64BE3966"/>
    <w:rsid w:val="64F35D51"/>
    <w:rsid w:val="64F92066"/>
    <w:rsid w:val="64FE5E94"/>
    <w:rsid w:val="65175522"/>
    <w:rsid w:val="65612B91"/>
    <w:rsid w:val="656357B3"/>
    <w:rsid w:val="6566222A"/>
    <w:rsid w:val="65801EE0"/>
    <w:rsid w:val="659A493F"/>
    <w:rsid w:val="65A32844"/>
    <w:rsid w:val="65AF543B"/>
    <w:rsid w:val="65DB3DA4"/>
    <w:rsid w:val="65E05767"/>
    <w:rsid w:val="66173FD2"/>
    <w:rsid w:val="661F7D4C"/>
    <w:rsid w:val="66291D99"/>
    <w:rsid w:val="662B0C3E"/>
    <w:rsid w:val="663666CF"/>
    <w:rsid w:val="6647072E"/>
    <w:rsid w:val="664749C0"/>
    <w:rsid w:val="665E3FBC"/>
    <w:rsid w:val="667D614E"/>
    <w:rsid w:val="668F203C"/>
    <w:rsid w:val="66A07EFC"/>
    <w:rsid w:val="66A73189"/>
    <w:rsid w:val="66D02C05"/>
    <w:rsid w:val="66FF2A96"/>
    <w:rsid w:val="67271FE1"/>
    <w:rsid w:val="67283656"/>
    <w:rsid w:val="673A5DD6"/>
    <w:rsid w:val="67444D29"/>
    <w:rsid w:val="67803651"/>
    <w:rsid w:val="67961E57"/>
    <w:rsid w:val="679D7696"/>
    <w:rsid w:val="67A00344"/>
    <w:rsid w:val="67AE3083"/>
    <w:rsid w:val="67E40B17"/>
    <w:rsid w:val="68061426"/>
    <w:rsid w:val="682212DB"/>
    <w:rsid w:val="682710C3"/>
    <w:rsid w:val="682756E9"/>
    <w:rsid w:val="68693828"/>
    <w:rsid w:val="68781B71"/>
    <w:rsid w:val="68791E4E"/>
    <w:rsid w:val="68924404"/>
    <w:rsid w:val="689F0274"/>
    <w:rsid w:val="68C87090"/>
    <w:rsid w:val="68D66336"/>
    <w:rsid w:val="68E5520A"/>
    <w:rsid w:val="68EE2A6A"/>
    <w:rsid w:val="68F6575A"/>
    <w:rsid w:val="690436AE"/>
    <w:rsid w:val="690A6934"/>
    <w:rsid w:val="691A2384"/>
    <w:rsid w:val="691E567C"/>
    <w:rsid w:val="69266C55"/>
    <w:rsid w:val="693F77FB"/>
    <w:rsid w:val="69480212"/>
    <w:rsid w:val="6958137B"/>
    <w:rsid w:val="69743628"/>
    <w:rsid w:val="69C40D44"/>
    <w:rsid w:val="69CC1A78"/>
    <w:rsid w:val="69DA30B7"/>
    <w:rsid w:val="69E0155A"/>
    <w:rsid w:val="69E31429"/>
    <w:rsid w:val="69E71527"/>
    <w:rsid w:val="6A0B3921"/>
    <w:rsid w:val="6A11450B"/>
    <w:rsid w:val="6A1D706E"/>
    <w:rsid w:val="6A29281F"/>
    <w:rsid w:val="6A7857E1"/>
    <w:rsid w:val="6A870045"/>
    <w:rsid w:val="6AB841D9"/>
    <w:rsid w:val="6ABA3A08"/>
    <w:rsid w:val="6ABC40BA"/>
    <w:rsid w:val="6AC57EBB"/>
    <w:rsid w:val="6AC7429A"/>
    <w:rsid w:val="6ACE65AC"/>
    <w:rsid w:val="6AD50D73"/>
    <w:rsid w:val="6ADA3AE4"/>
    <w:rsid w:val="6B1163F1"/>
    <w:rsid w:val="6B18067B"/>
    <w:rsid w:val="6B2E7074"/>
    <w:rsid w:val="6B316CDB"/>
    <w:rsid w:val="6B5771EC"/>
    <w:rsid w:val="6B5D45DC"/>
    <w:rsid w:val="6B62545A"/>
    <w:rsid w:val="6B7F73F0"/>
    <w:rsid w:val="6BBA4F96"/>
    <w:rsid w:val="6BC4233A"/>
    <w:rsid w:val="6BC51CC5"/>
    <w:rsid w:val="6BD97F1A"/>
    <w:rsid w:val="6BDF4C3E"/>
    <w:rsid w:val="6BFB57AF"/>
    <w:rsid w:val="6C2D0561"/>
    <w:rsid w:val="6C40631E"/>
    <w:rsid w:val="6C546CD3"/>
    <w:rsid w:val="6C552B4D"/>
    <w:rsid w:val="6C925F49"/>
    <w:rsid w:val="6C9B1A64"/>
    <w:rsid w:val="6C9F6A00"/>
    <w:rsid w:val="6CB3489A"/>
    <w:rsid w:val="6CB740C8"/>
    <w:rsid w:val="6CDA4188"/>
    <w:rsid w:val="6CED7F4A"/>
    <w:rsid w:val="6D0063FB"/>
    <w:rsid w:val="6D197A63"/>
    <w:rsid w:val="6D22648C"/>
    <w:rsid w:val="6D366CDD"/>
    <w:rsid w:val="6D4359C8"/>
    <w:rsid w:val="6D4C40CB"/>
    <w:rsid w:val="6D6B7BD7"/>
    <w:rsid w:val="6D7659C0"/>
    <w:rsid w:val="6D7879FC"/>
    <w:rsid w:val="6D8B638F"/>
    <w:rsid w:val="6D8C327A"/>
    <w:rsid w:val="6D935CA7"/>
    <w:rsid w:val="6DA902A5"/>
    <w:rsid w:val="6DAD449B"/>
    <w:rsid w:val="6DAE6EE0"/>
    <w:rsid w:val="6DCE1AB0"/>
    <w:rsid w:val="6DCE348D"/>
    <w:rsid w:val="6DD25C6A"/>
    <w:rsid w:val="6DD940E5"/>
    <w:rsid w:val="6DF572B1"/>
    <w:rsid w:val="6DF955EF"/>
    <w:rsid w:val="6DFF1E4F"/>
    <w:rsid w:val="6E0F0EAF"/>
    <w:rsid w:val="6E3654FA"/>
    <w:rsid w:val="6E380520"/>
    <w:rsid w:val="6E7F69A2"/>
    <w:rsid w:val="6E892D87"/>
    <w:rsid w:val="6E9357AD"/>
    <w:rsid w:val="6E994737"/>
    <w:rsid w:val="6E9E3BE3"/>
    <w:rsid w:val="6EB04A72"/>
    <w:rsid w:val="6EB33ECB"/>
    <w:rsid w:val="6EC83721"/>
    <w:rsid w:val="6EEA317E"/>
    <w:rsid w:val="6EF14E7E"/>
    <w:rsid w:val="6F221E52"/>
    <w:rsid w:val="6F541010"/>
    <w:rsid w:val="6F8553AE"/>
    <w:rsid w:val="6F8D59C6"/>
    <w:rsid w:val="6F9058BC"/>
    <w:rsid w:val="6FBF5038"/>
    <w:rsid w:val="6FC83524"/>
    <w:rsid w:val="6FCA32E2"/>
    <w:rsid w:val="6FDA7673"/>
    <w:rsid w:val="6FDF5188"/>
    <w:rsid w:val="6FEA5984"/>
    <w:rsid w:val="700B6CD0"/>
    <w:rsid w:val="705311E1"/>
    <w:rsid w:val="70686A84"/>
    <w:rsid w:val="70825BA1"/>
    <w:rsid w:val="70855A3F"/>
    <w:rsid w:val="70891693"/>
    <w:rsid w:val="70960194"/>
    <w:rsid w:val="70982A08"/>
    <w:rsid w:val="709A1704"/>
    <w:rsid w:val="709C5382"/>
    <w:rsid w:val="70A11E0C"/>
    <w:rsid w:val="70E61F21"/>
    <w:rsid w:val="70F425CF"/>
    <w:rsid w:val="71740F1F"/>
    <w:rsid w:val="717F2A59"/>
    <w:rsid w:val="7186148D"/>
    <w:rsid w:val="71AD08F4"/>
    <w:rsid w:val="71B61219"/>
    <w:rsid w:val="71CA34F3"/>
    <w:rsid w:val="71CB201C"/>
    <w:rsid w:val="72095CA7"/>
    <w:rsid w:val="72671E0C"/>
    <w:rsid w:val="728A60A1"/>
    <w:rsid w:val="728B04CD"/>
    <w:rsid w:val="728C5037"/>
    <w:rsid w:val="728F5536"/>
    <w:rsid w:val="729252EA"/>
    <w:rsid w:val="72991CD6"/>
    <w:rsid w:val="72CB02BB"/>
    <w:rsid w:val="72E14A7D"/>
    <w:rsid w:val="72EF449C"/>
    <w:rsid w:val="72FD1B3D"/>
    <w:rsid w:val="73064883"/>
    <w:rsid w:val="730C65AB"/>
    <w:rsid w:val="73197097"/>
    <w:rsid w:val="73253227"/>
    <w:rsid w:val="7338212B"/>
    <w:rsid w:val="73411FAC"/>
    <w:rsid w:val="73560AAF"/>
    <w:rsid w:val="737945F0"/>
    <w:rsid w:val="73834134"/>
    <w:rsid w:val="738D08E7"/>
    <w:rsid w:val="73A42DB2"/>
    <w:rsid w:val="73AF128A"/>
    <w:rsid w:val="73CD63F2"/>
    <w:rsid w:val="73EE4681"/>
    <w:rsid w:val="73F744F1"/>
    <w:rsid w:val="73FC10C8"/>
    <w:rsid w:val="7406349F"/>
    <w:rsid w:val="7436462C"/>
    <w:rsid w:val="745D22DC"/>
    <w:rsid w:val="747D6B35"/>
    <w:rsid w:val="74876E7E"/>
    <w:rsid w:val="74A4780A"/>
    <w:rsid w:val="74AC7ECA"/>
    <w:rsid w:val="74B16525"/>
    <w:rsid w:val="74D43232"/>
    <w:rsid w:val="750532EA"/>
    <w:rsid w:val="75105696"/>
    <w:rsid w:val="751760AB"/>
    <w:rsid w:val="75272FC5"/>
    <w:rsid w:val="752C0D84"/>
    <w:rsid w:val="75401D90"/>
    <w:rsid w:val="75422AAA"/>
    <w:rsid w:val="75662D60"/>
    <w:rsid w:val="75752287"/>
    <w:rsid w:val="75987016"/>
    <w:rsid w:val="75A0129F"/>
    <w:rsid w:val="75D0608A"/>
    <w:rsid w:val="75D843B5"/>
    <w:rsid w:val="75E31AD3"/>
    <w:rsid w:val="75E725B7"/>
    <w:rsid w:val="7624230A"/>
    <w:rsid w:val="7642039B"/>
    <w:rsid w:val="765548A9"/>
    <w:rsid w:val="7666538C"/>
    <w:rsid w:val="76666F19"/>
    <w:rsid w:val="767209D5"/>
    <w:rsid w:val="769B522D"/>
    <w:rsid w:val="76A312A8"/>
    <w:rsid w:val="76A844F8"/>
    <w:rsid w:val="76B66712"/>
    <w:rsid w:val="76BB17B7"/>
    <w:rsid w:val="76BC171E"/>
    <w:rsid w:val="76C46127"/>
    <w:rsid w:val="76E438DE"/>
    <w:rsid w:val="76EF6C71"/>
    <w:rsid w:val="76F27E21"/>
    <w:rsid w:val="77061AC6"/>
    <w:rsid w:val="772E73AE"/>
    <w:rsid w:val="773527D3"/>
    <w:rsid w:val="77521091"/>
    <w:rsid w:val="77560A2F"/>
    <w:rsid w:val="7790365A"/>
    <w:rsid w:val="77970041"/>
    <w:rsid w:val="77AC4C98"/>
    <w:rsid w:val="77BA6A43"/>
    <w:rsid w:val="77BC2C45"/>
    <w:rsid w:val="77D90A6D"/>
    <w:rsid w:val="77EB6BE3"/>
    <w:rsid w:val="780305FA"/>
    <w:rsid w:val="780D320A"/>
    <w:rsid w:val="781759BA"/>
    <w:rsid w:val="782A6C19"/>
    <w:rsid w:val="783021CB"/>
    <w:rsid w:val="78311B14"/>
    <w:rsid w:val="78334D6A"/>
    <w:rsid w:val="785603F8"/>
    <w:rsid w:val="789509A4"/>
    <w:rsid w:val="789A6680"/>
    <w:rsid w:val="78A87EEC"/>
    <w:rsid w:val="78B3195E"/>
    <w:rsid w:val="78DA3CA3"/>
    <w:rsid w:val="78F35C04"/>
    <w:rsid w:val="78FD2973"/>
    <w:rsid w:val="791D505B"/>
    <w:rsid w:val="79204BDC"/>
    <w:rsid w:val="792603B0"/>
    <w:rsid w:val="79713542"/>
    <w:rsid w:val="79900492"/>
    <w:rsid w:val="799F1856"/>
    <w:rsid w:val="79A82987"/>
    <w:rsid w:val="79A866BC"/>
    <w:rsid w:val="79AA402E"/>
    <w:rsid w:val="79FC5077"/>
    <w:rsid w:val="7A12441D"/>
    <w:rsid w:val="7A26491E"/>
    <w:rsid w:val="7A2D687D"/>
    <w:rsid w:val="7A424547"/>
    <w:rsid w:val="7A6B6982"/>
    <w:rsid w:val="7A7A5247"/>
    <w:rsid w:val="7A7D581F"/>
    <w:rsid w:val="7A860E15"/>
    <w:rsid w:val="7AA25DF3"/>
    <w:rsid w:val="7AA53D31"/>
    <w:rsid w:val="7AAE0CFB"/>
    <w:rsid w:val="7ACA4609"/>
    <w:rsid w:val="7AD14A56"/>
    <w:rsid w:val="7AFA7B71"/>
    <w:rsid w:val="7B0054D7"/>
    <w:rsid w:val="7B085480"/>
    <w:rsid w:val="7B0F737D"/>
    <w:rsid w:val="7B22010F"/>
    <w:rsid w:val="7B25187E"/>
    <w:rsid w:val="7B2F1D6E"/>
    <w:rsid w:val="7B3872F1"/>
    <w:rsid w:val="7B473E4E"/>
    <w:rsid w:val="7B566B70"/>
    <w:rsid w:val="7B647FC7"/>
    <w:rsid w:val="7B67166A"/>
    <w:rsid w:val="7B7B7919"/>
    <w:rsid w:val="7B895335"/>
    <w:rsid w:val="7B8C622C"/>
    <w:rsid w:val="7B975A2D"/>
    <w:rsid w:val="7BBD7A3B"/>
    <w:rsid w:val="7BC668F1"/>
    <w:rsid w:val="7BC74456"/>
    <w:rsid w:val="7BE51FAB"/>
    <w:rsid w:val="7C371D01"/>
    <w:rsid w:val="7C3E1DF5"/>
    <w:rsid w:val="7C3E2F1C"/>
    <w:rsid w:val="7C410A39"/>
    <w:rsid w:val="7C4114CC"/>
    <w:rsid w:val="7C4C4481"/>
    <w:rsid w:val="7C532FD6"/>
    <w:rsid w:val="7C61798C"/>
    <w:rsid w:val="7C694F35"/>
    <w:rsid w:val="7C697F28"/>
    <w:rsid w:val="7C752D74"/>
    <w:rsid w:val="7CBE4478"/>
    <w:rsid w:val="7CCA27E3"/>
    <w:rsid w:val="7D20086F"/>
    <w:rsid w:val="7D5B74CE"/>
    <w:rsid w:val="7D742C35"/>
    <w:rsid w:val="7D774083"/>
    <w:rsid w:val="7D8A33BF"/>
    <w:rsid w:val="7DAF3D69"/>
    <w:rsid w:val="7DBF2527"/>
    <w:rsid w:val="7DC255A3"/>
    <w:rsid w:val="7DE942FE"/>
    <w:rsid w:val="7DEA26C9"/>
    <w:rsid w:val="7DF40ACD"/>
    <w:rsid w:val="7E1D6904"/>
    <w:rsid w:val="7E301E2B"/>
    <w:rsid w:val="7E3567A9"/>
    <w:rsid w:val="7E3D5975"/>
    <w:rsid w:val="7E4D0748"/>
    <w:rsid w:val="7E524742"/>
    <w:rsid w:val="7E615077"/>
    <w:rsid w:val="7E8A368C"/>
    <w:rsid w:val="7EAA6FE5"/>
    <w:rsid w:val="7ED338C0"/>
    <w:rsid w:val="7EDF4E0C"/>
    <w:rsid w:val="7EEE43FB"/>
    <w:rsid w:val="7EF02281"/>
    <w:rsid w:val="7F093C61"/>
    <w:rsid w:val="7F137BB0"/>
    <w:rsid w:val="7F2563BE"/>
    <w:rsid w:val="7F262D20"/>
    <w:rsid w:val="7F461A85"/>
    <w:rsid w:val="7F5429F1"/>
    <w:rsid w:val="7F7976A5"/>
    <w:rsid w:val="7F8404E9"/>
    <w:rsid w:val="7F8F7FA6"/>
    <w:rsid w:val="7FCF7B0F"/>
    <w:rsid w:val="7FEE19F7"/>
    <w:rsid w:val="7FF371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qFormat="1" w:uiPriority="99" w:semiHidden="0"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styleId="2">
    <w:name w:val="heading 1"/>
    <w:basedOn w:val="1"/>
    <w:next w:val="1"/>
    <w:link w:val="49"/>
    <w:autoRedefine/>
    <w:qFormat/>
    <w:uiPriority w:val="0"/>
    <w:pPr>
      <w:keepNext/>
      <w:keepLines/>
      <w:numPr>
        <w:ilvl w:val="0"/>
        <w:numId w:val="1"/>
      </w:numPr>
      <w:spacing w:before="50" w:beforeLines="50" w:after="50" w:afterLines="50"/>
      <w:jc w:val="center"/>
      <w:outlineLvl w:val="0"/>
    </w:pPr>
    <w:rPr>
      <w:b/>
      <w:bCs/>
      <w:kern w:val="44"/>
      <w:sz w:val="32"/>
      <w:szCs w:val="44"/>
    </w:rPr>
  </w:style>
  <w:style w:type="paragraph" w:styleId="3">
    <w:name w:val="heading 2"/>
    <w:basedOn w:val="1"/>
    <w:next w:val="1"/>
    <w:link w:val="40"/>
    <w:unhideWhenUsed/>
    <w:qFormat/>
    <w:uiPriority w:val="0"/>
    <w:pPr>
      <w:keepNext/>
      <w:keepLines/>
      <w:numPr>
        <w:ilvl w:val="1"/>
        <w:numId w:val="1"/>
      </w:numPr>
      <w:spacing w:before="50" w:beforeLines="50" w:after="50" w:afterLines="50"/>
      <w:jc w:val="left"/>
      <w:outlineLvl w:val="1"/>
    </w:pPr>
    <w:rPr>
      <w:rFonts w:asciiTheme="majorHAnsi" w:hAnsiTheme="majorHAnsi" w:cstheme="majorBidi"/>
      <w:b/>
      <w:bCs/>
      <w:sz w:val="28"/>
      <w:szCs w:val="32"/>
    </w:rPr>
  </w:style>
  <w:style w:type="paragraph" w:styleId="4">
    <w:name w:val="heading 3"/>
    <w:basedOn w:val="1"/>
    <w:next w:val="1"/>
    <w:link w:val="75"/>
    <w:autoRedefine/>
    <w:unhideWhenUsed/>
    <w:qFormat/>
    <w:uiPriority w:val="0"/>
    <w:pPr>
      <w:keepNext/>
      <w:keepLines/>
      <w:numPr>
        <w:ilvl w:val="2"/>
        <w:numId w:val="1"/>
      </w:numPr>
      <w:spacing w:before="50" w:beforeLines="50"/>
      <w:jc w:val="left"/>
      <w:outlineLvl w:val="2"/>
    </w:pPr>
    <w:rPr>
      <w:b/>
      <w:bCs/>
      <w:szCs w:val="32"/>
    </w:rPr>
  </w:style>
  <w:style w:type="paragraph" w:styleId="5">
    <w:name w:val="heading 4"/>
    <w:basedOn w:val="1"/>
    <w:next w:val="1"/>
    <w:link w:val="74"/>
    <w:autoRedefine/>
    <w:unhideWhenUsed/>
    <w:qFormat/>
    <w:uiPriority w:val="0"/>
    <w:pPr>
      <w:keepNext/>
      <w:keepLines/>
      <w:numPr>
        <w:ilvl w:val="3"/>
        <w:numId w:val="1"/>
      </w:numPr>
      <w:spacing w:before="50" w:beforeLines="50"/>
      <w:jc w:val="left"/>
      <w:outlineLvl w:val="3"/>
    </w:pPr>
    <w:rPr>
      <w:rFonts w:asciiTheme="majorHAnsi" w:hAnsiTheme="majorHAnsi" w:cstheme="majorBidi"/>
      <w:b/>
      <w:bCs/>
      <w:szCs w:val="28"/>
    </w:rPr>
  </w:style>
  <w:style w:type="paragraph" w:styleId="6">
    <w:name w:val="heading 5"/>
    <w:next w:val="1"/>
    <w:unhideWhenUsed/>
    <w:qFormat/>
    <w:uiPriority w:val="0"/>
    <w:pPr>
      <w:keepNext/>
      <w:keepLines/>
      <w:numPr>
        <w:ilvl w:val="4"/>
        <w:numId w:val="1"/>
      </w:numPr>
      <w:outlineLvl w:val="4"/>
    </w:pPr>
    <w:rPr>
      <w:rFonts w:ascii="Times New Roman" w:hAnsi="Times New Roman" w:eastAsia="宋体" w:cs="Times New Roman"/>
      <w:sz w:val="24"/>
      <w:lang w:val="en-US" w:eastAsia="zh-CN" w:bidi="ar-SA"/>
    </w:rPr>
  </w:style>
  <w:style w:type="paragraph" w:styleId="7">
    <w:name w:val="heading 6"/>
    <w:basedOn w:val="1"/>
    <w:next w:val="1"/>
    <w:unhideWhenUsed/>
    <w:qFormat/>
    <w:uiPriority w:val="0"/>
    <w:pPr>
      <w:keepNext/>
      <w:keepLines/>
      <w:numPr>
        <w:ilvl w:val="5"/>
        <w:numId w:val="1"/>
      </w:numPr>
      <w:spacing w:before="240" w:after="64" w:line="317" w:lineRule="auto"/>
      <w:ind w:firstLine="0" w:firstLineChars="0"/>
      <w:outlineLvl w:val="5"/>
    </w:pPr>
    <w:rPr>
      <w:rFonts w:ascii="Arial" w:hAnsi="Arial" w:eastAsia="黑体"/>
      <w:b/>
    </w:rPr>
  </w:style>
  <w:style w:type="paragraph" w:styleId="8">
    <w:name w:val="heading 7"/>
    <w:basedOn w:val="1"/>
    <w:next w:val="1"/>
    <w:autoRedefine/>
    <w:unhideWhenUsed/>
    <w:qFormat/>
    <w:uiPriority w:val="0"/>
    <w:pPr>
      <w:keepNext/>
      <w:keepLines/>
      <w:numPr>
        <w:ilvl w:val="6"/>
        <w:numId w:val="1"/>
      </w:numPr>
      <w:spacing w:before="240" w:after="64" w:line="317" w:lineRule="auto"/>
      <w:ind w:firstLine="0" w:firstLineChars="0"/>
      <w:outlineLvl w:val="6"/>
    </w:pPr>
    <w:rPr>
      <w:b/>
    </w:rPr>
  </w:style>
  <w:style w:type="paragraph" w:styleId="9">
    <w:name w:val="heading 8"/>
    <w:basedOn w:val="1"/>
    <w:next w:val="1"/>
    <w:unhideWhenUsed/>
    <w:qFormat/>
    <w:uiPriority w:val="0"/>
    <w:pPr>
      <w:keepNext/>
      <w:keepLines/>
      <w:numPr>
        <w:ilvl w:val="7"/>
        <w:numId w:val="1"/>
      </w:numPr>
      <w:spacing w:before="240" w:after="64" w:line="317" w:lineRule="auto"/>
      <w:ind w:firstLine="0" w:firstLineChars="0"/>
      <w:outlineLvl w:val="7"/>
    </w:pPr>
    <w:rPr>
      <w:rFonts w:ascii="Arial" w:hAnsi="Arial" w:eastAsia="黑体"/>
    </w:rPr>
  </w:style>
  <w:style w:type="paragraph" w:styleId="10">
    <w:name w:val="heading 9"/>
    <w:basedOn w:val="1"/>
    <w:next w:val="1"/>
    <w:autoRedefine/>
    <w:unhideWhenUsed/>
    <w:qFormat/>
    <w:uiPriority w:val="0"/>
    <w:pPr>
      <w:keepNext/>
      <w:keepLines/>
      <w:numPr>
        <w:ilvl w:val="8"/>
        <w:numId w:val="1"/>
      </w:numPr>
      <w:spacing w:before="240" w:after="64" w:line="317" w:lineRule="auto"/>
      <w:ind w:firstLine="0" w:firstLineChars="0"/>
      <w:outlineLvl w:val="8"/>
    </w:pPr>
    <w:rPr>
      <w:rFonts w:ascii="Arial" w:hAnsi="Arial" w:eastAsia="黑体"/>
      <w:sz w:val="21"/>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next w:val="12"/>
    <w:autoRedefine/>
    <w:qFormat/>
    <w:uiPriority w:val="99"/>
    <w:pPr>
      <w:ind w:firstLine="420"/>
    </w:pPr>
    <w:rPr>
      <w:rFonts w:ascii="Calibri" w:hAnsi="Calibri"/>
      <w:szCs w:val="22"/>
    </w:rPr>
  </w:style>
  <w:style w:type="paragraph" w:styleId="12">
    <w:name w:val="Body Text First Indent"/>
    <w:basedOn w:val="13"/>
    <w:autoRedefine/>
    <w:unhideWhenUsed/>
    <w:qFormat/>
    <w:uiPriority w:val="99"/>
    <w:pPr>
      <w:ind w:firstLine="420" w:firstLineChars="100"/>
    </w:pPr>
  </w:style>
  <w:style w:type="paragraph" w:styleId="13">
    <w:name w:val="Body Text"/>
    <w:basedOn w:val="1"/>
    <w:next w:val="1"/>
    <w:autoRedefine/>
    <w:unhideWhenUsed/>
    <w:qFormat/>
    <w:uiPriority w:val="0"/>
    <w:rPr>
      <w:rFonts w:hint="eastAsia"/>
    </w:rPr>
  </w:style>
  <w:style w:type="paragraph" w:styleId="14">
    <w:name w:val="caption"/>
    <w:basedOn w:val="1"/>
    <w:next w:val="1"/>
    <w:link w:val="58"/>
    <w:autoRedefine/>
    <w:unhideWhenUsed/>
    <w:qFormat/>
    <w:uiPriority w:val="35"/>
    <w:pPr>
      <w:jc w:val="center"/>
    </w:pPr>
    <w:rPr>
      <w:rFonts w:ascii="Arial" w:hAnsi="Arial"/>
      <w:b/>
      <w:color w:val="000000" w:themeColor="text1"/>
      <w:sz w:val="21"/>
      <w14:textFill>
        <w14:solidFill>
          <w14:schemeClr w14:val="tx1"/>
        </w14:solidFill>
      </w14:textFill>
    </w:rPr>
  </w:style>
  <w:style w:type="paragraph" w:styleId="15">
    <w:name w:val="Document Map"/>
    <w:basedOn w:val="1"/>
    <w:link w:val="87"/>
    <w:autoRedefine/>
    <w:semiHidden/>
    <w:qFormat/>
    <w:uiPriority w:val="0"/>
    <w:pPr>
      <w:shd w:val="clear" w:color="auto" w:fill="000080"/>
      <w:ind w:firstLine="560"/>
      <w:jc w:val="left"/>
    </w:pPr>
    <w:rPr>
      <w:szCs w:val="24"/>
    </w:rPr>
  </w:style>
  <w:style w:type="paragraph" w:styleId="16">
    <w:name w:val="annotation text"/>
    <w:basedOn w:val="1"/>
    <w:link w:val="91"/>
    <w:autoRedefine/>
    <w:qFormat/>
    <w:uiPriority w:val="0"/>
    <w:pPr>
      <w:jc w:val="left"/>
    </w:pPr>
    <w:rPr>
      <w:rFonts w:eastAsia="华文楷体"/>
    </w:rPr>
  </w:style>
  <w:style w:type="paragraph" w:styleId="17">
    <w:name w:val="Body Text Indent"/>
    <w:basedOn w:val="1"/>
    <w:autoRedefine/>
    <w:qFormat/>
    <w:uiPriority w:val="0"/>
    <w:pPr>
      <w:snapToGrid w:val="0"/>
      <w:spacing w:line="500" w:lineRule="exact"/>
      <w:ind w:firstLine="480"/>
    </w:pPr>
    <w:rPr>
      <w:rFonts w:ascii="宋体"/>
    </w:rPr>
  </w:style>
  <w:style w:type="paragraph" w:styleId="18">
    <w:name w:val="Block Text"/>
    <w:basedOn w:val="1"/>
    <w:next w:val="1"/>
    <w:autoRedefine/>
    <w:qFormat/>
    <w:uiPriority w:val="0"/>
    <w:pPr>
      <w:spacing w:line="20" w:lineRule="atLeast"/>
      <w:ind w:left="1260" w:leftChars="100" w:right="339" w:hanging="944" w:hangingChars="482"/>
    </w:pPr>
  </w:style>
  <w:style w:type="paragraph" w:styleId="19">
    <w:name w:val="toc 3"/>
    <w:basedOn w:val="1"/>
    <w:next w:val="1"/>
    <w:autoRedefine/>
    <w:unhideWhenUsed/>
    <w:qFormat/>
    <w:uiPriority w:val="39"/>
    <w:pPr>
      <w:ind w:left="840" w:leftChars="400"/>
    </w:pPr>
  </w:style>
  <w:style w:type="paragraph" w:styleId="20">
    <w:name w:val="Plain Text"/>
    <w:basedOn w:val="1"/>
    <w:link w:val="89"/>
    <w:autoRedefine/>
    <w:qFormat/>
    <w:uiPriority w:val="0"/>
    <w:pPr>
      <w:keepLines/>
      <w:snapToGrid w:val="0"/>
      <w:ind w:firstLine="643"/>
      <w:jc w:val="left"/>
    </w:pPr>
    <w:rPr>
      <w:rFonts w:ascii="仿宋" w:hAnsi="仿宋" w:eastAsia="仿宋"/>
      <w:szCs w:val="24"/>
    </w:rPr>
  </w:style>
  <w:style w:type="paragraph" w:styleId="21">
    <w:name w:val="Balloon Text"/>
    <w:basedOn w:val="1"/>
    <w:link w:val="44"/>
    <w:autoRedefine/>
    <w:unhideWhenUsed/>
    <w:qFormat/>
    <w:uiPriority w:val="0"/>
    <w:rPr>
      <w:sz w:val="18"/>
      <w:szCs w:val="18"/>
    </w:rPr>
  </w:style>
  <w:style w:type="paragraph" w:styleId="22">
    <w:name w:val="footer"/>
    <w:basedOn w:val="1"/>
    <w:link w:val="43"/>
    <w:autoRedefine/>
    <w:unhideWhenUsed/>
    <w:qFormat/>
    <w:uiPriority w:val="99"/>
    <w:pPr>
      <w:tabs>
        <w:tab w:val="center" w:pos="4153"/>
        <w:tab w:val="right" w:pos="8306"/>
      </w:tabs>
      <w:snapToGrid w:val="0"/>
      <w:jc w:val="left"/>
    </w:pPr>
    <w:rPr>
      <w:sz w:val="18"/>
      <w:szCs w:val="18"/>
    </w:rPr>
  </w:style>
  <w:style w:type="paragraph" w:styleId="23">
    <w:name w:val="header"/>
    <w:basedOn w:val="1"/>
    <w:link w:val="4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4">
    <w:name w:val="toc 1"/>
    <w:basedOn w:val="1"/>
    <w:next w:val="1"/>
    <w:link w:val="65"/>
    <w:autoRedefine/>
    <w:unhideWhenUsed/>
    <w:qFormat/>
    <w:uiPriority w:val="39"/>
    <w:pPr>
      <w:ind w:firstLine="0" w:firstLineChars="0"/>
    </w:pPr>
    <w:rPr>
      <w:b/>
      <w:sz w:val="28"/>
    </w:rPr>
  </w:style>
  <w:style w:type="paragraph" w:styleId="25">
    <w:name w:val="toc 4"/>
    <w:basedOn w:val="1"/>
    <w:next w:val="1"/>
    <w:autoRedefine/>
    <w:unhideWhenUsed/>
    <w:qFormat/>
    <w:uiPriority w:val="39"/>
    <w:pPr>
      <w:ind w:left="1260" w:leftChars="600"/>
    </w:pPr>
  </w:style>
  <w:style w:type="paragraph" w:styleId="26">
    <w:name w:val="index heading"/>
    <w:basedOn w:val="1"/>
    <w:next w:val="27"/>
    <w:autoRedefine/>
    <w:unhideWhenUsed/>
    <w:qFormat/>
    <w:uiPriority w:val="99"/>
    <w:rPr>
      <w:rFonts w:ascii="Arial" w:hAnsi="Arial"/>
      <w:b/>
    </w:rPr>
  </w:style>
  <w:style w:type="paragraph" w:styleId="27">
    <w:name w:val="index 1"/>
    <w:basedOn w:val="1"/>
    <w:next w:val="1"/>
    <w:autoRedefine/>
    <w:qFormat/>
    <w:uiPriority w:val="0"/>
    <w:pPr>
      <w:autoSpaceDE w:val="0"/>
      <w:autoSpaceDN w:val="0"/>
      <w:adjustRightInd w:val="0"/>
      <w:spacing w:line="440" w:lineRule="exact"/>
      <w:jc w:val="center"/>
      <w:textAlignment w:val="baseline"/>
    </w:pPr>
    <w:rPr>
      <w:rFonts w:ascii="宋体" w:hAnsi="宋体"/>
      <w:color w:val="0000FF"/>
      <w:kern w:val="0"/>
    </w:rPr>
  </w:style>
  <w:style w:type="paragraph" w:styleId="28">
    <w:name w:val="toc 2"/>
    <w:basedOn w:val="1"/>
    <w:next w:val="1"/>
    <w:autoRedefine/>
    <w:unhideWhenUsed/>
    <w:qFormat/>
    <w:uiPriority w:val="39"/>
    <w:pPr>
      <w:tabs>
        <w:tab w:val="right" w:leader="dot" w:pos="9060"/>
      </w:tabs>
      <w:ind w:left="420" w:leftChars="175" w:firstLine="166" w:firstLineChars="59"/>
      <w:jc w:val="center"/>
    </w:pPr>
    <w:rPr>
      <w:sz w:val="28"/>
    </w:rPr>
  </w:style>
  <w:style w:type="paragraph" w:styleId="29">
    <w:name w:val="HTML Preformatted"/>
    <w:basedOn w:val="1"/>
    <w:link w:val="9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0"/>
      <w:jc w:val="left"/>
    </w:pPr>
    <w:rPr>
      <w:rFonts w:ascii="Arial" w:hAnsi="Arial" w:cs="Arial"/>
      <w:kern w:val="0"/>
      <w:szCs w:val="24"/>
    </w:rPr>
  </w:style>
  <w:style w:type="paragraph" w:styleId="30">
    <w:name w:val="Normal (Web)"/>
    <w:basedOn w:val="1"/>
    <w:autoRedefine/>
    <w:unhideWhenUsed/>
    <w:qFormat/>
    <w:uiPriority w:val="0"/>
    <w:pPr>
      <w:spacing w:line="240" w:lineRule="auto"/>
      <w:ind w:firstLine="0" w:firstLineChars="0"/>
    </w:pPr>
    <w:rPr>
      <w:szCs w:val="24"/>
    </w:rPr>
  </w:style>
  <w:style w:type="paragraph" w:styleId="31">
    <w:name w:val="annotation subject"/>
    <w:basedOn w:val="16"/>
    <w:next w:val="16"/>
    <w:link w:val="92"/>
    <w:autoRedefine/>
    <w:qFormat/>
    <w:uiPriority w:val="0"/>
    <w:pPr>
      <w:ind w:firstLine="560"/>
    </w:pPr>
    <w:rPr>
      <w:rFonts w:eastAsia="宋体"/>
      <w:b/>
      <w:bCs/>
      <w:szCs w:val="24"/>
    </w:rPr>
  </w:style>
  <w:style w:type="paragraph" w:styleId="32">
    <w:name w:val="Body Text First Indent 2"/>
    <w:basedOn w:val="17"/>
    <w:autoRedefine/>
    <w:unhideWhenUsed/>
    <w:qFormat/>
    <w:uiPriority w:val="99"/>
    <w:pPr>
      <w:spacing w:after="120"/>
      <w:ind w:left="420" w:leftChars="200" w:firstLine="420"/>
    </w:pPr>
  </w:style>
  <w:style w:type="table" w:styleId="34">
    <w:name w:val="Table Grid"/>
    <w:basedOn w:val="3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page number"/>
    <w:basedOn w:val="35"/>
    <w:autoRedefine/>
    <w:qFormat/>
    <w:uiPriority w:val="0"/>
  </w:style>
  <w:style w:type="character" w:styleId="37">
    <w:name w:val="Hyperlink"/>
    <w:basedOn w:val="35"/>
    <w:autoRedefine/>
    <w:unhideWhenUsed/>
    <w:qFormat/>
    <w:uiPriority w:val="99"/>
    <w:rPr>
      <w:color w:val="0000FF" w:themeColor="hyperlink"/>
      <w:u w:val="single"/>
      <w14:textFill>
        <w14:solidFill>
          <w14:schemeClr w14:val="hlink"/>
        </w14:solidFill>
      </w14:textFill>
    </w:rPr>
  </w:style>
  <w:style w:type="character" w:styleId="38">
    <w:name w:val="annotation reference"/>
    <w:autoRedefine/>
    <w:qFormat/>
    <w:uiPriority w:val="0"/>
    <w:rPr>
      <w:sz w:val="21"/>
      <w:szCs w:val="21"/>
    </w:rPr>
  </w:style>
  <w:style w:type="paragraph" w:customStyle="1" w:styleId="39">
    <w:name w:val="HTML 预设格式1"/>
    <w:basedOn w:val="1"/>
    <w:autoRedefine/>
    <w:qFormat/>
    <w:uiPriority w:val="4"/>
    <w:rPr>
      <w:rFonts w:ascii="Courier New" w:hAnsi="Courier New" w:cs="Courier New"/>
      <w:sz w:val="20"/>
    </w:rPr>
  </w:style>
  <w:style w:type="character" w:customStyle="1" w:styleId="40">
    <w:name w:val="标题 2 字符"/>
    <w:basedOn w:val="35"/>
    <w:link w:val="3"/>
    <w:autoRedefine/>
    <w:qFormat/>
    <w:uiPriority w:val="0"/>
    <w:rPr>
      <w:rFonts w:eastAsia="宋体" w:asciiTheme="majorHAnsi" w:hAnsiTheme="majorHAnsi" w:cstheme="majorBidi"/>
      <w:b/>
      <w:bCs/>
      <w:sz w:val="28"/>
      <w:szCs w:val="32"/>
    </w:rPr>
  </w:style>
  <w:style w:type="paragraph" w:customStyle="1" w:styleId="41">
    <w:name w:val="说明备注"/>
    <w:basedOn w:val="1"/>
    <w:next w:val="1"/>
    <w:link w:val="70"/>
    <w:autoRedefine/>
    <w:qFormat/>
    <w:uiPriority w:val="0"/>
    <w:pPr>
      <w:jc w:val="left"/>
    </w:pPr>
    <w:rPr>
      <w:rFonts w:eastAsia="华文楷体"/>
    </w:rPr>
  </w:style>
  <w:style w:type="character" w:customStyle="1" w:styleId="42">
    <w:name w:val="页眉 字符"/>
    <w:basedOn w:val="35"/>
    <w:link w:val="23"/>
    <w:autoRedefine/>
    <w:qFormat/>
    <w:uiPriority w:val="99"/>
    <w:rPr>
      <w:sz w:val="18"/>
      <w:szCs w:val="18"/>
    </w:rPr>
  </w:style>
  <w:style w:type="character" w:customStyle="1" w:styleId="43">
    <w:name w:val="页脚 字符"/>
    <w:basedOn w:val="35"/>
    <w:link w:val="22"/>
    <w:autoRedefine/>
    <w:qFormat/>
    <w:uiPriority w:val="99"/>
    <w:rPr>
      <w:sz w:val="18"/>
      <w:szCs w:val="18"/>
    </w:rPr>
  </w:style>
  <w:style w:type="character" w:customStyle="1" w:styleId="44">
    <w:name w:val="批注框文本 字符"/>
    <w:basedOn w:val="35"/>
    <w:link w:val="21"/>
    <w:autoRedefine/>
    <w:qFormat/>
    <w:uiPriority w:val="0"/>
    <w:rPr>
      <w:rFonts w:ascii="Calibri" w:hAnsi="Calibri" w:eastAsia="宋体" w:cs="Times New Roman"/>
      <w:sz w:val="18"/>
      <w:szCs w:val="18"/>
    </w:rPr>
  </w:style>
  <w:style w:type="character" w:customStyle="1" w:styleId="45">
    <w:name w:val="标题 3 Char"/>
    <w:basedOn w:val="35"/>
    <w:autoRedefine/>
    <w:qFormat/>
    <w:uiPriority w:val="9"/>
    <w:rPr>
      <w:rFonts w:ascii="Times New Roman" w:hAnsi="Times New Roman" w:eastAsia="宋体" w:cs="Times New Roman"/>
      <w:b/>
      <w:bCs/>
      <w:sz w:val="24"/>
      <w:szCs w:val="32"/>
    </w:rPr>
  </w:style>
  <w:style w:type="character" w:customStyle="1" w:styleId="46">
    <w:name w:val="标题 4 Char"/>
    <w:basedOn w:val="35"/>
    <w:autoRedefine/>
    <w:qFormat/>
    <w:uiPriority w:val="9"/>
    <w:rPr>
      <w:rFonts w:eastAsia="宋体" w:asciiTheme="majorHAnsi" w:hAnsiTheme="majorHAnsi" w:cstheme="majorBidi"/>
      <w:bCs/>
      <w:sz w:val="24"/>
      <w:szCs w:val="28"/>
    </w:rPr>
  </w:style>
  <w:style w:type="paragraph" w:styleId="47">
    <w:name w:val="No Spacing"/>
    <w:basedOn w:val="1"/>
    <w:next w:val="1"/>
    <w:link w:val="48"/>
    <w:autoRedefine/>
    <w:qFormat/>
    <w:uiPriority w:val="99"/>
    <w:rPr>
      <w:rFonts w:asciiTheme="minorHAnsi" w:hAnsiTheme="minorHAnsi" w:eastAsiaTheme="minorEastAsia" w:cstheme="minorBidi"/>
      <w:kern w:val="0"/>
      <w:sz w:val="22"/>
      <w:szCs w:val="22"/>
    </w:rPr>
  </w:style>
  <w:style w:type="character" w:customStyle="1" w:styleId="48">
    <w:name w:val="无间隔 字符"/>
    <w:basedOn w:val="35"/>
    <w:link w:val="47"/>
    <w:autoRedefine/>
    <w:qFormat/>
    <w:uiPriority w:val="1"/>
    <w:rPr>
      <w:kern w:val="0"/>
      <w:sz w:val="22"/>
    </w:rPr>
  </w:style>
  <w:style w:type="character" w:customStyle="1" w:styleId="49">
    <w:name w:val="标题 1 字符"/>
    <w:basedOn w:val="35"/>
    <w:link w:val="2"/>
    <w:autoRedefine/>
    <w:qFormat/>
    <w:uiPriority w:val="0"/>
    <w:rPr>
      <w:rFonts w:ascii="Times New Roman" w:hAnsi="Times New Roman" w:eastAsia="宋体" w:cs="Times New Roman"/>
      <w:b/>
      <w:bCs/>
      <w:kern w:val="44"/>
      <w:sz w:val="32"/>
      <w:szCs w:val="44"/>
    </w:rPr>
  </w:style>
  <w:style w:type="paragraph" w:customStyle="1" w:styleId="50">
    <w:name w:val="表格文字"/>
    <w:basedOn w:val="1"/>
    <w:next w:val="1"/>
    <w:autoRedefine/>
    <w:qFormat/>
    <w:uiPriority w:val="0"/>
    <w:pPr>
      <w:spacing w:line="240" w:lineRule="auto"/>
      <w:ind w:firstLine="0" w:firstLineChars="0"/>
      <w:jc w:val="center"/>
    </w:pPr>
    <w:rPr>
      <w:rFonts w:hint="eastAsia"/>
      <w:sz w:val="21"/>
      <w:szCs w:val="18"/>
    </w:rPr>
  </w:style>
  <w:style w:type="table" w:customStyle="1" w:styleId="51">
    <w:name w:val="标准样式27"/>
    <w:basedOn w:val="33"/>
    <w:autoRedefine/>
    <w:qFormat/>
    <w:uiPriority w:val="99"/>
    <w:pPr>
      <w:jc w:val="center"/>
    </w:pPr>
    <w:tblPr>
      <w:jc w:val="center"/>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Pr>
    <w:trPr>
      <w:jc w:val="center"/>
    </w:trPr>
    <w:tcPr>
      <w:shd w:val="clear" w:color="auto" w:fill="FFFFFF"/>
      <w:vAlign w:val="center"/>
    </w:tcPr>
    <w:tblStylePr w:type="firstRow">
      <w:rPr>
        <w:rFonts w:ascii="Times New Roman" w:hAnsi="Times New Roman" w:eastAsia="宋体"/>
        <w:b/>
        <w:i w:val="0"/>
        <w:sz w:val="21"/>
      </w:rPr>
      <w:tcPr>
        <w:shd w:val="clear" w:color="auto" w:fill="8DB3E2"/>
      </w:tcPr>
    </w:tblStylePr>
    <w:tblStylePr w:type="firstCol">
      <w:tcPr>
        <w:shd w:val="clear" w:color="auto" w:fill="FFFFFF"/>
      </w:tcPr>
    </w:tblStylePr>
  </w:style>
  <w:style w:type="table" w:customStyle="1" w:styleId="52">
    <w:name w:val="标准样式1"/>
    <w:basedOn w:val="33"/>
    <w:autoRedefine/>
    <w:qFormat/>
    <w:uiPriority w:val="99"/>
    <w:tblPr>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Pr>
    <w:trPr>
      <w:jc w:val="center"/>
    </w:trPr>
    <w:tcPr>
      <w:shd w:val="clear" w:color="auto" w:fill="DBE5F1"/>
      <w:vAlign w:val="center"/>
    </w:tcPr>
    <w:tblStylePr w:type="firstRow">
      <w:rPr>
        <w:b/>
        <w:color w:val="auto"/>
      </w:rPr>
      <w:tcPr>
        <w:shd w:val="clear" w:color="auto" w:fill="B6DDE8"/>
      </w:tcPr>
    </w:tblStylePr>
    <w:tblStylePr w:type="firstCol">
      <w:tcPr>
        <w:shd w:val="clear" w:color="auto" w:fill="FDE9D9"/>
      </w:tcPr>
    </w:tblStylePr>
  </w:style>
  <w:style w:type="table" w:customStyle="1" w:styleId="53">
    <w:name w:val="k 表格1"/>
    <w:basedOn w:val="33"/>
    <w:autoRedefine/>
    <w:qFormat/>
    <w:uiPriority w:val="99"/>
    <w:rPr>
      <w:rFonts w:ascii="宋体" w:hAnsi="宋体"/>
      <w:sz w:val="21"/>
    </w:rPr>
    <w:tblPr>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left w:w="57" w:type="dxa"/>
        <w:right w:w="57" w:type="dxa"/>
      </w:tblCellMar>
    </w:tblPr>
    <w:trPr>
      <w:jc w:val="center"/>
    </w:trPr>
    <w:tcPr>
      <w:tcMar>
        <w:left w:w="57" w:type="dxa"/>
        <w:right w:w="57" w:type="dxa"/>
      </w:tcMar>
      <w:vAlign w:val="center"/>
    </w:tcPr>
    <w:tblStylePr w:type="firstRow">
      <w:rPr>
        <w:rFonts w:ascii="Times New Roman" w:hAnsi="Times New Roman" w:eastAsia="宋体"/>
        <w:b/>
        <w:sz w:val="21"/>
      </w:rPr>
    </w:tblStylePr>
  </w:style>
  <w:style w:type="table" w:customStyle="1" w:styleId="54">
    <w:name w:val="K表格1"/>
    <w:basedOn w:val="33"/>
    <w:autoRedefine/>
    <w:qFormat/>
    <w:uiPriority w:val="0"/>
    <w:pPr>
      <w:jc w:val="center"/>
    </w:pPr>
    <w:rPr>
      <w:rFonts w:eastAsia="等线"/>
      <w:sz w:val="21"/>
      <w:szCs w:val="21"/>
    </w:rPr>
    <w:tblPr>
      <w:jc w:val="center"/>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28" w:type="dxa"/>
        <w:left w:w="57" w:type="dxa"/>
        <w:bottom w:w="28" w:type="dxa"/>
        <w:right w:w="57" w:type="dxa"/>
      </w:tblCellMar>
    </w:tblPr>
    <w:trPr>
      <w:jc w:val="center"/>
    </w:trPr>
    <w:tcPr>
      <w:vAlign w:val="center"/>
    </w:tcPr>
  </w:style>
  <w:style w:type="table" w:customStyle="1" w:styleId="55">
    <w:name w:val="标准样式2"/>
    <w:basedOn w:val="33"/>
    <w:autoRedefine/>
    <w:qFormat/>
    <w:uiPriority w:val="99"/>
    <w:pPr>
      <w:jc w:val="both"/>
    </w:pPr>
    <w:rPr>
      <w:kern w:val="2"/>
    </w:rPr>
    <w:tblPr>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Pr>
    <w:trPr>
      <w:jc w:val="center"/>
    </w:trPr>
    <w:tcPr>
      <w:shd w:val="clear" w:color="auto" w:fill="auto"/>
      <w:vAlign w:val="center"/>
    </w:tcPr>
    <w:tblStylePr w:type="firstRow">
      <w:rPr>
        <w:b/>
      </w:rPr>
    </w:tblStylePr>
  </w:style>
  <w:style w:type="paragraph" w:customStyle="1" w:styleId="56">
    <w:name w:val="WPSOffice手动目录 1"/>
    <w:autoRedefine/>
    <w:qFormat/>
    <w:uiPriority w:val="0"/>
    <w:rPr>
      <w:rFonts w:asciiTheme="minorHAnsi" w:hAnsiTheme="minorHAnsi" w:eastAsiaTheme="minorEastAsia" w:cstheme="minorBidi"/>
      <w:lang w:val="en-US" w:eastAsia="zh-CN" w:bidi="ar-SA"/>
    </w:rPr>
  </w:style>
  <w:style w:type="paragraph" w:customStyle="1" w:styleId="57">
    <w:name w:val="WPSOffice手动目录 3"/>
    <w:autoRedefine/>
    <w:qFormat/>
    <w:uiPriority w:val="0"/>
    <w:pPr>
      <w:ind w:left="400" w:leftChars="400"/>
    </w:pPr>
    <w:rPr>
      <w:rFonts w:asciiTheme="minorHAnsi" w:hAnsiTheme="minorHAnsi" w:eastAsiaTheme="minorEastAsia" w:cstheme="minorBidi"/>
      <w:lang w:val="en-US" w:eastAsia="zh-CN" w:bidi="ar-SA"/>
    </w:rPr>
  </w:style>
  <w:style w:type="character" w:customStyle="1" w:styleId="58">
    <w:name w:val="题注 字符"/>
    <w:link w:val="14"/>
    <w:autoRedefine/>
    <w:qFormat/>
    <w:uiPriority w:val="35"/>
    <w:rPr>
      <w:rFonts w:ascii="Arial" w:hAnsi="Arial" w:eastAsia="宋体"/>
      <w:b/>
      <w:color w:val="000000" w:themeColor="text1"/>
      <w:sz w:val="21"/>
      <w14:textFill>
        <w14:solidFill>
          <w14:schemeClr w14:val="tx1"/>
        </w14:solidFill>
      </w14:textFill>
    </w:rPr>
  </w:style>
  <w:style w:type="paragraph" w:customStyle="1" w:styleId="59">
    <w:name w:val="表格居中"/>
    <w:basedOn w:val="60"/>
    <w:next w:val="1"/>
    <w:autoRedefine/>
    <w:qFormat/>
    <w:uiPriority w:val="0"/>
    <w:rPr>
      <w:rFonts w:ascii="宋体" w:hAnsi="宋体" w:cs="宋体"/>
      <w:b w:val="0"/>
      <w:bCs w:val="0"/>
    </w:rPr>
  </w:style>
  <w:style w:type="paragraph" w:customStyle="1" w:styleId="60">
    <w:name w:val="图表名称"/>
    <w:basedOn w:val="1"/>
    <w:next w:val="1"/>
    <w:autoRedefine/>
    <w:qFormat/>
    <w:uiPriority w:val="0"/>
    <w:pPr>
      <w:ind w:firstLine="0" w:firstLineChars="0"/>
      <w:jc w:val="center"/>
    </w:pPr>
    <w:rPr>
      <w:b/>
      <w:bCs/>
      <w:color w:val="000000" w:themeColor="text1"/>
      <w:sz w:val="21"/>
      <w14:textFill>
        <w14:solidFill>
          <w14:schemeClr w14:val="tx1"/>
        </w14:solidFill>
      </w14:textFill>
    </w:rPr>
  </w:style>
  <w:style w:type="paragraph" w:customStyle="1" w:styleId="61">
    <w:name w:val="插图"/>
    <w:basedOn w:val="62"/>
    <w:autoRedefine/>
    <w:qFormat/>
    <w:uiPriority w:val="0"/>
    <w:pPr>
      <w:spacing w:line="240" w:lineRule="auto"/>
      <w:ind w:firstLine="0" w:firstLineChars="0"/>
      <w:jc w:val="center"/>
    </w:pPr>
  </w:style>
  <w:style w:type="paragraph" w:customStyle="1" w:styleId="62">
    <w:name w:val="方案正文"/>
    <w:basedOn w:val="1"/>
    <w:autoRedefine/>
    <w:qFormat/>
    <w:uiPriority w:val="0"/>
    <w:pPr>
      <w:ind w:firstLine="480"/>
    </w:pPr>
    <w:rPr>
      <w:rFonts w:ascii="宋体"/>
      <w:szCs w:val="20"/>
    </w:rPr>
  </w:style>
  <w:style w:type="paragraph" w:customStyle="1" w:styleId="63">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64">
    <w:name w:val="目录２"/>
    <w:basedOn w:val="1"/>
    <w:autoRedefine/>
    <w:qFormat/>
    <w:uiPriority w:val="0"/>
    <w:pPr>
      <w:tabs>
        <w:tab w:val="right" w:leader="dot" w:pos="9070"/>
      </w:tabs>
    </w:pPr>
    <w:rPr>
      <w:rFonts w:hint="eastAsia" w:asciiTheme="majorHAnsi" w:hAnsiTheme="majorHAnsi" w:cstheme="majorBidi"/>
      <w:sz w:val="28"/>
      <w:szCs w:val="20"/>
    </w:rPr>
  </w:style>
  <w:style w:type="character" w:customStyle="1" w:styleId="65">
    <w:name w:val="TOC 1 字符"/>
    <w:link w:val="24"/>
    <w:autoRedefine/>
    <w:qFormat/>
    <w:uiPriority w:val="39"/>
    <w:rPr>
      <w:rFonts w:ascii="Times New Roman" w:hAnsi="Times New Roman" w:eastAsia="宋体"/>
      <w:b/>
      <w:sz w:val="28"/>
    </w:rPr>
  </w:style>
  <w:style w:type="paragraph" w:customStyle="1" w:styleId="66">
    <w:name w:val="表内文字"/>
    <w:basedOn w:val="1"/>
    <w:next w:val="1"/>
    <w:autoRedefine/>
    <w:qFormat/>
    <w:uiPriority w:val="0"/>
    <w:pPr>
      <w:spacing w:line="240" w:lineRule="auto"/>
      <w:ind w:firstLine="0" w:firstLineChars="0"/>
      <w:jc w:val="center"/>
    </w:pPr>
    <w:rPr>
      <w:sz w:val="21"/>
    </w:rPr>
  </w:style>
  <w:style w:type="character" w:customStyle="1" w:styleId="67">
    <w:name w:val="font61"/>
    <w:basedOn w:val="35"/>
    <w:autoRedefine/>
    <w:qFormat/>
    <w:uiPriority w:val="0"/>
    <w:rPr>
      <w:rFonts w:hint="eastAsia" w:ascii="宋体" w:hAnsi="宋体" w:eastAsia="宋体" w:cs="宋体"/>
      <w:color w:val="000000"/>
      <w:sz w:val="22"/>
      <w:szCs w:val="22"/>
      <w:u w:val="none"/>
    </w:rPr>
  </w:style>
  <w:style w:type="character" w:customStyle="1" w:styleId="68">
    <w:name w:val="font71"/>
    <w:basedOn w:val="35"/>
    <w:autoRedefine/>
    <w:qFormat/>
    <w:uiPriority w:val="0"/>
    <w:rPr>
      <w:rFonts w:hint="eastAsia" w:ascii="宋体" w:hAnsi="宋体" w:eastAsia="宋体" w:cs="宋体"/>
      <w:color w:val="000000"/>
      <w:sz w:val="22"/>
      <w:szCs w:val="22"/>
      <w:u w:val="none"/>
    </w:rPr>
  </w:style>
  <w:style w:type="character" w:customStyle="1" w:styleId="69">
    <w:name w:val="font31"/>
    <w:basedOn w:val="35"/>
    <w:autoRedefine/>
    <w:qFormat/>
    <w:uiPriority w:val="0"/>
    <w:rPr>
      <w:rFonts w:hint="eastAsia" w:ascii="宋体" w:hAnsi="宋体" w:eastAsia="宋体" w:cs="宋体"/>
      <w:color w:val="000000"/>
      <w:sz w:val="16"/>
      <w:szCs w:val="16"/>
      <w:u w:val="none"/>
    </w:rPr>
  </w:style>
  <w:style w:type="character" w:customStyle="1" w:styleId="70">
    <w:name w:val="说明备注 Char"/>
    <w:link w:val="41"/>
    <w:autoRedefine/>
    <w:qFormat/>
    <w:uiPriority w:val="0"/>
    <w:rPr>
      <w:rFonts w:ascii="Times New Roman" w:hAnsi="Times New Roman" w:eastAsia="华文楷体"/>
    </w:rPr>
  </w:style>
  <w:style w:type="character" w:customStyle="1" w:styleId="71">
    <w:name w:val="fontstyle01"/>
    <w:basedOn w:val="35"/>
    <w:autoRedefine/>
    <w:qFormat/>
    <w:uiPriority w:val="0"/>
    <w:rPr>
      <w:rFonts w:ascii="微软雅黑" w:hAnsi="微软雅黑" w:eastAsia="微软雅黑" w:cs="微软雅黑"/>
      <w:color w:val="434B54"/>
      <w:sz w:val="12"/>
      <w:szCs w:val="12"/>
    </w:rPr>
  </w:style>
  <w:style w:type="character" w:customStyle="1" w:styleId="72">
    <w:name w:val="fontstyle11"/>
    <w:basedOn w:val="35"/>
    <w:autoRedefine/>
    <w:qFormat/>
    <w:uiPriority w:val="0"/>
    <w:rPr>
      <w:rFonts w:ascii="Lucida Sans" w:hAnsi="Lucida Sans" w:eastAsia="Lucida Sans" w:cs="Lucida Sans"/>
      <w:color w:val="434B54"/>
      <w:sz w:val="12"/>
      <w:szCs w:val="12"/>
    </w:rPr>
  </w:style>
  <w:style w:type="paragraph" w:customStyle="1" w:styleId="73">
    <w:name w:val="K正文"/>
    <w:basedOn w:val="1"/>
    <w:autoRedefine/>
    <w:qFormat/>
    <w:uiPriority w:val="0"/>
    <w:rPr>
      <w:rFonts w:ascii="宋体" w:hAnsi="宋体" w:cs="宋体"/>
      <w:szCs w:val="24"/>
    </w:rPr>
  </w:style>
  <w:style w:type="character" w:customStyle="1" w:styleId="74">
    <w:name w:val="标题 4 字符"/>
    <w:basedOn w:val="35"/>
    <w:link w:val="5"/>
    <w:autoRedefine/>
    <w:qFormat/>
    <w:uiPriority w:val="0"/>
    <w:rPr>
      <w:rFonts w:eastAsia="宋体"/>
      <w:b/>
      <w:bCs/>
      <w:kern w:val="2"/>
      <w:sz w:val="24"/>
      <w:szCs w:val="28"/>
    </w:rPr>
  </w:style>
  <w:style w:type="character" w:customStyle="1" w:styleId="75">
    <w:name w:val="标题 3 字符"/>
    <w:basedOn w:val="35"/>
    <w:link w:val="4"/>
    <w:autoRedefine/>
    <w:qFormat/>
    <w:uiPriority w:val="0"/>
    <w:rPr>
      <w:rFonts w:hint="eastAsia" w:ascii="Times New Roman" w:hAnsi="Times New Roman" w:eastAsia="宋体" w:cs="宋体"/>
      <w:b/>
      <w:bCs/>
      <w:kern w:val="2"/>
      <w:sz w:val="24"/>
      <w:szCs w:val="24"/>
    </w:rPr>
  </w:style>
  <w:style w:type="paragraph" w:customStyle="1" w:styleId="76">
    <w:name w:val="越秀A地块 正文"/>
    <w:basedOn w:val="1"/>
    <w:autoRedefine/>
    <w:qFormat/>
    <w:uiPriority w:val="0"/>
    <w:pPr>
      <w:spacing w:line="440" w:lineRule="exact"/>
      <w:ind w:firstLine="480"/>
      <w:jc w:val="left"/>
    </w:pPr>
    <w:rPr>
      <w:rFonts w:ascii="宋体"/>
    </w:rPr>
  </w:style>
  <w:style w:type="paragraph" w:customStyle="1" w:styleId="77">
    <w:name w:val="表格文字居中"/>
    <w:basedOn w:val="1"/>
    <w:autoRedefine/>
    <w:qFormat/>
    <w:uiPriority w:val="0"/>
    <w:pPr>
      <w:adjustRightInd w:val="0"/>
      <w:snapToGrid w:val="0"/>
      <w:ind w:firstLine="0" w:firstLineChars="0"/>
      <w:jc w:val="center"/>
    </w:pPr>
    <w:rPr>
      <w:rFonts w:ascii="宋体"/>
    </w:rPr>
  </w:style>
  <w:style w:type="paragraph" w:customStyle="1" w:styleId="78">
    <w:name w:val="模板 表格居中"/>
    <w:basedOn w:val="79"/>
    <w:next w:val="79"/>
    <w:autoRedefine/>
    <w:qFormat/>
    <w:uiPriority w:val="0"/>
    <w:pPr>
      <w:ind w:firstLine="0" w:firstLineChars="0"/>
      <w:jc w:val="center"/>
    </w:pPr>
  </w:style>
  <w:style w:type="paragraph" w:customStyle="1" w:styleId="79">
    <w:name w:val="模板 正文"/>
    <w:autoRedefine/>
    <w:qFormat/>
    <w:uiPriority w:val="0"/>
    <w:pPr>
      <w:spacing w:line="360" w:lineRule="auto"/>
      <w:ind w:firstLine="200" w:firstLineChars="200"/>
      <w:jc w:val="both"/>
    </w:pPr>
    <w:rPr>
      <w:rFonts w:ascii="宋体" w:hAnsi="Calibri" w:eastAsia="宋体" w:cs="Times New Roman"/>
      <w:kern w:val="2"/>
      <w:sz w:val="24"/>
      <w:szCs w:val="21"/>
      <w:lang w:val="en-US" w:eastAsia="zh-CN" w:bidi="ar-SA"/>
    </w:rPr>
  </w:style>
  <w:style w:type="paragraph" w:customStyle="1" w:styleId="80">
    <w:name w:val="列出段落1"/>
    <w:basedOn w:val="1"/>
    <w:autoRedefine/>
    <w:qFormat/>
    <w:uiPriority w:val="34"/>
    <w:pPr>
      <w:ind w:firstLine="420"/>
    </w:pPr>
  </w:style>
  <w:style w:type="paragraph" w:customStyle="1" w:styleId="81">
    <w:name w:val="k 正文"/>
    <w:basedOn w:val="1"/>
    <w:autoRedefine/>
    <w:qFormat/>
    <w:uiPriority w:val="0"/>
    <w:rPr>
      <w:kern w:val="0"/>
      <w:szCs w:val="22"/>
    </w:rPr>
  </w:style>
  <w:style w:type="paragraph" w:customStyle="1" w:styleId="82">
    <w:name w:val="Default"/>
    <w:autoRedefine/>
    <w:unhideWhenUsed/>
    <w:qFormat/>
    <w:uiPriority w:val="99"/>
    <w:pPr>
      <w:widowControl w:val="0"/>
      <w:autoSpaceDE w:val="0"/>
      <w:autoSpaceDN w:val="0"/>
      <w:adjustRightInd w:val="0"/>
    </w:pPr>
    <w:rPr>
      <w:rFonts w:hint="eastAsia" w:ascii="宋体" w:hAnsi="宋体" w:eastAsia="宋体" w:cs="Times New Roman"/>
      <w:color w:val="000000"/>
      <w:sz w:val="24"/>
      <w:szCs w:val="22"/>
      <w:lang w:val="en-US" w:eastAsia="zh-CN" w:bidi="ar-SA"/>
    </w:rPr>
  </w:style>
  <w:style w:type="paragraph" w:customStyle="1" w:styleId="83">
    <w:name w:val="表格标准"/>
    <w:basedOn w:val="1"/>
    <w:autoRedefine/>
    <w:qFormat/>
    <w:uiPriority w:val="0"/>
    <w:pPr>
      <w:ind w:firstLine="0" w:firstLineChars="0"/>
      <w:jc w:val="center"/>
    </w:pPr>
    <w:rPr>
      <w:rFonts w:ascii="仿宋" w:hAnsi="仿宋"/>
      <w:sz w:val="21"/>
    </w:rPr>
  </w:style>
  <w:style w:type="paragraph" w:customStyle="1" w:styleId="84">
    <w:name w:val="正文1111111"/>
    <w:basedOn w:val="1"/>
    <w:autoRedefine/>
    <w:qFormat/>
    <w:uiPriority w:val="0"/>
    <w:pPr>
      <w:adjustRightInd w:val="0"/>
      <w:spacing w:before="120" w:after="120"/>
      <w:ind w:firstLine="640"/>
      <w:textAlignment w:val="baseline"/>
    </w:pPr>
    <w:rPr>
      <w:rFonts w:ascii="宋体"/>
      <w:spacing w:val="20"/>
      <w:kern w:val="0"/>
      <w:sz w:val="28"/>
      <w:szCs w:val="20"/>
    </w:rPr>
  </w:style>
  <w:style w:type="paragraph" w:customStyle="1" w:styleId="85">
    <w:name w:val="正文（标书标准）"/>
    <w:basedOn w:val="1"/>
    <w:autoRedefine/>
    <w:qFormat/>
    <w:uiPriority w:val="0"/>
    <w:pPr>
      <w:ind w:firstLine="480"/>
    </w:pPr>
    <w:rPr>
      <w:rFonts w:ascii="宋体" w:cs="宋体"/>
      <w:szCs w:val="20"/>
    </w:rPr>
  </w:style>
  <w:style w:type="paragraph" w:customStyle="1" w:styleId="86">
    <w:name w:val="封面标题"/>
    <w:basedOn w:val="1"/>
    <w:next w:val="1"/>
    <w:autoRedefine/>
    <w:qFormat/>
    <w:uiPriority w:val="0"/>
    <w:pPr>
      <w:ind w:firstLine="0" w:firstLineChars="0"/>
      <w:jc w:val="center"/>
    </w:pPr>
    <w:rPr>
      <w:b/>
      <w:sz w:val="32"/>
    </w:rPr>
  </w:style>
  <w:style w:type="character" w:customStyle="1" w:styleId="87">
    <w:name w:val="文档结构图 字符"/>
    <w:basedOn w:val="35"/>
    <w:link w:val="15"/>
    <w:autoRedefine/>
    <w:semiHidden/>
    <w:qFormat/>
    <w:uiPriority w:val="0"/>
    <w:rPr>
      <w:kern w:val="2"/>
      <w:sz w:val="24"/>
      <w:szCs w:val="24"/>
      <w:shd w:val="clear" w:color="auto" w:fill="000080"/>
    </w:rPr>
  </w:style>
  <w:style w:type="character" w:customStyle="1" w:styleId="88">
    <w:name w:val="批注文字 字符"/>
    <w:autoRedefine/>
    <w:qFormat/>
    <w:uiPriority w:val="0"/>
    <w:rPr>
      <w:kern w:val="2"/>
      <w:sz w:val="24"/>
      <w:szCs w:val="24"/>
    </w:rPr>
  </w:style>
  <w:style w:type="character" w:customStyle="1" w:styleId="89">
    <w:name w:val="纯文本 字符"/>
    <w:basedOn w:val="35"/>
    <w:link w:val="20"/>
    <w:autoRedefine/>
    <w:qFormat/>
    <w:uiPriority w:val="0"/>
    <w:rPr>
      <w:rFonts w:ascii="仿宋" w:hAnsi="仿宋" w:eastAsia="仿宋"/>
      <w:kern w:val="2"/>
      <w:sz w:val="24"/>
      <w:szCs w:val="24"/>
    </w:rPr>
  </w:style>
  <w:style w:type="character" w:customStyle="1" w:styleId="90">
    <w:name w:val="HTML 预设格式 字符"/>
    <w:basedOn w:val="35"/>
    <w:link w:val="29"/>
    <w:autoRedefine/>
    <w:qFormat/>
    <w:uiPriority w:val="0"/>
    <w:rPr>
      <w:rFonts w:ascii="Arial" w:hAnsi="Arial" w:cs="Arial"/>
      <w:sz w:val="24"/>
      <w:szCs w:val="24"/>
    </w:rPr>
  </w:style>
  <w:style w:type="character" w:customStyle="1" w:styleId="91">
    <w:name w:val="批注文字 字符1"/>
    <w:basedOn w:val="35"/>
    <w:link w:val="16"/>
    <w:autoRedefine/>
    <w:qFormat/>
    <w:uiPriority w:val="0"/>
    <w:rPr>
      <w:rFonts w:eastAsia="华文楷体"/>
      <w:kern w:val="2"/>
      <w:sz w:val="24"/>
      <w:szCs w:val="21"/>
    </w:rPr>
  </w:style>
  <w:style w:type="character" w:customStyle="1" w:styleId="92">
    <w:name w:val="批注主题 字符"/>
    <w:basedOn w:val="91"/>
    <w:link w:val="31"/>
    <w:autoRedefine/>
    <w:qFormat/>
    <w:uiPriority w:val="0"/>
    <w:rPr>
      <w:rFonts w:eastAsia="华文楷体"/>
      <w:b/>
      <w:bCs/>
      <w:kern w:val="2"/>
      <w:sz w:val="24"/>
      <w:szCs w:val="24"/>
    </w:rPr>
  </w:style>
  <w:style w:type="character" w:customStyle="1" w:styleId="93">
    <w:name w:val="表格样式 Char"/>
    <w:link w:val="94"/>
    <w:autoRedefine/>
    <w:qFormat/>
    <w:uiPriority w:val="0"/>
    <w:rPr>
      <w:rFonts w:ascii="宋体" w:hAnsi="宋体"/>
      <w:kern w:val="2"/>
      <w:sz w:val="24"/>
      <w:szCs w:val="24"/>
    </w:rPr>
  </w:style>
  <w:style w:type="paragraph" w:customStyle="1" w:styleId="94">
    <w:name w:val="表格样式"/>
    <w:link w:val="93"/>
    <w:autoRedefine/>
    <w:qFormat/>
    <w:uiPriority w:val="0"/>
    <w:pPr>
      <w:jc w:val="center"/>
    </w:pPr>
    <w:rPr>
      <w:rFonts w:ascii="宋体" w:hAnsi="宋体" w:eastAsia="宋体" w:cs="Times New Roman"/>
      <w:kern w:val="2"/>
      <w:sz w:val="24"/>
      <w:szCs w:val="24"/>
      <w:lang w:val="en-US" w:eastAsia="zh-CN" w:bidi="ar-SA"/>
    </w:rPr>
  </w:style>
  <w:style w:type="paragraph" w:customStyle="1" w:styleId="95">
    <w:name w:val="Table Paragraph"/>
    <w:basedOn w:val="1"/>
    <w:autoRedefine/>
    <w:qFormat/>
    <w:uiPriority w:val="1"/>
    <w:pPr>
      <w:autoSpaceDE w:val="0"/>
      <w:autoSpaceDN w:val="0"/>
      <w:ind w:firstLine="560"/>
      <w:jc w:val="left"/>
    </w:pPr>
    <w:rPr>
      <w:kern w:val="0"/>
      <w:sz w:val="20"/>
      <w:szCs w:val="20"/>
    </w:rPr>
  </w:style>
  <w:style w:type="paragraph" w:customStyle="1" w:styleId="96">
    <w:name w:val="越秀A地块 表格居中"/>
    <w:basedOn w:val="1"/>
    <w:next w:val="1"/>
    <w:autoRedefine/>
    <w:qFormat/>
    <w:uiPriority w:val="0"/>
    <w:pPr>
      <w:spacing w:line="320" w:lineRule="exact"/>
      <w:ind w:firstLine="560"/>
      <w:jc w:val="center"/>
    </w:pPr>
    <w:rPr>
      <w:rFonts w:ascii="宋体"/>
      <w:szCs w:val="24"/>
    </w:rPr>
  </w:style>
  <w:style w:type="paragraph" w:customStyle="1" w:styleId="97">
    <w:name w:val="p0"/>
    <w:basedOn w:val="1"/>
    <w:autoRedefine/>
    <w:qFormat/>
    <w:uiPriority w:val="0"/>
    <w:pPr>
      <w:widowControl/>
      <w:ind w:firstLine="560"/>
      <w:jc w:val="left"/>
    </w:pPr>
    <w:rPr>
      <w:kern w:val="0"/>
    </w:rPr>
  </w:style>
  <w:style w:type="paragraph" w:customStyle="1" w:styleId="98">
    <w:name w:val="模板 插图"/>
    <w:basedOn w:val="79"/>
    <w:next w:val="79"/>
    <w:autoRedefine/>
    <w:qFormat/>
    <w:uiPriority w:val="0"/>
    <w:pPr>
      <w:widowControl w:val="0"/>
      <w:snapToGrid w:val="0"/>
      <w:spacing w:line="240" w:lineRule="auto"/>
      <w:ind w:firstLine="0" w:firstLineChars="0"/>
      <w:jc w:val="center"/>
    </w:pPr>
    <w:rPr>
      <w:rFonts w:hAnsi="宋体"/>
      <w:szCs w:val="24"/>
    </w:rPr>
  </w:style>
  <w:style w:type="paragraph" w:customStyle="1" w:styleId="99">
    <w:name w:val="表格文字缩进"/>
    <w:basedOn w:val="77"/>
    <w:autoRedefine/>
    <w:qFormat/>
    <w:uiPriority w:val="0"/>
    <w:pPr>
      <w:ind w:firstLine="420" w:firstLineChars="200"/>
    </w:pPr>
  </w:style>
  <w:style w:type="paragraph" w:customStyle="1" w:styleId="100">
    <w:name w:val="越秀A地块 2级"/>
    <w:basedOn w:val="76"/>
    <w:next w:val="76"/>
    <w:autoRedefine/>
    <w:qFormat/>
    <w:uiPriority w:val="0"/>
    <w:pPr>
      <w:ind w:left="426" w:right="100" w:rightChars="100" w:firstLine="0" w:firstLineChars="0"/>
      <w:jc w:val="both"/>
      <w:outlineLvl w:val="1"/>
    </w:pPr>
    <w:rPr>
      <w:szCs w:val="28"/>
    </w:rPr>
  </w:style>
  <w:style w:type="paragraph" w:customStyle="1" w:styleId="101">
    <w:name w:val="研发基地表格居中"/>
    <w:basedOn w:val="1"/>
    <w:next w:val="1"/>
    <w:autoRedefine/>
    <w:qFormat/>
    <w:uiPriority w:val="0"/>
    <w:pPr>
      <w:ind w:firstLine="560"/>
      <w:jc w:val="center"/>
    </w:pPr>
    <w:rPr>
      <w:rFonts w:ascii="宋体"/>
      <w:szCs w:val="24"/>
    </w:rPr>
  </w:style>
  <w:style w:type="paragraph" w:customStyle="1" w:styleId="102">
    <w:name w:val="外科楼正文"/>
    <w:basedOn w:val="1"/>
    <w:autoRedefine/>
    <w:qFormat/>
    <w:uiPriority w:val="0"/>
    <w:pPr>
      <w:adjustRightInd w:val="0"/>
      <w:snapToGrid w:val="0"/>
      <w:ind w:firstLine="561"/>
      <w:jc w:val="left"/>
    </w:pPr>
    <w:rPr>
      <w:rFonts w:ascii="宋体" w:hAnsi="宋体"/>
      <w:sz w:val="28"/>
      <w:szCs w:val="20"/>
    </w:rPr>
  </w:style>
  <w:style w:type="paragraph" w:customStyle="1" w:styleId="103">
    <w:name w:val="Char Char Char Char Char Char1 Char"/>
    <w:basedOn w:val="1"/>
    <w:autoRedefine/>
    <w:qFormat/>
    <w:uiPriority w:val="0"/>
    <w:pPr>
      <w:widowControl/>
      <w:spacing w:after="160" w:line="240" w:lineRule="exact"/>
      <w:ind w:firstLine="560"/>
      <w:jc w:val="left"/>
    </w:pPr>
    <w:rPr>
      <w:szCs w:val="20"/>
    </w:rPr>
  </w:style>
  <w:style w:type="paragraph" w:customStyle="1" w:styleId="104">
    <w:name w:val="越秀A地块 插图"/>
    <w:basedOn w:val="1"/>
    <w:autoRedefine/>
    <w:qFormat/>
    <w:uiPriority w:val="0"/>
    <w:pPr>
      <w:snapToGrid w:val="0"/>
      <w:ind w:firstLine="480"/>
      <w:jc w:val="center"/>
    </w:pPr>
    <w:rPr>
      <w:rFonts w:ascii="宋体"/>
      <w:szCs w:val="24"/>
    </w:rPr>
  </w:style>
  <w:style w:type="paragraph" w:customStyle="1" w:styleId="105">
    <w:name w:val="正文空2格"/>
    <w:basedOn w:val="1"/>
    <w:autoRedefine/>
    <w:unhideWhenUsed/>
    <w:qFormat/>
    <w:uiPriority w:val="0"/>
    <w:pPr>
      <w:snapToGrid w:val="0"/>
      <w:ind w:firstLine="560"/>
      <w:jc w:val="left"/>
    </w:pPr>
    <w:rPr>
      <w:rFonts w:ascii="宋体" w:hAnsi="Calibri"/>
    </w:rPr>
  </w:style>
  <w:style w:type="paragraph" w:customStyle="1" w:styleId="106">
    <w:name w:val="模板 插图标题"/>
    <w:basedOn w:val="79"/>
    <w:next w:val="79"/>
    <w:autoRedefine/>
    <w:qFormat/>
    <w:uiPriority w:val="0"/>
    <w:pPr>
      <w:widowControl w:val="0"/>
      <w:ind w:firstLine="0" w:firstLineChars="0"/>
      <w:jc w:val="center"/>
    </w:pPr>
    <w:rPr>
      <w:rFonts w:hAnsi="宋体"/>
      <w:szCs w:val="24"/>
    </w:rPr>
  </w:style>
  <w:style w:type="paragraph" w:customStyle="1" w:styleId="107">
    <w:name w:val="标题01"/>
    <w:basedOn w:val="1"/>
    <w:autoRedefine/>
    <w:qFormat/>
    <w:uiPriority w:val="1"/>
    <w:pPr>
      <w:numPr>
        <w:ilvl w:val="0"/>
        <w:numId w:val="2"/>
      </w:numPr>
      <w:ind w:firstLine="0" w:firstLineChars="0"/>
      <w:jc w:val="left"/>
    </w:pPr>
    <w:rPr>
      <w:b/>
      <w:bCs/>
      <w:szCs w:val="24"/>
    </w:rPr>
  </w:style>
  <w:style w:type="paragraph" w:customStyle="1" w:styleId="108">
    <w:name w:val="图片标题"/>
    <w:basedOn w:val="1"/>
    <w:next w:val="1"/>
    <w:autoRedefine/>
    <w:qFormat/>
    <w:uiPriority w:val="0"/>
    <w:pPr>
      <w:numPr>
        <w:ilvl w:val="4"/>
        <w:numId w:val="3"/>
      </w:numPr>
      <w:jc w:val="center"/>
    </w:pPr>
    <w:rPr>
      <w:b/>
      <w:sz w:val="21"/>
      <w:szCs w:val="24"/>
    </w:rPr>
  </w:style>
  <w:style w:type="paragraph" w:customStyle="1" w:styleId="109">
    <w:name w:val="正文C"/>
    <w:basedOn w:val="1"/>
    <w:autoRedefine/>
    <w:qFormat/>
    <w:uiPriority w:val="0"/>
    <w:pPr>
      <w:widowControl/>
      <w:adjustRightInd w:val="0"/>
      <w:snapToGrid w:val="0"/>
      <w:jc w:val="left"/>
    </w:pPr>
    <w:rPr>
      <w:rFonts w:ascii="宋体" w:hAnsi="宋体" w:cs="宋体"/>
      <w:color w:val="525252"/>
      <w:kern w:val="0"/>
      <w:szCs w:val="24"/>
    </w:rPr>
  </w:style>
  <w:style w:type="paragraph" w:customStyle="1" w:styleId="110">
    <w:name w:val="空港正文"/>
    <w:autoRedefine/>
    <w:qFormat/>
    <w:uiPriority w:val="5"/>
    <w:pPr>
      <w:widowControl w:val="0"/>
      <w:adjustRightInd w:val="0"/>
      <w:snapToGrid w:val="0"/>
      <w:spacing w:line="360" w:lineRule="auto"/>
      <w:ind w:firstLine="200" w:firstLineChars="200"/>
      <w:jc w:val="both"/>
    </w:pPr>
    <w:rPr>
      <w:rFonts w:ascii="Times New Roman" w:hAnsi="Times New Roman" w:eastAsia="宋体" w:cs="Times New Roman"/>
      <w:sz w:val="24"/>
      <w:lang w:val="en-US" w:eastAsia="zh-CN" w:bidi="ar-SA"/>
    </w:rPr>
  </w:style>
  <w:style w:type="paragraph" w:customStyle="1" w:styleId="111">
    <w:name w:val="xl24"/>
    <w:basedOn w:val="1"/>
    <w:autoRedefine/>
    <w:qFormat/>
    <w:uiPriority w:val="0"/>
    <w:pPr>
      <w:widowControl/>
      <w:spacing w:before="100" w:beforeAutospacing="1" w:after="100" w:afterAutospacing="1"/>
      <w:jc w:val="center"/>
    </w:pPr>
    <w:rPr>
      <w:rFonts w:hint="eastAsia" w:ascii="仿宋_GB2312" w:hAnsi="宋体" w:eastAsia="仿宋_GB2312"/>
      <w:kern w:val="0"/>
    </w:rPr>
  </w:style>
  <w:style w:type="paragraph" w:customStyle="1" w:styleId="112">
    <w:name w:val="工投表格"/>
    <w:basedOn w:val="1"/>
    <w:autoRedefine/>
    <w:qFormat/>
    <w:uiPriority w:val="0"/>
    <w:pPr>
      <w:adjustRightInd w:val="0"/>
      <w:snapToGrid w:val="0"/>
      <w:jc w:val="center"/>
    </w:pPr>
    <w:rPr>
      <w:rFonts w:ascii="宋体"/>
      <w:snapToGrid w:val="0"/>
      <w:kern w:val="0"/>
    </w:rPr>
  </w:style>
  <w:style w:type="table" w:customStyle="1" w:styleId="113">
    <w:name w:val="南京紫光表格"/>
    <w:basedOn w:val="33"/>
    <w:autoRedefine/>
    <w:qFormat/>
    <w:uiPriority w:val="59"/>
    <w:pPr>
      <w:jc w:val="center"/>
    </w:pPr>
    <w:rPr>
      <w:rFonts w:ascii="Calibri" w:hAnsi="Calibri"/>
      <w:kern w:val="2"/>
      <w:sz w:val="21"/>
      <w:szCs w:val="22"/>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tcMar>
        <w:left w:w="57" w:type="dxa"/>
        <w:right w:w="57" w:type="dxa"/>
      </w:tcMar>
      <w:vAlign w:val="center"/>
    </w:tcPr>
    <w:tblStylePr w:type="firstRow">
      <w:tcPr>
        <w:shd w:val="clear" w:color="auto" w:fill="BFBFBF"/>
      </w:tcPr>
    </w:tblStylePr>
  </w:style>
  <w:style w:type="paragraph" w:customStyle="1" w:styleId="114">
    <w:name w:val="工投正文"/>
    <w:basedOn w:val="1"/>
    <w:autoRedefine/>
    <w:qFormat/>
    <w:uiPriority w:val="0"/>
    <w:pPr>
      <w:wordWrap w:val="0"/>
      <w:topLinePunct/>
      <w:adjustRightInd w:val="0"/>
      <w:snapToGrid w:val="0"/>
      <w:spacing w:line="288" w:lineRule="auto"/>
    </w:pPr>
    <w:rPr>
      <w:rFonts w:ascii="宋体" w:hAnsi="宋体"/>
      <w:snapToGrid w:val="0"/>
      <w:color w:val="000000" w:themeColor="text1"/>
      <w:kern w:val="0"/>
      <w:szCs w:val="24"/>
      <w14:textFill>
        <w14:solidFill>
          <w14:schemeClr w14:val="tx1"/>
        </w14:solidFill>
      </w14:textFill>
    </w:rPr>
  </w:style>
  <w:style w:type="paragraph" w:customStyle="1" w:styleId="115">
    <w:name w:val="工投2级"/>
    <w:basedOn w:val="1"/>
    <w:autoRedefine/>
    <w:qFormat/>
    <w:uiPriority w:val="0"/>
    <w:pPr>
      <w:adjustRightInd w:val="0"/>
      <w:snapToGrid w:val="0"/>
      <w:spacing w:line="440" w:lineRule="exact"/>
      <w:jc w:val="left"/>
      <w:outlineLvl w:val="1"/>
    </w:pPr>
    <w:rPr>
      <w:rFonts w:ascii="宋体" w:hAnsi="宋体"/>
      <w:b/>
      <w:bCs/>
      <w:snapToGrid w:val="0"/>
      <w:color w:val="000000" w:themeColor="text1"/>
      <w:kern w:val="0"/>
      <w:sz w:val="28"/>
      <w:szCs w:val="28"/>
      <w14:textFill>
        <w14:solidFill>
          <w14:schemeClr w14:val="tx1"/>
        </w14:solidFill>
      </w14:textFill>
    </w:rPr>
  </w:style>
  <w:style w:type="paragraph" w:styleId="116">
    <w:name w:val="List Paragraph"/>
    <w:basedOn w:val="1"/>
    <w:qFormat/>
    <w:uiPriority w:val="34"/>
    <w:pPr>
      <w:ind w:firstLine="420" w:firstLineChars="200"/>
    </w:pPr>
  </w:style>
  <w:style w:type="paragraph" w:customStyle="1" w:styleId="117">
    <w:name w:val="正文z1"/>
    <w:qFormat/>
    <w:uiPriority w:val="99"/>
    <w:pPr>
      <w:adjustRightInd w:val="0"/>
      <w:snapToGrid w:val="0"/>
    </w:pPr>
    <w:rPr>
      <w:rFonts w:ascii="Calibri" w:hAnsi="Calibri"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25.emf"/><Relationship Id="rId44" Type="http://schemas.openxmlformats.org/officeDocument/2006/relationships/image" Target="media/image24.png"/><Relationship Id="rId43" Type="http://schemas.openxmlformats.org/officeDocument/2006/relationships/image" Target="media/image23.png"/><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endnotes" Target="endnotes.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footnotes" Target="footnotes.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emf"/><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6.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391E35-53B4-4898-9820-55D5D0B2EF5A}">
  <ds:schemaRefs/>
</ds:datastoreItem>
</file>

<file path=docProps/app.xml><?xml version="1.0" encoding="utf-8"?>
<Properties xmlns="http://schemas.openxmlformats.org/officeDocument/2006/extended-properties" xmlns:vt="http://schemas.openxmlformats.org/officeDocument/2006/docPropsVTypes">
  <Template>Normal.dotm</Template>
  <Pages>60</Pages>
  <Words>8695</Words>
  <Characters>9515</Characters>
  <Lines>224</Lines>
  <Paragraphs>63</Paragraphs>
  <TotalTime>3</TotalTime>
  <ScaleCrop>false</ScaleCrop>
  <LinksUpToDate>false</LinksUpToDate>
  <CharactersWithSpaces>9890</CharactersWithSpaces>
  <Application>WPS Office_12.1.0.22483_F1E327BC-269C-435d-A152-05C5408002CA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2019-12-20T07:35:00Z</dcterms:created>
  <dc:creator>刘丹</dc:creator>
  <cp:lastModifiedBy>杭州渝港机械施工有限公司</cp:lastModifiedBy>
  <cp:lastPrinted>2024-04-24T08:23:00Z</cp:lastPrinted>
  <dcterms:modified xsi:type="dcterms:W3CDTF">2025-08-08T09:23:39Z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2052-12.1.0.22483</vt:lpwstr>
  </property>
  <property fmtid="{D5CDD505-2E9C-101B-9397-08002B2CF9AE}" pid="3" name="ICV">
    <vt:lpwstr>9DA99215ED904BF5B6667567D11BDB88_13</vt:lpwstr>
  </property>
  <property fmtid="{D5CDD505-2E9C-101B-9397-08002B2CF9AE}" pid="4" name="KSOTemplateDocerSaveRecord">
    <vt:lpwstr>eyJoZGlkIjoiYjMyYjBlMGJhZjI3ZDdiYzUzOWVmOGZjYTMwOWZhYzEiLCJ1c2VySWQiOiIyMDEyMTQ5OSJ9</vt:lpwstr>
  </property>
</Properties>
</file>