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5BD63">
      <w:pPr>
        <w:spacing w:before="65"/>
        <w:ind w:firstLine="0" w:firstLineChars="0"/>
        <w:jc w:val="center"/>
        <w:rPr>
          <w:rFonts w:hint="eastAsia" w:cs="宋体"/>
          <w:b/>
          <w:bCs/>
          <w:color w:val="auto"/>
          <w:spacing w:val="39"/>
          <w:position w:val="21"/>
          <w:sz w:val="36"/>
          <w:szCs w:val="36"/>
        </w:rPr>
      </w:pPr>
      <w:r>
        <w:rPr>
          <w:rFonts w:hint="eastAsia" w:cs="宋体"/>
          <w:b/>
          <w:bCs/>
          <w:color w:val="auto"/>
          <w:spacing w:val="39"/>
          <w:position w:val="21"/>
          <w:sz w:val="36"/>
          <w:szCs w:val="36"/>
        </w:rPr>
        <w:t>新建文山至蒙自铁路站前工程WMZQ-1标</w:t>
      </w:r>
      <w:bookmarkStart w:id="0" w:name="_Toc4065"/>
      <w:bookmarkStart w:id="1" w:name="_Toc8522"/>
      <w:bookmarkStart w:id="2" w:name="_Toc4002"/>
      <w:bookmarkStart w:id="3" w:name="_Toc10087"/>
      <w:bookmarkStart w:id="4" w:name="_Toc2041"/>
      <w:bookmarkStart w:id="5" w:name="_Toc16746"/>
      <w:bookmarkStart w:id="6" w:name="_Toc10098"/>
      <w:bookmarkStart w:id="7" w:name="_Toc4220"/>
      <w:bookmarkStart w:id="8" w:name="_Toc13992"/>
    </w:p>
    <w:bookmarkEnd w:id="0"/>
    <w:bookmarkEnd w:id="1"/>
    <w:bookmarkEnd w:id="2"/>
    <w:bookmarkEnd w:id="3"/>
    <w:bookmarkEnd w:id="4"/>
    <w:bookmarkEnd w:id="5"/>
    <w:bookmarkEnd w:id="6"/>
    <w:bookmarkEnd w:id="7"/>
    <w:bookmarkEnd w:id="8"/>
    <w:p w14:paraId="0A2F6F36">
      <w:pPr>
        <w:ind w:firstLine="0" w:firstLineChars="0"/>
        <w:rPr>
          <w:rFonts w:hint="eastAsia" w:cs="宋体"/>
          <w:b/>
          <w:bCs/>
          <w:color w:val="auto"/>
          <w:spacing w:val="-4"/>
          <w:sz w:val="36"/>
          <w:szCs w:val="36"/>
        </w:rPr>
      </w:pPr>
    </w:p>
    <w:p w14:paraId="5C07B8F7">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b/>
          <w:color w:val="auto"/>
          <w:sz w:val="52"/>
          <w:szCs w:val="52"/>
          <w:lang w:val="en-US" w:eastAsia="zh-CN"/>
        </w:rPr>
        <w:t>盘龙河三号特大桥</w:t>
      </w:r>
      <w:r>
        <w:rPr>
          <w:rFonts w:hint="eastAsia" w:ascii="宋体" w:hAnsi="宋体" w:cs="宋体"/>
          <w:b/>
          <w:color w:val="auto"/>
          <w:sz w:val="52"/>
          <w:szCs w:val="52"/>
        </w:rPr>
        <w:t>塔式起重机</w:t>
      </w:r>
    </w:p>
    <w:p w14:paraId="58CA21D7">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b/>
          <w:color w:val="auto"/>
          <w:sz w:val="52"/>
          <w:szCs w:val="52"/>
        </w:rPr>
        <w:t>安装拆卸专项施工方案</w:t>
      </w:r>
    </w:p>
    <w:p w14:paraId="5D8109EC">
      <w:pPr>
        <w:pStyle w:val="15"/>
        <w:spacing w:line="480" w:lineRule="auto"/>
        <w:ind w:firstLine="0" w:firstLineChars="0"/>
        <w:jc w:val="center"/>
        <w:rPr>
          <w:rFonts w:hint="eastAsia" w:ascii="宋体" w:hAnsi="宋体" w:cs="宋体"/>
          <w:b/>
          <w:color w:val="auto"/>
          <w:sz w:val="52"/>
          <w:szCs w:val="52"/>
        </w:rPr>
      </w:pPr>
    </w:p>
    <w:p w14:paraId="3A669440">
      <w:pPr>
        <w:pStyle w:val="15"/>
        <w:spacing w:line="480" w:lineRule="auto"/>
        <w:ind w:firstLine="0" w:firstLineChars="0"/>
        <w:jc w:val="center"/>
        <w:rPr>
          <w:rFonts w:hint="eastAsia" w:ascii="宋体" w:hAnsi="宋体" w:cs="宋体"/>
          <w:b/>
          <w:color w:val="auto"/>
          <w:sz w:val="52"/>
          <w:szCs w:val="52"/>
        </w:rPr>
      </w:pPr>
      <w:r>
        <w:rPr>
          <w:rFonts w:hint="eastAsia" w:ascii="宋体" w:hAnsi="宋体" w:cs="宋体"/>
          <w:color w:val="auto"/>
        </w:rPr>
        <w:drawing>
          <wp:inline distT="0" distB="0" distL="0" distR="0">
            <wp:extent cx="3388360" cy="31508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a:extLst>
                        <a:ext uri="{28A0092B-C50C-407E-A947-70E740481C1C}">
                          <a14:useLocalDpi xmlns:a14="http://schemas.microsoft.com/office/drawing/2010/main" val="0"/>
                        </a:ext>
                      </a:extLst>
                    </a:blip>
                    <a:srcRect l="12606" t="7575" r="10798" b="5923"/>
                    <a:stretch>
                      <a:fillRect/>
                    </a:stretch>
                  </pic:blipFill>
                  <pic:spPr>
                    <a:xfrm>
                      <a:off x="0" y="0"/>
                      <a:ext cx="3388360" cy="3150870"/>
                    </a:xfrm>
                    <a:prstGeom prst="rect">
                      <a:avLst/>
                    </a:prstGeom>
                    <a:noFill/>
                  </pic:spPr>
                </pic:pic>
              </a:graphicData>
            </a:graphic>
          </wp:inline>
        </w:drawing>
      </w:r>
    </w:p>
    <w:p w14:paraId="0C523C36">
      <w:pPr>
        <w:pStyle w:val="15"/>
        <w:spacing w:line="480" w:lineRule="auto"/>
        <w:ind w:firstLine="0" w:firstLineChars="0"/>
        <w:rPr>
          <w:rFonts w:hint="eastAsia" w:ascii="宋体" w:hAnsi="宋体" w:cs="宋体"/>
          <w:b/>
          <w:color w:val="auto"/>
          <w:sz w:val="44"/>
          <w:szCs w:val="44"/>
        </w:rPr>
      </w:pPr>
    </w:p>
    <w:p w14:paraId="49DC98BE">
      <w:pPr>
        <w:adjustRightInd w:val="0"/>
        <w:snapToGrid w:val="0"/>
        <w:ind w:firstLine="0" w:firstLineChars="0"/>
        <w:rPr>
          <w:rFonts w:hint="eastAsia" w:cs="宋体"/>
          <w:b/>
          <w:bCs/>
          <w:color w:val="auto"/>
          <w:sz w:val="36"/>
          <w:szCs w:val="36"/>
        </w:rPr>
      </w:pPr>
    </w:p>
    <w:p w14:paraId="2EDC828C">
      <w:pPr>
        <w:adjustRightInd w:val="0"/>
        <w:snapToGrid w:val="0"/>
        <w:ind w:firstLine="0" w:firstLineChars="0"/>
        <w:rPr>
          <w:rFonts w:hint="eastAsia" w:cs="宋体"/>
          <w:b/>
          <w:bCs/>
          <w:color w:val="auto"/>
          <w:sz w:val="36"/>
          <w:szCs w:val="36"/>
        </w:rPr>
      </w:pPr>
    </w:p>
    <w:p w14:paraId="2152AA07">
      <w:pPr>
        <w:pStyle w:val="10"/>
        <w:rPr>
          <w:rFonts w:hint="eastAsia"/>
        </w:rPr>
      </w:pPr>
    </w:p>
    <w:p w14:paraId="0EDDD388">
      <w:pPr>
        <w:adjustRightInd w:val="0"/>
        <w:snapToGrid w:val="0"/>
        <w:ind w:firstLine="0" w:firstLineChars="0"/>
        <w:jc w:val="center"/>
        <w:rPr>
          <w:rFonts w:hint="default" w:eastAsia="宋体" w:cs="宋体"/>
          <w:b/>
          <w:bCs/>
          <w:color w:val="auto"/>
          <w:sz w:val="36"/>
          <w:szCs w:val="36"/>
          <w:lang w:val="en-US" w:eastAsia="zh-CN"/>
        </w:rPr>
      </w:pPr>
      <w:r>
        <w:rPr>
          <w:rFonts w:hint="eastAsia" w:cs="宋体"/>
          <w:b/>
          <w:bCs/>
          <w:color w:val="auto"/>
          <w:sz w:val="36"/>
          <w:szCs w:val="36"/>
        </w:rPr>
        <w:t>中铁大桥局集团有限公司</w:t>
      </w:r>
      <w:r>
        <w:rPr>
          <w:rFonts w:hint="eastAsia" w:cs="宋体"/>
          <w:b/>
          <w:bCs/>
          <w:color w:val="auto"/>
          <w:sz w:val="36"/>
          <w:szCs w:val="36"/>
          <w:lang w:val="en-US" w:eastAsia="zh-CN"/>
        </w:rPr>
        <w:t>机械化施工分公司</w:t>
      </w:r>
    </w:p>
    <w:p w14:paraId="6F08D368">
      <w:pPr>
        <w:adjustRightInd w:val="0"/>
        <w:snapToGrid w:val="0"/>
        <w:ind w:firstLine="0" w:firstLineChars="0"/>
        <w:jc w:val="center"/>
        <w:rPr>
          <w:rFonts w:hint="eastAsia" w:cs="宋体"/>
          <w:b/>
          <w:bCs/>
          <w:color w:val="auto"/>
          <w:sz w:val="36"/>
          <w:szCs w:val="36"/>
        </w:rPr>
      </w:pPr>
      <w:r>
        <w:rPr>
          <w:rFonts w:hint="eastAsia" w:cs="宋体"/>
          <w:b/>
          <w:bCs/>
          <w:color w:val="auto"/>
          <w:sz w:val="36"/>
          <w:szCs w:val="36"/>
        </w:rPr>
        <w:t>二〇二</w:t>
      </w:r>
      <w:r>
        <w:rPr>
          <w:rFonts w:hint="eastAsia" w:cs="宋体"/>
          <w:b/>
          <w:bCs/>
          <w:color w:val="auto"/>
          <w:sz w:val="36"/>
          <w:szCs w:val="36"/>
          <w:lang w:val="en-US" w:eastAsia="zh-CN"/>
        </w:rPr>
        <w:t>五</w:t>
      </w:r>
      <w:r>
        <w:rPr>
          <w:rFonts w:hint="eastAsia" w:cs="宋体"/>
          <w:b/>
          <w:bCs/>
          <w:color w:val="auto"/>
          <w:sz w:val="36"/>
          <w:szCs w:val="36"/>
        </w:rPr>
        <w:t>年</w:t>
      </w:r>
      <w:r>
        <w:rPr>
          <w:rFonts w:hint="eastAsia" w:cs="宋体"/>
          <w:b/>
          <w:bCs/>
          <w:color w:val="auto"/>
          <w:sz w:val="36"/>
          <w:szCs w:val="36"/>
          <w:lang w:val="en-US" w:eastAsia="zh-CN"/>
        </w:rPr>
        <w:t>九</w:t>
      </w:r>
      <w:r>
        <w:rPr>
          <w:rFonts w:hint="eastAsia" w:cs="宋体"/>
          <w:b/>
          <w:bCs/>
          <w:color w:val="auto"/>
          <w:sz w:val="36"/>
          <w:szCs w:val="36"/>
        </w:rPr>
        <w:t>月</w:t>
      </w:r>
    </w:p>
    <w:p w14:paraId="0895CA13">
      <w:pPr>
        <w:adjustRightInd w:val="0"/>
        <w:snapToGrid w:val="0"/>
        <w:ind w:firstLine="0" w:firstLineChars="0"/>
        <w:rPr>
          <w:rFonts w:hint="eastAsia" w:cs="宋体"/>
          <w:b/>
          <w:bCs/>
          <w:color w:val="auto"/>
          <w:sz w:val="36"/>
          <w:szCs w:val="36"/>
        </w:rPr>
      </w:pPr>
      <w:bookmarkStart w:id="9" w:name="_Toc16933"/>
      <w:bookmarkStart w:id="10" w:name="_Toc13948"/>
      <w:bookmarkStart w:id="11" w:name="_Toc30267"/>
      <w:bookmarkStart w:id="12" w:name="_Toc27255"/>
      <w:bookmarkStart w:id="13" w:name="_Toc29965"/>
      <w:bookmarkStart w:id="14" w:name="_Toc14783"/>
      <w:bookmarkStart w:id="15" w:name="_Toc24179"/>
      <w:bookmarkStart w:id="16" w:name="_Toc31015"/>
      <w:bookmarkStart w:id="17" w:name="_Toc14627"/>
    </w:p>
    <w:bookmarkEnd w:id="9"/>
    <w:bookmarkEnd w:id="10"/>
    <w:bookmarkEnd w:id="11"/>
    <w:bookmarkEnd w:id="12"/>
    <w:bookmarkEnd w:id="13"/>
    <w:bookmarkEnd w:id="14"/>
    <w:bookmarkEnd w:id="15"/>
    <w:bookmarkEnd w:id="16"/>
    <w:bookmarkEnd w:id="17"/>
    <w:p w14:paraId="5E6BDDB6">
      <w:pPr>
        <w:ind w:firstLine="0" w:firstLineChars="0"/>
        <w:jc w:val="center"/>
        <w:rPr>
          <w:rFonts w:hint="eastAsia" w:cs="宋体"/>
          <w:color w:val="auto"/>
          <w:sz w:val="36"/>
          <w:szCs w:val="36"/>
        </w:rPr>
      </w:pPr>
      <w:r>
        <w:rPr>
          <w:rFonts w:hint="eastAsia" w:cs="宋体"/>
          <w:color w:val="auto"/>
          <w:sz w:val="36"/>
          <w:szCs w:val="36"/>
        </w:rPr>
        <w:t>新建文山至蒙自铁路站前工程WMZQ-1标</w:t>
      </w:r>
    </w:p>
    <w:p w14:paraId="6B256701">
      <w:pPr>
        <w:pStyle w:val="15"/>
        <w:spacing w:line="480" w:lineRule="auto"/>
        <w:ind w:firstLine="0" w:firstLineChars="0"/>
        <w:jc w:val="center"/>
        <w:rPr>
          <w:rFonts w:hint="eastAsia" w:ascii="宋体" w:hAnsi="宋体" w:cs="宋体"/>
          <w:b/>
          <w:color w:val="auto"/>
          <w:sz w:val="48"/>
          <w:szCs w:val="48"/>
        </w:rPr>
      </w:pPr>
    </w:p>
    <w:p w14:paraId="14ED940B">
      <w:pPr>
        <w:pStyle w:val="15"/>
        <w:spacing w:line="480" w:lineRule="auto"/>
        <w:ind w:firstLine="0" w:firstLineChars="0"/>
        <w:rPr>
          <w:rFonts w:hint="eastAsia" w:ascii="宋体" w:hAnsi="宋体" w:cs="宋体"/>
          <w:b/>
          <w:color w:val="auto"/>
          <w:sz w:val="72"/>
          <w:szCs w:val="72"/>
        </w:rPr>
      </w:pPr>
    </w:p>
    <w:p w14:paraId="090D26AD">
      <w:pPr>
        <w:pStyle w:val="15"/>
        <w:spacing w:line="480" w:lineRule="auto"/>
        <w:ind w:firstLine="0" w:firstLineChars="0"/>
        <w:jc w:val="center"/>
        <w:rPr>
          <w:rFonts w:hint="eastAsia" w:ascii="宋体" w:hAnsi="宋体" w:cs="宋体"/>
          <w:b/>
          <w:color w:val="auto"/>
          <w:sz w:val="56"/>
          <w:szCs w:val="56"/>
        </w:rPr>
      </w:pPr>
      <w:r>
        <w:rPr>
          <w:rFonts w:hint="eastAsia" w:ascii="宋体" w:hAnsi="宋体" w:cs="宋体"/>
          <w:b/>
          <w:color w:val="auto"/>
          <w:sz w:val="56"/>
          <w:szCs w:val="56"/>
          <w:lang w:val="en-US" w:eastAsia="zh-CN"/>
        </w:rPr>
        <w:t>盘龙河三号特大桥</w:t>
      </w:r>
      <w:r>
        <w:rPr>
          <w:rFonts w:hint="eastAsia" w:ascii="宋体" w:hAnsi="宋体" w:cs="宋体"/>
          <w:b/>
          <w:color w:val="auto"/>
          <w:sz w:val="56"/>
          <w:szCs w:val="56"/>
        </w:rPr>
        <w:t>塔式起重机</w:t>
      </w:r>
    </w:p>
    <w:p w14:paraId="79551514">
      <w:pPr>
        <w:pStyle w:val="15"/>
        <w:spacing w:line="480" w:lineRule="auto"/>
        <w:ind w:firstLine="0" w:firstLineChars="0"/>
        <w:jc w:val="center"/>
        <w:rPr>
          <w:rFonts w:hint="eastAsia" w:ascii="宋体" w:hAnsi="宋体" w:cs="宋体"/>
          <w:b/>
          <w:color w:val="auto"/>
          <w:sz w:val="56"/>
          <w:szCs w:val="56"/>
        </w:rPr>
      </w:pPr>
      <w:r>
        <w:rPr>
          <w:rFonts w:hint="eastAsia" w:ascii="宋体" w:hAnsi="宋体" w:cs="宋体"/>
          <w:b/>
          <w:color w:val="auto"/>
          <w:sz w:val="56"/>
          <w:szCs w:val="56"/>
        </w:rPr>
        <w:t>安装拆卸专项施工方案</w:t>
      </w:r>
    </w:p>
    <w:p w14:paraId="50168B1D">
      <w:pPr>
        <w:pStyle w:val="15"/>
        <w:spacing w:line="480" w:lineRule="auto"/>
        <w:ind w:firstLine="0" w:firstLineChars="0"/>
        <w:jc w:val="center"/>
        <w:rPr>
          <w:rFonts w:hint="eastAsia" w:ascii="宋体" w:hAnsi="宋体" w:cs="宋体"/>
          <w:color w:val="auto"/>
        </w:rPr>
      </w:pPr>
    </w:p>
    <w:p w14:paraId="0BE3B247">
      <w:pPr>
        <w:pStyle w:val="15"/>
        <w:spacing w:line="480" w:lineRule="auto"/>
        <w:ind w:firstLine="0" w:firstLineChars="0"/>
        <w:jc w:val="center"/>
        <w:rPr>
          <w:rFonts w:hint="eastAsia" w:ascii="宋体" w:hAnsi="宋体" w:cs="宋体"/>
          <w:color w:val="auto"/>
        </w:rPr>
      </w:pPr>
    </w:p>
    <w:p w14:paraId="393AFFFF">
      <w:pPr>
        <w:pStyle w:val="15"/>
        <w:spacing w:line="480" w:lineRule="auto"/>
        <w:ind w:firstLine="0" w:firstLineChars="0"/>
        <w:jc w:val="center"/>
        <w:rPr>
          <w:rFonts w:hint="eastAsia" w:ascii="宋体" w:hAnsi="宋体" w:cs="宋体"/>
          <w:color w:val="auto"/>
        </w:rPr>
      </w:pPr>
    </w:p>
    <w:p w14:paraId="1D1FD681">
      <w:pPr>
        <w:pStyle w:val="69"/>
        <w:ind w:firstLine="2650" w:firstLineChars="1100"/>
        <w:jc w:val="left"/>
        <w:rPr>
          <w:rFonts w:hint="eastAsia" w:ascii="宋体" w:hAnsi="宋体" w:cs="宋体"/>
          <w:color w:val="auto"/>
        </w:rPr>
      </w:pPr>
      <w:r>
        <w:rPr>
          <w:rFonts w:hint="eastAsia" w:ascii="宋体" w:hAnsi="宋体" w:cs="宋体"/>
          <w:color w:val="auto"/>
        </w:rPr>
        <w:t>编 制：</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rPr>
        <w:tab/>
      </w:r>
      <w:r>
        <w:rPr>
          <w:rFonts w:hint="eastAsia" w:ascii="宋体" w:hAnsi="宋体" w:cs="宋体"/>
          <w:color w:val="auto"/>
        </w:rPr>
        <w:t xml:space="preserve">                </w:t>
      </w:r>
    </w:p>
    <w:p w14:paraId="6974CDC1">
      <w:pPr>
        <w:pStyle w:val="69"/>
        <w:rPr>
          <w:rFonts w:hint="eastAsia" w:ascii="宋体" w:hAnsi="宋体" w:cs="宋体"/>
          <w:color w:val="auto"/>
        </w:rPr>
      </w:pPr>
    </w:p>
    <w:p w14:paraId="41065C79">
      <w:pPr>
        <w:pStyle w:val="69"/>
        <w:ind w:firstLine="2650" w:firstLineChars="1100"/>
        <w:jc w:val="left"/>
        <w:rPr>
          <w:rFonts w:hint="eastAsia" w:ascii="宋体" w:hAnsi="宋体" w:cs="宋体"/>
          <w:color w:val="auto"/>
        </w:rPr>
      </w:pPr>
      <w:r>
        <w:rPr>
          <w:rFonts w:hint="eastAsia" w:ascii="宋体" w:hAnsi="宋体" w:cs="宋体"/>
          <w:color w:val="auto"/>
        </w:rPr>
        <w:t>审 核：</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rPr>
        <w:t xml:space="preserve">                </w:t>
      </w:r>
    </w:p>
    <w:p w14:paraId="2C16755C">
      <w:pPr>
        <w:pStyle w:val="69"/>
        <w:rPr>
          <w:rFonts w:hint="eastAsia" w:ascii="宋体" w:hAnsi="宋体" w:cs="宋体"/>
          <w:color w:val="auto"/>
        </w:rPr>
      </w:pPr>
    </w:p>
    <w:p w14:paraId="74A1175F">
      <w:pPr>
        <w:pStyle w:val="15"/>
        <w:spacing w:line="480" w:lineRule="auto"/>
        <w:ind w:firstLine="2132" w:firstLineChars="885"/>
        <w:rPr>
          <w:rFonts w:hint="eastAsia" w:ascii="宋体" w:hAnsi="宋体" w:cs="宋体"/>
          <w:color w:val="auto"/>
          <w:sz w:val="32"/>
          <w:szCs w:val="32"/>
        </w:rPr>
      </w:pPr>
      <w:r>
        <w:rPr>
          <w:rFonts w:hint="eastAsia" w:ascii="宋体" w:hAnsi="宋体" w:cs="宋体"/>
          <w:b/>
          <w:bCs/>
          <w:color w:val="auto"/>
          <w:szCs w:val="22"/>
        </w:rPr>
        <w:tab/>
      </w:r>
      <w:r>
        <w:rPr>
          <w:rFonts w:hint="eastAsia" w:ascii="宋体" w:hAnsi="宋体" w:cs="宋体"/>
          <w:b/>
          <w:bCs/>
          <w:color w:val="auto"/>
          <w:szCs w:val="22"/>
        </w:rPr>
        <w:t xml:space="preserve"> </w:t>
      </w:r>
      <w:r>
        <w:rPr>
          <w:rFonts w:hint="eastAsia" w:ascii="宋体" w:hAnsi="宋体" w:cs="宋体"/>
          <w:b/>
          <w:bCs/>
          <w:color w:val="auto"/>
          <w:szCs w:val="22"/>
          <w:lang w:val="en-US" w:eastAsia="zh-CN"/>
        </w:rPr>
        <w:t>审 批</w:t>
      </w:r>
      <w:r>
        <w:rPr>
          <w:rFonts w:hint="eastAsia" w:ascii="宋体" w:hAnsi="宋体" w:cs="宋体"/>
          <w:b/>
          <w:bCs/>
          <w:color w:val="auto"/>
          <w:szCs w:val="22"/>
        </w:rPr>
        <w:t>：</w:t>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u w:val="single"/>
        </w:rPr>
        <w:tab/>
      </w:r>
      <w:r>
        <w:rPr>
          <w:rFonts w:hint="eastAsia" w:ascii="宋体" w:hAnsi="宋体" w:cs="宋体"/>
          <w:color w:val="auto"/>
          <w:u w:val="single"/>
        </w:rPr>
        <w:t xml:space="preserve">    </w:t>
      </w:r>
      <w:r>
        <w:rPr>
          <w:rFonts w:hint="eastAsia" w:ascii="宋体" w:hAnsi="宋体" w:cs="宋体"/>
          <w:color w:val="auto"/>
        </w:rPr>
        <w:t xml:space="preserve">  </w:t>
      </w:r>
    </w:p>
    <w:p w14:paraId="630A8641">
      <w:pPr>
        <w:pStyle w:val="15"/>
        <w:spacing w:line="480" w:lineRule="auto"/>
        <w:ind w:firstLine="0" w:firstLineChars="0"/>
        <w:rPr>
          <w:rFonts w:hint="eastAsia" w:ascii="宋体" w:hAnsi="宋体" w:cs="宋体"/>
          <w:color w:val="auto"/>
          <w:sz w:val="32"/>
          <w:szCs w:val="32"/>
        </w:rPr>
      </w:pPr>
    </w:p>
    <w:p w14:paraId="25CD5770">
      <w:pPr>
        <w:pStyle w:val="15"/>
        <w:spacing w:line="480" w:lineRule="auto"/>
        <w:ind w:firstLine="0" w:firstLineChars="0"/>
        <w:rPr>
          <w:rFonts w:hint="eastAsia" w:ascii="宋体" w:hAnsi="宋体" w:cs="宋体"/>
          <w:color w:val="auto"/>
          <w:sz w:val="32"/>
          <w:szCs w:val="32"/>
        </w:rPr>
      </w:pPr>
    </w:p>
    <w:p w14:paraId="136C104E">
      <w:pPr>
        <w:pStyle w:val="15"/>
        <w:spacing w:line="480" w:lineRule="auto"/>
        <w:ind w:firstLine="0" w:firstLineChars="0"/>
        <w:rPr>
          <w:rFonts w:hint="eastAsia" w:ascii="宋体" w:hAnsi="宋体" w:cs="宋体"/>
          <w:color w:val="auto"/>
          <w:sz w:val="32"/>
          <w:szCs w:val="32"/>
        </w:rPr>
      </w:pPr>
    </w:p>
    <w:p w14:paraId="50FDF311">
      <w:pPr>
        <w:pStyle w:val="15"/>
        <w:spacing w:line="480" w:lineRule="auto"/>
        <w:ind w:firstLine="0" w:firstLineChars="0"/>
        <w:rPr>
          <w:rFonts w:hint="eastAsia" w:ascii="宋体" w:hAnsi="宋体" w:cs="宋体"/>
          <w:color w:val="auto"/>
          <w:sz w:val="32"/>
          <w:szCs w:val="32"/>
        </w:rPr>
      </w:pPr>
    </w:p>
    <w:p w14:paraId="1AA740DB">
      <w:pPr>
        <w:pStyle w:val="15"/>
        <w:spacing w:line="480" w:lineRule="auto"/>
        <w:ind w:firstLine="0" w:firstLineChars="0"/>
        <w:rPr>
          <w:rFonts w:hint="eastAsia" w:ascii="宋体" w:hAnsi="宋体" w:cs="宋体"/>
          <w:color w:val="auto"/>
          <w:sz w:val="32"/>
          <w:szCs w:val="32"/>
        </w:rPr>
      </w:pPr>
    </w:p>
    <w:p w14:paraId="51A025C6">
      <w:pPr>
        <w:pStyle w:val="15"/>
        <w:spacing w:line="480" w:lineRule="auto"/>
        <w:ind w:firstLine="0" w:firstLineChars="0"/>
        <w:rPr>
          <w:rFonts w:hint="eastAsia" w:ascii="宋体" w:hAnsi="宋体" w:cs="宋体"/>
          <w:color w:val="auto"/>
          <w:sz w:val="32"/>
          <w:szCs w:val="32"/>
        </w:rPr>
      </w:pPr>
    </w:p>
    <w:p w14:paraId="79DD4887">
      <w:pPr>
        <w:pStyle w:val="70"/>
        <w:adjustRightInd w:val="0"/>
        <w:snapToGrid w:val="0"/>
        <w:rPr>
          <w:rFonts w:hint="eastAsia" w:cs="宋体"/>
          <w:color w:val="auto"/>
          <w:lang w:val="en-US" w:eastAsia="zh-CN"/>
        </w:rPr>
      </w:pPr>
      <w:r>
        <w:rPr>
          <w:rFonts w:hint="eastAsia" w:cs="宋体"/>
          <w:color w:val="auto"/>
        </w:rPr>
        <w:t>中铁大桥局集团有限公司</w:t>
      </w:r>
      <w:r>
        <w:rPr>
          <w:rFonts w:hint="eastAsia" w:cs="宋体"/>
          <w:color w:val="auto"/>
          <w:lang w:val="en-US" w:eastAsia="zh-CN"/>
        </w:rPr>
        <w:t>机械化施工分公司</w:t>
      </w:r>
    </w:p>
    <w:p w14:paraId="132596F7">
      <w:pPr>
        <w:pStyle w:val="70"/>
        <w:adjustRightInd w:val="0"/>
        <w:snapToGrid w:val="0"/>
        <w:rPr>
          <w:rFonts w:hint="eastAsia" w:cs="宋体"/>
          <w:color w:val="auto"/>
        </w:rPr>
      </w:pPr>
      <w:r>
        <w:rPr>
          <w:rFonts w:hint="eastAsia" w:cs="宋体"/>
          <w:color w:val="auto"/>
        </w:rPr>
        <w:t>二〇二</w:t>
      </w:r>
      <w:r>
        <w:rPr>
          <w:rFonts w:hint="eastAsia" w:cs="宋体"/>
          <w:color w:val="auto"/>
          <w:lang w:val="en-US" w:eastAsia="zh-CN"/>
        </w:rPr>
        <w:t>五</w:t>
      </w:r>
      <w:r>
        <w:rPr>
          <w:rFonts w:hint="eastAsia" w:cs="宋体"/>
          <w:color w:val="auto"/>
        </w:rPr>
        <w:t>年</w:t>
      </w:r>
      <w:bookmarkStart w:id="718" w:name="_GoBack"/>
      <w:bookmarkEnd w:id="718"/>
      <w:r>
        <w:rPr>
          <w:rFonts w:hint="eastAsia" w:cs="宋体"/>
          <w:color w:val="auto"/>
          <w:lang w:val="en-US" w:eastAsia="zh-CN"/>
        </w:rPr>
        <w:t>九</w:t>
      </w:r>
      <w:r>
        <w:rPr>
          <w:rFonts w:hint="eastAsia" w:cs="宋体"/>
          <w:color w:val="auto"/>
        </w:rPr>
        <w:t>月</w:t>
      </w:r>
    </w:p>
    <w:p w14:paraId="0CDA4558">
      <w:pPr>
        <w:pStyle w:val="70"/>
        <w:adjustRightInd w:val="0"/>
        <w:snapToGrid w:val="0"/>
        <w:rPr>
          <w:rFonts w:hint="eastAsia" w:cs="宋体"/>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7396F97">
      <w:pPr>
        <w:pStyle w:val="26"/>
        <w:tabs>
          <w:tab w:val="left" w:pos="1260"/>
          <w:tab w:val="right" w:leader="dot" w:pos="8296"/>
        </w:tabs>
        <w:ind w:firstLine="0" w:firstLineChars="0"/>
        <w:jc w:val="center"/>
        <w:rPr>
          <w:rFonts w:hint="eastAsia" w:ascii="宋体" w:hAnsi="宋体" w:eastAsia="宋体" w:cs="宋体"/>
          <w:b/>
          <w:bCs/>
          <w:color w:val="auto"/>
          <w:kern w:val="2"/>
          <w:sz w:val="28"/>
          <w:szCs w:val="32"/>
          <w:lang w:val="en-US" w:eastAsia="zh-CN" w:bidi="ar-SA"/>
        </w:rPr>
      </w:pPr>
      <w:bookmarkStart w:id="18" w:name="_Toc483378190"/>
      <w:bookmarkStart w:id="19" w:name="_Toc4757"/>
      <w:bookmarkStart w:id="20" w:name="_Toc461010829"/>
      <w:bookmarkStart w:id="21" w:name="_Toc461093538"/>
      <w:bookmarkStart w:id="22" w:name="_Toc4692"/>
      <w:bookmarkStart w:id="23" w:name="_Toc460944505"/>
      <w:bookmarkStart w:id="24" w:name="_Toc8540"/>
      <w:bookmarkStart w:id="25" w:name="_Toc22138"/>
      <w:bookmarkStart w:id="26" w:name="_Toc7804"/>
      <w:bookmarkStart w:id="27" w:name="_Toc22910"/>
      <w:bookmarkStart w:id="28" w:name="_Toc45029611"/>
      <w:bookmarkStart w:id="29" w:name="_Toc5882"/>
      <w:bookmarkStart w:id="30" w:name="_Toc22089"/>
      <w:bookmarkStart w:id="31" w:name="_Toc28315"/>
      <w:bookmarkStart w:id="32" w:name="_Toc461011071"/>
      <w:bookmarkStart w:id="33" w:name="_Toc19026"/>
      <w:bookmarkStart w:id="34" w:name="_Toc460944655"/>
      <w:bookmarkStart w:id="35" w:name="_Toc460944591"/>
      <w:bookmarkStart w:id="36" w:name="_Toc4028"/>
      <w:bookmarkStart w:id="37" w:name="_Toc461010613"/>
      <w:r>
        <w:rPr>
          <w:rFonts w:hint="eastAsia" w:cs="宋体"/>
          <w:color w:val="auto"/>
          <w:sz w:val="30"/>
          <w:szCs w:val="30"/>
        </w:rPr>
        <w:t>目  录</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cs="宋体"/>
          <w:color w:val="auto"/>
        </w:rPr>
        <w:fldChar w:fldCharType="begin"/>
      </w:r>
      <w:r>
        <w:rPr>
          <w:rFonts w:hint="eastAsia" w:cs="宋体"/>
          <w:color w:val="auto"/>
        </w:rPr>
        <w:instrText xml:space="preserve"> TOC \o "1-3" \h \z \u </w:instrText>
      </w:r>
      <w:r>
        <w:rPr>
          <w:rFonts w:hint="eastAsia" w:cs="宋体"/>
          <w:color w:val="auto"/>
        </w:rPr>
        <w:fldChar w:fldCharType="separate"/>
      </w:r>
      <w:bookmarkEnd w:id="37"/>
    </w:p>
    <w:p w14:paraId="4D32252E">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_Toc23628 </w:instrText>
      </w:r>
      <w:r>
        <w:rPr>
          <w:rFonts w:hint="eastAsia" w:ascii="宋体" w:hAnsi="宋体" w:cs="宋体"/>
        </w:rPr>
        <w:fldChar w:fldCharType="separate"/>
      </w:r>
      <w:r>
        <w:rPr>
          <w:rFonts w:hint="eastAsia"/>
        </w:rPr>
        <w:t>1 工程概况</w:t>
      </w:r>
      <w:r>
        <w:tab/>
      </w:r>
      <w:r>
        <w:fldChar w:fldCharType="begin"/>
      </w:r>
      <w:r>
        <w:instrText xml:space="preserve"> PAGEREF _Toc23628 \h </w:instrText>
      </w:r>
      <w:r>
        <w:fldChar w:fldCharType="separate"/>
      </w:r>
      <w:r>
        <w:t>1</w:t>
      </w:r>
      <w:r>
        <w:fldChar w:fldCharType="end"/>
      </w:r>
      <w:r>
        <w:rPr>
          <w:rFonts w:hint="eastAsia" w:ascii="宋体" w:hAnsi="宋体" w:cs="宋体"/>
          <w:color w:val="auto"/>
        </w:rPr>
        <w:fldChar w:fldCharType="end"/>
      </w:r>
    </w:p>
    <w:p w14:paraId="47E4316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_Toc31141 </w:instrText>
      </w:r>
      <w:r>
        <w:rPr>
          <w:rFonts w:hint="eastAsia" w:ascii="宋体" w:hAnsi="宋体" w:cs="宋体"/>
        </w:rPr>
        <w:fldChar w:fldCharType="separate"/>
      </w:r>
      <w:r>
        <w:rPr>
          <w:rFonts w:hint="eastAsia"/>
        </w:rPr>
        <w:t>1.1项目概况</w:t>
      </w:r>
      <w:r>
        <w:tab/>
      </w:r>
      <w:r>
        <w:fldChar w:fldCharType="begin"/>
      </w:r>
      <w:r>
        <w:instrText xml:space="preserve"> PAGEREF _Toc31141 \h </w:instrText>
      </w:r>
      <w:r>
        <w:fldChar w:fldCharType="separate"/>
      </w:r>
      <w:r>
        <w:t>1</w:t>
      </w:r>
      <w:r>
        <w:fldChar w:fldCharType="end"/>
      </w:r>
      <w:r>
        <w:rPr>
          <w:rFonts w:hint="eastAsia" w:ascii="宋体" w:hAnsi="宋体" w:cs="宋体"/>
          <w:color w:val="auto"/>
        </w:rPr>
        <w:fldChar w:fldCharType="end"/>
      </w:r>
    </w:p>
    <w:p w14:paraId="5AD894B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_Toc13118 </w:instrText>
      </w:r>
      <w:r>
        <w:rPr>
          <w:rFonts w:hint="eastAsia" w:ascii="宋体" w:hAnsi="宋体" w:cs="宋体"/>
        </w:rPr>
        <w:fldChar w:fldCharType="separate"/>
      </w:r>
      <w:r>
        <w:rPr>
          <w:rFonts w:hint="eastAsia"/>
        </w:rPr>
        <w:t>1.2安装现场工作环境及条件</w:t>
      </w:r>
      <w:r>
        <w:tab/>
      </w:r>
      <w:r>
        <w:fldChar w:fldCharType="begin"/>
      </w:r>
      <w:r>
        <w:instrText xml:space="preserve"> PAGEREF _Toc13118 \h </w:instrText>
      </w:r>
      <w:r>
        <w:fldChar w:fldCharType="separate"/>
      </w:r>
      <w:r>
        <w:t>1</w:t>
      </w:r>
      <w:r>
        <w:fldChar w:fldCharType="end"/>
      </w:r>
      <w:r>
        <w:rPr>
          <w:rFonts w:hint="eastAsia" w:ascii="宋体" w:hAnsi="宋体" w:cs="宋体"/>
          <w:color w:val="auto"/>
        </w:rPr>
        <w:fldChar w:fldCharType="end"/>
      </w:r>
    </w:p>
    <w:p w14:paraId="29CF2F3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_Toc2232 </w:instrText>
      </w:r>
      <w:r>
        <w:rPr>
          <w:rFonts w:hint="eastAsia" w:ascii="宋体" w:hAnsi="宋体" w:cs="宋体"/>
        </w:rPr>
        <w:fldChar w:fldCharType="separate"/>
      </w:r>
      <w:r>
        <w:rPr>
          <w:rFonts w:hint="eastAsia"/>
        </w:rPr>
        <w:t>1.3自然条件</w:t>
      </w:r>
      <w:r>
        <w:tab/>
      </w:r>
      <w:r>
        <w:fldChar w:fldCharType="begin"/>
      </w:r>
      <w:r>
        <w:instrText xml:space="preserve"> PAGEREF _Toc2232 \h </w:instrText>
      </w:r>
      <w:r>
        <w:fldChar w:fldCharType="separate"/>
      </w:r>
      <w:r>
        <w:t>2</w:t>
      </w:r>
      <w:r>
        <w:fldChar w:fldCharType="end"/>
      </w:r>
      <w:r>
        <w:rPr>
          <w:rFonts w:hint="eastAsia" w:ascii="宋体" w:hAnsi="宋体" w:cs="宋体"/>
          <w:color w:val="auto"/>
        </w:rPr>
        <w:fldChar w:fldCharType="end"/>
      </w:r>
    </w:p>
    <w:p w14:paraId="6CD8B0F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_Toc7150 </w:instrText>
      </w:r>
      <w:r>
        <w:rPr>
          <w:rFonts w:hint="eastAsia" w:ascii="宋体" w:hAnsi="宋体" w:cs="宋体"/>
        </w:rPr>
        <w:fldChar w:fldCharType="separate"/>
      </w:r>
      <w:r>
        <w:rPr>
          <w:rFonts w:hint="eastAsia"/>
        </w:rPr>
        <w:t>1.3.1 地质情况</w:t>
      </w:r>
      <w:r>
        <w:tab/>
      </w:r>
      <w:r>
        <w:fldChar w:fldCharType="begin"/>
      </w:r>
      <w:r>
        <w:instrText xml:space="preserve"> PAGEREF _Toc7150 \h </w:instrText>
      </w:r>
      <w:r>
        <w:fldChar w:fldCharType="separate"/>
      </w:r>
      <w:r>
        <w:t>2</w:t>
      </w:r>
      <w:r>
        <w:fldChar w:fldCharType="end"/>
      </w:r>
      <w:r>
        <w:rPr>
          <w:rFonts w:hint="eastAsia" w:ascii="宋体" w:hAnsi="宋体" w:cs="宋体"/>
          <w:color w:val="auto"/>
        </w:rPr>
        <w:fldChar w:fldCharType="end"/>
      </w:r>
    </w:p>
    <w:p w14:paraId="032A25E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_Toc6157 </w:instrText>
      </w:r>
      <w:r>
        <w:rPr>
          <w:rFonts w:hint="eastAsia" w:ascii="宋体" w:hAnsi="宋体" w:cs="宋体"/>
        </w:rPr>
        <w:fldChar w:fldCharType="separate"/>
      </w:r>
      <w:r>
        <w:rPr>
          <w:rFonts w:hint="eastAsia"/>
        </w:rPr>
        <w:t>1.3.2 气象条件</w:t>
      </w:r>
      <w:r>
        <w:tab/>
      </w:r>
      <w:r>
        <w:fldChar w:fldCharType="begin"/>
      </w:r>
      <w:r>
        <w:instrText xml:space="preserve"> PAGEREF _Toc6157 \h </w:instrText>
      </w:r>
      <w:r>
        <w:fldChar w:fldCharType="separate"/>
      </w:r>
      <w:r>
        <w:t>5</w:t>
      </w:r>
      <w:r>
        <w:fldChar w:fldCharType="end"/>
      </w:r>
      <w:r>
        <w:rPr>
          <w:rFonts w:hint="eastAsia" w:ascii="宋体" w:hAnsi="宋体" w:cs="宋体"/>
          <w:color w:val="auto"/>
        </w:rPr>
        <w:fldChar w:fldCharType="end"/>
      </w:r>
    </w:p>
    <w:p w14:paraId="252C325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_Toc28761 </w:instrText>
      </w:r>
      <w:r>
        <w:rPr>
          <w:rFonts w:hint="eastAsia" w:ascii="宋体" w:hAnsi="宋体" w:cs="宋体"/>
        </w:rPr>
        <w:fldChar w:fldCharType="separate"/>
      </w:r>
      <w:r>
        <w:rPr>
          <w:rFonts w:hint="eastAsia"/>
        </w:rPr>
        <w:t>1.3.3水文情况</w:t>
      </w:r>
      <w:r>
        <w:tab/>
      </w:r>
      <w:r>
        <w:fldChar w:fldCharType="begin"/>
      </w:r>
      <w:r>
        <w:instrText xml:space="preserve"> PAGEREF _Toc28761 \h </w:instrText>
      </w:r>
      <w:r>
        <w:fldChar w:fldCharType="separate"/>
      </w:r>
      <w:r>
        <w:t>5</w:t>
      </w:r>
      <w:r>
        <w:fldChar w:fldCharType="end"/>
      </w:r>
      <w:r>
        <w:rPr>
          <w:rFonts w:hint="eastAsia" w:ascii="宋体" w:hAnsi="宋体" w:cs="宋体"/>
          <w:color w:val="auto"/>
        </w:rPr>
        <w:fldChar w:fldCharType="end"/>
      </w:r>
    </w:p>
    <w:p w14:paraId="32FE9F64">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_Toc30637 </w:instrText>
      </w:r>
      <w:r>
        <w:rPr>
          <w:rFonts w:hint="eastAsia" w:ascii="宋体" w:hAnsi="宋体" w:cs="宋体"/>
        </w:rPr>
        <w:fldChar w:fldCharType="separate"/>
      </w:r>
      <w:r>
        <w:rPr>
          <w:rFonts w:hint="eastAsia"/>
        </w:rPr>
        <w:t xml:space="preserve">2 </w:t>
      </w:r>
      <w:r>
        <w:t>编制依据及范围</w:t>
      </w:r>
      <w:r>
        <w:tab/>
      </w:r>
      <w:r>
        <w:fldChar w:fldCharType="begin"/>
      </w:r>
      <w:r>
        <w:instrText xml:space="preserve"> PAGEREF _Toc30637 \h </w:instrText>
      </w:r>
      <w:r>
        <w:fldChar w:fldCharType="separate"/>
      </w:r>
      <w:r>
        <w:t>5</w:t>
      </w:r>
      <w:r>
        <w:fldChar w:fldCharType="end"/>
      </w:r>
      <w:r>
        <w:rPr>
          <w:rFonts w:hint="eastAsia" w:ascii="宋体" w:hAnsi="宋体" w:cs="宋体"/>
          <w:color w:val="auto"/>
        </w:rPr>
        <w:fldChar w:fldCharType="end"/>
      </w:r>
    </w:p>
    <w:p w14:paraId="5DDB1FC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_Toc3703 </w:instrText>
      </w:r>
      <w:r>
        <w:rPr>
          <w:rFonts w:hint="eastAsia" w:ascii="宋体" w:hAnsi="宋体" w:cs="宋体"/>
        </w:rPr>
        <w:fldChar w:fldCharType="separate"/>
      </w:r>
      <w:r>
        <w:t>2.1编制依据</w:t>
      </w:r>
      <w:r>
        <w:tab/>
      </w:r>
      <w:r>
        <w:fldChar w:fldCharType="begin"/>
      </w:r>
      <w:r>
        <w:instrText xml:space="preserve"> PAGEREF _Toc3703 \h </w:instrText>
      </w:r>
      <w:r>
        <w:fldChar w:fldCharType="separate"/>
      </w:r>
      <w:r>
        <w:t>5</w:t>
      </w:r>
      <w:r>
        <w:fldChar w:fldCharType="end"/>
      </w:r>
      <w:r>
        <w:rPr>
          <w:rFonts w:hint="eastAsia" w:ascii="宋体" w:hAnsi="宋体" w:cs="宋体"/>
          <w:color w:val="auto"/>
        </w:rPr>
        <w:fldChar w:fldCharType="end"/>
      </w:r>
    </w:p>
    <w:p w14:paraId="4D6282B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_Toc27512 </w:instrText>
      </w:r>
      <w:r>
        <w:rPr>
          <w:rFonts w:hint="eastAsia" w:ascii="宋体" w:hAnsi="宋体" w:cs="宋体"/>
        </w:rPr>
        <w:fldChar w:fldCharType="separate"/>
      </w:r>
      <w:r>
        <w:t>2.2适用范围</w:t>
      </w:r>
      <w:r>
        <w:tab/>
      </w:r>
      <w:r>
        <w:fldChar w:fldCharType="begin"/>
      </w:r>
      <w:r>
        <w:instrText xml:space="preserve"> PAGEREF _Toc27512 \h </w:instrText>
      </w:r>
      <w:r>
        <w:fldChar w:fldCharType="separate"/>
      </w:r>
      <w:r>
        <w:t>6</w:t>
      </w:r>
      <w:r>
        <w:fldChar w:fldCharType="end"/>
      </w:r>
      <w:r>
        <w:rPr>
          <w:rFonts w:hint="eastAsia" w:ascii="宋体" w:hAnsi="宋体" w:cs="宋体"/>
          <w:color w:val="auto"/>
        </w:rPr>
        <w:fldChar w:fldCharType="end"/>
      </w:r>
    </w:p>
    <w:p w14:paraId="55FD5632">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_Toc14668 </w:instrText>
      </w:r>
      <w:r>
        <w:rPr>
          <w:rFonts w:hint="eastAsia" w:ascii="宋体" w:hAnsi="宋体" w:cs="宋体"/>
        </w:rPr>
        <w:fldChar w:fldCharType="separate"/>
      </w:r>
      <w:r>
        <w:rPr>
          <w:rFonts w:hint="eastAsia"/>
        </w:rPr>
        <w:t>3 塔式起重机型号性能及技术参数</w:t>
      </w:r>
      <w:r>
        <w:tab/>
      </w:r>
      <w:r>
        <w:fldChar w:fldCharType="begin"/>
      </w:r>
      <w:r>
        <w:instrText xml:space="preserve"> PAGEREF _Toc14668 \h </w:instrText>
      </w:r>
      <w:r>
        <w:fldChar w:fldCharType="separate"/>
      </w:r>
      <w:r>
        <w:t>7</w:t>
      </w:r>
      <w:r>
        <w:fldChar w:fldCharType="end"/>
      </w:r>
      <w:r>
        <w:rPr>
          <w:rFonts w:hint="eastAsia" w:ascii="宋体" w:hAnsi="宋体" w:cs="宋体"/>
          <w:color w:val="auto"/>
        </w:rPr>
        <w:fldChar w:fldCharType="end"/>
      </w:r>
    </w:p>
    <w:p w14:paraId="1F97B7C5">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_Toc1658 </w:instrText>
      </w:r>
      <w:r>
        <w:rPr>
          <w:rFonts w:hint="eastAsia" w:ascii="宋体" w:hAnsi="宋体" w:cs="宋体"/>
        </w:rPr>
        <w:fldChar w:fldCharType="separate"/>
      </w:r>
      <w:r>
        <w:rPr>
          <w:rFonts w:hint="eastAsia"/>
        </w:rPr>
        <w:t>3</w:t>
      </w:r>
      <w:r>
        <w:t>.1塔式起重机型号</w:t>
      </w:r>
      <w:r>
        <w:tab/>
      </w:r>
      <w:r>
        <w:fldChar w:fldCharType="begin"/>
      </w:r>
      <w:r>
        <w:instrText xml:space="preserve"> PAGEREF _Toc1658 \h </w:instrText>
      </w:r>
      <w:r>
        <w:fldChar w:fldCharType="separate"/>
      </w:r>
      <w:r>
        <w:t>7</w:t>
      </w:r>
      <w:r>
        <w:fldChar w:fldCharType="end"/>
      </w:r>
      <w:r>
        <w:rPr>
          <w:rFonts w:hint="eastAsia" w:ascii="宋体" w:hAnsi="宋体" w:cs="宋体"/>
          <w:color w:val="auto"/>
        </w:rPr>
        <w:fldChar w:fldCharType="end"/>
      </w:r>
    </w:p>
    <w:p w14:paraId="43608D90">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_Toc2914 </w:instrText>
      </w:r>
      <w:r>
        <w:rPr>
          <w:rFonts w:hint="eastAsia" w:ascii="宋体" w:hAnsi="宋体" w:cs="宋体"/>
        </w:rPr>
        <w:fldChar w:fldCharType="separate"/>
      </w:r>
      <w:r>
        <w:rPr>
          <w:rFonts w:hint="eastAsia" w:ascii="宋体" w:hAnsi="宋体" w:eastAsia="宋体"/>
        </w:rPr>
        <w:t>3.2塔式起重机性能参数</w:t>
      </w:r>
      <w:r>
        <w:tab/>
      </w:r>
      <w:r>
        <w:fldChar w:fldCharType="begin"/>
      </w:r>
      <w:r>
        <w:instrText xml:space="preserve"> PAGEREF _Toc2914 \h </w:instrText>
      </w:r>
      <w:r>
        <w:fldChar w:fldCharType="separate"/>
      </w:r>
      <w:r>
        <w:t>8</w:t>
      </w:r>
      <w:r>
        <w:fldChar w:fldCharType="end"/>
      </w:r>
      <w:r>
        <w:rPr>
          <w:rFonts w:hint="eastAsia" w:ascii="宋体" w:hAnsi="宋体" w:cs="宋体"/>
          <w:color w:val="auto"/>
        </w:rPr>
        <w:fldChar w:fldCharType="end"/>
      </w:r>
    </w:p>
    <w:p w14:paraId="47F287A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_Toc17920 </w:instrText>
      </w:r>
      <w:r>
        <w:rPr>
          <w:rFonts w:hint="eastAsia" w:ascii="宋体" w:hAnsi="宋体" w:cs="宋体"/>
        </w:rPr>
        <w:fldChar w:fldCharType="separate"/>
      </w:r>
      <w:r>
        <w:rPr>
          <w:rFonts w:hint="eastAsia"/>
        </w:rPr>
        <w:t>3.3主要安装部件重量和尺寸</w:t>
      </w:r>
      <w:r>
        <w:tab/>
      </w:r>
      <w:r>
        <w:fldChar w:fldCharType="begin"/>
      </w:r>
      <w:r>
        <w:instrText xml:space="preserve"> PAGEREF _Toc17920 \h </w:instrText>
      </w:r>
      <w:r>
        <w:fldChar w:fldCharType="separate"/>
      </w:r>
      <w:r>
        <w:t>12</w:t>
      </w:r>
      <w:r>
        <w:fldChar w:fldCharType="end"/>
      </w:r>
      <w:r>
        <w:rPr>
          <w:rFonts w:hint="eastAsia" w:ascii="宋体" w:hAnsi="宋体" w:cs="宋体"/>
          <w:color w:val="auto"/>
        </w:rPr>
        <w:fldChar w:fldCharType="end"/>
      </w:r>
    </w:p>
    <w:p w14:paraId="0480E9E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_Toc19993 </w:instrText>
      </w:r>
      <w:r>
        <w:rPr>
          <w:rFonts w:hint="eastAsia" w:ascii="宋体" w:hAnsi="宋体" w:cs="宋体"/>
        </w:rPr>
        <w:fldChar w:fldCharType="separate"/>
      </w:r>
      <w:r>
        <w:rPr>
          <w:rFonts w:hint="eastAsia"/>
        </w:rPr>
        <w:t>3.4</w:t>
      </w:r>
      <w:r>
        <w:t>塔机基础</w:t>
      </w:r>
      <w:r>
        <w:tab/>
      </w:r>
      <w:r>
        <w:fldChar w:fldCharType="begin"/>
      </w:r>
      <w:r>
        <w:instrText xml:space="preserve"> PAGEREF _Toc19993 \h </w:instrText>
      </w:r>
      <w:r>
        <w:fldChar w:fldCharType="separate"/>
      </w:r>
      <w:r>
        <w:t>19</w:t>
      </w:r>
      <w:r>
        <w:fldChar w:fldCharType="end"/>
      </w:r>
      <w:r>
        <w:rPr>
          <w:rFonts w:hint="eastAsia" w:ascii="宋体" w:hAnsi="宋体" w:cs="宋体"/>
          <w:color w:val="auto"/>
        </w:rPr>
        <w:fldChar w:fldCharType="end"/>
      </w:r>
    </w:p>
    <w:p w14:paraId="5730507F">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_Toc4643 </w:instrText>
      </w:r>
      <w:r>
        <w:rPr>
          <w:rFonts w:hint="eastAsia" w:ascii="宋体" w:hAnsi="宋体" w:cs="宋体"/>
        </w:rPr>
        <w:fldChar w:fldCharType="separate"/>
      </w:r>
      <w:r>
        <w:rPr>
          <w:rFonts w:hint="eastAsia"/>
        </w:rPr>
        <w:t>4 施工组织计划</w:t>
      </w:r>
      <w:r>
        <w:tab/>
      </w:r>
      <w:r>
        <w:fldChar w:fldCharType="begin"/>
      </w:r>
      <w:r>
        <w:instrText xml:space="preserve"> PAGEREF _Toc4643 \h </w:instrText>
      </w:r>
      <w:r>
        <w:fldChar w:fldCharType="separate"/>
      </w:r>
      <w:r>
        <w:t>21</w:t>
      </w:r>
      <w:r>
        <w:fldChar w:fldCharType="end"/>
      </w:r>
      <w:r>
        <w:rPr>
          <w:rFonts w:hint="eastAsia" w:ascii="宋体" w:hAnsi="宋体" w:cs="宋体"/>
          <w:color w:val="auto"/>
        </w:rPr>
        <w:fldChar w:fldCharType="end"/>
      </w:r>
    </w:p>
    <w:p w14:paraId="0DE212D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_Toc25716 </w:instrText>
      </w:r>
      <w:r>
        <w:rPr>
          <w:rFonts w:hint="eastAsia" w:ascii="宋体" w:hAnsi="宋体" w:cs="宋体"/>
        </w:rPr>
        <w:fldChar w:fldCharType="separate"/>
      </w:r>
      <w:r>
        <w:rPr>
          <w:rFonts w:hint="eastAsia"/>
        </w:rPr>
        <w:t>4.1 组织机构</w:t>
      </w:r>
      <w:r>
        <w:tab/>
      </w:r>
      <w:r>
        <w:fldChar w:fldCharType="begin"/>
      </w:r>
      <w:r>
        <w:instrText xml:space="preserve"> PAGEREF _Toc25716 \h </w:instrText>
      </w:r>
      <w:r>
        <w:fldChar w:fldCharType="separate"/>
      </w:r>
      <w:r>
        <w:t>21</w:t>
      </w:r>
      <w:r>
        <w:fldChar w:fldCharType="end"/>
      </w:r>
      <w:r>
        <w:rPr>
          <w:rFonts w:hint="eastAsia" w:ascii="宋体" w:hAnsi="宋体" w:cs="宋体"/>
          <w:color w:val="auto"/>
        </w:rPr>
        <w:fldChar w:fldCharType="end"/>
      </w:r>
    </w:p>
    <w:p w14:paraId="734ECB8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_Toc14312 </w:instrText>
      </w:r>
      <w:r>
        <w:rPr>
          <w:rFonts w:hint="eastAsia" w:ascii="宋体" w:hAnsi="宋体" w:cs="宋体"/>
        </w:rPr>
        <w:fldChar w:fldCharType="separate"/>
      </w:r>
      <w:r>
        <w:rPr>
          <w:rFonts w:hint="eastAsia"/>
        </w:rPr>
        <w:t>4.</w:t>
      </w:r>
      <w:r>
        <w:t>2</w:t>
      </w:r>
      <w:r>
        <w:rPr>
          <w:rFonts w:hint="eastAsia"/>
        </w:rPr>
        <w:t xml:space="preserve"> 施工人员职责分工</w:t>
      </w:r>
      <w:r>
        <w:tab/>
      </w:r>
      <w:r>
        <w:fldChar w:fldCharType="begin"/>
      </w:r>
      <w:r>
        <w:instrText xml:space="preserve"> PAGEREF _Toc14312 \h </w:instrText>
      </w:r>
      <w:r>
        <w:fldChar w:fldCharType="separate"/>
      </w:r>
      <w:r>
        <w:t>22</w:t>
      </w:r>
      <w:r>
        <w:fldChar w:fldCharType="end"/>
      </w:r>
      <w:r>
        <w:rPr>
          <w:rFonts w:hint="eastAsia" w:ascii="宋体" w:hAnsi="宋体" w:cs="宋体"/>
          <w:color w:val="auto"/>
        </w:rPr>
        <w:fldChar w:fldCharType="end"/>
      </w:r>
    </w:p>
    <w:p w14:paraId="3E15093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_Toc11591 </w:instrText>
      </w:r>
      <w:r>
        <w:rPr>
          <w:rFonts w:hint="eastAsia" w:ascii="宋体" w:hAnsi="宋体" w:cs="宋体"/>
        </w:rPr>
        <w:fldChar w:fldCharType="separate"/>
      </w:r>
      <w:r>
        <w:rPr>
          <w:rFonts w:hint="eastAsia"/>
        </w:rPr>
        <w:t>4.3 施工计划</w:t>
      </w:r>
      <w:r>
        <w:tab/>
      </w:r>
      <w:r>
        <w:fldChar w:fldCharType="begin"/>
      </w:r>
      <w:r>
        <w:instrText xml:space="preserve"> PAGEREF _Toc11591 \h </w:instrText>
      </w:r>
      <w:r>
        <w:fldChar w:fldCharType="separate"/>
      </w:r>
      <w:r>
        <w:t>22</w:t>
      </w:r>
      <w:r>
        <w:fldChar w:fldCharType="end"/>
      </w:r>
      <w:r>
        <w:rPr>
          <w:rFonts w:hint="eastAsia" w:ascii="宋体" w:hAnsi="宋体" w:cs="宋体"/>
          <w:color w:val="auto"/>
        </w:rPr>
        <w:fldChar w:fldCharType="end"/>
      </w:r>
    </w:p>
    <w:p w14:paraId="199BFF1B">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_Toc20775 </w:instrText>
      </w:r>
      <w:r>
        <w:rPr>
          <w:rFonts w:hint="eastAsia" w:ascii="宋体" w:hAnsi="宋体" w:cs="宋体"/>
        </w:rPr>
        <w:fldChar w:fldCharType="separate"/>
      </w:r>
      <w:r>
        <w:rPr>
          <w:rFonts w:hint="eastAsia"/>
        </w:rPr>
        <w:t>4.4</w:t>
      </w:r>
      <w:r>
        <w:t xml:space="preserve"> </w:t>
      </w:r>
      <w:r>
        <w:rPr>
          <w:rFonts w:hint="eastAsia"/>
        </w:rPr>
        <w:t>安拆用主要机械设备及辅助工器具</w:t>
      </w:r>
      <w:r>
        <w:tab/>
      </w:r>
      <w:r>
        <w:fldChar w:fldCharType="begin"/>
      </w:r>
      <w:r>
        <w:instrText xml:space="preserve"> PAGEREF _Toc20775 \h </w:instrText>
      </w:r>
      <w:r>
        <w:fldChar w:fldCharType="separate"/>
      </w:r>
      <w:r>
        <w:t>23</w:t>
      </w:r>
      <w:r>
        <w:fldChar w:fldCharType="end"/>
      </w:r>
      <w:r>
        <w:rPr>
          <w:rFonts w:hint="eastAsia" w:ascii="宋体" w:hAnsi="宋体" w:cs="宋体"/>
          <w:color w:val="auto"/>
        </w:rPr>
        <w:fldChar w:fldCharType="end"/>
      </w:r>
    </w:p>
    <w:p w14:paraId="4893838C">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_Toc8188 </w:instrText>
      </w:r>
      <w:r>
        <w:rPr>
          <w:rFonts w:hint="eastAsia" w:ascii="宋体" w:hAnsi="宋体" w:cs="宋体"/>
        </w:rPr>
        <w:fldChar w:fldCharType="separate"/>
      </w:r>
      <w:r>
        <w:rPr>
          <w:rFonts w:hint="eastAsia"/>
        </w:rPr>
        <w:t>5 塔机安拆所使用设备的型号、性能及起重性能校验</w:t>
      </w:r>
      <w:r>
        <w:tab/>
      </w:r>
      <w:r>
        <w:fldChar w:fldCharType="begin"/>
      </w:r>
      <w:r>
        <w:instrText xml:space="preserve"> PAGEREF _Toc8188 \h </w:instrText>
      </w:r>
      <w:r>
        <w:fldChar w:fldCharType="separate"/>
      </w:r>
      <w:r>
        <w:t>24</w:t>
      </w:r>
      <w:r>
        <w:fldChar w:fldCharType="end"/>
      </w:r>
      <w:r>
        <w:rPr>
          <w:rFonts w:hint="eastAsia" w:ascii="宋体" w:hAnsi="宋体" w:cs="宋体"/>
          <w:color w:val="auto"/>
        </w:rPr>
        <w:fldChar w:fldCharType="end"/>
      </w:r>
    </w:p>
    <w:p w14:paraId="7D98337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_Toc28881 </w:instrText>
      </w:r>
      <w:r>
        <w:rPr>
          <w:rFonts w:hint="eastAsia" w:ascii="宋体" w:hAnsi="宋体" w:cs="宋体"/>
        </w:rPr>
        <w:fldChar w:fldCharType="separate"/>
      </w:r>
      <w:r>
        <w:rPr>
          <w:rFonts w:hint="eastAsia"/>
        </w:rPr>
        <w:t>5.1 吊机型号选择</w:t>
      </w:r>
      <w:r>
        <w:tab/>
      </w:r>
      <w:r>
        <w:fldChar w:fldCharType="begin"/>
      </w:r>
      <w:r>
        <w:instrText xml:space="preserve"> PAGEREF _Toc28881 \h </w:instrText>
      </w:r>
      <w:r>
        <w:fldChar w:fldCharType="separate"/>
      </w:r>
      <w:r>
        <w:t>24</w:t>
      </w:r>
      <w:r>
        <w:fldChar w:fldCharType="end"/>
      </w:r>
      <w:r>
        <w:rPr>
          <w:rFonts w:hint="eastAsia" w:ascii="宋体" w:hAnsi="宋体" w:cs="宋体"/>
          <w:color w:val="auto"/>
        </w:rPr>
        <w:fldChar w:fldCharType="end"/>
      </w:r>
    </w:p>
    <w:p w14:paraId="32A2FA4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_Toc16449 </w:instrText>
      </w:r>
      <w:r>
        <w:rPr>
          <w:rFonts w:hint="eastAsia" w:ascii="宋体" w:hAnsi="宋体" w:cs="宋体"/>
        </w:rPr>
        <w:fldChar w:fldCharType="separate"/>
      </w:r>
      <w:r>
        <w:rPr>
          <w:rFonts w:hint="eastAsia"/>
        </w:rPr>
        <w:t>5.2 吊机性能参数</w:t>
      </w:r>
      <w:r>
        <w:tab/>
      </w:r>
      <w:r>
        <w:fldChar w:fldCharType="begin"/>
      </w:r>
      <w:r>
        <w:instrText xml:space="preserve"> PAGEREF _Toc16449 \h </w:instrText>
      </w:r>
      <w:r>
        <w:fldChar w:fldCharType="separate"/>
      </w:r>
      <w:r>
        <w:t>26</w:t>
      </w:r>
      <w:r>
        <w:fldChar w:fldCharType="end"/>
      </w:r>
      <w:r>
        <w:rPr>
          <w:rFonts w:hint="eastAsia" w:ascii="宋体" w:hAnsi="宋体" w:cs="宋体"/>
          <w:color w:val="auto"/>
        </w:rPr>
        <w:fldChar w:fldCharType="end"/>
      </w:r>
    </w:p>
    <w:p w14:paraId="3208B29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_Toc24151 </w:instrText>
      </w:r>
      <w:r>
        <w:rPr>
          <w:rFonts w:hint="eastAsia" w:ascii="宋体" w:hAnsi="宋体" w:cs="宋体"/>
        </w:rPr>
        <w:fldChar w:fldCharType="separate"/>
      </w:r>
      <w:r>
        <w:t>5.2.1</w:t>
      </w:r>
      <w:r>
        <w:rPr>
          <w:rFonts w:hint="eastAsia"/>
        </w:rPr>
        <w:t xml:space="preserve"> (</w:t>
      </w:r>
      <w:r>
        <w:rPr>
          <w:rFonts w:hint="eastAsia"/>
          <w:lang w:val="en-US" w:eastAsia="zh-CN"/>
        </w:rPr>
        <w:t>三一</w:t>
      </w:r>
      <w:r>
        <w:rPr>
          <w:rFonts w:hint="eastAsia"/>
        </w:rPr>
        <w:t>25</w:t>
      </w:r>
      <w:r>
        <w:rPr>
          <w:rFonts w:hint="eastAsia"/>
          <w:lang w:val="en-US" w:eastAsia="zh-CN"/>
        </w:rPr>
        <w:t>t</w:t>
      </w:r>
      <w:r>
        <w:rPr>
          <w:rFonts w:hint="eastAsia"/>
        </w:rPr>
        <w:t>)汽车吊基本参数</w:t>
      </w:r>
      <w:r>
        <w:tab/>
      </w:r>
      <w:r>
        <w:fldChar w:fldCharType="begin"/>
      </w:r>
      <w:r>
        <w:instrText xml:space="preserve"> PAGEREF _Toc24151 \h </w:instrText>
      </w:r>
      <w:r>
        <w:fldChar w:fldCharType="separate"/>
      </w:r>
      <w:r>
        <w:t>26</w:t>
      </w:r>
      <w:r>
        <w:fldChar w:fldCharType="end"/>
      </w:r>
      <w:r>
        <w:rPr>
          <w:rFonts w:hint="eastAsia" w:ascii="宋体" w:hAnsi="宋体" w:cs="宋体"/>
          <w:color w:val="auto"/>
        </w:rPr>
        <w:fldChar w:fldCharType="end"/>
      </w:r>
    </w:p>
    <w:p w14:paraId="357F179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_Toc10330 </w:instrText>
      </w:r>
      <w:r>
        <w:rPr>
          <w:rFonts w:hint="eastAsia" w:ascii="宋体" w:hAnsi="宋体" w:cs="宋体"/>
        </w:rPr>
        <w:fldChar w:fldCharType="separate"/>
      </w:r>
      <w:r>
        <w:t>5.2.2</w:t>
      </w:r>
      <w:r>
        <w:rPr>
          <w:rFonts w:hint="eastAsia"/>
          <w:lang w:eastAsia="zh-CN"/>
        </w:rPr>
        <w:t>（</w:t>
      </w:r>
      <w:r>
        <w:rPr>
          <w:rFonts w:hint="eastAsia"/>
          <w:lang w:val="en-US" w:eastAsia="zh-CN"/>
        </w:rPr>
        <w:t>中联</w:t>
      </w:r>
      <w:r>
        <w:rPr>
          <w:rFonts w:hint="eastAsia"/>
        </w:rPr>
        <w:t>50</w:t>
      </w:r>
      <w:r>
        <w:rPr>
          <w:rFonts w:hint="eastAsia"/>
          <w:lang w:val="en-US" w:eastAsia="zh-CN"/>
        </w:rPr>
        <w:t>t）</w:t>
      </w:r>
      <w:r>
        <w:rPr>
          <w:rFonts w:hint="eastAsia"/>
        </w:rPr>
        <w:t>汽车</w:t>
      </w:r>
      <w:r>
        <w:rPr>
          <w:rFonts w:hint="eastAsia"/>
          <w:lang w:val="en-US" w:eastAsia="zh-CN"/>
        </w:rPr>
        <w:t>吊</w:t>
      </w:r>
      <w:r>
        <w:rPr>
          <w:rFonts w:hint="eastAsia"/>
        </w:rPr>
        <w:t>基本参数</w:t>
      </w:r>
      <w:r>
        <w:tab/>
      </w:r>
      <w:r>
        <w:fldChar w:fldCharType="begin"/>
      </w:r>
      <w:r>
        <w:instrText xml:space="preserve"> PAGEREF _Toc10330 \h </w:instrText>
      </w:r>
      <w:r>
        <w:fldChar w:fldCharType="separate"/>
      </w:r>
      <w:r>
        <w:t>27</w:t>
      </w:r>
      <w:r>
        <w:fldChar w:fldCharType="end"/>
      </w:r>
      <w:r>
        <w:rPr>
          <w:rFonts w:hint="eastAsia" w:ascii="宋体" w:hAnsi="宋体" w:cs="宋体"/>
          <w:color w:val="auto"/>
        </w:rPr>
        <w:fldChar w:fldCharType="end"/>
      </w:r>
    </w:p>
    <w:p w14:paraId="387D0C41">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_Toc16689 </w:instrText>
      </w:r>
      <w:r>
        <w:rPr>
          <w:rFonts w:hint="eastAsia" w:ascii="宋体" w:hAnsi="宋体" w:cs="宋体"/>
        </w:rPr>
        <w:fldChar w:fldCharType="separate"/>
      </w:r>
      <w:r>
        <w:rPr>
          <w:rFonts w:hint="eastAsia"/>
        </w:rPr>
        <w:t>5.3</w:t>
      </w:r>
      <w:r>
        <w:t xml:space="preserve"> </w:t>
      </w:r>
      <w:r>
        <w:rPr>
          <w:rFonts w:hint="eastAsia"/>
        </w:rPr>
        <w:t>起吊能力验算</w:t>
      </w:r>
      <w:r>
        <w:tab/>
      </w:r>
      <w:r>
        <w:fldChar w:fldCharType="begin"/>
      </w:r>
      <w:r>
        <w:instrText xml:space="preserve"> PAGEREF _Toc16689 \h </w:instrText>
      </w:r>
      <w:r>
        <w:fldChar w:fldCharType="separate"/>
      </w:r>
      <w:r>
        <w:t>28</w:t>
      </w:r>
      <w:r>
        <w:fldChar w:fldCharType="end"/>
      </w:r>
      <w:r>
        <w:rPr>
          <w:rFonts w:hint="eastAsia" w:ascii="宋体" w:hAnsi="宋体" w:cs="宋体"/>
          <w:color w:val="auto"/>
        </w:rPr>
        <w:fldChar w:fldCharType="end"/>
      </w:r>
    </w:p>
    <w:p w14:paraId="396A288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_Toc9977 </w:instrText>
      </w:r>
      <w:r>
        <w:rPr>
          <w:rFonts w:hint="eastAsia" w:ascii="宋体" w:hAnsi="宋体" w:cs="宋体"/>
        </w:rPr>
        <w:fldChar w:fldCharType="separate"/>
      </w:r>
      <w:r>
        <w:rPr>
          <w:rFonts w:hint="eastAsia"/>
        </w:rPr>
        <w:t>5.3</w:t>
      </w:r>
      <w:r>
        <w:t>.</w:t>
      </w:r>
      <w:r>
        <w:rPr>
          <w:rFonts w:hint="eastAsia"/>
        </w:rPr>
        <w:t>1 起重量的验算</w:t>
      </w:r>
      <w:r>
        <w:tab/>
      </w:r>
      <w:r>
        <w:fldChar w:fldCharType="begin"/>
      </w:r>
      <w:r>
        <w:instrText xml:space="preserve"> PAGEREF _Toc9977 \h </w:instrText>
      </w:r>
      <w:r>
        <w:fldChar w:fldCharType="separate"/>
      </w:r>
      <w:r>
        <w:t>28</w:t>
      </w:r>
      <w:r>
        <w:fldChar w:fldCharType="end"/>
      </w:r>
      <w:r>
        <w:rPr>
          <w:rFonts w:hint="eastAsia" w:ascii="宋体" w:hAnsi="宋体" w:cs="宋体"/>
          <w:color w:val="auto"/>
        </w:rPr>
        <w:fldChar w:fldCharType="end"/>
      </w:r>
    </w:p>
    <w:p w14:paraId="4BF9319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_Toc26087 </w:instrText>
      </w:r>
      <w:r>
        <w:rPr>
          <w:rFonts w:hint="eastAsia" w:ascii="宋体" w:hAnsi="宋体" w:cs="宋体"/>
        </w:rPr>
        <w:fldChar w:fldCharType="separate"/>
      </w:r>
      <w:r>
        <w:rPr>
          <w:rFonts w:hint="eastAsia"/>
        </w:rPr>
        <w:t>5.3</w:t>
      </w:r>
      <w:r>
        <w:t>.2</w:t>
      </w:r>
      <w:r>
        <w:rPr>
          <w:rFonts w:hint="eastAsia"/>
        </w:rPr>
        <w:t xml:space="preserve"> 起升高度的验算</w:t>
      </w:r>
      <w:r>
        <w:tab/>
      </w:r>
      <w:r>
        <w:fldChar w:fldCharType="begin"/>
      </w:r>
      <w:r>
        <w:instrText xml:space="preserve"> PAGEREF _Toc26087 \h </w:instrText>
      </w:r>
      <w:r>
        <w:fldChar w:fldCharType="separate"/>
      </w:r>
      <w:r>
        <w:t>28</w:t>
      </w:r>
      <w:r>
        <w:fldChar w:fldCharType="end"/>
      </w:r>
      <w:r>
        <w:rPr>
          <w:rFonts w:hint="eastAsia" w:ascii="宋体" w:hAnsi="宋体" w:cs="宋体"/>
          <w:color w:val="auto"/>
        </w:rPr>
        <w:fldChar w:fldCharType="end"/>
      </w:r>
    </w:p>
    <w:p w14:paraId="3C5B239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_Toc5310 </w:instrText>
      </w:r>
      <w:r>
        <w:rPr>
          <w:rFonts w:hint="eastAsia" w:ascii="宋体" w:hAnsi="宋体" w:cs="宋体"/>
        </w:rPr>
        <w:fldChar w:fldCharType="separate"/>
      </w:r>
      <w:r>
        <w:rPr>
          <w:rFonts w:hint="eastAsia"/>
        </w:rPr>
        <w:t>5.3</w:t>
      </w:r>
      <w:r>
        <w:t xml:space="preserve">.3 </w:t>
      </w:r>
      <w:r>
        <w:rPr>
          <w:rFonts w:hint="eastAsia"/>
        </w:rPr>
        <w:t>起重</w:t>
      </w:r>
      <w:r>
        <w:t>吊索验算</w:t>
      </w:r>
      <w:r>
        <w:tab/>
      </w:r>
      <w:r>
        <w:fldChar w:fldCharType="begin"/>
      </w:r>
      <w:r>
        <w:instrText xml:space="preserve"> PAGEREF _Toc5310 \h </w:instrText>
      </w:r>
      <w:r>
        <w:fldChar w:fldCharType="separate"/>
      </w:r>
      <w:r>
        <w:t>28</w:t>
      </w:r>
      <w:r>
        <w:fldChar w:fldCharType="end"/>
      </w:r>
      <w:r>
        <w:rPr>
          <w:rFonts w:hint="eastAsia" w:ascii="宋体" w:hAnsi="宋体" w:cs="宋体"/>
          <w:color w:val="auto"/>
        </w:rPr>
        <w:fldChar w:fldCharType="end"/>
      </w:r>
    </w:p>
    <w:p w14:paraId="0595BE88">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_Toc20482 </w:instrText>
      </w:r>
      <w:r>
        <w:rPr>
          <w:rFonts w:hint="eastAsia" w:ascii="宋体" w:hAnsi="宋体" w:cs="宋体"/>
        </w:rPr>
        <w:fldChar w:fldCharType="separate"/>
      </w:r>
      <w:r>
        <w:rPr>
          <w:rFonts w:hint="eastAsia" w:ascii="宋体" w:hAnsi="宋体" w:eastAsia="宋体"/>
          <w:lang w:val="en-US" w:eastAsia="zh-CN"/>
        </w:rPr>
        <w:t xml:space="preserve">6 </w:t>
      </w:r>
      <w:r>
        <w:rPr>
          <w:rFonts w:hint="eastAsia" w:ascii="宋体" w:hAnsi="宋体" w:eastAsia="宋体"/>
        </w:rPr>
        <w:t>塔机安装</w:t>
      </w:r>
      <w:r>
        <w:rPr>
          <w:rFonts w:hint="eastAsia" w:ascii="宋体" w:hAnsi="宋体" w:eastAsia="宋体"/>
          <w:lang w:val="en-US" w:eastAsia="zh-CN"/>
        </w:rPr>
        <w:t>施工方案</w:t>
      </w:r>
      <w:r>
        <w:tab/>
      </w:r>
      <w:r>
        <w:fldChar w:fldCharType="begin"/>
      </w:r>
      <w:r>
        <w:instrText xml:space="preserve"> PAGEREF _Toc20482 \h </w:instrText>
      </w:r>
      <w:r>
        <w:fldChar w:fldCharType="separate"/>
      </w:r>
      <w:r>
        <w:t>30</w:t>
      </w:r>
      <w:r>
        <w:fldChar w:fldCharType="end"/>
      </w:r>
      <w:r>
        <w:rPr>
          <w:rFonts w:hint="eastAsia" w:ascii="宋体" w:hAnsi="宋体" w:cs="宋体"/>
          <w:color w:val="auto"/>
        </w:rPr>
        <w:fldChar w:fldCharType="end"/>
      </w:r>
    </w:p>
    <w:p w14:paraId="4161D717">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_Toc26320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6.1.</w:t>
      </w:r>
      <w:r>
        <w:rPr>
          <w:rFonts w:hint="eastAsia"/>
        </w:rPr>
        <w:t>施工前的准备</w:t>
      </w:r>
      <w:r>
        <w:tab/>
      </w:r>
      <w:r>
        <w:fldChar w:fldCharType="begin"/>
      </w:r>
      <w:r>
        <w:instrText xml:space="preserve"> PAGEREF _Toc26320 \h </w:instrText>
      </w:r>
      <w:r>
        <w:fldChar w:fldCharType="separate"/>
      </w:r>
      <w:r>
        <w:t>30</w:t>
      </w:r>
      <w:r>
        <w:fldChar w:fldCharType="end"/>
      </w:r>
      <w:r>
        <w:rPr>
          <w:rFonts w:hint="eastAsia" w:ascii="宋体" w:hAnsi="宋体" w:cs="宋体"/>
          <w:color w:val="auto"/>
        </w:rPr>
        <w:fldChar w:fldCharType="end"/>
      </w:r>
    </w:p>
    <w:p w14:paraId="4B63451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_Toc10438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6.2.</w:t>
      </w:r>
      <w:r>
        <w:rPr>
          <w:rFonts w:hint="eastAsia"/>
        </w:rPr>
        <w:t>塔机安装流程</w:t>
      </w:r>
      <w:r>
        <w:tab/>
      </w:r>
      <w:r>
        <w:fldChar w:fldCharType="begin"/>
      </w:r>
      <w:r>
        <w:instrText xml:space="preserve"> PAGEREF _Toc10438 \h </w:instrText>
      </w:r>
      <w:r>
        <w:fldChar w:fldCharType="separate"/>
      </w:r>
      <w:r>
        <w:t>30</w:t>
      </w:r>
      <w:r>
        <w:fldChar w:fldCharType="end"/>
      </w:r>
      <w:r>
        <w:rPr>
          <w:rFonts w:hint="eastAsia" w:ascii="宋体" w:hAnsi="宋体" w:cs="宋体"/>
          <w:color w:val="auto"/>
        </w:rPr>
        <w:fldChar w:fldCharType="end"/>
      </w:r>
    </w:p>
    <w:p w14:paraId="28BAB560">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_Toc28466 </w:instrText>
      </w:r>
      <w:r>
        <w:rPr>
          <w:rFonts w:hint="eastAsia" w:ascii="宋体" w:hAnsi="宋体" w:cs="宋体"/>
        </w:rPr>
        <w:fldChar w:fldCharType="separate"/>
      </w:r>
      <w:r>
        <w:rPr>
          <w:rFonts w:hint="default" w:ascii="宋体" w:hAnsi="宋体" w:eastAsia="宋体" w:cs="宋体"/>
          <w:bCs/>
          <w:kern w:val="2"/>
          <w:szCs w:val="32"/>
          <w:lang w:val="en-US" w:eastAsia="zh-CN" w:bidi="ar-SA"/>
        </w:rPr>
        <w:t>6.3.</w:t>
      </w:r>
      <w:r>
        <w:rPr>
          <w:rFonts w:hint="eastAsia" w:ascii="Times New Roman" w:hAnsi="Times New Roman" w:cs="Times New Roman"/>
          <w:szCs w:val="24"/>
          <w:lang w:eastAsia="zh-CN"/>
        </w:rPr>
        <w:t>XGT6015A-8S</w:t>
      </w:r>
      <w:r>
        <w:rPr>
          <w:rFonts w:hint="eastAsia" w:ascii="Times New Roman" w:hAnsi="Times New Roman" w:cs="Times New Roman"/>
          <w:szCs w:val="24"/>
          <w:lang w:val="en-US" w:eastAsia="zh-CN"/>
        </w:rPr>
        <w:t>塔机主机安装过程</w:t>
      </w:r>
      <w:r>
        <w:tab/>
      </w:r>
      <w:r>
        <w:fldChar w:fldCharType="begin"/>
      </w:r>
      <w:r>
        <w:instrText xml:space="preserve"> PAGEREF _Toc28466 \h </w:instrText>
      </w:r>
      <w:r>
        <w:fldChar w:fldCharType="separate"/>
      </w:r>
      <w:r>
        <w:t>31</w:t>
      </w:r>
      <w:r>
        <w:fldChar w:fldCharType="end"/>
      </w:r>
      <w:r>
        <w:rPr>
          <w:rFonts w:hint="eastAsia" w:ascii="宋体" w:hAnsi="宋体" w:cs="宋体"/>
          <w:color w:val="auto"/>
        </w:rPr>
        <w:fldChar w:fldCharType="end"/>
      </w:r>
    </w:p>
    <w:p w14:paraId="54BE308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_Toc22711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w:t>
      </w:r>
      <w:r>
        <w:rPr>
          <w:rFonts w:hint="eastAsia"/>
        </w:rPr>
        <w:t>安装</w:t>
      </w:r>
      <w:r>
        <w:rPr>
          <w:rFonts w:hint="eastAsia"/>
          <w:lang w:val="en-US" w:eastAsia="zh-CN"/>
        </w:rPr>
        <w:t>基础</w:t>
      </w:r>
      <w:r>
        <w:rPr>
          <w:rFonts w:hint="eastAsia"/>
        </w:rPr>
        <w:t>节和标准节</w:t>
      </w:r>
      <w:r>
        <w:tab/>
      </w:r>
      <w:r>
        <w:fldChar w:fldCharType="begin"/>
      </w:r>
      <w:r>
        <w:instrText xml:space="preserve"> PAGEREF _Toc22711 \h </w:instrText>
      </w:r>
      <w:r>
        <w:fldChar w:fldCharType="separate"/>
      </w:r>
      <w:r>
        <w:t>31</w:t>
      </w:r>
      <w:r>
        <w:fldChar w:fldCharType="end"/>
      </w:r>
      <w:r>
        <w:rPr>
          <w:rFonts w:hint="eastAsia" w:ascii="宋体" w:hAnsi="宋体" w:cs="宋体"/>
          <w:color w:val="auto"/>
        </w:rPr>
        <w:fldChar w:fldCharType="end"/>
      </w:r>
    </w:p>
    <w:p w14:paraId="47A9E9C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6.3.2.</w:t>
      </w:r>
      <w:r>
        <w:rPr>
          <w:rFonts w:hint="eastAsia"/>
        </w:rPr>
        <w:t>安装</w:t>
      </w:r>
      <w:r>
        <w:rPr>
          <w:rFonts w:hint="eastAsia"/>
          <w:lang w:val="en-US" w:eastAsia="zh-CN"/>
        </w:rPr>
        <w:t>爬升架</w:t>
      </w:r>
      <w:r>
        <w:tab/>
      </w:r>
      <w:r>
        <w:fldChar w:fldCharType="begin"/>
      </w:r>
      <w:r>
        <w:instrText xml:space="preserve"> PAGEREF _Toc186 \h </w:instrText>
      </w:r>
      <w:r>
        <w:fldChar w:fldCharType="separate"/>
      </w:r>
      <w:r>
        <w:t>32</w:t>
      </w:r>
      <w:r>
        <w:fldChar w:fldCharType="end"/>
      </w:r>
      <w:r>
        <w:rPr>
          <w:rFonts w:hint="eastAsia" w:ascii="宋体" w:hAnsi="宋体" w:cs="宋体"/>
          <w:color w:val="auto"/>
        </w:rPr>
        <w:fldChar w:fldCharType="end"/>
      </w:r>
    </w:p>
    <w:p w14:paraId="5FE57E5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_Toc18987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6.3.3.</w:t>
      </w:r>
      <w:r>
        <w:rPr>
          <w:rFonts w:hint="eastAsia"/>
        </w:rPr>
        <w:t>安装</w:t>
      </w:r>
      <w:r>
        <w:rPr>
          <w:rFonts w:hint="eastAsia"/>
          <w:lang w:val="en-US" w:eastAsia="zh-CN"/>
        </w:rPr>
        <w:t>特殊节</w:t>
      </w:r>
      <w:r>
        <w:tab/>
      </w:r>
      <w:r>
        <w:fldChar w:fldCharType="begin"/>
      </w:r>
      <w:r>
        <w:instrText xml:space="preserve"> PAGEREF _Toc18987 \h </w:instrText>
      </w:r>
      <w:r>
        <w:fldChar w:fldCharType="separate"/>
      </w:r>
      <w:r>
        <w:t>33</w:t>
      </w:r>
      <w:r>
        <w:fldChar w:fldCharType="end"/>
      </w:r>
      <w:r>
        <w:rPr>
          <w:rFonts w:hint="eastAsia" w:ascii="宋体" w:hAnsi="宋体" w:cs="宋体"/>
          <w:color w:val="auto"/>
        </w:rPr>
        <w:fldChar w:fldCharType="end"/>
      </w:r>
    </w:p>
    <w:p w14:paraId="4CD763B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_Toc7131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6.3.4.</w:t>
      </w:r>
      <w:r>
        <w:rPr>
          <w:rFonts w:hint="eastAsia"/>
        </w:rPr>
        <w:t>安装回转总成</w:t>
      </w:r>
      <w:r>
        <w:tab/>
      </w:r>
      <w:r>
        <w:fldChar w:fldCharType="begin"/>
      </w:r>
      <w:r>
        <w:instrText xml:space="preserve"> PAGEREF _Toc7131 \h </w:instrText>
      </w:r>
      <w:r>
        <w:fldChar w:fldCharType="separate"/>
      </w:r>
      <w:r>
        <w:t>34</w:t>
      </w:r>
      <w:r>
        <w:fldChar w:fldCharType="end"/>
      </w:r>
      <w:r>
        <w:rPr>
          <w:rFonts w:hint="eastAsia" w:ascii="宋体" w:hAnsi="宋体" w:cs="宋体"/>
          <w:color w:val="auto"/>
        </w:rPr>
        <w:fldChar w:fldCharType="end"/>
      </w:r>
    </w:p>
    <w:p w14:paraId="317C6FF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_Toc1396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6.3.5.</w:t>
      </w:r>
      <w:r>
        <w:rPr>
          <w:rFonts w:hint="eastAsia" w:cstheme="minorBidi"/>
          <w:bCs/>
          <w:kern w:val="2"/>
          <w:szCs w:val="32"/>
          <w:lang w:val="en-US" w:eastAsia="zh-CN" w:bidi="ar-SA"/>
        </w:rPr>
        <w:t>安装起重臂臂根节</w:t>
      </w:r>
      <w:r>
        <w:tab/>
      </w:r>
      <w:r>
        <w:fldChar w:fldCharType="begin"/>
      </w:r>
      <w:r>
        <w:instrText xml:space="preserve"> PAGEREF _Toc1396 \h </w:instrText>
      </w:r>
      <w:r>
        <w:fldChar w:fldCharType="separate"/>
      </w:r>
      <w:r>
        <w:t>35</w:t>
      </w:r>
      <w:r>
        <w:fldChar w:fldCharType="end"/>
      </w:r>
      <w:r>
        <w:rPr>
          <w:rFonts w:hint="eastAsia" w:ascii="宋体" w:hAnsi="宋体" w:cs="宋体"/>
          <w:color w:val="auto"/>
        </w:rPr>
        <w:fldChar w:fldCharType="end"/>
      </w:r>
    </w:p>
    <w:p w14:paraId="3D7912C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_Toc12957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6.3.6.</w:t>
      </w:r>
      <w:r>
        <w:rPr>
          <w:rFonts w:hint="eastAsia"/>
        </w:rPr>
        <w:t>安装平衡臂</w:t>
      </w:r>
      <w:r>
        <w:tab/>
      </w:r>
      <w:r>
        <w:fldChar w:fldCharType="begin"/>
      </w:r>
      <w:r>
        <w:instrText xml:space="preserve"> PAGEREF _Toc12957 \h </w:instrText>
      </w:r>
      <w:r>
        <w:fldChar w:fldCharType="separate"/>
      </w:r>
      <w:r>
        <w:t>36</w:t>
      </w:r>
      <w:r>
        <w:fldChar w:fldCharType="end"/>
      </w:r>
      <w:r>
        <w:rPr>
          <w:rFonts w:hint="eastAsia" w:ascii="宋体" w:hAnsi="宋体" w:cs="宋体"/>
          <w:color w:val="auto"/>
        </w:rPr>
        <w:fldChar w:fldCharType="end"/>
      </w:r>
    </w:p>
    <w:p w14:paraId="3F5731F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_Toc7025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6.3.7.</w:t>
      </w:r>
      <w:r>
        <w:rPr>
          <w:rFonts w:hint="eastAsia"/>
        </w:rPr>
        <w:t>安装</w:t>
      </w:r>
      <w:r>
        <w:rPr>
          <w:rFonts w:hint="eastAsia"/>
          <w:lang w:val="en-US" w:eastAsia="zh-CN"/>
        </w:rPr>
        <w:t>两</w:t>
      </w:r>
      <w:r>
        <w:rPr>
          <w:rFonts w:hint="eastAsia"/>
        </w:rPr>
        <w:t>块</w:t>
      </w:r>
      <w:r>
        <w:rPr>
          <w:rFonts w:hint="eastAsia"/>
          <w:lang w:val="en-US" w:eastAsia="zh-CN"/>
        </w:rPr>
        <w:t>3.2</w:t>
      </w:r>
      <w:r>
        <w:t>t</w:t>
      </w:r>
      <w:r>
        <w:rPr>
          <w:rFonts w:hint="eastAsia"/>
        </w:rPr>
        <w:t>平衡重</w:t>
      </w:r>
      <w:r>
        <w:tab/>
      </w:r>
      <w:r>
        <w:fldChar w:fldCharType="begin"/>
      </w:r>
      <w:r>
        <w:instrText xml:space="preserve"> PAGEREF _Toc7025 \h </w:instrText>
      </w:r>
      <w:r>
        <w:fldChar w:fldCharType="separate"/>
      </w:r>
      <w:r>
        <w:t>37</w:t>
      </w:r>
      <w:r>
        <w:fldChar w:fldCharType="end"/>
      </w:r>
      <w:r>
        <w:rPr>
          <w:rFonts w:hint="eastAsia" w:ascii="宋体" w:hAnsi="宋体" w:cs="宋体"/>
          <w:color w:val="auto"/>
        </w:rPr>
        <w:fldChar w:fldCharType="end"/>
      </w:r>
    </w:p>
    <w:p w14:paraId="4D4F417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_Toc17787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6.3.8.</w:t>
      </w:r>
      <w:r>
        <w:rPr>
          <w:rFonts w:hint="eastAsia"/>
        </w:rPr>
        <w:t>安装</w:t>
      </w:r>
      <w:r>
        <w:rPr>
          <w:rFonts w:hint="eastAsia"/>
          <w:lang w:val="en-US" w:eastAsia="zh-CN"/>
        </w:rPr>
        <w:t>50米</w:t>
      </w:r>
      <w:r>
        <w:rPr>
          <w:rFonts w:hint="eastAsia"/>
        </w:rPr>
        <w:t>起重臂总成</w:t>
      </w:r>
      <w:r>
        <w:tab/>
      </w:r>
      <w:r>
        <w:fldChar w:fldCharType="begin"/>
      </w:r>
      <w:r>
        <w:instrText xml:space="preserve"> PAGEREF _Toc17787 \h </w:instrText>
      </w:r>
      <w:r>
        <w:fldChar w:fldCharType="separate"/>
      </w:r>
      <w:r>
        <w:t>38</w:t>
      </w:r>
      <w:r>
        <w:fldChar w:fldCharType="end"/>
      </w:r>
      <w:r>
        <w:rPr>
          <w:rFonts w:hint="eastAsia" w:ascii="宋体" w:hAnsi="宋体" w:cs="宋体"/>
          <w:color w:val="auto"/>
        </w:rPr>
        <w:fldChar w:fldCharType="end"/>
      </w:r>
    </w:p>
    <w:p w14:paraId="2C44A3A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_Toc14718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6.3.9.</w:t>
      </w:r>
      <w:r>
        <w:rPr>
          <w:rFonts w:hint="eastAsia"/>
        </w:rPr>
        <w:t>安装剩余平衡重</w:t>
      </w:r>
      <w:r>
        <w:tab/>
      </w:r>
      <w:r>
        <w:fldChar w:fldCharType="begin"/>
      </w:r>
      <w:r>
        <w:instrText xml:space="preserve"> PAGEREF _Toc14718 \h </w:instrText>
      </w:r>
      <w:r>
        <w:fldChar w:fldCharType="separate"/>
      </w:r>
      <w:r>
        <w:t>40</w:t>
      </w:r>
      <w:r>
        <w:fldChar w:fldCharType="end"/>
      </w:r>
      <w:r>
        <w:rPr>
          <w:rFonts w:hint="eastAsia" w:ascii="宋体" w:hAnsi="宋体" w:cs="宋体"/>
          <w:color w:val="auto"/>
        </w:rPr>
        <w:fldChar w:fldCharType="end"/>
      </w:r>
    </w:p>
    <w:p w14:paraId="4C0EE67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_Toc26619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6.3.10.</w:t>
      </w:r>
      <w:r>
        <w:rPr>
          <w:rFonts w:hint="eastAsia"/>
        </w:rPr>
        <w:t>安装</w:t>
      </w:r>
      <w:r>
        <w:rPr>
          <w:rFonts w:hint="eastAsia"/>
          <w:lang w:val="en-US" w:eastAsia="zh-CN"/>
        </w:rPr>
        <w:t>钢丝绳及吊钩</w:t>
      </w:r>
      <w:r>
        <w:tab/>
      </w:r>
      <w:r>
        <w:fldChar w:fldCharType="begin"/>
      </w:r>
      <w:r>
        <w:instrText xml:space="preserve"> PAGEREF _Toc26619 \h </w:instrText>
      </w:r>
      <w:r>
        <w:fldChar w:fldCharType="separate"/>
      </w:r>
      <w:r>
        <w:t>41</w:t>
      </w:r>
      <w:r>
        <w:fldChar w:fldCharType="end"/>
      </w:r>
      <w:r>
        <w:rPr>
          <w:rFonts w:hint="eastAsia" w:ascii="宋体" w:hAnsi="宋体" w:cs="宋体"/>
          <w:color w:val="auto"/>
        </w:rPr>
        <w:fldChar w:fldCharType="end"/>
      </w:r>
    </w:p>
    <w:p w14:paraId="6605031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_Toc23076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6.3.11.</w:t>
      </w:r>
      <w:r>
        <w:rPr>
          <w:rFonts w:hint="eastAsia" w:ascii="黑体" w:hAnsi="黑体" w:cs="黑体"/>
          <w:bCs/>
          <w:lang w:val="en-US" w:eastAsia="zh-CN"/>
        </w:rPr>
        <w:t>安全装置调试</w:t>
      </w:r>
      <w:r>
        <w:tab/>
      </w:r>
      <w:r>
        <w:fldChar w:fldCharType="begin"/>
      </w:r>
      <w:r>
        <w:instrText xml:space="preserve"> PAGEREF _Toc23076 \h </w:instrText>
      </w:r>
      <w:r>
        <w:fldChar w:fldCharType="separate"/>
      </w:r>
      <w:r>
        <w:t>47</w:t>
      </w:r>
      <w:r>
        <w:fldChar w:fldCharType="end"/>
      </w:r>
      <w:r>
        <w:rPr>
          <w:rFonts w:hint="eastAsia" w:ascii="宋体" w:hAnsi="宋体" w:cs="宋体"/>
          <w:color w:val="auto"/>
        </w:rPr>
        <w:fldChar w:fldCharType="end"/>
      </w:r>
    </w:p>
    <w:p w14:paraId="7AD155D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_Toc29499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6.3.12.</w:t>
      </w:r>
      <w:r>
        <w:rPr>
          <w:rFonts w:hint="eastAsia"/>
        </w:rPr>
        <w:t>顶升</w:t>
      </w:r>
      <w:r>
        <w:tab/>
      </w:r>
      <w:r>
        <w:fldChar w:fldCharType="begin"/>
      </w:r>
      <w:r>
        <w:instrText xml:space="preserve"> PAGEREF _Toc29499 \h </w:instrText>
      </w:r>
      <w:r>
        <w:fldChar w:fldCharType="separate"/>
      </w:r>
      <w:r>
        <w:t>50</w:t>
      </w:r>
      <w:r>
        <w:fldChar w:fldCharType="end"/>
      </w:r>
      <w:r>
        <w:rPr>
          <w:rFonts w:hint="eastAsia" w:ascii="宋体" w:hAnsi="宋体" w:cs="宋体"/>
          <w:color w:val="auto"/>
        </w:rPr>
        <w:fldChar w:fldCharType="end"/>
      </w:r>
    </w:p>
    <w:p w14:paraId="427A263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_Toc24561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6.3.13.</w:t>
      </w:r>
      <w:r>
        <w:rPr>
          <w:rFonts w:hint="eastAsia"/>
        </w:rPr>
        <w:t>塔机防雷与接地</w:t>
      </w:r>
      <w:r>
        <w:tab/>
      </w:r>
      <w:r>
        <w:fldChar w:fldCharType="begin"/>
      </w:r>
      <w:r>
        <w:instrText xml:space="preserve"> PAGEREF _Toc24561 \h </w:instrText>
      </w:r>
      <w:r>
        <w:fldChar w:fldCharType="separate"/>
      </w:r>
      <w:r>
        <w:t>54</w:t>
      </w:r>
      <w:r>
        <w:fldChar w:fldCharType="end"/>
      </w:r>
      <w:r>
        <w:rPr>
          <w:rFonts w:hint="eastAsia" w:ascii="宋体" w:hAnsi="宋体" w:cs="宋体"/>
          <w:color w:val="auto"/>
        </w:rPr>
        <w:fldChar w:fldCharType="end"/>
      </w:r>
    </w:p>
    <w:p w14:paraId="5218172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_Toc7633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3</w:t>
      </w:r>
      <w:r>
        <w:rPr>
          <w:rFonts w:hint="default" w:ascii="宋体" w:hAnsi="宋体" w:eastAsia="宋体" w:cstheme="minorBidi"/>
          <w:bCs/>
          <w:kern w:val="2"/>
          <w:szCs w:val="32"/>
          <w:lang w:val="en-US" w:eastAsia="zh-CN" w:bidi="ar-SA"/>
        </w:rPr>
        <w:t>.</w:t>
      </w:r>
      <w:r>
        <w:rPr>
          <w:rFonts w:hint="eastAsia" w:ascii="宋体" w:hAnsi="宋体" w:eastAsia="宋体" w:cstheme="minorBidi"/>
          <w:bCs/>
          <w:kern w:val="2"/>
          <w:szCs w:val="32"/>
          <w:lang w:val="en-US" w:eastAsia="zh-CN" w:bidi="ar-SA"/>
        </w:rPr>
        <w:t>14.荷载试验</w:t>
      </w:r>
      <w:r>
        <w:tab/>
      </w:r>
      <w:r>
        <w:fldChar w:fldCharType="begin"/>
      </w:r>
      <w:r>
        <w:instrText xml:space="preserve"> PAGEREF _Toc7633 \h </w:instrText>
      </w:r>
      <w:r>
        <w:fldChar w:fldCharType="separate"/>
      </w:r>
      <w:r>
        <w:t>54</w:t>
      </w:r>
      <w:r>
        <w:fldChar w:fldCharType="end"/>
      </w:r>
      <w:r>
        <w:rPr>
          <w:rFonts w:hint="eastAsia" w:ascii="宋体" w:hAnsi="宋体" w:cs="宋体"/>
          <w:color w:val="auto"/>
        </w:rPr>
        <w:fldChar w:fldCharType="end"/>
      </w:r>
    </w:p>
    <w:p w14:paraId="00386DA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_Toc5212 </w:instrText>
      </w:r>
      <w:r>
        <w:rPr>
          <w:rFonts w:hint="eastAsia" w:ascii="宋体" w:hAnsi="宋体" w:cs="宋体"/>
        </w:rPr>
        <w:fldChar w:fldCharType="separate"/>
      </w:r>
      <w:r>
        <w:rPr>
          <w:rFonts w:hint="default" w:ascii="宋体" w:hAnsi="宋体" w:eastAsia="宋体" w:cs="宋体"/>
          <w:bCs/>
          <w:kern w:val="2"/>
          <w:szCs w:val="32"/>
          <w:lang w:val="en-US" w:eastAsia="zh-CN" w:bidi="ar-SA"/>
        </w:rPr>
        <w:t>6.4.</w:t>
      </w:r>
      <w:r>
        <w:rPr>
          <w:rFonts w:hint="eastAsia" w:ascii="宋体" w:hAnsi="宋体" w:eastAsia="宋体" w:cs="宋体"/>
          <w:bCs/>
          <w:kern w:val="2"/>
          <w:szCs w:val="32"/>
          <w:lang w:val="en-US" w:eastAsia="zh-CN" w:bidi="ar-SA"/>
        </w:rPr>
        <w:t>XGT6515D-10S/XGT6515-10S塔机安装工序（以XGT6515-10S塔机为例）</w:t>
      </w:r>
      <w:r>
        <w:tab/>
      </w:r>
      <w:r>
        <w:fldChar w:fldCharType="begin"/>
      </w:r>
      <w:r>
        <w:instrText xml:space="preserve"> PAGEREF _Toc5212 \h </w:instrText>
      </w:r>
      <w:r>
        <w:fldChar w:fldCharType="separate"/>
      </w:r>
      <w:r>
        <w:t>56</w:t>
      </w:r>
      <w:r>
        <w:fldChar w:fldCharType="end"/>
      </w:r>
      <w:r>
        <w:rPr>
          <w:rFonts w:hint="eastAsia" w:ascii="宋体" w:hAnsi="宋体" w:cs="宋体"/>
          <w:color w:val="auto"/>
        </w:rPr>
        <w:fldChar w:fldCharType="end"/>
      </w:r>
    </w:p>
    <w:p w14:paraId="46FDFB4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_Toc11176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w:t>
      </w:r>
      <w:r>
        <w:rPr>
          <w:rFonts w:hint="eastAsia" w:ascii="宋体" w:hAnsi="宋体" w:eastAsia="宋体"/>
          <w:lang w:val="en-US" w:eastAsia="zh-CN"/>
        </w:rPr>
        <w:t>安装基础节和标准节</w:t>
      </w:r>
      <w:r>
        <w:tab/>
      </w:r>
      <w:r>
        <w:fldChar w:fldCharType="begin"/>
      </w:r>
      <w:r>
        <w:instrText xml:space="preserve"> PAGEREF _Toc11176 \h </w:instrText>
      </w:r>
      <w:r>
        <w:fldChar w:fldCharType="separate"/>
      </w:r>
      <w:r>
        <w:t>56</w:t>
      </w:r>
      <w:r>
        <w:fldChar w:fldCharType="end"/>
      </w:r>
      <w:r>
        <w:rPr>
          <w:rFonts w:hint="eastAsia" w:ascii="宋体" w:hAnsi="宋体" w:cs="宋体"/>
          <w:color w:val="auto"/>
        </w:rPr>
        <w:fldChar w:fldCharType="end"/>
      </w:r>
    </w:p>
    <w:p w14:paraId="46F0632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_Toc4785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2.</w:t>
      </w:r>
      <w:r>
        <w:rPr>
          <w:rFonts w:hint="eastAsia" w:ascii="宋体" w:hAnsi="宋体" w:eastAsia="宋体"/>
          <w:lang w:val="en-US" w:eastAsia="zh-CN"/>
        </w:rPr>
        <w:t>安装爬升架</w:t>
      </w:r>
      <w:r>
        <w:tab/>
      </w:r>
      <w:r>
        <w:fldChar w:fldCharType="begin"/>
      </w:r>
      <w:r>
        <w:instrText xml:space="preserve"> PAGEREF _Toc4785 \h </w:instrText>
      </w:r>
      <w:r>
        <w:fldChar w:fldCharType="separate"/>
      </w:r>
      <w:r>
        <w:t>58</w:t>
      </w:r>
      <w:r>
        <w:fldChar w:fldCharType="end"/>
      </w:r>
      <w:r>
        <w:rPr>
          <w:rFonts w:hint="eastAsia" w:ascii="宋体" w:hAnsi="宋体" w:cs="宋体"/>
          <w:color w:val="auto"/>
        </w:rPr>
        <w:fldChar w:fldCharType="end"/>
      </w:r>
    </w:p>
    <w:p w14:paraId="7BCF99D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_Toc15807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3.</w:t>
      </w:r>
      <w:r>
        <w:rPr>
          <w:rFonts w:hint="eastAsia" w:ascii="宋体" w:hAnsi="宋体" w:eastAsia="宋体"/>
          <w:lang w:val="en-US" w:eastAsia="zh-CN"/>
        </w:rPr>
        <w:t>安装特殊节</w:t>
      </w:r>
      <w:r>
        <w:tab/>
      </w:r>
      <w:r>
        <w:fldChar w:fldCharType="begin"/>
      </w:r>
      <w:r>
        <w:instrText xml:space="preserve"> PAGEREF _Toc15807 \h </w:instrText>
      </w:r>
      <w:r>
        <w:fldChar w:fldCharType="separate"/>
      </w:r>
      <w:r>
        <w:t>59</w:t>
      </w:r>
      <w:r>
        <w:fldChar w:fldCharType="end"/>
      </w:r>
      <w:r>
        <w:rPr>
          <w:rFonts w:hint="eastAsia" w:ascii="宋体" w:hAnsi="宋体" w:cs="宋体"/>
          <w:color w:val="auto"/>
        </w:rPr>
        <w:fldChar w:fldCharType="end"/>
      </w:r>
    </w:p>
    <w:p w14:paraId="60051A7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_Toc10057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4.</w:t>
      </w:r>
      <w:r>
        <w:rPr>
          <w:rFonts w:hint="eastAsia" w:ascii="宋体" w:hAnsi="宋体" w:eastAsia="宋体"/>
          <w:lang w:val="en-US" w:eastAsia="zh-CN"/>
        </w:rPr>
        <w:t>安装回转总成</w:t>
      </w:r>
      <w:r>
        <w:tab/>
      </w:r>
      <w:r>
        <w:fldChar w:fldCharType="begin"/>
      </w:r>
      <w:r>
        <w:instrText xml:space="preserve"> PAGEREF _Toc10057 \h </w:instrText>
      </w:r>
      <w:r>
        <w:fldChar w:fldCharType="separate"/>
      </w:r>
      <w:r>
        <w:t>60</w:t>
      </w:r>
      <w:r>
        <w:fldChar w:fldCharType="end"/>
      </w:r>
      <w:r>
        <w:rPr>
          <w:rFonts w:hint="eastAsia" w:ascii="宋体" w:hAnsi="宋体" w:cs="宋体"/>
          <w:color w:val="auto"/>
        </w:rPr>
        <w:fldChar w:fldCharType="end"/>
      </w:r>
    </w:p>
    <w:p w14:paraId="4646D31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_Toc18683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5.</w:t>
      </w:r>
      <w:r>
        <w:rPr>
          <w:rFonts w:hint="eastAsia" w:ascii="宋体" w:hAnsi="宋体" w:eastAsia="宋体"/>
          <w:lang w:val="en-US" w:eastAsia="zh-CN"/>
        </w:rPr>
        <w:t>安装起重臂臂根节</w:t>
      </w:r>
      <w:r>
        <w:tab/>
      </w:r>
      <w:r>
        <w:fldChar w:fldCharType="begin"/>
      </w:r>
      <w:r>
        <w:instrText xml:space="preserve"> PAGEREF _Toc18683 \h </w:instrText>
      </w:r>
      <w:r>
        <w:fldChar w:fldCharType="separate"/>
      </w:r>
      <w:r>
        <w:t>61</w:t>
      </w:r>
      <w:r>
        <w:fldChar w:fldCharType="end"/>
      </w:r>
      <w:r>
        <w:rPr>
          <w:rFonts w:hint="eastAsia" w:ascii="宋体" w:hAnsi="宋体" w:cs="宋体"/>
          <w:color w:val="auto"/>
        </w:rPr>
        <w:fldChar w:fldCharType="end"/>
      </w:r>
    </w:p>
    <w:p w14:paraId="294A345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_Toc11682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6.</w:t>
      </w:r>
      <w:r>
        <w:rPr>
          <w:rFonts w:hint="eastAsia" w:ascii="宋体" w:hAnsi="宋体" w:eastAsia="宋体"/>
          <w:lang w:val="en-US" w:eastAsia="zh-CN"/>
        </w:rPr>
        <w:t>安装平衡臂</w:t>
      </w:r>
      <w:r>
        <w:tab/>
      </w:r>
      <w:r>
        <w:fldChar w:fldCharType="begin"/>
      </w:r>
      <w:r>
        <w:instrText xml:space="preserve"> PAGEREF _Toc11682 \h </w:instrText>
      </w:r>
      <w:r>
        <w:fldChar w:fldCharType="separate"/>
      </w:r>
      <w:r>
        <w:t>62</w:t>
      </w:r>
      <w:r>
        <w:fldChar w:fldCharType="end"/>
      </w:r>
      <w:r>
        <w:rPr>
          <w:rFonts w:hint="eastAsia" w:ascii="宋体" w:hAnsi="宋体" w:cs="宋体"/>
          <w:color w:val="auto"/>
        </w:rPr>
        <w:fldChar w:fldCharType="end"/>
      </w:r>
    </w:p>
    <w:p w14:paraId="3EBA3D6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_Toc13416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7.</w:t>
      </w:r>
      <w:r>
        <w:rPr>
          <w:rFonts w:hint="eastAsia" w:ascii="宋体" w:hAnsi="宋体" w:eastAsia="宋体"/>
          <w:lang w:val="en-US" w:eastAsia="zh-CN"/>
        </w:rPr>
        <w:t>安装一块3.2t平衡重</w:t>
      </w:r>
      <w:r>
        <w:tab/>
      </w:r>
      <w:r>
        <w:fldChar w:fldCharType="begin"/>
      </w:r>
      <w:r>
        <w:instrText xml:space="preserve"> PAGEREF _Toc13416 \h </w:instrText>
      </w:r>
      <w:r>
        <w:fldChar w:fldCharType="separate"/>
      </w:r>
      <w:r>
        <w:t>64</w:t>
      </w:r>
      <w:r>
        <w:fldChar w:fldCharType="end"/>
      </w:r>
      <w:r>
        <w:rPr>
          <w:rFonts w:hint="eastAsia" w:ascii="宋体" w:hAnsi="宋体" w:cs="宋体"/>
          <w:color w:val="auto"/>
        </w:rPr>
        <w:fldChar w:fldCharType="end"/>
      </w:r>
    </w:p>
    <w:p w14:paraId="0C74125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_Toc3088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8.</w:t>
      </w:r>
      <w:r>
        <w:rPr>
          <w:rFonts w:hint="eastAsia" w:ascii="宋体" w:hAnsi="宋体" w:eastAsia="宋体"/>
          <w:lang w:val="en-US" w:eastAsia="zh-CN"/>
        </w:rPr>
        <w:t>安装剩余起重臂</w:t>
      </w:r>
      <w:r>
        <w:tab/>
      </w:r>
      <w:r>
        <w:fldChar w:fldCharType="begin"/>
      </w:r>
      <w:r>
        <w:instrText xml:space="preserve"> PAGEREF _Toc3088 \h </w:instrText>
      </w:r>
      <w:r>
        <w:fldChar w:fldCharType="separate"/>
      </w:r>
      <w:r>
        <w:t>65</w:t>
      </w:r>
      <w:r>
        <w:fldChar w:fldCharType="end"/>
      </w:r>
      <w:r>
        <w:rPr>
          <w:rFonts w:hint="eastAsia" w:ascii="宋体" w:hAnsi="宋体" w:cs="宋体"/>
          <w:color w:val="auto"/>
        </w:rPr>
        <w:fldChar w:fldCharType="end"/>
      </w:r>
    </w:p>
    <w:p w14:paraId="7C60718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_Toc25245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9.</w:t>
      </w:r>
      <w:r>
        <w:rPr>
          <w:rFonts w:hint="eastAsia" w:ascii="宋体" w:hAnsi="宋体" w:eastAsia="宋体"/>
          <w:lang w:val="en-US" w:eastAsia="zh-CN"/>
        </w:rPr>
        <w:t>安装剩余平衡重</w:t>
      </w:r>
      <w:r>
        <w:tab/>
      </w:r>
      <w:r>
        <w:fldChar w:fldCharType="begin"/>
      </w:r>
      <w:r>
        <w:instrText xml:space="preserve"> PAGEREF _Toc25245 \h </w:instrText>
      </w:r>
      <w:r>
        <w:fldChar w:fldCharType="separate"/>
      </w:r>
      <w:r>
        <w:t>71</w:t>
      </w:r>
      <w:r>
        <w:fldChar w:fldCharType="end"/>
      </w:r>
      <w:r>
        <w:rPr>
          <w:rFonts w:hint="eastAsia" w:ascii="宋体" w:hAnsi="宋体" w:cs="宋体"/>
          <w:color w:val="auto"/>
        </w:rPr>
        <w:fldChar w:fldCharType="end"/>
      </w:r>
    </w:p>
    <w:p w14:paraId="48A0A6C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_Toc8732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10.</w:t>
      </w:r>
      <w:r>
        <w:rPr>
          <w:rFonts w:hint="eastAsia" w:ascii="宋体" w:hAnsi="宋体" w:eastAsia="宋体"/>
          <w:lang w:val="en-US" w:eastAsia="zh-CN"/>
        </w:rPr>
        <w:t>安装钢丝绳与吊钩</w:t>
      </w:r>
      <w:r>
        <w:tab/>
      </w:r>
      <w:r>
        <w:fldChar w:fldCharType="begin"/>
      </w:r>
      <w:r>
        <w:instrText xml:space="preserve"> PAGEREF _Toc8732 \h </w:instrText>
      </w:r>
      <w:r>
        <w:fldChar w:fldCharType="separate"/>
      </w:r>
      <w:r>
        <w:t>73</w:t>
      </w:r>
      <w:r>
        <w:fldChar w:fldCharType="end"/>
      </w:r>
      <w:r>
        <w:rPr>
          <w:rFonts w:hint="eastAsia" w:ascii="宋体" w:hAnsi="宋体" w:cs="宋体"/>
          <w:color w:val="auto"/>
        </w:rPr>
        <w:fldChar w:fldCharType="end"/>
      </w:r>
    </w:p>
    <w:p w14:paraId="49DC94A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_Toc18204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11.</w:t>
      </w:r>
      <w:r>
        <w:rPr>
          <w:rFonts w:hint="eastAsia" w:ascii="宋体" w:hAnsi="宋体" w:eastAsia="宋体"/>
          <w:lang w:val="en-US" w:eastAsia="zh-CN"/>
        </w:rPr>
        <w:t xml:space="preserve"> 安全装置调试</w:t>
      </w:r>
      <w:r>
        <w:tab/>
      </w:r>
      <w:r>
        <w:fldChar w:fldCharType="begin"/>
      </w:r>
      <w:r>
        <w:instrText xml:space="preserve"> PAGEREF _Toc18204 \h </w:instrText>
      </w:r>
      <w:r>
        <w:fldChar w:fldCharType="separate"/>
      </w:r>
      <w:r>
        <w:t>73</w:t>
      </w:r>
      <w:r>
        <w:fldChar w:fldCharType="end"/>
      </w:r>
      <w:r>
        <w:rPr>
          <w:rFonts w:hint="eastAsia" w:ascii="宋体" w:hAnsi="宋体" w:cs="宋体"/>
          <w:color w:val="auto"/>
        </w:rPr>
        <w:fldChar w:fldCharType="end"/>
      </w:r>
    </w:p>
    <w:p w14:paraId="57D06C0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_Toc26325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12.</w:t>
      </w:r>
      <w:r>
        <w:rPr>
          <w:rFonts w:hint="eastAsia" w:ascii="宋体" w:hAnsi="宋体" w:eastAsia="宋体"/>
          <w:lang w:val="en-US" w:eastAsia="zh-CN"/>
        </w:rPr>
        <w:t>顶升</w:t>
      </w:r>
      <w:r>
        <w:tab/>
      </w:r>
      <w:r>
        <w:fldChar w:fldCharType="begin"/>
      </w:r>
      <w:r>
        <w:instrText xml:space="preserve"> PAGEREF _Toc26325 \h </w:instrText>
      </w:r>
      <w:r>
        <w:fldChar w:fldCharType="separate"/>
      </w:r>
      <w:r>
        <w:t>77</w:t>
      </w:r>
      <w:r>
        <w:fldChar w:fldCharType="end"/>
      </w:r>
      <w:r>
        <w:rPr>
          <w:rFonts w:hint="eastAsia" w:ascii="宋体" w:hAnsi="宋体" w:cs="宋体"/>
          <w:color w:val="auto"/>
        </w:rPr>
        <w:fldChar w:fldCharType="end"/>
      </w:r>
    </w:p>
    <w:p w14:paraId="6F5BC1B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_Toc28650 </w:instrText>
      </w:r>
      <w:r>
        <w:rPr>
          <w:rFonts w:hint="eastAsia" w:ascii="宋体" w:hAnsi="宋体" w:cs="宋体"/>
        </w:rPr>
        <w:fldChar w:fldCharType="separate"/>
      </w:r>
      <w:r>
        <w:rPr>
          <w:rFonts w:hint="eastAsia" w:ascii="宋体" w:hAnsi="宋体" w:eastAsia="宋体"/>
          <w:lang w:val="en-US" w:eastAsia="zh-CN"/>
        </w:rPr>
        <w:t>6.4.</w:t>
      </w:r>
      <w:r>
        <w:rPr>
          <w:rFonts w:hint="default" w:ascii="宋体" w:hAnsi="宋体" w:eastAsia="宋体"/>
          <w:lang w:val="en-US" w:eastAsia="zh-CN"/>
        </w:rPr>
        <w:t>13.</w:t>
      </w:r>
      <w:r>
        <w:rPr>
          <w:rFonts w:hint="eastAsia" w:ascii="宋体" w:hAnsi="宋体" w:eastAsia="宋体"/>
          <w:lang w:val="en-US" w:eastAsia="zh-CN"/>
        </w:rPr>
        <w:t>塔机防雷与接地</w:t>
      </w:r>
      <w:r>
        <w:tab/>
      </w:r>
      <w:r>
        <w:fldChar w:fldCharType="begin"/>
      </w:r>
      <w:r>
        <w:instrText xml:space="preserve"> PAGEREF _Toc28650 \h </w:instrText>
      </w:r>
      <w:r>
        <w:fldChar w:fldCharType="separate"/>
      </w:r>
      <w:r>
        <w:t>84</w:t>
      </w:r>
      <w:r>
        <w:fldChar w:fldCharType="end"/>
      </w:r>
      <w:r>
        <w:rPr>
          <w:rFonts w:hint="eastAsia" w:ascii="宋体" w:hAnsi="宋体" w:cs="宋体"/>
          <w:color w:val="auto"/>
        </w:rPr>
        <w:fldChar w:fldCharType="end"/>
      </w:r>
    </w:p>
    <w:p w14:paraId="47322AF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_Toc7833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4</w:t>
      </w:r>
      <w:r>
        <w:rPr>
          <w:rFonts w:hint="default" w:ascii="宋体" w:hAnsi="宋体" w:eastAsia="宋体" w:cstheme="minorBidi"/>
          <w:bCs/>
          <w:kern w:val="2"/>
          <w:szCs w:val="32"/>
          <w:lang w:val="en-US" w:eastAsia="zh-CN" w:bidi="ar-SA"/>
        </w:rPr>
        <w:t>.</w:t>
      </w:r>
      <w:r>
        <w:rPr>
          <w:rFonts w:hint="eastAsia" w:ascii="宋体" w:hAnsi="宋体" w:eastAsia="宋体" w:cstheme="minorBidi"/>
          <w:bCs/>
          <w:kern w:val="2"/>
          <w:szCs w:val="32"/>
          <w:lang w:val="en-US" w:eastAsia="zh-CN" w:bidi="ar-SA"/>
        </w:rPr>
        <w:t>14.荷载试验</w:t>
      </w:r>
      <w:r>
        <w:tab/>
      </w:r>
      <w:r>
        <w:fldChar w:fldCharType="begin"/>
      </w:r>
      <w:r>
        <w:instrText xml:space="preserve"> PAGEREF _Toc7833 \h </w:instrText>
      </w:r>
      <w:r>
        <w:fldChar w:fldCharType="separate"/>
      </w:r>
      <w:r>
        <w:t>85</w:t>
      </w:r>
      <w:r>
        <w:fldChar w:fldCharType="end"/>
      </w:r>
      <w:r>
        <w:rPr>
          <w:rFonts w:hint="eastAsia" w:ascii="宋体" w:hAnsi="宋体" w:cs="宋体"/>
          <w:color w:val="auto"/>
        </w:rPr>
        <w:fldChar w:fldCharType="end"/>
      </w:r>
    </w:p>
    <w:p w14:paraId="6AA243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_Toc27829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w:t>
      </w:r>
      <w:r>
        <w:rPr>
          <w:rFonts w:hint="eastAsia" w:cstheme="majorBidi"/>
          <w:bCs/>
          <w:kern w:val="2"/>
          <w:szCs w:val="32"/>
          <w:lang w:val="en-US" w:eastAsia="zh-CN" w:bidi="ar-SA"/>
        </w:rPr>
        <w:t>5</w:t>
      </w:r>
      <w:r>
        <w:rPr>
          <w:rFonts w:hint="default" w:ascii="宋体" w:hAnsi="宋体" w:eastAsia="宋体" w:cstheme="majorBidi"/>
          <w:bCs/>
          <w:kern w:val="2"/>
          <w:szCs w:val="32"/>
          <w:lang w:val="en-US" w:eastAsia="zh-CN" w:bidi="ar-SA"/>
        </w:rPr>
        <w:t>.</w:t>
      </w:r>
      <w:r>
        <w:rPr>
          <w:rFonts w:hint="eastAsia"/>
        </w:rPr>
        <w:t>塔机验收</w:t>
      </w:r>
      <w:r>
        <w:tab/>
      </w:r>
      <w:r>
        <w:fldChar w:fldCharType="begin"/>
      </w:r>
      <w:r>
        <w:instrText xml:space="preserve"> PAGEREF _Toc27829 \h </w:instrText>
      </w:r>
      <w:r>
        <w:fldChar w:fldCharType="separate"/>
      </w:r>
      <w:r>
        <w:t>87</w:t>
      </w:r>
      <w:r>
        <w:fldChar w:fldCharType="end"/>
      </w:r>
      <w:r>
        <w:rPr>
          <w:rFonts w:hint="eastAsia" w:ascii="宋体" w:hAnsi="宋体" w:cs="宋体"/>
          <w:color w:val="auto"/>
        </w:rPr>
        <w:fldChar w:fldCharType="end"/>
      </w:r>
    </w:p>
    <w:p w14:paraId="3E672EC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_Toc3097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.1.</w:t>
      </w:r>
      <w:r>
        <w:rPr>
          <w:rFonts w:hint="eastAsia"/>
        </w:rPr>
        <w:t>验收标准</w:t>
      </w:r>
      <w:r>
        <w:tab/>
      </w:r>
      <w:r>
        <w:fldChar w:fldCharType="begin"/>
      </w:r>
      <w:r>
        <w:instrText xml:space="preserve"> PAGEREF _Toc3097 \h </w:instrText>
      </w:r>
      <w:r>
        <w:fldChar w:fldCharType="separate"/>
      </w:r>
      <w:r>
        <w:t>87</w:t>
      </w:r>
      <w:r>
        <w:fldChar w:fldCharType="end"/>
      </w:r>
      <w:r>
        <w:rPr>
          <w:rFonts w:hint="eastAsia" w:ascii="宋体" w:hAnsi="宋体" w:cs="宋体"/>
          <w:color w:val="auto"/>
        </w:rPr>
        <w:fldChar w:fldCharType="end"/>
      </w:r>
    </w:p>
    <w:p w14:paraId="5533BB5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_Toc2102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.2.</w:t>
      </w:r>
      <w:r>
        <w:rPr>
          <w:rFonts w:hint="eastAsia"/>
        </w:rPr>
        <w:t>验收程序</w:t>
      </w:r>
      <w:r>
        <w:tab/>
      </w:r>
      <w:r>
        <w:fldChar w:fldCharType="begin"/>
      </w:r>
      <w:r>
        <w:instrText xml:space="preserve"> PAGEREF _Toc2102 \h </w:instrText>
      </w:r>
      <w:r>
        <w:fldChar w:fldCharType="separate"/>
      </w:r>
      <w:r>
        <w:t>87</w:t>
      </w:r>
      <w:r>
        <w:fldChar w:fldCharType="end"/>
      </w:r>
      <w:r>
        <w:rPr>
          <w:rFonts w:hint="eastAsia" w:ascii="宋体" w:hAnsi="宋体" w:cs="宋体"/>
          <w:color w:val="auto"/>
        </w:rPr>
        <w:fldChar w:fldCharType="end"/>
      </w:r>
    </w:p>
    <w:p w14:paraId="39AED64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_Toc24241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6.5</w:t>
      </w:r>
      <w:r>
        <w:rPr>
          <w:rFonts w:hint="default" w:ascii="宋体" w:hAnsi="宋体" w:eastAsia="宋体" w:cstheme="minorBidi"/>
          <w:bCs/>
          <w:kern w:val="2"/>
          <w:szCs w:val="32"/>
          <w:lang w:val="en-US" w:eastAsia="zh-CN" w:bidi="ar-SA"/>
        </w:rPr>
        <w:t>.3.</w:t>
      </w:r>
      <w:r>
        <w:rPr>
          <w:rFonts w:hint="eastAsia" w:ascii="宋体" w:hAnsi="宋体" w:eastAsia="宋体"/>
          <w:lang w:val="en-US" w:eastAsia="zh-CN"/>
        </w:rPr>
        <w:t>验收内容</w:t>
      </w:r>
      <w:r>
        <w:rPr>
          <w:rFonts w:hint="default" w:ascii="宋体" w:hAnsi="宋体" w:eastAsia="宋体"/>
          <w:lang w:val="en-US" w:eastAsia="zh-CN"/>
        </w:rPr>
        <w:t>表</w:t>
      </w:r>
      <w:r>
        <w:tab/>
      </w:r>
      <w:r>
        <w:fldChar w:fldCharType="begin"/>
      </w:r>
      <w:r>
        <w:instrText xml:space="preserve"> PAGEREF _Toc24241 \h </w:instrText>
      </w:r>
      <w:r>
        <w:fldChar w:fldCharType="separate"/>
      </w:r>
      <w:r>
        <w:t>87</w:t>
      </w:r>
      <w:r>
        <w:fldChar w:fldCharType="end"/>
      </w:r>
      <w:r>
        <w:rPr>
          <w:rFonts w:hint="eastAsia" w:ascii="宋体" w:hAnsi="宋体" w:cs="宋体"/>
          <w:color w:val="auto"/>
        </w:rPr>
        <w:fldChar w:fldCharType="end"/>
      </w:r>
    </w:p>
    <w:p w14:paraId="4E0F040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_Toc11710 </w:instrText>
      </w:r>
      <w:r>
        <w:rPr>
          <w:rFonts w:hint="eastAsia" w:ascii="宋体" w:hAnsi="宋体" w:cs="宋体"/>
        </w:rPr>
        <w:fldChar w:fldCharType="separate"/>
      </w:r>
      <w:r>
        <w:rPr>
          <w:rFonts w:hint="eastAsia" w:cstheme="minorBidi"/>
          <w:bCs/>
          <w:kern w:val="2"/>
          <w:szCs w:val="32"/>
          <w:lang w:val="en-US" w:eastAsia="zh-CN" w:bidi="ar-SA"/>
        </w:rPr>
        <w:t>6.5</w:t>
      </w:r>
      <w:r>
        <w:rPr>
          <w:rFonts w:hint="default" w:ascii="宋体" w:hAnsi="宋体" w:eastAsia="宋体" w:cstheme="minorBidi"/>
          <w:bCs/>
          <w:kern w:val="2"/>
          <w:szCs w:val="32"/>
          <w:lang w:val="en-US" w:eastAsia="zh-CN" w:bidi="ar-SA"/>
        </w:rPr>
        <w:t>.4.</w:t>
      </w:r>
      <w:r>
        <w:rPr>
          <w:rFonts w:hint="eastAsia"/>
        </w:rPr>
        <w:t>验收人员</w:t>
      </w:r>
      <w:r>
        <w:tab/>
      </w:r>
      <w:r>
        <w:fldChar w:fldCharType="begin"/>
      </w:r>
      <w:r>
        <w:instrText xml:space="preserve"> PAGEREF _Toc11710 \h </w:instrText>
      </w:r>
      <w:r>
        <w:fldChar w:fldCharType="separate"/>
      </w:r>
      <w:r>
        <w:t>88</w:t>
      </w:r>
      <w:r>
        <w:fldChar w:fldCharType="end"/>
      </w:r>
      <w:r>
        <w:rPr>
          <w:rFonts w:hint="eastAsia" w:ascii="宋体" w:hAnsi="宋体" w:cs="宋体"/>
          <w:color w:val="auto"/>
        </w:rPr>
        <w:fldChar w:fldCharType="end"/>
      </w:r>
    </w:p>
    <w:p w14:paraId="7F4A85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_Toc28743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6.6.</w:t>
      </w:r>
      <w:r>
        <w:rPr>
          <w:rFonts w:hint="eastAsia"/>
        </w:rPr>
        <w:t>质量控制</w:t>
      </w:r>
      <w:r>
        <w:tab/>
      </w:r>
      <w:r>
        <w:fldChar w:fldCharType="begin"/>
      </w:r>
      <w:r>
        <w:instrText xml:space="preserve"> PAGEREF _Toc28743 \h </w:instrText>
      </w:r>
      <w:r>
        <w:fldChar w:fldCharType="separate"/>
      </w:r>
      <w:r>
        <w:t>89</w:t>
      </w:r>
      <w:r>
        <w:fldChar w:fldCharType="end"/>
      </w:r>
      <w:r>
        <w:rPr>
          <w:rFonts w:hint="eastAsia" w:ascii="宋体" w:hAnsi="宋体" w:cs="宋体"/>
          <w:color w:val="auto"/>
        </w:rPr>
        <w:fldChar w:fldCharType="end"/>
      </w:r>
    </w:p>
    <w:p w14:paraId="42D3565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_Toc25613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6.7.</w:t>
      </w:r>
      <w:r>
        <w:rPr>
          <w:rFonts w:hint="eastAsia"/>
        </w:rPr>
        <w:t>塔机安装拆除施工作业安全质量卡控要点</w:t>
      </w:r>
      <w:r>
        <w:tab/>
      </w:r>
      <w:r>
        <w:fldChar w:fldCharType="begin"/>
      </w:r>
      <w:r>
        <w:instrText xml:space="preserve"> PAGEREF _Toc25613 \h </w:instrText>
      </w:r>
      <w:r>
        <w:fldChar w:fldCharType="separate"/>
      </w:r>
      <w:r>
        <w:t>90</w:t>
      </w:r>
      <w:r>
        <w:fldChar w:fldCharType="end"/>
      </w:r>
      <w:r>
        <w:rPr>
          <w:rFonts w:hint="eastAsia" w:ascii="宋体" w:hAnsi="宋体" w:cs="宋体"/>
          <w:color w:val="auto"/>
        </w:rPr>
        <w:fldChar w:fldCharType="end"/>
      </w:r>
    </w:p>
    <w:p w14:paraId="777EC22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_Toc14153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6.8.</w:t>
      </w:r>
      <w:r>
        <w:rPr>
          <w:rFonts w:hint="eastAsia"/>
          <w:lang w:eastAsia="zh-CN"/>
        </w:rPr>
        <w:t>塔机</w:t>
      </w:r>
      <w:r>
        <w:rPr>
          <w:rFonts w:hint="eastAsia"/>
        </w:rPr>
        <w:t>备案内容及备案程序</w:t>
      </w:r>
      <w:r>
        <w:tab/>
      </w:r>
      <w:r>
        <w:fldChar w:fldCharType="begin"/>
      </w:r>
      <w:r>
        <w:instrText xml:space="preserve"> PAGEREF _Toc14153 \h </w:instrText>
      </w:r>
      <w:r>
        <w:fldChar w:fldCharType="separate"/>
      </w:r>
      <w:r>
        <w:t>90</w:t>
      </w:r>
      <w:r>
        <w:fldChar w:fldCharType="end"/>
      </w:r>
      <w:r>
        <w:rPr>
          <w:rFonts w:hint="eastAsia" w:ascii="宋体" w:hAnsi="宋体" w:cs="宋体"/>
          <w:color w:val="auto"/>
        </w:rPr>
        <w:fldChar w:fldCharType="end"/>
      </w:r>
    </w:p>
    <w:p w14:paraId="0308B08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_Toc20443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6.9.</w:t>
      </w:r>
      <w:r>
        <w:rPr>
          <w:rFonts w:hint="eastAsia"/>
        </w:rPr>
        <w:t>塔式起重机操作使用应符合下列规定</w:t>
      </w:r>
      <w:r>
        <w:tab/>
      </w:r>
      <w:r>
        <w:fldChar w:fldCharType="begin"/>
      </w:r>
      <w:r>
        <w:instrText xml:space="preserve"> PAGEREF _Toc20443 \h </w:instrText>
      </w:r>
      <w:r>
        <w:fldChar w:fldCharType="separate"/>
      </w:r>
      <w:r>
        <w:t>90</w:t>
      </w:r>
      <w:r>
        <w:fldChar w:fldCharType="end"/>
      </w:r>
      <w:r>
        <w:rPr>
          <w:rFonts w:hint="eastAsia" w:ascii="宋体" w:hAnsi="宋体" w:cs="宋体"/>
          <w:color w:val="auto"/>
        </w:rPr>
        <w:fldChar w:fldCharType="end"/>
      </w:r>
    </w:p>
    <w:p w14:paraId="48AE0BFB">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_Toc13705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6.10.</w:t>
      </w:r>
      <w:r>
        <w:t>施工方自身的监测监控措施等</w:t>
      </w:r>
      <w:r>
        <w:tab/>
      </w:r>
      <w:r>
        <w:fldChar w:fldCharType="begin"/>
      </w:r>
      <w:r>
        <w:instrText xml:space="preserve"> PAGEREF _Toc13705 \h </w:instrText>
      </w:r>
      <w:r>
        <w:fldChar w:fldCharType="separate"/>
      </w:r>
      <w:r>
        <w:t>91</w:t>
      </w:r>
      <w:r>
        <w:fldChar w:fldCharType="end"/>
      </w:r>
      <w:r>
        <w:rPr>
          <w:rFonts w:hint="eastAsia" w:ascii="宋体" w:hAnsi="宋体" w:cs="宋体"/>
          <w:color w:val="auto"/>
        </w:rPr>
        <w:fldChar w:fldCharType="end"/>
      </w:r>
    </w:p>
    <w:p w14:paraId="720BD2C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_Toc959 </w:instrText>
      </w:r>
      <w:r>
        <w:rPr>
          <w:rFonts w:hint="eastAsia" w:ascii="宋体" w:hAnsi="宋体" w:cs="宋体"/>
        </w:rPr>
        <w:fldChar w:fldCharType="separate"/>
      </w:r>
      <w:r>
        <w:rPr>
          <w:rFonts w:hint="default" w:ascii="宋体" w:hAnsi="宋体" w:eastAsia="宋体"/>
        </w:rPr>
        <w:t xml:space="preserve">6.10.1. </w:t>
      </w:r>
      <w:r>
        <w:rPr>
          <w:rFonts w:hint="eastAsia" w:ascii="宋体" w:hAnsi="宋体" w:eastAsia="宋体"/>
        </w:rPr>
        <w:t>监测项目</w:t>
      </w:r>
      <w:r>
        <w:tab/>
      </w:r>
      <w:r>
        <w:fldChar w:fldCharType="begin"/>
      </w:r>
      <w:r>
        <w:instrText xml:space="preserve"> PAGEREF _Toc959 \h </w:instrText>
      </w:r>
      <w:r>
        <w:fldChar w:fldCharType="separate"/>
      </w:r>
      <w:r>
        <w:t>91</w:t>
      </w:r>
      <w:r>
        <w:fldChar w:fldCharType="end"/>
      </w:r>
      <w:r>
        <w:rPr>
          <w:rFonts w:hint="eastAsia" w:ascii="宋体" w:hAnsi="宋体" w:cs="宋体"/>
          <w:color w:val="auto"/>
        </w:rPr>
        <w:fldChar w:fldCharType="end"/>
      </w:r>
    </w:p>
    <w:p w14:paraId="1BE3784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_Toc13063 </w:instrText>
      </w:r>
      <w:r>
        <w:rPr>
          <w:rFonts w:hint="eastAsia" w:ascii="宋体" w:hAnsi="宋体" w:cs="宋体"/>
        </w:rPr>
        <w:fldChar w:fldCharType="separate"/>
      </w:r>
      <w:r>
        <w:rPr>
          <w:rFonts w:hint="default" w:ascii="宋体" w:hAnsi="宋体" w:eastAsia="宋体"/>
        </w:rPr>
        <w:t xml:space="preserve">6.10.2. </w:t>
      </w:r>
      <w:r>
        <w:rPr>
          <w:rFonts w:hint="eastAsia" w:ascii="宋体" w:hAnsi="宋体" w:eastAsia="宋体"/>
        </w:rPr>
        <w:t>监测超预警值后的处理措施</w:t>
      </w:r>
      <w:r>
        <w:tab/>
      </w:r>
      <w:r>
        <w:fldChar w:fldCharType="begin"/>
      </w:r>
      <w:r>
        <w:instrText xml:space="preserve"> PAGEREF _Toc13063 \h </w:instrText>
      </w:r>
      <w:r>
        <w:fldChar w:fldCharType="separate"/>
      </w:r>
      <w:r>
        <w:t>91</w:t>
      </w:r>
      <w:r>
        <w:fldChar w:fldCharType="end"/>
      </w:r>
      <w:r>
        <w:rPr>
          <w:rFonts w:hint="eastAsia" w:ascii="宋体" w:hAnsi="宋体" w:cs="宋体"/>
          <w:color w:val="auto"/>
        </w:rPr>
        <w:fldChar w:fldCharType="end"/>
      </w:r>
    </w:p>
    <w:p w14:paraId="007CDEF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_Toc20580 </w:instrText>
      </w:r>
      <w:r>
        <w:rPr>
          <w:rFonts w:hint="eastAsia" w:ascii="宋体" w:hAnsi="宋体" w:cs="宋体"/>
        </w:rPr>
        <w:fldChar w:fldCharType="separate"/>
      </w:r>
      <w:r>
        <w:rPr>
          <w:rFonts w:hint="default" w:ascii="宋体" w:hAnsi="宋体" w:eastAsia="宋体"/>
        </w:rPr>
        <w:t xml:space="preserve">6.10.3. </w:t>
      </w:r>
      <w:r>
        <w:rPr>
          <w:rFonts w:hint="eastAsia" w:ascii="宋体" w:hAnsi="宋体" w:eastAsia="宋体"/>
        </w:rPr>
        <w:t>监测方法</w:t>
      </w:r>
      <w:r>
        <w:tab/>
      </w:r>
      <w:r>
        <w:fldChar w:fldCharType="begin"/>
      </w:r>
      <w:r>
        <w:instrText xml:space="preserve"> PAGEREF _Toc20580 \h </w:instrText>
      </w:r>
      <w:r>
        <w:fldChar w:fldCharType="separate"/>
      </w:r>
      <w:r>
        <w:t>91</w:t>
      </w:r>
      <w:r>
        <w:fldChar w:fldCharType="end"/>
      </w:r>
      <w:r>
        <w:rPr>
          <w:rFonts w:hint="eastAsia" w:ascii="宋体" w:hAnsi="宋体" w:cs="宋体"/>
          <w:color w:val="auto"/>
        </w:rPr>
        <w:fldChar w:fldCharType="end"/>
      </w:r>
    </w:p>
    <w:p w14:paraId="6AAF3E8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_Toc19424 </w:instrText>
      </w:r>
      <w:r>
        <w:rPr>
          <w:rFonts w:hint="eastAsia" w:ascii="宋体" w:hAnsi="宋体" w:cs="宋体"/>
        </w:rPr>
        <w:fldChar w:fldCharType="separate"/>
      </w:r>
      <w:r>
        <w:rPr>
          <w:rFonts w:hint="default" w:ascii="宋体" w:hAnsi="宋体" w:eastAsia="宋体"/>
        </w:rPr>
        <w:t xml:space="preserve">6.10.4. </w:t>
      </w:r>
      <w:r>
        <w:rPr>
          <w:rFonts w:hint="eastAsia" w:ascii="宋体" w:hAnsi="宋体" w:eastAsia="宋体"/>
        </w:rPr>
        <w:t>监测频率</w:t>
      </w:r>
      <w:r>
        <w:tab/>
      </w:r>
      <w:r>
        <w:fldChar w:fldCharType="begin"/>
      </w:r>
      <w:r>
        <w:instrText xml:space="preserve"> PAGEREF _Toc19424 \h </w:instrText>
      </w:r>
      <w:r>
        <w:fldChar w:fldCharType="separate"/>
      </w:r>
      <w:r>
        <w:t>92</w:t>
      </w:r>
      <w:r>
        <w:fldChar w:fldCharType="end"/>
      </w:r>
      <w:r>
        <w:rPr>
          <w:rFonts w:hint="eastAsia" w:ascii="宋体" w:hAnsi="宋体" w:cs="宋体"/>
          <w:color w:val="auto"/>
        </w:rPr>
        <w:fldChar w:fldCharType="end"/>
      </w:r>
    </w:p>
    <w:p w14:paraId="191D382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_Toc7964 </w:instrText>
      </w:r>
      <w:r>
        <w:rPr>
          <w:rFonts w:hint="eastAsia" w:ascii="宋体" w:hAnsi="宋体" w:cs="宋体"/>
        </w:rPr>
        <w:fldChar w:fldCharType="separate"/>
      </w:r>
      <w:r>
        <w:rPr>
          <w:rFonts w:hint="default" w:ascii="宋体" w:hAnsi="宋体" w:eastAsia="宋体"/>
        </w:rPr>
        <w:t xml:space="preserve">6.10.5. </w:t>
      </w:r>
      <w:r>
        <w:rPr>
          <w:rFonts w:hint="eastAsia" w:ascii="宋体" w:hAnsi="宋体" w:eastAsia="宋体"/>
        </w:rPr>
        <w:t>监测记录表</w:t>
      </w:r>
      <w:r>
        <w:tab/>
      </w:r>
      <w:r>
        <w:fldChar w:fldCharType="begin"/>
      </w:r>
      <w:r>
        <w:instrText xml:space="preserve"> PAGEREF _Toc7964 \h </w:instrText>
      </w:r>
      <w:r>
        <w:fldChar w:fldCharType="separate"/>
      </w:r>
      <w:r>
        <w:t>92</w:t>
      </w:r>
      <w:r>
        <w:fldChar w:fldCharType="end"/>
      </w:r>
      <w:r>
        <w:rPr>
          <w:rFonts w:hint="eastAsia" w:ascii="宋体" w:hAnsi="宋体" w:cs="宋体"/>
          <w:color w:val="auto"/>
        </w:rPr>
        <w:fldChar w:fldCharType="end"/>
      </w:r>
    </w:p>
    <w:p w14:paraId="72CBD96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_Toc21257 </w:instrText>
      </w:r>
      <w:r>
        <w:rPr>
          <w:rFonts w:hint="eastAsia" w:ascii="宋体" w:hAnsi="宋体" w:cs="宋体"/>
        </w:rPr>
        <w:fldChar w:fldCharType="separate"/>
      </w:r>
      <w:r>
        <w:rPr>
          <w:rFonts w:hint="default" w:ascii="宋体" w:hAnsi="宋体" w:eastAsia="宋体"/>
          <w:szCs w:val="24"/>
        </w:rPr>
        <w:t xml:space="preserve">6.10.6. </w:t>
      </w:r>
      <w:r>
        <w:rPr>
          <w:rFonts w:hint="eastAsia" w:ascii="宋体" w:hAnsi="宋体" w:eastAsia="宋体"/>
          <w:szCs w:val="24"/>
        </w:rPr>
        <w:t>检测仪器与精度</w:t>
      </w:r>
      <w:r>
        <w:tab/>
      </w:r>
      <w:r>
        <w:fldChar w:fldCharType="begin"/>
      </w:r>
      <w:r>
        <w:instrText xml:space="preserve"> PAGEREF _Toc21257 \h </w:instrText>
      </w:r>
      <w:r>
        <w:fldChar w:fldCharType="separate"/>
      </w:r>
      <w:r>
        <w:t>94</w:t>
      </w:r>
      <w:r>
        <w:fldChar w:fldCharType="end"/>
      </w:r>
      <w:r>
        <w:rPr>
          <w:rFonts w:hint="eastAsia" w:ascii="宋体" w:hAnsi="宋体" w:cs="宋体"/>
          <w:color w:val="auto"/>
        </w:rPr>
        <w:fldChar w:fldCharType="end"/>
      </w:r>
    </w:p>
    <w:p w14:paraId="0C6DC2B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_Toc29268 </w:instrText>
      </w:r>
      <w:r>
        <w:rPr>
          <w:rFonts w:hint="eastAsia" w:ascii="宋体" w:hAnsi="宋体" w:cs="宋体"/>
        </w:rPr>
        <w:fldChar w:fldCharType="separate"/>
      </w:r>
      <w:r>
        <w:rPr>
          <w:rFonts w:hint="default" w:ascii="宋体" w:hAnsi="宋体" w:eastAsia="宋体"/>
          <w:szCs w:val="24"/>
        </w:rPr>
        <w:t xml:space="preserve">6.10.7. </w:t>
      </w:r>
      <w:r>
        <w:rPr>
          <w:rFonts w:hint="eastAsia" w:ascii="宋体" w:hAnsi="宋体" w:eastAsia="宋体"/>
          <w:szCs w:val="24"/>
        </w:rPr>
        <w:t>数据处理及信息反馈</w:t>
      </w:r>
      <w:r>
        <w:tab/>
      </w:r>
      <w:r>
        <w:fldChar w:fldCharType="begin"/>
      </w:r>
      <w:r>
        <w:instrText xml:space="preserve"> PAGEREF _Toc29268 \h </w:instrText>
      </w:r>
      <w:r>
        <w:fldChar w:fldCharType="separate"/>
      </w:r>
      <w:r>
        <w:t>94</w:t>
      </w:r>
      <w:r>
        <w:fldChar w:fldCharType="end"/>
      </w:r>
      <w:r>
        <w:rPr>
          <w:rFonts w:hint="eastAsia" w:ascii="宋体" w:hAnsi="宋体" w:cs="宋体"/>
          <w:color w:val="auto"/>
        </w:rPr>
        <w:fldChar w:fldCharType="end"/>
      </w:r>
    </w:p>
    <w:p w14:paraId="1C42ECA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_Toc22388 </w:instrText>
      </w:r>
      <w:r>
        <w:rPr>
          <w:rFonts w:hint="eastAsia" w:ascii="宋体" w:hAnsi="宋体" w:cs="宋体"/>
        </w:rPr>
        <w:fldChar w:fldCharType="separate"/>
      </w:r>
      <w:r>
        <w:rPr>
          <w:rFonts w:hint="default" w:ascii="宋体" w:hAnsi="宋体" w:eastAsia="宋体"/>
          <w:szCs w:val="24"/>
        </w:rPr>
        <w:t xml:space="preserve">6.10.8. </w:t>
      </w:r>
      <w:r>
        <w:rPr>
          <w:rFonts w:hint="eastAsia" w:ascii="宋体" w:hAnsi="宋体" w:eastAsia="宋体"/>
          <w:szCs w:val="24"/>
          <w:lang w:val="en-US" w:eastAsia="zh-CN"/>
        </w:rPr>
        <w:t>监控报警及措施</w:t>
      </w:r>
      <w:r>
        <w:tab/>
      </w:r>
      <w:r>
        <w:fldChar w:fldCharType="begin"/>
      </w:r>
      <w:r>
        <w:instrText xml:space="preserve"> PAGEREF _Toc22388 \h </w:instrText>
      </w:r>
      <w:r>
        <w:fldChar w:fldCharType="separate"/>
      </w:r>
      <w:r>
        <w:t>94</w:t>
      </w:r>
      <w:r>
        <w:fldChar w:fldCharType="end"/>
      </w:r>
      <w:r>
        <w:rPr>
          <w:rFonts w:hint="eastAsia" w:ascii="宋体" w:hAnsi="宋体" w:cs="宋体"/>
          <w:color w:val="auto"/>
        </w:rPr>
        <w:fldChar w:fldCharType="end"/>
      </w:r>
    </w:p>
    <w:p w14:paraId="64BD1EBA">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_Toc17021 </w:instrText>
      </w:r>
      <w:r>
        <w:rPr>
          <w:rFonts w:hint="eastAsia" w:ascii="宋体" w:hAnsi="宋体" w:cs="宋体"/>
        </w:rPr>
        <w:fldChar w:fldCharType="separate"/>
      </w:r>
      <w:r>
        <w:rPr>
          <w:rFonts w:hint="eastAsia" w:eastAsia="宋体" w:asciiTheme="minorEastAsia" w:hAnsiTheme="minorEastAsia"/>
          <w:szCs w:val="28"/>
        </w:rPr>
        <w:t>7</w:t>
      </w:r>
      <w:r>
        <w:rPr>
          <w:rFonts w:hint="eastAsia" w:eastAsia="宋体" w:asciiTheme="minorEastAsia" w:hAnsiTheme="minorEastAsia"/>
          <w:szCs w:val="28"/>
          <w:lang w:val="en-US" w:eastAsia="zh-CN"/>
        </w:rPr>
        <w:t>.</w:t>
      </w:r>
      <w:r>
        <w:rPr>
          <w:rFonts w:hint="eastAsia" w:eastAsia="宋体" w:asciiTheme="minorEastAsia" w:hAnsiTheme="minorEastAsia"/>
          <w:szCs w:val="28"/>
        </w:rPr>
        <w:t>塔机拆除</w:t>
      </w:r>
      <w:r>
        <w:rPr>
          <w:rFonts w:hint="eastAsia" w:eastAsia="宋体" w:asciiTheme="minorEastAsia" w:hAnsiTheme="minorEastAsia"/>
          <w:szCs w:val="28"/>
          <w:lang w:val="en-US" w:eastAsia="zh-CN"/>
        </w:rPr>
        <w:t>施工方案</w:t>
      </w:r>
      <w:r>
        <w:tab/>
      </w:r>
      <w:r>
        <w:fldChar w:fldCharType="begin"/>
      </w:r>
      <w:r>
        <w:instrText xml:space="preserve"> PAGEREF _Toc17021 \h </w:instrText>
      </w:r>
      <w:r>
        <w:fldChar w:fldCharType="separate"/>
      </w:r>
      <w:r>
        <w:t>95</w:t>
      </w:r>
      <w:r>
        <w:fldChar w:fldCharType="end"/>
      </w:r>
      <w:r>
        <w:rPr>
          <w:rFonts w:hint="eastAsia" w:ascii="宋体" w:hAnsi="宋体" w:cs="宋体"/>
          <w:color w:val="auto"/>
        </w:rPr>
        <w:fldChar w:fldCharType="end"/>
      </w:r>
    </w:p>
    <w:p w14:paraId="6370B7F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_Toc18390 </w:instrText>
      </w:r>
      <w:r>
        <w:rPr>
          <w:rFonts w:hint="eastAsia" w:ascii="宋体" w:hAnsi="宋体" w:cs="宋体"/>
        </w:rPr>
        <w:fldChar w:fldCharType="separate"/>
      </w:r>
      <w:r>
        <w:rPr>
          <w:rFonts w:hint="default" w:ascii="宋体" w:hAnsi="宋体" w:eastAsia="宋体"/>
          <w:lang w:val="en-US" w:eastAsia="zh-CN"/>
        </w:rPr>
        <w:t xml:space="preserve">7.1. </w:t>
      </w:r>
      <w:r>
        <w:rPr>
          <w:rFonts w:hint="eastAsia" w:ascii="宋体" w:hAnsi="宋体" w:eastAsia="宋体"/>
          <w:lang w:val="en-US" w:eastAsia="zh-CN"/>
        </w:rPr>
        <w:t>施工前准备</w:t>
      </w:r>
      <w:r>
        <w:tab/>
      </w:r>
      <w:r>
        <w:fldChar w:fldCharType="begin"/>
      </w:r>
      <w:r>
        <w:instrText xml:space="preserve"> PAGEREF _Toc18390 \h </w:instrText>
      </w:r>
      <w:r>
        <w:fldChar w:fldCharType="separate"/>
      </w:r>
      <w:r>
        <w:t>95</w:t>
      </w:r>
      <w:r>
        <w:fldChar w:fldCharType="end"/>
      </w:r>
      <w:r>
        <w:rPr>
          <w:rFonts w:hint="eastAsia" w:ascii="宋体" w:hAnsi="宋体" w:cs="宋体"/>
          <w:color w:val="auto"/>
        </w:rPr>
        <w:fldChar w:fldCharType="end"/>
      </w:r>
    </w:p>
    <w:p w14:paraId="16937B8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_Toc25442 </w:instrText>
      </w:r>
      <w:r>
        <w:rPr>
          <w:rFonts w:hint="eastAsia" w:ascii="宋体" w:hAnsi="宋体" w:cs="宋体"/>
        </w:rPr>
        <w:fldChar w:fldCharType="separate"/>
      </w:r>
      <w:r>
        <w:rPr>
          <w:rFonts w:hint="default" w:ascii="宋体" w:hAnsi="宋体" w:eastAsia="宋体"/>
          <w:lang w:val="en-US" w:eastAsia="zh-CN"/>
        </w:rPr>
        <w:t xml:space="preserve">7.2. </w:t>
      </w:r>
      <w:r>
        <w:rPr>
          <w:rFonts w:hint="eastAsia" w:ascii="宋体" w:hAnsi="宋体" w:eastAsia="宋体"/>
          <w:lang w:val="en-US" w:eastAsia="zh-CN"/>
        </w:rPr>
        <w:t>拆塔注意事项</w:t>
      </w:r>
      <w:r>
        <w:tab/>
      </w:r>
      <w:r>
        <w:fldChar w:fldCharType="begin"/>
      </w:r>
      <w:r>
        <w:instrText xml:space="preserve"> PAGEREF _Toc25442 \h </w:instrText>
      </w:r>
      <w:r>
        <w:fldChar w:fldCharType="separate"/>
      </w:r>
      <w:r>
        <w:t>95</w:t>
      </w:r>
      <w:r>
        <w:fldChar w:fldCharType="end"/>
      </w:r>
      <w:r>
        <w:rPr>
          <w:rFonts w:hint="eastAsia" w:ascii="宋体" w:hAnsi="宋体" w:cs="宋体"/>
          <w:color w:val="auto"/>
        </w:rPr>
        <w:fldChar w:fldCharType="end"/>
      </w:r>
    </w:p>
    <w:p w14:paraId="7503F97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_Toc20777 </w:instrText>
      </w:r>
      <w:r>
        <w:rPr>
          <w:rFonts w:hint="eastAsia" w:ascii="宋体" w:hAnsi="宋体" w:cs="宋体"/>
        </w:rPr>
        <w:fldChar w:fldCharType="separate"/>
      </w:r>
      <w:r>
        <w:rPr>
          <w:rFonts w:hint="default" w:ascii="宋体" w:hAnsi="宋体" w:eastAsia="宋体"/>
          <w:lang w:val="en-US" w:eastAsia="zh-CN"/>
        </w:rPr>
        <w:t xml:space="preserve">7.3. </w:t>
      </w:r>
      <w:r>
        <w:rPr>
          <w:rFonts w:hint="eastAsia" w:ascii="宋体" w:hAnsi="宋体" w:eastAsia="宋体"/>
          <w:lang w:val="en-US" w:eastAsia="zh-CN"/>
        </w:rPr>
        <w:t>塔机拆卸步骤</w:t>
      </w:r>
      <w:r>
        <w:tab/>
      </w:r>
      <w:r>
        <w:fldChar w:fldCharType="begin"/>
      </w:r>
      <w:r>
        <w:instrText xml:space="preserve"> PAGEREF _Toc20777 \h </w:instrText>
      </w:r>
      <w:r>
        <w:fldChar w:fldCharType="separate"/>
      </w:r>
      <w:r>
        <w:t>96</w:t>
      </w:r>
      <w:r>
        <w:fldChar w:fldCharType="end"/>
      </w:r>
      <w:r>
        <w:rPr>
          <w:rFonts w:hint="eastAsia" w:ascii="宋体" w:hAnsi="宋体" w:cs="宋体"/>
          <w:color w:val="auto"/>
        </w:rPr>
        <w:fldChar w:fldCharType="end"/>
      </w:r>
    </w:p>
    <w:p w14:paraId="6DC64BF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_Toc15620 </w:instrText>
      </w:r>
      <w:r>
        <w:rPr>
          <w:rFonts w:hint="eastAsia" w:ascii="宋体" w:hAnsi="宋体" w:cs="宋体"/>
        </w:rPr>
        <w:fldChar w:fldCharType="separate"/>
      </w:r>
      <w:r>
        <w:rPr>
          <w:rFonts w:hint="default" w:ascii="宋体" w:hAnsi="宋体" w:eastAsia="宋体"/>
          <w:lang w:val="en-US" w:eastAsia="zh-CN"/>
        </w:rPr>
        <w:t xml:space="preserve">7.4. </w:t>
      </w:r>
      <w:r>
        <w:rPr>
          <w:rFonts w:hint="eastAsia" w:ascii="宋体" w:hAnsi="宋体" w:eastAsia="宋体"/>
          <w:lang w:val="en-US" w:eastAsia="zh-CN"/>
        </w:rPr>
        <w:t>XGT6015A-8S拆除工序</w:t>
      </w:r>
      <w:r>
        <w:tab/>
      </w:r>
      <w:r>
        <w:fldChar w:fldCharType="begin"/>
      </w:r>
      <w:r>
        <w:instrText xml:space="preserve"> PAGEREF _Toc15620 \h </w:instrText>
      </w:r>
      <w:r>
        <w:fldChar w:fldCharType="separate"/>
      </w:r>
      <w:r>
        <w:t>97</w:t>
      </w:r>
      <w:r>
        <w:fldChar w:fldCharType="end"/>
      </w:r>
      <w:r>
        <w:rPr>
          <w:rFonts w:hint="eastAsia" w:ascii="宋体" w:hAnsi="宋体" w:cs="宋体"/>
          <w:color w:val="auto"/>
        </w:rPr>
        <w:fldChar w:fldCharType="end"/>
      </w:r>
    </w:p>
    <w:p w14:paraId="325BD01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_Toc13972 </w:instrText>
      </w:r>
      <w:r>
        <w:rPr>
          <w:rFonts w:hint="eastAsia" w:ascii="宋体" w:hAnsi="宋体" w:cs="宋体"/>
        </w:rPr>
        <w:fldChar w:fldCharType="separate"/>
      </w:r>
      <w:r>
        <w:rPr>
          <w:rFonts w:hint="default"/>
        </w:rPr>
        <w:t xml:space="preserve">7.4.1. </w:t>
      </w:r>
      <w:r>
        <w:rPr>
          <w:rFonts w:hint="eastAsia"/>
        </w:rPr>
        <w:t>降标准节</w:t>
      </w:r>
      <w:r>
        <w:tab/>
      </w:r>
      <w:r>
        <w:fldChar w:fldCharType="begin"/>
      </w:r>
      <w:r>
        <w:instrText xml:space="preserve"> PAGEREF _Toc13972 \h </w:instrText>
      </w:r>
      <w:r>
        <w:fldChar w:fldCharType="separate"/>
      </w:r>
      <w:r>
        <w:t>97</w:t>
      </w:r>
      <w:r>
        <w:fldChar w:fldCharType="end"/>
      </w:r>
      <w:r>
        <w:rPr>
          <w:rFonts w:hint="eastAsia" w:ascii="宋体" w:hAnsi="宋体" w:cs="宋体"/>
          <w:color w:val="auto"/>
        </w:rPr>
        <w:fldChar w:fldCharType="end"/>
      </w:r>
    </w:p>
    <w:p w14:paraId="460DAEF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_Toc15469 </w:instrText>
      </w:r>
      <w:r>
        <w:rPr>
          <w:rFonts w:hint="eastAsia" w:ascii="宋体" w:hAnsi="宋体" w:cs="宋体"/>
        </w:rPr>
        <w:fldChar w:fldCharType="separate"/>
      </w:r>
      <w:r>
        <w:rPr>
          <w:rFonts w:hint="default"/>
        </w:rPr>
        <w:t xml:space="preserve">7.4.2. </w:t>
      </w:r>
      <w:r>
        <w:rPr>
          <w:rFonts w:hint="eastAsia" w:cs="宋体"/>
          <w:kern w:val="0"/>
          <w:szCs w:val="24"/>
        </w:rPr>
        <w:t>拆卸吊钩和</w:t>
      </w:r>
      <w:r>
        <w:rPr>
          <w:rFonts w:hint="eastAsia" w:cs="宋体"/>
          <w:kern w:val="0"/>
          <w:szCs w:val="24"/>
          <w:lang w:val="en-US" w:eastAsia="zh-CN"/>
        </w:rPr>
        <w:t>钢丝绳</w:t>
      </w:r>
      <w:r>
        <w:tab/>
      </w:r>
      <w:r>
        <w:fldChar w:fldCharType="begin"/>
      </w:r>
      <w:r>
        <w:instrText xml:space="preserve"> PAGEREF _Toc15469 \h </w:instrText>
      </w:r>
      <w:r>
        <w:fldChar w:fldCharType="separate"/>
      </w:r>
      <w:r>
        <w:t>98</w:t>
      </w:r>
      <w:r>
        <w:fldChar w:fldCharType="end"/>
      </w:r>
      <w:r>
        <w:rPr>
          <w:rFonts w:hint="eastAsia" w:ascii="宋体" w:hAnsi="宋体" w:cs="宋体"/>
          <w:color w:val="auto"/>
        </w:rPr>
        <w:fldChar w:fldCharType="end"/>
      </w:r>
    </w:p>
    <w:p w14:paraId="39C23B3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_Toc5490 </w:instrText>
      </w:r>
      <w:r>
        <w:rPr>
          <w:rFonts w:hint="eastAsia" w:ascii="宋体" w:hAnsi="宋体" w:cs="宋体"/>
        </w:rPr>
        <w:fldChar w:fldCharType="separate"/>
      </w:r>
      <w:r>
        <w:rPr>
          <w:rFonts w:hint="default"/>
          <w:szCs w:val="24"/>
        </w:rPr>
        <w:t xml:space="preserve">7.4.3. </w:t>
      </w:r>
      <w:r>
        <w:rPr>
          <w:rFonts w:hint="eastAsia" w:cs="宋体"/>
          <w:kern w:val="0"/>
          <w:szCs w:val="24"/>
        </w:rPr>
        <w:t>拆卸电控系统接线</w:t>
      </w:r>
      <w:r>
        <w:tab/>
      </w:r>
      <w:r>
        <w:fldChar w:fldCharType="begin"/>
      </w:r>
      <w:r>
        <w:instrText xml:space="preserve"> PAGEREF _Toc5490 \h </w:instrText>
      </w:r>
      <w:r>
        <w:fldChar w:fldCharType="separate"/>
      </w:r>
      <w:r>
        <w:t>98</w:t>
      </w:r>
      <w:r>
        <w:fldChar w:fldCharType="end"/>
      </w:r>
      <w:r>
        <w:rPr>
          <w:rFonts w:hint="eastAsia" w:ascii="宋体" w:hAnsi="宋体" w:cs="宋体"/>
          <w:color w:val="auto"/>
        </w:rPr>
        <w:fldChar w:fldCharType="end"/>
      </w:r>
    </w:p>
    <w:p w14:paraId="11D04E3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_Toc17444 </w:instrText>
      </w:r>
      <w:r>
        <w:rPr>
          <w:rFonts w:hint="eastAsia" w:ascii="宋体" w:hAnsi="宋体" w:cs="宋体"/>
        </w:rPr>
        <w:fldChar w:fldCharType="separate"/>
      </w:r>
      <w:r>
        <w:rPr>
          <w:rFonts w:hint="default"/>
          <w:szCs w:val="24"/>
        </w:rPr>
        <w:t xml:space="preserve">7.4.4. </w:t>
      </w:r>
      <w:r>
        <w:rPr>
          <w:rFonts w:hint="eastAsia" w:cs="宋体"/>
          <w:kern w:val="0"/>
          <w:szCs w:val="24"/>
        </w:rPr>
        <w:t>拆卸部分平衡重</w:t>
      </w:r>
      <w:r>
        <w:tab/>
      </w:r>
      <w:r>
        <w:fldChar w:fldCharType="begin"/>
      </w:r>
      <w:r>
        <w:instrText xml:space="preserve"> PAGEREF _Toc17444 \h </w:instrText>
      </w:r>
      <w:r>
        <w:fldChar w:fldCharType="separate"/>
      </w:r>
      <w:r>
        <w:t>98</w:t>
      </w:r>
      <w:r>
        <w:fldChar w:fldCharType="end"/>
      </w:r>
      <w:r>
        <w:rPr>
          <w:rFonts w:hint="eastAsia" w:ascii="宋体" w:hAnsi="宋体" w:cs="宋体"/>
          <w:color w:val="auto"/>
        </w:rPr>
        <w:fldChar w:fldCharType="end"/>
      </w:r>
    </w:p>
    <w:p w14:paraId="38B8E2E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_Toc24188 </w:instrText>
      </w:r>
      <w:r>
        <w:rPr>
          <w:rFonts w:hint="eastAsia" w:ascii="宋体" w:hAnsi="宋体" w:cs="宋体"/>
        </w:rPr>
        <w:fldChar w:fldCharType="separate"/>
      </w:r>
      <w:r>
        <w:rPr>
          <w:rFonts w:hint="default"/>
        </w:rPr>
        <w:t xml:space="preserve">7.4.5. </w:t>
      </w:r>
      <w:r>
        <w:rPr>
          <w:rFonts w:hint="eastAsia" w:cs="宋体"/>
          <w:kern w:val="0"/>
          <w:szCs w:val="24"/>
        </w:rPr>
        <w:t>拆卸起重臂总成</w:t>
      </w:r>
      <w:r>
        <w:tab/>
      </w:r>
      <w:r>
        <w:fldChar w:fldCharType="begin"/>
      </w:r>
      <w:r>
        <w:instrText xml:space="preserve"> PAGEREF _Toc24188 \h </w:instrText>
      </w:r>
      <w:r>
        <w:fldChar w:fldCharType="separate"/>
      </w:r>
      <w:r>
        <w:t>98</w:t>
      </w:r>
      <w:r>
        <w:fldChar w:fldCharType="end"/>
      </w:r>
      <w:r>
        <w:rPr>
          <w:rFonts w:hint="eastAsia" w:ascii="宋体" w:hAnsi="宋体" w:cs="宋体"/>
          <w:color w:val="auto"/>
        </w:rPr>
        <w:fldChar w:fldCharType="end"/>
      </w:r>
    </w:p>
    <w:p w14:paraId="41DA112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_Toc24861 </w:instrText>
      </w:r>
      <w:r>
        <w:rPr>
          <w:rFonts w:hint="eastAsia" w:ascii="宋体" w:hAnsi="宋体" w:cs="宋体"/>
        </w:rPr>
        <w:fldChar w:fldCharType="separate"/>
      </w:r>
      <w:r>
        <w:rPr>
          <w:rFonts w:hint="default"/>
        </w:rPr>
        <w:t xml:space="preserve">7.4.6. </w:t>
      </w:r>
      <w:r>
        <w:rPr>
          <w:rFonts w:hint="eastAsia" w:cs="宋体"/>
          <w:kern w:val="0"/>
          <w:szCs w:val="24"/>
        </w:rPr>
        <w:t>拆卸剩余的</w:t>
      </w:r>
      <w:r>
        <w:rPr>
          <w:rFonts w:hint="eastAsia" w:cs="宋体"/>
          <w:kern w:val="0"/>
          <w:szCs w:val="24"/>
          <w:lang w:val="en-US" w:eastAsia="zh-CN"/>
        </w:rPr>
        <w:t>两</w:t>
      </w:r>
      <w:r>
        <w:rPr>
          <w:rFonts w:hint="eastAsia" w:cs="宋体"/>
          <w:kern w:val="0"/>
          <w:szCs w:val="24"/>
        </w:rPr>
        <w:t>块平衡重</w:t>
      </w:r>
      <w:r>
        <w:tab/>
      </w:r>
      <w:r>
        <w:fldChar w:fldCharType="begin"/>
      </w:r>
      <w:r>
        <w:instrText xml:space="preserve"> PAGEREF _Toc24861 \h </w:instrText>
      </w:r>
      <w:r>
        <w:fldChar w:fldCharType="separate"/>
      </w:r>
      <w:r>
        <w:t>99</w:t>
      </w:r>
      <w:r>
        <w:fldChar w:fldCharType="end"/>
      </w:r>
      <w:r>
        <w:rPr>
          <w:rFonts w:hint="eastAsia" w:ascii="宋体" w:hAnsi="宋体" w:cs="宋体"/>
          <w:color w:val="auto"/>
        </w:rPr>
        <w:fldChar w:fldCharType="end"/>
      </w:r>
    </w:p>
    <w:p w14:paraId="7281FDA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_Toc21866 </w:instrText>
      </w:r>
      <w:r>
        <w:rPr>
          <w:rFonts w:hint="eastAsia" w:ascii="宋体" w:hAnsi="宋体" w:cs="宋体"/>
        </w:rPr>
        <w:fldChar w:fldCharType="separate"/>
      </w:r>
      <w:r>
        <w:rPr>
          <w:rFonts w:hint="default"/>
        </w:rPr>
        <w:t xml:space="preserve">7.4.7. </w:t>
      </w:r>
      <w:r>
        <w:rPr>
          <w:rFonts w:hint="eastAsia"/>
        </w:rPr>
        <w:t>拆除平衡臂</w:t>
      </w:r>
      <w:r>
        <w:tab/>
      </w:r>
      <w:r>
        <w:fldChar w:fldCharType="begin"/>
      </w:r>
      <w:r>
        <w:instrText xml:space="preserve"> PAGEREF _Toc21866 \h </w:instrText>
      </w:r>
      <w:r>
        <w:fldChar w:fldCharType="separate"/>
      </w:r>
      <w:r>
        <w:t>99</w:t>
      </w:r>
      <w:r>
        <w:fldChar w:fldCharType="end"/>
      </w:r>
      <w:r>
        <w:rPr>
          <w:rFonts w:hint="eastAsia" w:ascii="宋体" w:hAnsi="宋体" w:cs="宋体"/>
          <w:color w:val="auto"/>
        </w:rPr>
        <w:fldChar w:fldCharType="end"/>
      </w:r>
    </w:p>
    <w:p w14:paraId="30CCCE8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_Toc28771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 xml:space="preserve">7.4.8. </w:t>
      </w:r>
      <w:r>
        <w:rPr>
          <w:rFonts w:hint="eastAsia" w:cstheme="minorBidi"/>
          <w:bCs/>
          <w:kern w:val="2"/>
          <w:szCs w:val="32"/>
          <w:lang w:val="en-US" w:eastAsia="zh-CN" w:bidi="ar-SA"/>
        </w:rPr>
        <w:t>拆除臂根节</w:t>
      </w:r>
      <w:r>
        <w:tab/>
      </w:r>
      <w:r>
        <w:fldChar w:fldCharType="begin"/>
      </w:r>
      <w:r>
        <w:instrText xml:space="preserve"> PAGEREF _Toc28771 \h </w:instrText>
      </w:r>
      <w:r>
        <w:fldChar w:fldCharType="separate"/>
      </w:r>
      <w:r>
        <w:t>99</w:t>
      </w:r>
      <w:r>
        <w:fldChar w:fldCharType="end"/>
      </w:r>
      <w:r>
        <w:rPr>
          <w:rFonts w:hint="eastAsia" w:ascii="宋体" w:hAnsi="宋体" w:cs="宋体"/>
          <w:color w:val="auto"/>
        </w:rPr>
        <w:fldChar w:fldCharType="end"/>
      </w:r>
    </w:p>
    <w:p w14:paraId="1882E69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_Toc12940 </w:instrText>
      </w:r>
      <w:r>
        <w:rPr>
          <w:rFonts w:hint="eastAsia" w:ascii="宋体" w:hAnsi="宋体" w:cs="宋体"/>
        </w:rPr>
        <w:fldChar w:fldCharType="separate"/>
      </w:r>
      <w:r>
        <w:rPr>
          <w:rFonts w:hint="default"/>
        </w:rPr>
        <w:t xml:space="preserve">7.4.9. </w:t>
      </w:r>
      <w:r>
        <w:rPr>
          <w:rFonts w:hint="eastAsia" w:cs="宋体"/>
          <w:kern w:val="0"/>
          <w:szCs w:val="24"/>
        </w:rPr>
        <w:t>拆卸回转总成</w:t>
      </w:r>
      <w:r>
        <w:tab/>
      </w:r>
      <w:r>
        <w:fldChar w:fldCharType="begin"/>
      </w:r>
      <w:r>
        <w:instrText xml:space="preserve"> PAGEREF _Toc12940 \h </w:instrText>
      </w:r>
      <w:r>
        <w:fldChar w:fldCharType="separate"/>
      </w:r>
      <w:r>
        <w:t>99</w:t>
      </w:r>
      <w:r>
        <w:fldChar w:fldCharType="end"/>
      </w:r>
      <w:r>
        <w:rPr>
          <w:rFonts w:hint="eastAsia" w:ascii="宋体" w:hAnsi="宋体" w:cs="宋体"/>
          <w:color w:val="auto"/>
        </w:rPr>
        <w:fldChar w:fldCharType="end"/>
      </w:r>
    </w:p>
    <w:p w14:paraId="365D0D6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_Toc712 </w:instrText>
      </w:r>
      <w:r>
        <w:rPr>
          <w:rFonts w:hint="eastAsia" w:ascii="宋体" w:hAnsi="宋体" w:cs="宋体"/>
        </w:rPr>
        <w:fldChar w:fldCharType="separate"/>
      </w:r>
      <w:r>
        <w:rPr>
          <w:rFonts w:hint="default" w:eastAsia="宋体"/>
          <w:lang w:eastAsia="zh-CN"/>
        </w:rPr>
        <w:t xml:space="preserve">7.4.10. </w:t>
      </w:r>
      <w:r>
        <w:rPr>
          <w:rFonts w:hint="eastAsia"/>
        </w:rPr>
        <w:t>拆卸</w:t>
      </w:r>
      <w:r>
        <w:rPr>
          <w:rFonts w:hint="eastAsia"/>
          <w:lang w:eastAsia="zh-CN"/>
        </w:rPr>
        <w:t>特殊节</w:t>
      </w:r>
      <w:r>
        <w:tab/>
      </w:r>
      <w:r>
        <w:fldChar w:fldCharType="begin"/>
      </w:r>
      <w:r>
        <w:instrText xml:space="preserve"> PAGEREF _Toc712 \h </w:instrText>
      </w:r>
      <w:r>
        <w:fldChar w:fldCharType="separate"/>
      </w:r>
      <w:r>
        <w:t>99</w:t>
      </w:r>
      <w:r>
        <w:fldChar w:fldCharType="end"/>
      </w:r>
      <w:r>
        <w:rPr>
          <w:rFonts w:hint="eastAsia" w:ascii="宋体" w:hAnsi="宋体" w:cs="宋体"/>
          <w:color w:val="auto"/>
        </w:rPr>
        <w:fldChar w:fldCharType="end"/>
      </w:r>
    </w:p>
    <w:p w14:paraId="7BF32D4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_Toc7713 </w:instrText>
      </w:r>
      <w:r>
        <w:rPr>
          <w:rFonts w:hint="eastAsia" w:ascii="宋体" w:hAnsi="宋体" w:cs="宋体"/>
        </w:rPr>
        <w:fldChar w:fldCharType="separate"/>
      </w:r>
      <w:r>
        <w:rPr>
          <w:rFonts w:hint="default"/>
        </w:rPr>
        <w:t xml:space="preserve">7.4.11. </w:t>
      </w:r>
      <w:r>
        <w:rPr>
          <w:rFonts w:hint="eastAsia"/>
        </w:rPr>
        <w:t>拆卸爬升架和标准节</w:t>
      </w:r>
      <w:r>
        <w:tab/>
      </w:r>
      <w:r>
        <w:fldChar w:fldCharType="begin"/>
      </w:r>
      <w:r>
        <w:instrText xml:space="preserve"> PAGEREF _Toc7713 \h </w:instrText>
      </w:r>
      <w:r>
        <w:fldChar w:fldCharType="separate"/>
      </w:r>
      <w:r>
        <w:t>100</w:t>
      </w:r>
      <w:r>
        <w:fldChar w:fldCharType="end"/>
      </w:r>
      <w:r>
        <w:rPr>
          <w:rFonts w:hint="eastAsia" w:ascii="宋体" w:hAnsi="宋体" w:cs="宋体"/>
          <w:color w:val="auto"/>
        </w:rPr>
        <w:fldChar w:fldCharType="end"/>
      </w:r>
    </w:p>
    <w:p w14:paraId="4B43D32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_Toc30558 </w:instrText>
      </w:r>
      <w:r>
        <w:rPr>
          <w:rFonts w:hint="eastAsia" w:ascii="宋体" w:hAnsi="宋体" w:cs="宋体"/>
        </w:rPr>
        <w:fldChar w:fldCharType="separate"/>
      </w:r>
      <w:r>
        <w:rPr>
          <w:rFonts w:hint="default" w:ascii="宋体" w:hAnsi="宋体" w:eastAsia="宋体"/>
          <w:lang w:val="en-US" w:eastAsia="zh-CN"/>
        </w:rPr>
        <w:t xml:space="preserve">7.5. </w:t>
      </w:r>
      <w:r>
        <w:rPr>
          <w:rFonts w:hint="eastAsia" w:ascii="宋体" w:hAnsi="宋体" w:eastAsia="宋体"/>
          <w:lang w:val="en-US" w:eastAsia="zh-CN"/>
        </w:rPr>
        <w:t>XGT6515D-10S/XGT6515-10S拆除工序</w:t>
      </w:r>
      <w:r>
        <w:tab/>
      </w:r>
      <w:r>
        <w:fldChar w:fldCharType="begin"/>
      </w:r>
      <w:r>
        <w:instrText xml:space="preserve"> PAGEREF _Toc30558 \h </w:instrText>
      </w:r>
      <w:r>
        <w:fldChar w:fldCharType="separate"/>
      </w:r>
      <w:r>
        <w:t>100</w:t>
      </w:r>
      <w:r>
        <w:fldChar w:fldCharType="end"/>
      </w:r>
      <w:r>
        <w:rPr>
          <w:rFonts w:hint="eastAsia" w:ascii="宋体" w:hAnsi="宋体" w:cs="宋体"/>
          <w:color w:val="auto"/>
        </w:rPr>
        <w:fldChar w:fldCharType="end"/>
      </w:r>
    </w:p>
    <w:p w14:paraId="01455B9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_Toc15227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w:t>
      </w:r>
      <w:r>
        <w:rPr>
          <w:rFonts w:hint="eastAsia" w:ascii="宋体" w:hAnsi="宋体" w:eastAsia="宋体" w:cstheme="minorBidi"/>
          <w:bCs/>
          <w:kern w:val="2"/>
          <w:szCs w:val="32"/>
          <w:lang w:val="en-US" w:eastAsia="zh-CN" w:bidi="ar-SA"/>
        </w:rPr>
        <w:t>降塔</w:t>
      </w:r>
      <w:r>
        <w:tab/>
      </w:r>
      <w:r>
        <w:fldChar w:fldCharType="begin"/>
      </w:r>
      <w:r>
        <w:instrText xml:space="preserve"> PAGEREF _Toc15227 \h </w:instrText>
      </w:r>
      <w:r>
        <w:fldChar w:fldCharType="separate"/>
      </w:r>
      <w:r>
        <w:t>100</w:t>
      </w:r>
      <w:r>
        <w:fldChar w:fldCharType="end"/>
      </w:r>
      <w:r>
        <w:rPr>
          <w:rFonts w:hint="eastAsia" w:ascii="宋体" w:hAnsi="宋体" w:cs="宋体"/>
          <w:color w:val="auto"/>
        </w:rPr>
        <w:fldChar w:fldCharType="end"/>
      </w:r>
    </w:p>
    <w:p w14:paraId="69B0FBE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_Toc19090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.2.</w:t>
      </w:r>
      <w:r>
        <w:rPr>
          <w:rFonts w:hint="eastAsia" w:ascii="宋体" w:hAnsi="宋体" w:eastAsia="宋体" w:cstheme="minorBidi"/>
          <w:bCs/>
          <w:kern w:val="2"/>
          <w:szCs w:val="32"/>
          <w:lang w:val="en-US" w:eastAsia="zh-CN" w:bidi="ar-SA"/>
        </w:rPr>
        <w:t>拆卸电气系统</w:t>
      </w:r>
      <w:r>
        <w:tab/>
      </w:r>
      <w:r>
        <w:fldChar w:fldCharType="begin"/>
      </w:r>
      <w:r>
        <w:instrText xml:space="preserve"> PAGEREF _Toc19090 \h </w:instrText>
      </w:r>
      <w:r>
        <w:fldChar w:fldCharType="separate"/>
      </w:r>
      <w:r>
        <w:t>101</w:t>
      </w:r>
      <w:r>
        <w:fldChar w:fldCharType="end"/>
      </w:r>
      <w:r>
        <w:rPr>
          <w:rFonts w:hint="eastAsia" w:ascii="宋体" w:hAnsi="宋体" w:cs="宋体"/>
          <w:color w:val="auto"/>
        </w:rPr>
        <w:fldChar w:fldCharType="end"/>
      </w:r>
    </w:p>
    <w:p w14:paraId="2EA2E63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_Toc27187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.3.</w:t>
      </w:r>
      <w:r>
        <w:rPr>
          <w:rFonts w:hint="eastAsia" w:ascii="宋体" w:hAnsi="宋体" w:eastAsia="宋体" w:cstheme="minorBidi"/>
          <w:bCs/>
          <w:kern w:val="2"/>
          <w:szCs w:val="32"/>
          <w:lang w:val="en-US" w:eastAsia="zh-CN" w:bidi="ar-SA"/>
        </w:rPr>
        <w:t>拆卸吊钩和钢丝绳</w:t>
      </w:r>
      <w:r>
        <w:tab/>
      </w:r>
      <w:r>
        <w:fldChar w:fldCharType="begin"/>
      </w:r>
      <w:r>
        <w:instrText xml:space="preserve"> PAGEREF _Toc27187 \h </w:instrText>
      </w:r>
      <w:r>
        <w:fldChar w:fldCharType="separate"/>
      </w:r>
      <w:r>
        <w:t>101</w:t>
      </w:r>
      <w:r>
        <w:fldChar w:fldCharType="end"/>
      </w:r>
      <w:r>
        <w:rPr>
          <w:rFonts w:hint="eastAsia" w:ascii="宋体" w:hAnsi="宋体" w:cs="宋体"/>
          <w:color w:val="auto"/>
        </w:rPr>
        <w:fldChar w:fldCharType="end"/>
      </w:r>
    </w:p>
    <w:p w14:paraId="7DBF133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_Toc18190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.4.</w:t>
      </w:r>
      <w:r>
        <w:rPr>
          <w:rFonts w:hint="eastAsia" w:ascii="宋体" w:hAnsi="宋体" w:eastAsia="宋体" w:cstheme="minorBidi"/>
          <w:bCs/>
          <w:kern w:val="2"/>
          <w:szCs w:val="32"/>
          <w:lang w:val="en-US" w:eastAsia="zh-CN" w:bidi="ar-SA"/>
        </w:rPr>
        <w:t>拆卸部分平衡重</w:t>
      </w:r>
      <w:r>
        <w:tab/>
      </w:r>
      <w:r>
        <w:fldChar w:fldCharType="begin"/>
      </w:r>
      <w:r>
        <w:instrText xml:space="preserve"> PAGEREF _Toc18190 \h </w:instrText>
      </w:r>
      <w:r>
        <w:fldChar w:fldCharType="separate"/>
      </w:r>
      <w:r>
        <w:t>102</w:t>
      </w:r>
      <w:r>
        <w:fldChar w:fldCharType="end"/>
      </w:r>
      <w:r>
        <w:rPr>
          <w:rFonts w:hint="eastAsia" w:ascii="宋体" w:hAnsi="宋体" w:cs="宋体"/>
          <w:color w:val="auto"/>
        </w:rPr>
        <w:fldChar w:fldCharType="end"/>
      </w:r>
    </w:p>
    <w:p w14:paraId="296EDE8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_Toc22002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.5.</w:t>
      </w:r>
      <w:r>
        <w:rPr>
          <w:rFonts w:hint="eastAsia" w:ascii="宋体" w:hAnsi="宋体" w:eastAsia="宋体" w:cstheme="minorBidi"/>
          <w:bCs/>
          <w:kern w:val="2"/>
          <w:szCs w:val="32"/>
          <w:lang w:val="en-US" w:eastAsia="zh-CN" w:bidi="ar-SA"/>
        </w:rPr>
        <w:t>拆卸部分起重臂</w:t>
      </w:r>
      <w:r>
        <w:tab/>
      </w:r>
      <w:r>
        <w:fldChar w:fldCharType="begin"/>
      </w:r>
      <w:r>
        <w:instrText xml:space="preserve"> PAGEREF _Toc22002 \h </w:instrText>
      </w:r>
      <w:r>
        <w:fldChar w:fldCharType="separate"/>
      </w:r>
      <w:r>
        <w:t>103</w:t>
      </w:r>
      <w:r>
        <w:fldChar w:fldCharType="end"/>
      </w:r>
      <w:r>
        <w:rPr>
          <w:rFonts w:hint="eastAsia" w:ascii="宋体" w:hAnsi="宋体" w:cs="宋体"/>
          <w:color w:val="auto"/>
        </w:rPr>
        <w:fldChar w:fldCharType="end"/>
      </w:r>
    </w:p>
    <w:p w14:paraId="1EDB496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_Toc28377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.6.</w:t>
      </w:r>
      <w:r>
        <w:rPr>
          <w:rFonts w:hint="eastAsia" w:ascii="宋体" w:hAnsi="宋体" w:eastAsia="宋体" w:cstheme="minorBidi"/>
          <w:bCs/>
          <w:kern w:val="2"/>
          <w:szCs w:val="32"/>
          <w:lang w:val="en-US" w:eastAsia="zh-CN" w:bidi="ar-SA"/>
        </w:rPr>
        <w:t>拆卸剩余的一块平衡重</w:t>
      </w:r>
      <w:r>
        <w:tab/>
      </w:r>
      <w:r>
        <w:fldChar w:fldCharType="begin"/>
      </w:r>
      <w:r>
        <w:instrText xml:space="preserve"> PAGEREF _Toc28377 \h </w:instrText>
      </w:r>
      <w:r>
        <w:fldChar w:fldCharType="separate"/>
      </w:r>
      <w:r>
        <w:t>109</w:t>
      </w:r>
      <w:r>
        <w:fldChar w:fldCharType="end"/>
      </w:r>
      <w:r>
        <w:rPr>
          <w:rFonts w:hint="eastAsia" w:ascii="宋体" w:hAnsi="宋体" w:cs="宋体"/>
          <w:color w:val="auto"/>
        </w:rPr>
        <w:fldChar w:fldCharType="end"/>
      </w:r>
    </w:p>
    <w:p w14:paraId="333EF5A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_Toc29088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.7.</w:t>
      </w:r>
      <w:r>
        <w:rPr>
          <w:rFonts w:hint="eastAsia" w:ascii="宋体" w:hAnsi="宋体" w:eastAsia="宋体" w:cstheme="minorBidi"/>
          <w:bCs/>
          <w:kern w:val="2"/>
          <w:szCs w:val="32"/>
          <w:lang w:val="en-US" w:eastAsia="zh-CN" w:bidi="ar-SA"/>
        </w:rPr>
        <w:t>拆卸平衡臂</w:t>
      </w:r>
      <w:r>
        <w:tab/>
      </w:r>
      <w:r>
        <w:fldChar w:fldCharType="begin"/>
      </w:r>
      <w:r>
        <w:instrText xml:space="preserve"> PAGEREF _Toc29088 \h </w:instrText>
      </w:r>
      <w:r>
        <w:fldChar w:fldCharType="separate"/>
      </w:r>
      <w:r>
        <w:t>110</w:t>
      </w:r>
      <w:r>
        <w:fldChar w:fldCharType="end"/>
      </w:r>
      <w:r>
        <w:rPr>
          <w:rFonts w:hint="eastAsia" w:ascii="宋体" w:hAnsi="宋体" w:cs="宋体"/>
          <w:color w:val="auto"/>
        </w:rPr>
        <w:fldChar w:fldCharType="end"/>
      </w:r>
    </w:p>
    <w:p w14:paraId="6C21E15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_Toc26187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.8.</w:t>
      </w:r>
      <w:r>
        <w:rPr>
          <w:rFonts w:hint="eastAsia" w:ascii="宋体" w:hAnsi="宋体" w:eastAsia="宋体" w:cstheme="minorBidi"/>
          <w:bCs/>
          <w:kern w:val="2"/>
          <w:szCs w:val="32"/>
          <w:lang w:val="en-US" w:eastAsia="zh-CN" w:bidi="ar-SA"/>
        </w:rPr>
        <w:t>拆卸起重臂臂根节</w:t>
      </w:r>
      <w:r>
        <w:tab/>
      </w:r>
      <w:r>
        <w:fldChar w:fldCharType="begin"/>
      </w:r>
      <w:r>
        <w:instrText xml:space="preserve"> PAGEREF _Toc26187 \h </w:instrText>
      </w:r>
      <w:r>
        <w:fldChar w:fldCharType="separate"/>
      </w:r>
      <w:r>
        <w:t>112</w:t>
      </w:r>
      <w:r>
        <w:fldChar w:fldCharType="end"/>
      </w:r>
      <w:r>
        <w:rPr>
          <w:rFonts w:hint="eastAsia" w:ascii="宋体" w:hAnsi="宋体" w:cs="宋体"/>
          <w:color w:val="auto"/>
        </w:rPr>
        <w:fldChar w:fldCharType="end"/>
      </w:r>
    </w:p>
    <w:p w14:paraId="14AF488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_Toc8441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.9.</w:t>
      </w:r>
      <w:r>
        <w:rPr>
          <w:rFonts w:hint="eastAsia" w:ascii="宋体" w:hAnsi="宋体" w:eastAsia="宋体" w:cstheme="minorBidi"/>
          <w:bCs/>
          <w:kern w:val="2"/>
          <w:szCs w:val="32"/>
          <w:lang w:val="en-US" w:eastAsia="zh-CN" w:bidi="ar-SA"/>
        </w:rPr>
        <w:t>拆卸回转总成</w:t>
      </w:r>
      <w:r>
        <w:tab/>
      </w:r>
      <w:r>
        <w:fldChar w:fldCharType="begin"/>
      </w:r>
      <w:r>
        <w:instrText xml:space="preserve"> PAGEREF _Toc8441 \h </w:instrText>
      </w:r>
      <w:r>
        <w:fldChar w:fldCharType="separate"/>
      </w:r>
      <w:r>
        <w:t>113</w:t>
      </w:r>
      <w:r>
        <w:fldChar w:fldCharType="end"/>
      </w:r>
      <w:r>
        <w:rPr>
          <w:rFonts w:hint="eastAsia" w:ascii="宋体" w:hAnsi="宋体" w:cs="宋体"/>
          <w:color w:val="auto"/>
        </w:rPr>
        <w:fldChar w:fldCharType="end"/>
      </w:r>
    </w:p>
    <w:p w14:paraId="0EB5580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_Toc14288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.10.</w:t>
      </w:r>
      <w:r>
        <w:rPr>
          <w:rFonts w:hint="eastAsia" w:ascii="宋体" w:hAnsi="宋体" w:eastAsia="宋体" w:cstheme="minorBidi"/>
          <w:bCs/>
          <w:kern w:val="2"/>
          <w:szCs w:val="32"/>
          <w:lang w:val="en-US" w:eastAsia="zh-CN" w:bidi="ar-SA"/>
        </w:rPr>
        <w:t>拆卸特殊节</w:t>
      </w:r>
      <w:r>
        <w:tab/>
      </w:r>
      <w:r>
        <w:fldChar w:fldCharType="begin"/>
      </w:r>
      <w:r>
        <w:instrText xml:space="preserve"> PAGEREF _Toc14288 \h </w:instrText>
      </w:r>
      <w:r>
        <w:fldChar w:fldCharType="separate"/>
      </w:r>
      <w:r>
        <w:t>115</w:t>
      </w:r>
      <w:r>
        <w:fldChar w:fldCharType="end"/>
      </w:r>
      <w:r>
        <w:rPr>
          <w:rFonts w:hint="eastAsia" w:ascii="宋体" w:hAnsi="宋体" w:cs="宋体"/>
          <w:color w:val="auto"/>
        </w:rPr>
        <w:fldChar w:fldCharType="end"/>
      </w:r>
    </w:p>
    <w:p w14:paraId="3D35086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_Toc11223 </w:instrText>
      </w:r>
      <w:r>
        <w:rPr>
          <w:rFonts w:hint="eastAsia" w:ascii="宋体" w:hAnsi="宋体" w:cs="宋体"/>
        </w:rPr>
        <w:fldChar w:fldCharType="separate"/>
      </w:r>
      <w:r>
        <w:rPr>
          <w:rFonts w:hint="eastAsia" w:ascii="宋体" w:hAnsi="宋体" w:eastAsia="宋体" w:cstheme="minorBidi"/>
          <w:bCs/>
          <w:kern w:val="2"/>
          <w:szCs w:val="32"/>
          <w:lang w:val="en-US" w:eastAsia="zh-CN" w:bidi="ar-SA"/>
        </w:rPr>
        <w:t>7.5</w:t>
      </w:r>
      <w:r>
        <w:rPr>
          <w:rFonts w:hint="default" w:ascii="宋体" w:hAnsi="宋体" w:eastAsia="宋体" w:cstheme="minorBidi"/>
          <w:bCs/>
          <w:kern w:val="2"/>
          <w:szCs w:val="32"/>
          <w:lang w:val="en-US" w:eastAsia="zh-CN" w:bidi="ar-SA"/>
        </w:rPr>
        <w:t>.11.</w:t>
      </w:r>
      <w:r>
        <w:rPr>
          <w:rFonts w:hint="eastAsia" w:ascii="宋体" w:hAnsi="宋体" w:eastAsia="宋体" w:cstheme="minorBidi"/>
          <w:bCs/>
          <w:kern w:val="2"/>
          <w:szCs w:val="32"/>
          <w:lang w:val="en-US" w:eastAsia="zh-CN" w:bidi="ar-SA"/>
        </w:rPr>
        <w:t>拆卸爬升架</w:t>
      </w:r>
      <w:r>
        <w:tab/>
      </w:r>
      <w:r>
        <w:fldChar w:fldCharType="begin"/>
      </w:r>
      <w:r>
        <w:instrText xml:space="preserve"> PAGEREF _Toc11223 \h </w:instrText>
      </w:r>
      <w:r>
        <w:fldChar w:fldCharType="separate"/>
      </w:r>
      <w:r>
        <w:t>116</w:t>
      </w:r>
      <w:r>
        <w:fldChar w:fldCharType="end"/>
      </w:r>
      <w:r>
        <w:rPr>
          <w:rFonts w:hint="eastAsia" w:ascii="宋体" w:hAnsi="宋体" w:cs="宋体"/>
          <w:color w:val="auto"/>
        </w:rPr>
        <w:fldChar w:fldCharType="end"/>
      </w:r>
    </w:p>
    <w:p w14:paraId="30582BC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_Toc16014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w:t>
      </w:r>
      <w:r>
        <w:rPr>
          <w:rFonts w:hint="eastAsia" w:ascii="宋体" w:hAnsi="宋体" w:eastAsia="宋体" w:cstheme="minorBidi"/>
          <w:bCs/>
          <w:kern w:val="2"/>
          <w:szCs w:val="32"/>
          <w:lang w:val="en-US" w:eastAsia="zh-CN" w:bidi="ar-SA"/>
        </w:rPr>
        <w:t>5</w:t>
      </w:r>
      <w:r>
        <w:rPr>
          <w:rFonts w:hint="default" w:ascii="宋体" w:hAnsi="宋体" w:eastAsia="宋体" w:cstheme="minorBidi"/>
          <w:bCs/>
          <w:kern w:val="2"/>
          <w:szCs w:val="32"/>
          <w:lang w:val="en-US" w:eastAsia="zh-CN" w:bidi="ar-SA"/>
        </w:rPr>
        <w:t>.12.</w:t>
      </w:r>
      <w:r>
        <w:rPr>
          <w:rFonts w:hint="eastAsia" w:ascii="宋体" w:hAnsi="宋体" w:eastAsia="宋体"/>
          <w:lang w:val="en-US" w:eastAsia="zh-CN"/>
        </w:rPr>
        <w:t>拆卸标准节及基础节</w:t>
      </w:r>
      <w:r>
        <w:tab/>
      </w:r>
      <w:r>
        <w:fldChar w:fldCharType="begin"/>
      </w:r>
      <w:r>
        <w:instrText xml:space="preserve"> PAGEREF _Toc16014 \h </w:instrText>
      </w:r>
      <w:r>
        <w:fldChar w:fldCharType="separate"/>
      </w:r>
      <w:r>
        <w:t>117</w:t>
      </w:r>
      <w:r>
        <w:fldChar w:fldCharType="end"/>
      </w:r>
      <w:r>
        <w:rPr>
          <w:rFonts w:hint="eastAsia" w:ascii="宋体" w:hAnsi="宋体" w:cs="宋体"/>
          <w:color w:val="auto"/>
        </w:rPr>
        <w:fldChar w:fldCharType="end"/>
      </w:r>
    </w:p>
    <w:p w14:paraId="6B0A82B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_Toc12464 </w:instrText>
      </w:r>
      <w:r>
        <w:rPr>
          <w:rFonts w:hint="eastAsia" w:ascii="宋体" w:hAnsi="宋体" w:cs="宋体"/>
        </w:rPr>
        <w:fldChar w:fldCharType="separate"/>
      </w:r>
      <w:r>
        <w:rPr>
          <w:rFonts w:hint="default" w:ascii="宋体" w:hAnsi="宋体" w:eastAsia="宋体" w:cstheme="majorBidi"/>
          <w:bCs/>
          <w:kern w:val="2"/>
          <w:szCs w:val="32"/>
          <w:lang w:val="en-US" w:eastAsia="zh-CN" w:bidi="ar-SA"/>
        </w:rPr>
        <w:t>7.6.</w:t>
      </w:r>
      <w:r>
        <w:rPr>
          <w:rFonts w:hint="eastAsia"/>
        </w:rPr>
        <w:t>安全施工技术措施</w:t>
      </w:r>
      <w:r>
        <w:tab/>
      </w:r>
      <w:r>
        <w:fldChar w:fldCharType="begin"/>
      </w:r>
      <w:r>
        <w:instrText xml:space="preserve"> PAGEREF _Toc12464 \h </w:instrText>
      </w:r>
      <w:r>
        <w:fldChar w:fldCharType="separate"/>
      </w:r>
      <w:r>
        <w:t>118</w:t>
      </w:r>
      <w:r>
        <w:fldChar w:fldCharType="end"/>
      </w:r>
      <w:r>
        <w:rPr>
          <w:rFonts w:hint="eastAsia" w:ascii="宋体" w:hAnsi="宋体" w:cs="宋体"/>
          <w:color w:val="auto"/>
        </w:rPr>
        <w:fldChar w:fldCharType="end"/>
      </w:r>
    </w:p>
    <w:p w14:paraId="67D7088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_Toc14185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7.6.1.</w:t>
      </w:r>
      <w:r>
        <w:rPr>
          <w:rFonts w:hint="eastAsia"/>
        </w:rPr>
        <w:t>防物体打击技术措施</w:t>
      </w:r>
      <w:r>
        <w:tab/>
      </w:r>
      <w:r>
        <w:fldChar w:fldCharType="begin"/>
      </w:r>
      <w:r>
        <w:instrText xml:space="preserve"> PAGEREF _Toc14185 \h </w:instrText>
      </w:r>
      <w:r>
        <w:fldChar w:fldCharType="separate"/>
      </w:r>
      <w:r>
        <w:t>118</w:t>
      </w:r>
      <w:r>
        <w:fldChar w:fldCharType="end"/>
      </w:r>
      <w:r>
        <w:rPr>
          <w:rFonts w:hint="eastAsia" w:ascii="宋体" w:hAnsi="宋体" w:cs="宋体"/>
          <w:color w:val="auto"/>
        </w:rPr>
        <w:fldChar w:fldCharType="end"/>
      </w:r>
    </w:p>
    <w:p w14:paraId="104CA7D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_Toc14356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7.6.2.</w:t>
      </w:r>
      <w:r>
        <w:rPr>
          <w:rFonts w:hint="eastAsia"/>
        </w:rPr>
        <w:t>防机械伤害技术措施</w:t>
      </w:r>
      <w:r>
        <w:tab/>
      </w:r>
      <w:r>
        <w:fldChar w:fldCharType="begin"/>
      </w:r>
      <w:r>
        <w:instrText xml:space="preserve"> PAGEREF _Toc14356 \h </w:instrText>
      </w:r>
      <w:r>
        <w:fldChar w:fldCharType="separate"/>
      </w:r>
      <w:r>
        <w:t>118</w:t>
      </w:r>
      <w:r>
        <w:fldChar w:fldCharType="end"/>
      </w:r>
      <w:r>
        <w:rPr>
          <w:rFonts w:hint="eastAsia" w:ascii="宋体" w:hAnsi="宋体" w:cs="宋体"/>
          <w:color w:val="auto"/>
        </w:rPr>
        <w:fldChar w:fldCharType="end"/>
      </w:r>
    </w:p>
    <w:p w14:paraId="71893A5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_Toc13051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7.6.3.</w:t>
      </w:r>
      <w:r>
        <w:rPr>
          <w:rFonts w:hint="eastAsia"/>
        </w:rPr>
        <w:t>汽车吊装作业危险源控制措施</w:t>
      </w:r>
      <w:r>
        <w:tab/>
      </w:r>
      <w:r>
        <w:fldChar w:fldCharType="begin"/>
      </w:r>
      <w:r>
        <w:instrText xml:space="preserve"> PAGEREF _Toc13051 \h </w:instrText>
      </w:r>
      <w:r>
        <w:fldChar w:fldCharType="separate"/>
      </w:r>
      <w:r>
        <w:t>118</w:t>
      </w:r>
      <w:r>
        <w:fldChar w:fldCharType="end"/>
      </w:r>
      <w:r>
        <w:rPr>
          <w:rFonts w:hint="eastAsia" w:ascii="宋体" w:hAnsi="宋体" w:cs="宋体"/>
          <w:color w:val="auto"/>
        </w:rPr>
        <w:fldChar w:fldCharType="end"/>
      </w:r>
    </w:p>
    <w:p w14:paraId="774603B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_Toc22847 </w:instrText>
      </w:r>
      <w:r>
        <w:rPr>
          <w:rFonts w:hint="eastAsia" w:ascii="宋体" w:hAnsi="宋体" w:cs="宋体"/>
        </w:rPr>
        <w:fldChar w:fldCharType="separate"/>
      </w:r>
      <w:r>
        <w:rPr>
          <w:rFonts w:hint="default" w:ascii="宋体" w:hAnsi="宋体" w:eastAsia="宋体" w:cstheme="minorBidi"/>
          <w:bCs/>
          <w:kern w:val="2"/>
          <w:szCs w:val="32"/>
          <w:lang w:val="en-US" w:eastAsia="zh-CN" w:bidi="ar-SA"/>
        </w:rPr>
        <w:t>7.6.4.</w:t>
      </w:r>
      <w:r>
        <w:rPr>
          <w:rFonts w:hint="eastAsia"/>
        </w:rPr>
        <w:t>其它安全施工技术措施</w:t>
      </w:r>
      <w:r>
        <w:tab/>
      </w:r>
      <w:r>
        <w:fldChar w:fldCharType="begin"/>
      </w:r>
      <w:r>
        <w:instrText xml:space="preserve"> PAGEREF _Toc22847 \h </w:instrText>
      </w:r>
      <w:r>
        <w:fldChar w:fldCharType="separate"/>
      </w:r>
      <w:r>
        <w:t>120</w:t>
      </w:r>
      <w:r>
        <w:fldChar w:fldCharType="end"/>
      </w:r>
      <w:r>
        <w:rPr>
          <w:rFonts w:hint="eastAsia" w:ascii="宋体" w:hAnsi="宋体" w:cs="宋体"/>
          <w:color w:val="auto"/>
        </w:rPr>
        <w:fldChar w:fldCharType="end"/>
      </w:r>
    </w:p>
    <w:p w14:paraId="1543DCA3">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_Toc14457 </w:instrText>
      </w:r>
      <w:r>
        <w:rPr>
          <w:rFonts w:hint="eastAsia" w:ascii="宋体" w:hAnsi="宋体" w:cs="宋体"/>
        </w:rPr>
        <w:fldChar w:fldCharType="separate"/>
      </w:r>
      <w:r>
        <w:rPr>
          <w:rFonts w:hint="eastAsia"/>
        </w:rPr>
        <w:t>8 施工安全技术保障措施</w:t>
      </w:r>
      <w:r>
        <w:tab/>
      </w:r>
      <w:r>
        <w:fldChar w:fldCharType="begin"/>
      </w:r>
      <w:r>
        <w:instrText xml:space="preserve"> PAGEREF _Toc14457 \h </w:instrText>
      </w:r>
      <w:r>
        <w:fldChar w:fldCharType="separate"/>
      </w:r>
      <w:r>
        <w:t>121</w:t>
      </w:r>
      <w:r>
        <w:fldChar w:fldCharType="end"/>
      </w:r>
      <w:r>
        <w:rPr>
          <w:rFonts w:hint="eastAsia" w:ascii="宋体" w:hAnsi="宋体" w:cs="宋体"/>
          <w:color w:val="auto"/>
        </w:rPr>
        <w:fldChar w:fldCharType="end"/>
      </w:r>
    </w:p>
    <w:p w14:paraId="539ABFC9">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_Toc8172 </w:instrText>
      </w:r>
      <w:r>
        <w:rPr>
          <w:rFonts w:hint="eastAsia" w:ascii="宋体" w:hAnsi="宋体" w:cs="宋体"/>
        </w:rPr>
        <w:fldChar w:fldCharType="separate"/>
      </w:r>
      <w:r>
        <w:rPr>
          <w:rFonts w:hint="eastAsia"/>
        </w:rPr>
        <w:t>8.1</w:t>
      </w:r>
      <w:r>
        <w:t xml:space="preserve"> </w:t>
      </w:r>
      <w:r>
        <w:rPr>
          <w:rFonts w:hint="eastAsia"/>
        </w:rPr>
        <w:t>健康管理</w:t>
      </w:r>
      <w:r>
        <w:tab/>
      </w:r>
      <w:r>
        <w:fldChar w:fldCharType="begin"/>
      </w:r>
      <w:r>
        <w:instrText xml:space="preserve"> PAGEREF _Toc8172 \h </w:instrText>
      </w:r>
      <w:r>
        <w:fldChar w:fldCharType="separate"/>
      </w:r>
      <w:r>
        <w:t>121</w:t>
      </w:r>
      <w:r>
        <w:fldChar w:fldCharType="end"/>
      </w:r>
      <w:r>
        <w:rPr>
          <w:rFonts w:hint="eastAsia" w:ascii="宋体" w:hAnsi="宋体" w:cs="宋体"/>
          <w:color w:val="auto"/>
        </w:rPr>
        <w:fldChar w:fldCharType="end"/>
      </w:r>
    </w:p>
    <w:p w14:paraId="0605083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_Toc10399 </w:instrText>
      </w:r>
      <w:r>
        <w:rPr>
          <w:rFonts w:hint="eastAsia" w:ascii="宋体" w:hAnsi="宋体" w:cs="宋体"/>
        </w:rPr>
        <w:fldChar w:fldCharType="separate"/>
      </w:r>
      <w:r>
        <w:rPr>
          <w:rFonts w:hint="eastAsia"/>
        </w:rPr>
        <w:t>8.</w:t>
      </w:r>
      <w:r>
        <w:t xml:space="preserve">1.1 </w:t>
      </w:r>
      <w:r>
        <w:rPr>
          <w:rFonts w:hint="eastAsia"/>
        </w:rPr>
        <w:t>健康管理目标</w:t>
      </w:r>
      <w:r>
        <w:tab/>
      </w:r>
      <w:r>
        <w:fldChar w:fldCharType="begin"/>
      </w:r>
      <w:r>
        <w:instrText xml:space="preserve"> PAGEREF _Toc10399 \h </w:instrText>
      </w:r>
      <w:r>
        <w:fldChar w:fldCharType="separate"/>
      </w:r>
      <w:r>
        <w:t>121</w:t>
      </w:r>
      <w:r>
        <w:fldChar w:fldCharType="end"/>
      </w:r>
      <w:r>
        <w:rPr>
          <w:rFonts w:hint="eastAsia" w:ascii="宋体" w:hAnsi="宋体" w:cs="宋体"/>
          <w:color w:val="auto"/>
        </w:rPr>
        <w:fldChar w:fldCharType="end"/>
      </w:r>
    </w:p>
    <w:p w14:paraId="63B8B2A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_Toc9743 </w:instrText>
      </w:r>
      <w:r>
        <w:rPr>
          <w:rFonts w:hint="eastAsia" w:ascii="宋体" w:hAnsi="宋体" w:cs="宋体"/>
        </w:rPr>
        <w:fldChar w:fldCharType="separate"/>
      </w:r>
      <w:r>
        <w:rPr>
          <w:rFonts w:hint="eastAsia"/>
        </w:rPr>
        <w:t>8.</w:t>
      </w:r>
      <w:r>
        <w:t>1.2 健康管理措施</w:t>
      </w:r>
      <w:r>
        <w:tab/>
      </w:r>
      <w:r>
        <w:fldChar w:fldCharType="begin"/>
      </w:r>
      <w:r>
        <w:instrText xml:space="preserve"> PAGEREF _Toc9743 \h </w:instrText>
      </w:r>
      <w:r>
        <w:fldChar w:fldCharType="separate"/>
      </w:r>
      <w:r>
        <w:t>121</w:t>
      </w:r>
      <w:r>
        <w:fldChar w:fldCharType="end"/>
      </w:r>
      <w:r>
        <w:rPr>
          <w:rFonts w:hint="eastAsia" w:ascii="宋体" w:hAnsi="宋体" w:cs="宋体"/>
          <w:color w:val="auto"/>
        </w:rPr>
        <w:fldChar w:fldCharType="end"/>
      </w:r>
    </w:p>
    <w:p w14:paraId="47ADAD9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_Toc10519 </w:instrText>
      </w:r>
      <w:r>
        <w:rPr>
          <w:rFonts w:hint="eastAsia" w:ascii="宋体" w:hAnsi="宋体" w:cs="宋体"/>
        </w:rPr>
        <w:fldChar w:fldCharType="separate"/>
      </w:r>
      <w:r>
        <w:rPr>
          <w:rFonts w:hint="eastAsia"/>
        </w:rPr>
        <w:t>8.2</w:t>
      </w:r>
      <w:r>
        <w:t xml:space="preserve"> </w:t>
      </w:r>
      <w:r>
        <w:rPr>
          <w:rFonts w:hint="eastAsia"/>
        </w:rPr>
        <w:t>环境管理</w:t>
      </w:r>
      <w:r>
        <w:tab/>
      </w:r>
      <w:r>
        <w:fldChar w:fldCharType="begin"/>
      </w:r>
      <w:r>
        <w:instrText xml:space="preserve"> PAGEREF _Toc10519 \h </w:instrText>
      </w:r>
      <w:r>
        <w:fldChar w:fldCharType="separate"/>
      </w:r>
      <w:r>
        <w:t>121</w:t>
      </w:r>
      <w:r>
        <w:fldChar w:fldCharType="end"/>
      </w:r>
      <w:r>
        <w:rPr>
          <w:rFonts w:hint="eastAsia" w:ascii="宋体" w:hAnsi="宋体" w:cs="宋体"/>
          <w:color w:val="auto"/>
        </w:rPr>
        <w:fldChar w:fldCharType="end"/>
      </w:r>
    </w:p>
    <w:p w14:paraId="7C75B49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_Toc10279 </w:instrText>
      </w:r>
      <w:r>
        <w:rPr>
          <w:rFonts w:hint="eastAsia" w:ascii="宋体" w:hAnsi="宋体" w:cs="宋体"/>
        </w:rPr>
        <w:fldChar w:fldCharType="separate"/>
      </w:r>
      <w:r>
        <w:rPr>
          <w:rFonts w:hint="eastAsia"/>
        </w:rPr>
        <w:t>8.</w:t>
      </w:r>
      <w:r>
        <w:t>2.1环境管理目标</w:t>
      </w:r>
      <w:r>
        <w:tab/>
      </w:r>
      <w:r>
        <w:fldChar w:fldCharType="begin"/>
      </w:r>
      <w:r>
        <w:instrText xml:space="preserve"> PAGEREF _Toc10279 \h </w:instrText>
      </w:r>
      <w:r>
        <w:fldChar w:fldCharType="separate"/>
      </w:r>
      <w:r>
        <w:t>121</w:t>
      </w:r>
      <w:r>
        <w:fldChar w:fldCharType="end"/>
      </w:r>
      <w:r>
        <w:rPr>
          <w:rFonts w:hint="eastAsia" w:ascii="宋体" w:hAnsi="宋体" w:cs="宋体"/>
          <w:color w:val="auto"/>
        </w:rPr>
        <w:fldChar w:fldCharType="end"/>
      </w:r>
    </w:p>
    <w:p w14:paraId="0D317A3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_Toc25590 </w:instrText>
      </w:r>
      <w:r>
        <w:rPr>
          <w:rFonts w:hint="eastAsia" w:ascii="宋体" w:hAnsi="宋体" w:cs="宋体"/>
        </w:rPr>
        <w:fldChar w:fldCharType="separate"/>
      </w:r>
      <w:r>
        <w:rPr>
          <w:rFonts w:hint="eastAsia"/>
        </w:rPr>
        <w:t>8.</w:t>
      </w:r>
      <w:r>
        <w:t>2.2 环境管理措施</w:t>
      </w:r>
      <w:r>
        <w:tab/>
      </w:r>
      <w:r>
        <w:fldChar w:fldCharType="begin"/>
      </w:r>
      <w:r>
        <w:instrText xml:space="preserve"> PAGEREF _Toc25590 \h </w:instrText>
      </w:r>
      <w:r>
        <w:fldChar w:fldCharType="separate"/>
      </w:r>
      <w:r>
        <w:t>121</w:t>
      </w:r>
      <w:r>
        <w:fldChar w:fldCharType="end"/>
      </w:r>
      <w:r>
        <w:rPr>
          <w:rFonts w:hint="eastAsia" w:ascii="宋体" w:hAnsi="宋体" w:cs="宋体"/>
          <w:color w:val="auto"/>
        </w:rPr>
        <w:fldChar w:fldCharType="end"/>
      </w:r>
    </w:p>
    <w:p w14:paraId="41E3C78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_Toc20795 </w:instrText>
      </w:r>
      <w:r>
        <w:rPr>
          <w:rFonts w:hint="eastAsia" w:ascii="宋体" w:hAnsi="宋体" w:cs="宋体"/>
        </w:rPr>
        <w:fldChar w:fldCharType="separate"/>
      </w:r>
      <w:r>
        <w:rPr>
          <w:rFonts w:hint="eastAsia"/>
        </w:rPr>
        <w:t>8.</w:t>
      </w:r>
      <w:r>
        <w:t>3 安全</w:t>
      </w:r>
      <w:r>
        <w:rPr>
          <w:rFonts w:hint="eastAsia"/>
        </w:rPr>
        <w:t>管理</w:t>
      </w:r>
      <w:r>
        <w:tab/>
      </w:r>
      <w:r>
        <w:fldChar w:fldCharType="begin"/>
      </w:r>
      <w:r>
        <w:instrText xml:space="preserve"> PAGEREF _Toc20795 \h </w:instrText>
      </w:r>
      <w:r>
        <w:fldChar w:fldCharType="separate"/>
      </w:r>
      <w:r>
        <w:t>122</w:t>
      </w:r>
      <w:r>
        <w:fldChar w:fldCharType="end"/>
      </w:r>
      <w:r>
        <w:rPr>
          <w:rFonts w:hint="eastAsia" w:ascii="宋体" w:hAnsi="宋体" w:cs="宋体"/>
          <w:color w:val="auto"/>
        </w:rPr>
        <w:fldChar w:fldCharType="end"/>
      </w:r>
    </w:p>
    <w:p w14:paraId="2AA8D8C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_Toc1092 </w:instrText>
      </w:r>
      <w:r>
        <w:rPr>
          <w:rFonts w:hint="eastAsia" w:ascii="宋体" w:hAnsi="宋体" w:cs="宋体"/>
        </w:rPr>
        <w:fldChar w:fldCharType="separate"/>
      </w:r>
      <w:r>
        <w:rPr>
          <w:rFonts w:hint="eastAsia"/>
        </w:rPr>
        <w:t>8.</w:t>
      </w:r>
      <w:r>
        <w:t>3.1 安全管理目标</w:t>
      </w:r>
      <w:r>
        <w:tab/>
      </w:r>
      <w:r>
        <w:fldChar w:fldCharType="begin"/>
      </w:r>
      <w:r>
        <w:instrText xml:space="preserve"> PAGEREF _Toc1092 \h </w:instrText>
      </w:r>
      <w:r>
        <w:fldChar w:fldCharType="separate"/>
      </w:r>
      <w:r>
        <w:t>122</w:t>
      </w:r>
      <w:r>
        <w:fldChar w:fldCharType="end"/>
      </w:r>
      <w:r>
        <w:rPr>
          <w:rFonts w:hint="eastAsia" w:ascii="宋体" w:hAnsi="宋体" w:cs="宋体"/>
          <w:color w:val="auto"/>
        </w:rPr>
        <w:fldChar w:fldCharType="end"/>
      </w:r>
    </w:p>
    <w:p w14:paraId="023299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_Toc9165 </w:instrText>
      </w:r>
      <w:r>
        <w:rPr>
          <w:rFonts w:hint="eastAsia" w:ascii="宋体" w:hAnsi="宋体" w:cs="宋体"/>
        </w:rPr>
        <w:fldChar w:fldCharType="separate"/>
      </w:r>
      <w:r>
        <w:rPr>
          <w:rFonts w:hint="eastAsia"/>
        </w:rPr>
        <w:t>8.</w:t>
      </w:r>
      <w:r>
        <w:t>3.2 安全管理措施</w:t>
      </w:r>
      <w:r>
        <w:tab/>
      </w:r>
      <w:r>
        <w:fldChar w:fldCharType="begin"/>
      </w:r>
      <w:r>
        <w:instrText xml:space="preserve"> PAGEREF _Toc9165 \h </w:instrText>
      </w:r>
      <w:r>
        <w:fldChar w:fldCharType="separate"/>
      </w:r>
      <w:r>
        <w:t>122</w:t>
      </w:r>
      <w:r>
        <w:fldChar w:fldCharType="end"/>
      </w:r>
      <w:r>
        <w:rPr>
          <w:rFonts w:hint="eastAsia" w:ascii="宋体" w:hAnsi="宋体" w:cs="宋体"/>
          <w:color w:val="auto"/>
        </w:rPr>
        <w:fldChar w:fldCharType="end"/>
      </w:r>
    </w:p>
    <w:p w14:paraId="08236493">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_Toc24496 </w:instrText>
      </w:r>
      <w:r>
        <w:rPr>
          <w:rFonts w:hint="eastAsia" w:ascii="宋体" w:hAnsi="宋体" w:cs="宋体"/>
        </w:rPr>
        <w:fldChar w:fldCharType="separate"/>
      </w:r>
      <w:r>
        <w:rPr>
          <w:rFonts w:hint="eastAsia"/>
        </w:rPr>
        <w:t>9 风险因素辨识与分析</w:t>
      </w:r>
      <w:r>
        <w:tab/>
      </w:r>
      <w:r>
        <w:fldChar w:fldCharType="begin"/>
      </w:r>
      <w:r>
        <w:instrText xml:space="preserve"> PAGEREF _Toc24496 \h </w:instrText>
      </w:r>
      <w:r>
        <w:fldChar w:fldCharType="separate"/>
      </w:r>
      <w:r>
        <w:t>123</w:t>
      </w:r>
      <w:r>
        <w:fldChar w:fldCharType="end"/>
      </w:r>
      <w:r>
        <w:rPr>
          <w:rFonts w:hint="eastAsia" w:ascii="宋体" w:hAnsi="宋体" w:cs="宋体"/>
          <w:color w:val="auto"/>
        </w:rPr>
        <w:fldChar w:fldCharType="end"/>
      </w:r>
    </w:p>
    <w:p w14:paraId="34018ED4">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_Toc20289 </w:instrText>
      </w:r>
      <w:r>
        <w:rPr>
          <w:rFonts w:hint="eastAsia" w:ascii="宋体" w:hAnsi="宋体" w:cs="宋体"/>
        </w:rPr>
        <w:fldChar w:fldCharType="separate"/>
      </w:r>
      <w:r>
        <w:rPr>
          <w:rFonts w:hint="eastAsia"/>
        </w:rPr>
        <w:t>9.1 风险源辨识</w:t>
      </w:r>
      <w:r>
        <w:tab/>
      </w:r>
      <w:r>
        <w:fldChar w:fldCharType="begin"/>
      </w:r>
      <w:r>
        <w:instrText xml:space="preserve"> PAGEREF _Toc20289 \h </w:instrText>
      </w:r>
      <w:r>
        <w:fldChar w:fldCharType="separate"/>
      </w:r>
      <w:r>
        <w:t>123</w:t>
      </w:r>
      <w:r>
        <w:fldChar w:fldCharType="end"/>
      </w:r>
      <w:r>
        <w:rPr>
          <w:rFonts w:hint="eastAsia" w:ascii="宋体" w:hAnsi="宋体" w:cs="宋体"/>
          <w:color w:val="auto"/>
        </w:rPr>
        <w:fldChar w:fldCharType="end"/>
      </w:r>
    </w:p>
    <w:p w14:paraId="1739BF3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_Toc32466 </w:instrText>
      </w:r>
      <w:r>
        <w:rPr>
          <w:rFonts w:hint="eastAsia" w:ascii="宋体" w:hAnsi="宋体" w:cs="宋体"/>
        </w:rPr>
        <w:fldChar w:fldCharType="separate"/>
      </w:r>
      <w:r>
        <w:rPr>
          <w:rFonts w:hint="eastAsia"/>
        </w:rPr>
        <w:t>9.2 风险因素分析</w:t>
      </w:r>
      <w:r>
        <w:tab/>
      </w:r>
      <w:r>
        <w:fldChar w:fldCharType="begin"/>
      </w:r>
      <w:r>
        <w:instrText xml:space="preserve"> PAGEREF _Toc32466 \h </w:instrText>
      </w:r>
      <w:r>
        <w:fldChar w:fldCharType="separate"/>
      </w:r>
      <w:r>
        <w:t>125</w:t>
      </w:r>
      <w:r>
        <w:fldChar w:fldCharType="end"/>
      </w:r>
      <w:r>
        <w:rPr>
          <w:rFonts w:hint="eastAsia" w:ascii="宋体" w:hAnsi="宋体" w:cs="宋体"/>
          <w:color w:val="auto"/>
        </w:rPr>
        <w:fldChar w:fldCharType="end"/>
      </w:r>
    </w:p>
    <w:p w14:paraId="5B3E2ED2">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_Toc32131 </w:instrText>
      </w:r>
      <w:r>
        <w:rPr>
          <w:rFonts w:hint="eastAsia" w:ascii="宋体" w:hAnsi="宋体" w:cs="宋体"/>
        </w:rPr>
        <w:fldChar w:fldCharType="separate"/>
      </w:r>
      <w:r>
        <w:rPr>
          <w:rFonts w:hint="eastAsia"/>
        </w:rPr>
        <w:t>9.3 风险因素评估</w:t>
      </w:r>
      <w:r>
        <w:tab/>
      </w:r>
      <w:r>
        <w:fldChar w:fldCharType="begin"/>
      </w:r>
      <w:r>
        <w:instrText xml:space="preserve"> PAGEREF _Toc32131 \h </w:instrText>
      </w:r>
      <w:r>
        <w:fldChar w:fldCharType="separate"/>
      </w:r>
      <w:r>
        <w:t>125</w:t>
      </w:r>
      <w:r>
        <w:fldChar w:fldCharType="end"/>
      </w:r>
      <w:r>
        <w:rPr>
          <w:rFonts w:hint="eastAsia" w:ascii="宋体" w:hAnsi="宋体" w:cs="宋体"/>
          <w:color w:val="auto"/>
        </w:rPr>
        <w:fldChar w:fldCharType="end"/>
      </w:r>
    </w:p>
    <w:p w14:paraId="1021883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_Toc180 </w:instrText>
      </w:r>
      <w:r>
        <w:rPr>
          <w:rFonts w:hint="eastAsia" w:ascii="宋体" w:hAnsi="宋体" w:cs="宋体"/>
        </w:rPr>
        <w:fldChar w:fldCharType="separate"/>
      </w:r>
      <w:r>
        <w:rPr>
          <w:rFonts w:hint="eastAsia"/>
        </w:rPr>
        <w:t>9.</w:t>
      </w:r>
      <w:r>
        <w:t xml:space="preserve">4 </w:t>
      </w:r>
      <w:r>
        <w:rPr>
          <w:rFonts w:hint="eastAsia"/>
        </w:rPr>
        <w:t>重大风险源控制措施</w:t>
      </w:r>
      <w:r>
        <w:tab/>
      </w:r>
      <w:r>
        <w:fldChar w:fldCharType="begin"/>
      </w:r>
      <w:r>
        <w:instrText xml:space="preserve"> PAGEREF _Toc180 \h </w:instrText>
      </w:r>
      <w:r>
        <w:fldChar w:fldCharType="separate"/>
      </w:r>
      <w:r>
        <w:t>128</w:t>
      </w:r>
      <w:r>
        <w:fldChar w:fldCharType="end"/>
      </w:r>
      <w:r>
        <w:rPr>
          <w:rFonts w:hint="eastAsia" w:ascii="宋体" w:hAnsi="宋体" w:cs="宋体"/>
          <w:color w:val="auto"/>
        </w:rPr>
        <w:fldChar w:fldCharType="end"/>
      </w:r>
    </w:p>
    <w:p w14:paraId="4AD2167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_Toc17150 </w:instrText>
      </w:r>
      <w:r>
        <w:rPr>
          <w:rFonts w:hint="eastAsia" w:ascii="宋体" w:hAnsi="宋体" w:cs="宋体"/>
        </w:rPr>
        <w:fldChar w:fldCharType="separate"/>
      </w:r>
      <w:r>
        <w:rPr>
          <w:rFonts w:hint="eastAsia"/>
        </w:rPr>
        <w:t>9.4.1</w:t>
      </w:r>
      <w:r>
        <w:t xml:space="preserve"> </w:t>
      </w:r>
      <w:r>
        <w:rPr>
          <w:rFonts w:hint="eastAsia"/>
        </w:rPr>
        <w:t>高处坠落安全控制措施</w:t>
      </w:r>
      <w:r>
        <w:tab/>
      </w:r>
      <w:r>
        <w:fldChar w:fldCharType="begin"/>
      </w:r>
      <w:r>
        <w:instrText xml:space="preserve"> PAGEREF _Toc17150 \h </w:instrText>
      </w:r>
      <w:r>
        <w:fldChar w:fldCharType="separate"/>
      </w:r>
      <w:r>
        <w:t>128</w:t>
      </w:r>
      <w:r>
        <w:fldChar w:fldCharType="end"/>
      </w:r>
      <w:r>
        <w:rPr>
          <w:rFonts w:hint="eastAsia" w:ascii="宋体" w:hAnsi="宋体" w:cs="宋体"/>
          <w:color w:val="auto"/>
        </w:rPr>
        <w:fldChar w:fldCharType="end"/>
      </w:r>
    </w:p>
    <w:p w14:paraId="0156B80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_Toc31614 </w:instrText>
      </w:r>
      <w:r>
        <w:rPr>
          <w:rFonts w:hint="eastAsia" w:ascii="宋体" w:hAnsi="宋体" w:cs="宋体"/>
        </w:rPr>
        <w:fldChar w:fldCharType="separate"/>
      </w:r>
      <w:r>
        <w:rPr>
          <w:rFonts w:hint="eastAsia"/>
        </w:rPr>
        <w:t>9.4.</w:t>
      </w:r>
      <w:r>
        <w:t>2</w:t>
      </w:r>
      <w:r>
        <w:rPr>
          <w:rFonts w:hint="eastAsia"/>
        </w:rPr>
        <w:t xml:space="preserve"> 起重伤害安全控制措施</w:t>
      </w:r>
      <w:r>
        <w:tab/>
      </w:r>
      <w:r>
        <w:fldChar w:fldCharType="begin"/>
      </w:r>
      <w:r>
        <w:instrText xml:space="preserve"> PAGEREF _Toc31614 \h </w:instrText>
      </w:r>
      <w:r>
        <w:fldChar w:fldCharType="separate"/>
      </w:r>
      <w:r>
        <w:t>128</w:t>
      </w:r>
      <w:r>
        <w:fldChar w:fldCharType="end"/>
      </w:r>
      <w:r>
        <w:rPr>
          <w:rFonts w:hint="eastAsia" w:ascii="宋体" w:hAnsi="宋体" w:cs="宋体"/>
          <w:color w:val="auto"/>
        </w:rPr>
        <w:fldChar w:fldCharType="end"/>
      </w:r>
    </w:p>
    <w:p w14:paraId="1BE447D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_Toc27416 </w:instrText>
      </w:r>
      <w:r>
        <w:rPr>
          <w:rFonts w:hint="eastAsia" w:ascii="宋体" w:hAnsi="宋体" w:cs="宋体"/>
        </w:rPr>
        <w:fldChar w:fldCharType="separate"/>
      </w:r>
      <w:r>
        <w:rPr>
          <w:rFonts w:hint="eastAsia"/>
        </w:rPr>
        <w:t>9.4.</w:t>
      </w:r>
      <w:r>
        <w:t xml:space="preserve">3 </w:t>
      </w:r>
      <w:r>
        <w:rPr>
          <w:rFonts w:hint="eastAsia"/>
        </w:rPr>
        <w:t>预防坍塌安全控制措施</w:t>
      </w:r>
      <w:r>
        <w:tab/>
      </w:r>
      <w:r>
        <w:fldChar w:fldCharType="begin"/>
      </w:r>
      <w:r>
        <w:instrText xml:space="preserve"> PAGEREF _Toc27416 \h </w:instrText>
      </w:r>
      <w:r>
        <w:fldChar w:fldCharType="separate"/>
      </w:r>
      <w:r>
        <w:t>129</w:t>
      </w:r>
      <w:r>
        <w:fldChar w:fldCharType="end"/>
      </w:r>
      <w:r>
        <w:rPr>
          <w:rFonts w:hint="eastAsia" w:ascii="宋体" w:hAnsi="宋体" w:cs="宋体"/>
          <w:color w:val="auto"/>
        </w:rPr>
        <w:fldChar w:fldCharType="end"/>
      </w:r>
    </w:p>
    <w:p w14:paraId="1B067133">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_Toc19302 </w:instrText>
      </w:r>
      <w:r>
        <w:rPr>
          <w:rFonts w:hint="eastAsia" w:ascii="宋体" w:hAnsi="宋体" w:cs="宋体"/>
        </w:rPr>
        <w:fldChar w:fldCharType="separate"/>
      </w:r>
      <w:r>
        <w:rPr>
          <w:rFonts w:hint="eastAsia"/>
        </w:rPr>
        <w:t>9.5 一般风险源控制措施</w:t>
      </w:r>
      <w:r>
        <w:tab/>
      </w:r>
      <w:r>
        <w:fldChar w:fldCharType="begin"/>
      </w:r>
      <w:r>
        <w:instrText xml:space="preserve"> PAGEREF _Toc19302 \h </w:instrText>
      </w:r>
      <w:r>
        <w:fldChar w:fldCharType="separate"/>
      </w:r>
      <w:r>
        <w:t>129</w:t>
      </w:r>
      <w:r>
        <w:fldChar w:fldCharType="end"/>
      </w:r>
      <w:r>
        <w:rPr>
          <w:rFonts w:hint="eastAsia" w:ascii="宋体" w:hAnsi="宋体" w:cs="宋体"/>
          <w:color w:val="auto"/>
        </w:rPr>
        <w:fldChar w:fldCharType="end"/>
      </w:r>
    </w:p>
    <w:p w14:paraId="0C81B7E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_Toc28121 </w:instrText>
      </w:r>
      <w:r>
        <w:rPr>
          <w:rFonts w:hint="eastAsia" w:ascii="宋体" w:hAnsi="宋体" w:cs="宋体"/>
        </w:rPr>
        <w:fldChar w:fldCharType="separate"/>
      </w:r>
      <w:r>
        <w:rPr>
          <w:rFonts w:hint="eastAsia" w:cs="宋体"/>
        </w:rPr>
        <w:t>9.5.1 常规安全控制措施</w:t>
      </w:r>
      <w:r>
        <w:tab/>
      </w:r>
      <w:r>
        <w:fldChar w:fldCharType="begin"/>
      </w:r>
      <w:r>
        <w:instrText xml:space="preserve"> PAGEREF _Toc28121 \h </w:instrText>
      </w:r>
      <w:r>
        <w:fldChar w:fldCharType="separate"/>
      </w:r>
      <w:r>
        <w:t>129</w:t>
      </w:r>
      <w:r>
        <w:fldChar w:fldCharType="end"/>
      </w:r>
      <w:r>
        <w:rPr>
          <w:rFonts w:hint="eastAsia" w:ascii="宋体" w:hAnsi="宋体" w:cs="宋体"/>
          <w:color w:val="auto"/>
        </w:rPr>
        <w:fldChar w:fldCharType="end"/>
      </w:r>
    </w:p>
    <w:p w14:paraId="74D1B3B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_Toc2656 </w:instrText>
      </w:r>
      <w:r>
        <w:rPr>
          <w:rFonts w:hint="eastAsia" w:ascii="宋体" w:hAnsi="宋体" w:cs="宋体"/>
        </w:rPr>
        <w:fldChar w:fldCharType="separate"/>
      </w:r>
      <w:r>
        <w:rPr>
          <w:rFonts w:hint="eastAsia"/>
        </w:rPr>
        <w:t>9.5.2</w:t>
      </w:r>
      <w:r>
        <w:t xml:space="preserve"> </w:t>
      </w:r>
      <w:r>
        <w:rPr>
          <w:rFonts w:hint="eastAsia"/>
        </w:rPr>
        <w:t>物体打击安全控制措施</w:t>
      </w:r>
      <w:r>
        <w:tab/>
      </w:r>
      <w:r>
        <w:fldChar w:fldCharType="begin"/>
      </w:r>
      <w:r>
        <w:instrText xml:space="preserve"> PAGEREF _Toc2656 \h </w:instrText>
      </w:r>
      <w:r>
        <w:fldChar w:fldCharType="separate"/>
      </w:r>
      <w:r>
        <w:t>130</w:t>
      </w:r>
      <w:r>
        <w:fldChar w:fldCharType="end"/>
      </w:r>
      <w:r>
        <w:rPr>
          <w:rFonts w:hint="eastAsia" w:ascii="宋体" w:hAnsi="宋体" w:cs="宋体"/>
          <w:color w:val="auto"/>
        </w:rPr>
        <w:fldChar w:fldCharType="end"/>
      </w:r>
    </w:p>
    <w:p w14:paraId="17BA38F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_Toc32604 </w:instrText>
      </w:r>
      <w:r>
        <w:rPr>
          <w:rFonts w:hint="eastAsia" w:ascii="宋体" w:hAnsi="宋体" w:cs="宋体"/>
        </w:rPr>
        <w:fldChar w:fldCharType="separate"/>
      </w:r>
      <w:r>
        <w:rPr>
          <w:rFonts w:hint="eastAsia"/>
        </w:rPr>
        <w:t>9.5.3</w:t>
      </w:r>
      <w:r>
        <w:t xml:space="preserve"> </w:t>
      </w:r>
      <w:r>
        <w:rPr>
          <w:rFonts w:hint="eastAsia"/>
        </w:rPr>
        <w:t>机械伤害安全控制措施</w:t>
      </w:r>
      <w:r>
        <w:tab/>
      </w:r>
      <w:r>
        <w:fldChar w:fldCharType="begin"/>
      </w:r>
      <w:r>
        <w:instrText xml:space="preserve"> PAGEREF _Toc32604 \h </w:instrText>
      </w:r>
      <w:r>
        <w:fldChar w:fldCharType="separate"/>
      </w:r>
      <w:r>
        <w:t>130</w:t>
      </w:r>
      <w:r>
        <w:fldChar w:fldCharType="end"/>
      </w:r>
      <w:r>
        <w:rPr>
          <w:rFonts w:hint="eastAsia" w:ascii="宋体" w:hAnsi="宋体" w:cs="宋体"/>
          <w:color w:val="auto"/>
        </w:rPr>
        <w:fldChar w:fldCharType="end"/>
      </w:r>
    </w:p>
    <w:p w14:paraId="2DD4BC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_Toc32293 </w:instrText>
      </w:r>
      <w:r>
        <w:rPr>
          <w:rFonts w:hint="eastAsia" w:ascii="宋体" w:hAnsi="宋体" w:cs="宋体"/>
        </w:rPr>
        <w:fldChar w:fldCharType="separate"/>
      </w:r>
      <w:r>
        <w:rPr>
          <w:rFonts w:hint="eastAsia"/>
        </w:rPr>
        <w:t>9.5.4 施工用电安全控制措施</w:t>
      </w:r>
      <w:r>
        <w:tab/>
      </w:r>
      <w:r>
        <w:fldChar w:fldCharType="begin"/>
      </w:r>
      <w:r>
        <w:instrText xml:space="preserve"> PAGEREF _Toc32293 \h </w:instrText>
      </w:r>
      <w:r>
        <w:fldChar w:fldCharType="separate"/>
      </w:r>
      <w:r>
        <w:t>131</w:t>
      </w:r>
      <w:r>
        <w:fldChar w:fldCharType="end"/>
      </w:r>
      <w:r>
        <w:rPr>
          <w:rFonts w:hint="eastAsia" w:ascii="宋体" w:hAnsi="宋体" w:cs="宋体"/>
          <w:color w:val="auto"/>
        </w:rPr>
        <w:fldChar w:fldCharType="end"/>
      </w:r>
    </w:p>
    <w:p w14:paraId="5C69388D">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_Toc28734 </w:instrText>
      </w:r>
      <w:r>
        <w:rPr>
          <w:rFonts w:hint="eastAsia" w:ascii="宋体" w:hAnsi="宋体" w:cs="宋体"/>
        </w:rPr>
        <w:fldChar w:fldCharType="separate"/>
      </w:r>
      <w:r>
        <w:rPr>
          <w:rFonts w:hint="eastAsia" w:ascii="宋体" w:hAnsi="宋体" w:eastAsia="宋体"/>
          <w:lang w:val="en-US" w:eastAsia="zh-CN"/>
        </w:rPr>
        <w:t>9</w:t>
      </w:r>
      <w:r>
        <w:rPr>
          <w:rFonts w:hint="default" w:ascii="宋体" w:hAnsi="宋体" w:eastAsia="宋体"/>
        </w:rPr>
        <w:t>.</w:t>
      </w:r>
      <w:r>
        <w:rPr>
          <w:rFonts w:hint="eastAsia" w:ascii="宋体" w:hAnsi="宋体" w:eastAsia="宋体"/>
          <w:lang w:val="en-US" w:eastAsia="zh-CN"/>
        </w:rPr>
        <w:t>6</w:t>
      </w:r>
      <w:r>
        <w:rPr>
          <w:rFonts w:hint="default" w:ascii="宋体" w:hAnsi="宋体" w:eastAsia="宋体"/>
        </w:rPr>
        <w:t xml:space="preserve"> </w:t>
      </w:r>
      <w:r>
        <w:rPr>
          <w:rFonts w:hint="eastAsia" w:ascii="宋体" w:hAnsi="宋体" w:eastAsia="宋体"/>
        </w:rPr>
        <w:t>群塔施工安全控制</w:t>
      </w:r>
      <w:r>
        <w:rPr>
          <w:rFonts w:hint="default" w:ascii="宋体" w:hAnsi="宋体" w:eastAsia="宋体"/>
        </w:rPr>
        <w:t>措施</w:t>
      </w:r>
      <w:r>
        <w:tab/>
      </w:r>
      <w:r>
        <w:fldChar w:fldCharType="begin"/>
      </w:r>
      <w:r>
        <w:instrText xml:space="preserve"> PAGEREF _Toc28734 \h </w:instrText>
      </w:r>
      <w:r>
        <w:fldChar w:fldCharType="separate"/>
      </w:r>
      <w:r>
        <w:t>132</w:t>
      </w:r>
      <w:r>
        <w:fldChar w:fldCharType="end"/>
      </w:r>
      <w:r>
        <w:rPr>
          <w:rFonts w:hint="eastAsia" w:ascii="宋体" w:hAnsi="宋体" w:cs="宋体"/>
          <w:color w:val="auto"/>
        </w:rPr>
        <w:fldChar w:fldCharType="end"/>
      </w:r>
    </w:p>
    <w:p w14:paraId="7D1DF54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_Toc30597 </w:instrText>
      </w:r>
      <w:r>
        <w:rPr>
          <w:rFonts w:hint="eastAsia" w:ascii="宋体" w:hAnsi="宋体" w:cs="宋体"/>
        </w:rPr>
        <w:fldChar w:fldCharType="separate"/>
      </w:r>
      <w:r>
        <w:rPr>
          <w:rFonts w:hint="eastAsia" w:ascii="宋体" w:hAnsi="宋体" w:eastAsia="宋体"/>
          <w:lang w:val="en-US" w:eastAsia="zh-CN"/>
        </w:rPr>
        <w:t>9.6.1安全技术措施</w:t>
      </w:r>
      <w:r>
        <w:tab/>
      </w:r>
      <w:r>
        <w:fldChar w:fldCharType="begin"/>
      </w:r>
      <w:r>
        <w:instrText xml:space="preserve"> PAGEREF _Toc30597 \h </w:instrText>
      </w:r>
      <w:r>
        <w:fldChar w:fldCharType="separate"/>
      </w:r>
      <w:r>
        <w:t>132</w:t>
      </w:r>
      <w:r>
        <w:fldChar w:fldCharType="end"/>
      </w:r>
      <w:r>
        <w:rPr>
          <w:rFonts w:hint="eastAsia" w:ascii="宋体" w:hAnsi="宋体" w:cs="宋体"/>
          <w:color w:val="auto"/>
        </w:rPr>
        <w:fldChar w:fldCharType="end"/>
      </w:r>
    </w:p>
    <w:p w14:paraId="6D19CB1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_Toc3633 </w:instrText>
      </w:r>
      <w:r>
        <w:rPr>
          <w:rFonts w:hint="eastAsia" w:ascii="宋体" w:hAnsi="宋体" w:cs="宋体"/>
        </w:rPr>
        <w:fldChar w:fldCharType="separate"/>
      </w:r>
      <w:r>
        <w:rPr>
          <w:rFonts w:hint="eastAsia" w:ascii="宋体" w:hAnsi="宋体" w:eastAsia="宋体"/>
          <w:lang w:val="en-US" w:eastAsia="zh-CN"/>
        </w:rPr>
        <w:t>9.6.2安全管理措施</w:t>
      </w:r>
      <w:r>
        <w:tab/>
      </w:r>
      <w:r>
        <w:fldChar w:fldCharType="begin"/>
      </w:r>
      <w:r>
        <w:instrText xml:space="preserve"> PAGEREF _Toc3633 \h </w:instrText>
      </w:r>
      <w:r>
        <w:fldChar w:fldCharType="separate"/>
      </w:r>
      <w:r>
        <w:t>134</w:t>
      </w:r>
      <w:r>
        <w:fldChar w:fldCharType="end"/>
      </w:r>
      <w:r>
        <w:rPr>
          <w:rFonts w:hint="eastAsia" w:ascii="宋体" w:hAnsi="宋体" w:cs="宋体"/>
          <w:color w:val="auto"/>
        </w:rPr>
        <w:fldChar w:fldCharType="end"/>
      </w:r>
    </w:p>
    <w:p w14:paraId="0A3BEEFB">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_Toc13592 </w:instrText>
      </w:r>
      <w:r>
        <w:rPr>
          <w:rFonts w:hint="eastAsia" w:ascii="宋体" w:hAnsi="宋体" w:cs="宋体"/>
        </w:rPr>
        <w:fldChar w:fldCharType="separate"/>
      </w:r>
      <w:r>
        <w:rPr>
          <w:rFonts w:hint="eastAsia"/>
        </w:rPr>
        <w:t>10 应急处置措施</w:t>
      </w:r>
      <w:r>
        <w:tab/>
      </w:r>
      <w:r>
        <w:fldChar w:fldCharType="begin"/>
      </w:r>
      <w:r>
        <w:instrText xml:space="preserve"> PAGEREF _Toc13592 \h </w:instrText>
      </w:r>
      <w:r>
        <w:fldChar w:fldCharType="separate"/>
      </w:r>
      <w:r>
        <w:t>136</w:t>
      </w:r>
      <w:r>
        <w:fldChar w:fldCharType="end"/>
      </w:r>
      <w:r>
        <w:rPr>
          <w:rFonts w:hint="eastAsia" w:ascii="宋体" w:hAnsi="宋体" w:cs="宋体"/>
          <w:color w:val="auto"/>
        </w:rPr>
        <w:fldChar w:fldCharType="end"/>
      </w:r>
    </w:p>
    <w:p w14:paraId="24B2B63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_Toc28238 </w:instrText>
      </w:r>
      <w:r>
        <w:rPr>
          <w:rFonts w:hint="eastAsia" w:ascii="宋体" w:hAnsi="宋体" w:cs="宋体"/>
        </w:rPr>
        <w:fldChar w:fldCharType="separate"/>
      </w:r>
      <w:r>
        <w:rPr>
          <w:rFonts w:hint="eastAsia"/>
        </w:rPr>
        <w:t>1</w:t>
      </w:r>
      <w:r>
        <w:t xml:space="preserve">0.1 </w:t>
      </w:r>
      <w:r>
        <w:rPr>
          <w:rFonts w:hint="eastAsia"/>
        </w:rPr>
        <w:t>应急预案处理基本原则</w:t>
      </w:r>
      <w:r>
        <w:tab/>
      </w:r>
      <w:r>
        <w:fldChar w:fldCharType="begin"/>
      </w:r>
      <w:r>
        <w:instrText xml:space="preserve"> PAGEREF _Toc28238 \h </w:instrText>
      </w:r>
      <w:r>
        <w:fldChar w:fldCharType="separate"/>
      </w:r>
      <w:r>
        <w:t>136</w:t>
      </w:r>
      <w:r>
        <w:fldChar w:fldCharType="end"/>
      </w:r>
      <w:r>
        <w:rPr>
          <w:rFonts w:hint="eastAsia" w:ascii="宋体" w:hAnsi="宋体" w:cs="宋体"/>
          <w:color w:val="auto"/>
        </w:rPr>
        <w:fldChar w:fldCharType="end"/>
      </w:r>
    </w:p>
    <w:p w14:paraId="3240C069">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_Toc11482 </w:instrText>
      </w:r>
      <w:r>
        <w:rPr>
          <w:rFonts w:hint="eastAsia" w:ascii="宋体" w:hAnsi="宋体" w:cs="宋体"/>
        </w:rPr>
        <w:fldChar w:fldCharType="separate"/>
      </w:r>
      <w:r>
        <w:rPr>
          <w:rFonts w:hint="eastAsia"/>
          <w:bCs w:val="0"/>
          <w:kern w:val="2"/>
        </w:rPr>
        <w:t>1</w:t>
      </w:r>
      <w:r>
        <w:rPr>
          <w:bCs w:val="0"/>
          <w:kern w:val="2"/>
        </w:rPr>
        <w:t xml:space="preserve">0.1 </w:t>
      </w:r>
      <w:r>
        <w:rPr>
          <w:rFonts w:hint="eastAsia"/>
          <w:bCs w:val="0"/>
          <w:kern w:val="2"/>
        </w:rPr>
        <w:t>应急组织机构</w:t>
      </w:r>
      <w:r>
        <w:tab/>
      </w:r>
      <w:r>
        <w:fldChar w:fldCharType="begin"/>
      </w:r>
      <w:r>
        <w:instrText xml:space="preserve"> PAGEREF _Toc11482 \h </w:instrText>
      </w:r>
      <w:r>
        <w:fldChar w:fldCharType="separate"/>
      </w:r>
      <w:r>
        <w:t>136</w:t>
      </w:r>
      <w:r>
        <w:fldChar w:fldCharType="end"/>
      </w:r>
      <w:r>
        <w:rPr>
          <w:rFonts w:hint="eastAsia" w:ascii="宋体" w:hAnsi="宋体" w:cs="宋体"/>
          <w:color w:val="auto"/>
        </w:rPr>
        <w:fldChar w:fldCharType="end"/>
      </w:r>
    </w:p>
    <w:p w14:paraId="386174E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_Toc5860 </w:instrText>
      </w:r>
      <w:r>
        <w:rPr>
          <w:rFonts w:hint="eastAsia" w:ascii="宋体" w:hAnsi="宋体" w:cs="宋体"/>
        </w:rPr>
        <w:fldChar w:fldCharType="separate"/>
      </w:r>
      <w:r>
        <w:rPr>
          <w:rFonts w:hint="eastAsia"/>
        </w:rPr>
        <w:t>1</w:t>
      </w:r>
      <w:r>
        <w:t xml:space="preserve">0.1.1 </w:t>
      </w:r>
      <w:r>
        <w:rPr>
          <w:rFonts w:hint="eastAsia"/>
        </w:rPr>
        <w:t>组织机构</w:t>
      </w:r>
      <w:r>
        <w:tab/>
      </w:r>
      <w:r>
        <w:fldChar w:fldCharType="begin"/>
      </w:r>
      <w:r>
        <w:instrText xml:space="preserve"> PAGEREF _Toc5860 \h </w:instrText>
      </w:r>
      <w:r>
        <w:fldChar w:fldCharType="separate"/>
      </w:r>
      <w:r>
        <w:t>136</w:t>
      </w:r>
      <w:r>
        <w:fldChar w:fldCharType="end"/>
      </w:r>
      <w:r>
        <w:rPr>
          <w:rFonts w:hint="eastAsia" w:ascii="宋体" w:hAnsi="宋体" w:cs="宋体"/>
          <w:color w:val="auto"/>
        </w:rPr>
        <w:fldChar w:fldCharType="end"/>
      </w:r>
    </w:p>
    <w:p w14:paraId="32CCAB9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_Toc31531 </w:instrText>
      </w:r>
      <w:r>
        <w:rPr>
          <w:rFonts w:hint="eastAsia" w:ascii="宋体" w:hAnsi="宋体" w:cs="宋体"/>
        </w:rPr>
        <w:fldChar w:fldCharType="separate"/>
      </w:r>
      <w:r>
        <w:rPr>
          <w:rFonts w:hint="eastAsia"/>
        </w:rPr>
        <w:t>1</w:t>
      </w:r>
      <w:r>
        <w:t xml:space="preserve">0.1.2 </w:t>
      </w:r>
      <w:r>
        <w:rPr>
          <w:rFonts w:hint="eastAsia"/>
        </w:rPr>
        <w:t>项目部生产安全领导小组职责</w:t>
      </w:r>
      <w:r>
        <w:tab/>
      </w:r>
      <w:r>
        <w:fldChar w:fldCharType="begin"/>
      </w:r>
      <w:r>
        <w:instrText xml:space="preserve"> PAGEREF _Toc31531 \h </w:instrText>
      </w:r>
      <w:r>
        <w:fldChar w:fldCharType="separate"/>
      </w:r>
      <w:r>
        <w:t>137</w:t>
      </w:r>
      <w:r>
        <w:fldChar w:fldCharType="end"/>
      </w:r>
      <w:r>
        <w:rPr>
          <w:rFonts w:hint="eastAsia" w:ascii="宋体" w:hAnsi="宋体" w:cs="宋体"/>
          <w:color w:val="auto"/>
        </w:rPr>
        <w:fldChar w:fldCharType="end"/>
      </w:r>
    </w:p>
    <w:p w14:paraId="452998B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_Toc27860 </w:instrText>
      </w:r>
      <w:r>
        <w:rPr>
          <w:rFonts w:hint="eastAsia" w:ascii="宋体" w:hAnsi="宋体" w:cs="宋体"/>
        </w:rPr>
        <w:fldChar w:fldCharType="separate"/>
      </w:r>
      <w:r>
        <w:rPr>
          <w:rFonts w:hint="eastAsia"/>
        </w:rPr>
        <w:t>1</w:t>
      </w:r>
      <w:r>
        <w:t xml:space="preserve">0.1.3 </w:t>
      </w:r>
      <w:r>
        <w:rPr>
          <w:rFonts w:hint="eastAsia"/>
        </w:rPr>
        <w:t>各应急小组职责</w:t>
      </w:r>
      <w:r>
        <w:tab/>
      </w:r>
      <w:r>
        <w:fldChar w:fldCharType="begin"/>
      </w:r>
      <w:r>
        <w:instrText xml:space="preserve"> PAGEREF _Toc27860 \h </w:instrText>
      </w:r>
      <w:r>
        <w:fldChar w:fldCharType="separate"/>
      </w:r>
      <w:r>
        <w:t>137</w:t>
      </w:r>
      <w:r>
        <w:fldChar w:fldCharType="end"/>
      </w:r>
      <w:r>
        <w:rPr>
          <w:rFonts w:hint="eastAsia" w:ascii="宋体" w:hAnsi="宋体" w:cs="宋体"/>
          <w:color w:val="auto"/>
        </w:rPr>
        <w:fldChar w:fldCharType="end"/>
      </w:r>
    </w:p>
    <w:p w14:paraId="109D1806">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_Toc27467 </w:instrText>
      </w:r>
      <w:r>
        <w:rPr>
          <w:rFonts w:hint="eastAsia" w:ascii="宋体" w:hAnsi="宋体" w:cs="宋体"/>
        </w:rPr>
        <w:fldChar w:fldCharType="separate"/>
      </w:r>
      <w:r>
        <w:rPr>
          <w:rFonts w:hint="eastAsia"/>
        </w:rPr>
        <w:t>1</w:t>
      </w:r>
      <w:r>
        <w:t xml:space="preserve">0.3 </w:t>
      </w:r>
      <w:r>
        <w:rPr>
          <w:rFonts w:hint="eastAsia"/>
        </w:rPr>
        <w:t>应急处置措施</w:t>
      </w:r>
      <w:r>
        <w:tab/>
      </w:r>
      <w:r>
        <w:fldChar w:fldCharType="begin"/>
      </w:r>
      <w:r>
        <w:instrText xml:space="preserve"> PAGEREF _Toc27467 \h </w:instrText>
      </w:r>
      <w:r>
        <w:fldChar w:fldCharType="separate"/>
      </w:r>
      <w:r>
        <w:t>138</w:t>
      </w:r>
      <w:r>
        <w:fldChar w:fldCharType="end"/>
      </w:r>
      <w:r>
        <w:rPr>
          <w:rFonts w:hint="eastAsia" w:ascii="宋体" w:hAnsi="宋体" w:cs="宋体"/>
          <w:color w:val="auto"/>
        </w:rPr>
        <w:fldChar w:fldCharType="end"/>
      </w:r>
    </w:p>
    <w:p w14:paraId="5ABE6AB0">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_Toc10429 </w:instrText>
      </w:r>
      <w:r>
        <w:rPr>
          <w:rFonts w:hint="eastAsia" w:ascii="宋体" w:hAnsi="宋体" w:cs="宋体"/>
        </w:rPr>
        <w:fldChar w:fldCharType="separate"/>
      </w:r>
      <w:r>
        <w:t>10</w:t>
      </w:r>
      <w:r>
        <w:rPr>
          <w:rFonts w:hint="eastAsia"/>
        </w:rPr>
        <w:t>.</w:t>
      </w:r>
      <w:r>
        <w:t>3</w:t>
      </w:r>
      <w:r>
        <w:rPr>
          <w:rFonts w:hint="eastAsia"/>
        </w:rPr>
        <w:t>.1 突发事件应急救援流程</w:t>
      </w:r>
      <w:r>
        <w:tab/>
      </w:r>
      <w:r>
        <w:fldChar w:fldCharType="begin"/>
      </w:r>
      <w:r>
        <w:instrText xml:space="preserve"> PAGEREF _Toc10429 \h </w:instrText>
      </w:r>
      <w:r>
        <w:fldChar w:fldCharType="separate"/>
      </w:r>
      <w:r>
        <w:t>138</w:t>
      </w:r>
      <w:r>
        <w:fldChar w:fldCharType="end"/>
      </w:r>
      <w:r>
        <w:rPr>
          <w:rFonts w:hint="eastAsia" w:ascii="宋体" w:hAnsi="宋体" w:cs="宋体"/>
          <w:color w:val="auto"/>
        </w:rPr>
        <w:fldChar w:fldCharType="end"/>
      </w:r>
    </w:p>
    <w:p w14:paraId="6A73CE18">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_Toc27732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2</w:t>
      </w:r>
      <w:r>
        <w:t xml:space="preserve"> 高空坠落应急处置措施</w:t>
      </w:r>
      <w:r>
        <w:tab/>
      </w:r>
      <w:r>
        <w:fldChar w:fldCharType="begin"/>
      </w:r>
      <w:r>
        <w:instrText xml:space="preserve"> PAGEREF _Toc27732 \h </w:instrText>
      </w:r>
      <w:r>
        <w:fldChar w:fldCharType="separate"/>
      </w:r>
      <w:r>
        <w:t>138</w:t>
      </w:r>
      <w:r>
        <w:fldChar w:fldCharType="end"/>
      </w:r>
      <w:r>
        <w:rPr>
          <w:rFonts w:hint="eastAsia" w:ascii="宋体" w:hAnsi="宋体" w:cs="宋体"/>
          <w:color w:val="auto"/>
        </w:rPr>
        <w:fldChar w:fldCharType="end"/>
      </w:r>
    </w:p>
    <w:p w14:paraId="333BD26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_Toc31355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3</w:t>
      </w:r>
      <w:r>
        <w:t xml:space="preserve"> 起重吊装应急处置措施</w:t>
      </w:r>
      <w:r>
        <w:tab/>
      </w:r>
      <w:r>
        <w:fldChar w:fldCharType="begin"/>
      </w:r>
      <w:r>
        <w:instrText xml:space="preserve"> PAGEREF _Toc31355 \h </w:instrText>
      </w:r>
      <w:r>
        <w:fldChar w:fldCharType="separate"/>
      </w:r>
      <w:r>
        <w:t>139</w:t>
      </w:r>
      <w:r>
        <w:fldChar w:fldCharType="end"/>
      </w:r>
      <w:r>
        <w:rPr>
          <w:rFonts w:hint="eastAsia" w:ascii="宋体" w:hAnsi="宋体" w:cs="宋体"/>
          <w:color w:val="auto"/>
        </w:rPr>
        <w:fldChar w:fldCharType="end"/>
      </w:r>
    </w:p>
    <w:p w14:paraId="222E4DC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_Toc7981 </w:instrText>
      </w:r>
      <w:r>
        <w:rPr>
          <w:rFonts w:hint="eastAsia" w:ascii="宋体" w:hAnsi="宋体" w:cs="宋体"/>
        </w:rPr>
        <w:fldChar w:fldCharType="separate"/>
      </w:r>
      <w:r>
        <w:rPr>
          <w:rFonts w:hint="eastAsia"/>
          <w:lang w:eastAsia="zh-CN"/>
        </w:rPr>
        <w:t>10.</w:t>
      </w:r>
      <w:r>
        <w:rPr>
          <w:rFonts w:hint="eastAsia"/>
          <w:lang w:val="en-US" w:eastAsia="zh-CN"/>
        </w:rPr>
        <w:t>3</w:t>
      </w:r>
      <w:r>
        <w:rPr>
          <w:rFonts w:hint="eastAsia"/>
        </w:rPr>
        <w:t>.</w:t>
      </w:r>
      <w:r>
        <w:rPr>
          <w:rFonts w:hint="eastAsia"/>
          <w:lang w:val="en-US" w:eastAsia="zh-CN"/>
        </w:rPr>
        <w:t>4</w:t>
      </w:r>
      <w:r>
        <w:t xml:space="preserve"> 坍塌应急处置措施</w:t>
      </w:r>
      <w:r>
        <w:tab/>
      </w:r>
      <w:r>
        <w:fldChar w:fldCharType="begin"/>
      </w:r>
      <w:r>
        <w:instrText xml:space="preserve"> PAGEREF _Toc7981 \h </w:instrText>
      </w:r>
      <w:r>
        <w:fldChar w:fldCharType="separate"/>
      </w:r>
      <w:r>
        <w:t>139</w:t>
      </w:r>
      <w:r>
        <w:fldChar w:fldCharType="end"/>
      </w:r>
      <w:r>
        <w:rPr>
          <w:rFonts w:hint="eastAsia" w:ascii="宋体" w:hAnsi="宋体" w:cs="宋体"/>
          <w:color w:val="auto"/>
        </w:rPr>
        <w:fldChar w:fldCharType="end"/>
      </w:r>
    </w:p>
    <w:p w14:paraId="4FB4F2C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_Toc30164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5</w:t>
      </w:r>
      <w:r>
        <w:t xml:space="preserve"> 淹溺应急处置措施</w:t>
      </w:r>
      <w:r>
        <w:tab/>
      </w:r>
      <w:r>
        <w:fldChar w:fldCharType="begin"/>
      </w:r>
      <w:r>
        <w:instrText xml:space="preserve"> PAGEREF _Toc30164 \h </w:instrText>
      </w:r>
      <w:r>
        <w:fldChar w:fldCharType="separate"/>
      </w:r>
      <w:r>
        <w:t>140</w:t>
      </w:r>
      <w:r>
        <w:fldChar w:fldCharType="end"/>
      </w:r>
      <w:r>
        <w:rPr>
          <w:rFonts w:hint="eastAsia" w:ascii="宋体" w:hAnsi="宋体" w:cs="宋体"/>
          <w:color w:val="auto"/>
        </w:rPr>
        <w:fldChar w:fldCharType="end"/>
      </w:r>
    </w:p>
    <w:p w14:paraId="2DAF955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_Toc19739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6</w:t>
      </w:r>
      <w:r>
        <w:t xml:space="preserve"> 物体打击应急处置措施</w:t>
      </w:r>
      <w:r>
        <w:tab/>
      </w:r>
      <w:r>
        <w:fldChar w:fldCharType="begin"/>
      </w:r>
      <w:r>
        <w:instrText xml:space="preserve"> PAGEREF _Toc19739 \h </w:instrText>
      </w:r>
      <w:r>
        <w:fldChar w:fldCharType="separate"/>
      </w:r>
      <w:r>
        <w:t>140</w:t>
      </w:r>
      <w:r>
        <w:fldChar w:fldCharType="end"/>
      </w:r>
      <w:r>
        <w:rPr>
          <w:rFonts w:hint="eastAsia" w:ascii="宋体" w:hAnsi="宋体" w:cs="宋体"/>
          <w:color w:val="auto"/>
        </w:rPr>
        <w:fldChar w:fldCharType="end"/>
      </w:r>
    </w:p>
    <w:p w14:paraId="4A57B97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_Toc31039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7</w:t>
      </w:r>
      <w:r>
        <w:t xml:space="preserve"> 触电应急处置措施</w:t>
      </w:r>
      <w:r>
        <w:tab/>
      </w:r>
      <w:r>
        <w:fldChar w:fldCharType="begin"/>
      </w:r>
      <w:r>
        <w:instrText xml:space="preserve"> PAGEREF _Toc31039 \h </w:instrText>
      </w:r>
      <w:r>
        <w:fldChar w:fldCharType="separate"/>
      </w:r>
      <w:r>
        <w:t>141</w:t>
      </w:r>
      <w:r>
        <w:fldChar w:fldCharType="end"/>
      </w:r>
      <w:r>
        <w:rPr>
          <w:rFonts w:hint="eastAsia" w:ascii="宋体" w:hAnsi="宋体" w:cs="宋体"/>
          <w:color w:val="auto"/>
        </w:rPr>
        <w:fldChar w:fldCharType="end"/>
      </w:r>
    </w:p>
    <w:p w14:paraId="49D407F4">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_Toc21465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8</w:t>
      </w:r>
      <w:r>
        <w:t xml:space="preserve"> 车辆伤害应急处置措施</w:t>
      </w:r>
      <w:r>
        <w:tab/>
      </w:r>
      <w:r>
        <w:fldChar w:fldCharType="begin"/>
      </w:r>
      <w:r>
        <w:instrText xml:space="preserve"> PAGEREF _Toc21465 \h </w:instrText>
      </w:r>
      <w:r>
        <w:fldChar w:fldCharType="separate"/>
      </w:r>
      <w:r>
        <w:t>141</w:t>
      </w:r>
      <w:r>
        <w:fldChar w:fldCharType="end"/>
      </w:r>
      <w:r>
        <w:rPr>
          <w:rFonts w:hint="eastAsia" w:ascii="宋体" w:hAnsi="宋体" w:cs="宋体"/>
          <w:color w:val="auto"/>
        </w:rPr>
        <w:fldChar w:fldCharType="end"/>
      </w:r>
    </w:p>
    <w:p w14:paraId="3F3E8B43">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_Toc2087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9</w:t>
      </w:r>
      <w:r>
        <w:t>机械伤害应急处置措施</w:t>
      </w:r>
      <w:r>
        <w:tab/>
      </w:r>
      <w:r>
        <w:fldChar w:fldCharType="begin"/>
      </w:r>
      <w:r>
        <w:instrText xml:space="preserve"> PAGEREF _Toc2087 \h </w:instrText>
      </w:r>
      <w:r>
        <w:fldChar w:fldCharType="separate"/>
      </w:r>
      <w:r>
        <w:t>142</w:t>
      </w:r>
      <w:r>
        <w:fldChar w:fldCharType="end"/>
      </w:r>
      <w:r>
        <w:rPr>
          <w:rFonts w:hint="eastAsia" w:ascii="宋体" w:hAnsi="宋体" w:cs="宋体"/>
          <w:color w:val="auto"/>
        </w:rPr>
        <w:fldChar w:fldCharType="end"/>
      </w:r>
    </w:p>
    <w:p w14:paraId="0F314BD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_Toc15193 </w:instrText>
      </w:r>
      <w:r>
        <w:rPr>
          <w:rFonts w:hint="eastAsia" w:ascii="宋体" w:hAnsi="宋体" w:cs="宋体"/>
        </w:rPr>
        <w:fldChar w:fldCharType="separate"/>
      </w:r>
      <w:r>
        <w:rPr>
          <w:rFonts w:hint="eastAsia"/>
          <w:lang w:eastAsia="zh-CN"/>
        </w:rPr>
        <w:t>10.</w:t>
      </w:r>
      <w:r>
        <w:rPr>
          <w:rFonts w:hint="eastAsia"/>
          <w:lang w:val="en-US" w:eastAsia="zh-CN"/>
        </w:rPr>
        <w:t>3</w:t>
      </w:r>
      <w:r>
        <w:t>.</w:t>
      </w:r>
      <w:r>
        <w:rPr>
          <w:rFonts w:hint="eastAsia"/>
          <w:lang w:val="en-US" w:eastAsia="zh-CN"/>
        </w:rPr>
        <w:t>10</w:t>
      </w:r>
      <w:r>
        <w:t xml:space="preserve"> 火灾爆炸应急处置措施</w:t>
      </w:r>
      <w:r>
        <w:tab/>
      </w:r>
      <w:r>
        <w:fldChar w:fldCharType="begin"/>
      </w:r>
      <w:r>
        <w:instrText xml:space="preserve"> PAGEREF _Toc15193 \h </w:instrText>
      </w:r>
      <w:r>
        <w:fldChar w:fldCharType="separate"/>
      </w:r>
      <w:r>
        <w:t>142</w:t>
      </w:r>
      <w:r>
        <w:fldChar w:fldCharType="end"/>
      </w:r>
      <w:r>
        <w:rPr>
          <w:rFonts w:hint="eastAsia" w:ascii="宋体" w:hAnsi="宋体" w:cs="宋体"/>
          <w:color w:val="auto"/>
        </w:rPr>
        <w:fldChar w:fldCharType="end"/>
      </w:r>
    </w:p>
    <w:p w14:paraId="260AC3DA">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_Toc7202 </w:instrText>
      </w:r>
      <w:r>
        <w:rPr>
          <w:rFonts w:hint="eastAsia" w:ascii="宋体" w:hAnsi="宋体" w:cs="宋体"/>
        </w:rPr>
        <w:fldChar w:fldCharType="separate"/>
      </w:r>
      <w:r>
        <w:t>10.3</w:t>
      </w:r>
      <w:r>
        <w:rPr>
          <w:rFonts w:hint="eastAsia"/>
        </w:rPr>
        <w:t>.</w:t>
      </w:r>
      <w:r>
        <w:t>1</w:t>
      </w:r>
      <w:r>
        <w:rPr>
          <w:rFonts w:hint="eastAsia"/>
          <w:lang w:val="en-US" w:eastAsia="zh-CN"/>
        </w:rPr>
        <w:t>1</w:t>
      </w:r>
      <w:r>
        <w:rPr>
          <w:rFonts w:hint="eastAsia"/>
        </w:rPr>
        <w:t xml:space="preserve"> 大风、水灾等自然灾害的应急措施</w:t>
      </w:r>
      <w:r>
        <w:tab/>
      </w:r>
      <w:r>
        <w:fldChar w:fldCharType="begin"/>
      </w:r>
      <w:r>
        <w:instrText xml:space="preserve"> PAGEREF _Toc7202 \h </w:instrText>
      </w:r>
      <w:r>
        <w:fldChar w:fldCharType="separate"/>
      </w:r>
      <w:r>
        <w:t>143</w:t>
      </w:r>
      <w:r>
        <w:fldChar w:fldCharType="end"/>
      </w:r>
      <w:r>
        <w:rPr>
          <w:rFonts w:hint="eastAsia" w:ascii="宋体" w:hAnsi="宋体" w:cs="宋体"/>
          <w:color w:val="auto"/>
        </w:rPr>
        <w:fldChar w:fldCharType="end"/>
      </w:r>
    </w:p>
    <w:p w14:paraId="20DDC0FF">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_Toc2714 </w:instrText>
      </w:r>
      <w:r>
        <w:rPr>
          <w:rFonts w:hint="eastAsia" w:ascii="宋体" w:hAnsi="宋体" w:cs="宋体"/>
        </w:rPr>
        <w:fldChar w:fldCharType="separate"/>
      </w:r>
      <w:r>
        <w:rPr>
          <w:rFonts w:hint="eastAsia"/>
        </w:rPr>
        <w:t>1</w:t>
      </w:r>
      <w:r>
        <w:t xml:space="preserve">0.4 </w:t>
      </w:r>
      <w:r>
        <w:rPr>
          <w:rFonts w:hint="eastAsia"/>
        </w:rPr>
        <w:t>应急保障</w:t>
      </w:r>
      <w:r>
        <w:tab/>
      </w:r>
      <w:r>
        <w:fldChar w:fldCharType="begin"/>
      </w:r>
      <w:r>
        <w:instrText xml:space="preserve"> PAGEREF _Toc2714 \h </w:instrText>
      </w:r>
      <w:r>
        <w:fldChar w:fldCharType="separate"/>
      </w:r>
      <w:r>
        <w:t>143</w:t>
      </w:r>
      <w:r>
        <w:fldChar w:fldCharType="end"/>
      </w:r>
      <w:r>
        <w:rPr>
          <w:rFonts w:hint="eastAsia" w:ascii="宋体" w:hAnsi="宋体" w:cs="宋体"/>
          <w:color w:val="auto"/>
        </w:rPr>
        <w:fldChar w:fldCharType="end"/>
      </w:r>
    </w:p>
    <w:p w14:paraId="3A447B4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_Toc19690 </w:instrText>
      </w:r>
      <w:r>
        <w:rPr>
          <w:rFonts w:hint="eastAsia" w:ascii="宋体" w:hAnsi="宋体" w:cs="宋体"/>
        </w:rPr>
        <w:fldChar w:fldCharType="separate"/>
      </w:r>
      <w:r>
        <w:rPr>
          <w:rFonts w:hint="eastAsia"/>
        </w:rPr>
        <w:t>1</w:t>
      </w:r>
      <w:r>
        <w:t xml:space="preserve">0.4.1 </w:t>
      </w:r>
      <w:r>
        <w:rPr>
          <w:rFonts w:hint="eastAsia"/>
        </w:rPr>
        <w:t>通信与信息保障</w:t>
      </w:r>
      <w:r>
        <w:tab/>
      </w:r>
      <w:r>
        <w:fldChar w:fldCharType="begin"/>
      </w:r>
      <w:r>
        <w:instrText xml:space="preserve"> PAGEREF _Toc19690 \h </w:instrText>
      </w:r>
      <w:r>
        <w:fldChar w:fldCharType="separate"/>
      </w:r>
      <w:r>
        <w:t>143</w:t>
      </w:r>
      <w:r>
        <w:fldChar w:fldCharType="end"/>
      </w:r>
      <w:r>
        <w:rPr>
          <w:rFonts w:hint="eastAsia" w:ascii="宋体" w:hAnsi="宋体" w:cs="宋体"/>
          <w:color w:val="auto"/>
        </w:rPr>
        <w:fldChar w:fldCharType="end"/>
      </w:r>
    </w:p>
    <w:p w14:paraId="0CA4DC2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_Toc23616 </w:instrText>
      </w:r>
      <w:r>
        <w:rPr>
          <w:rFonts w:hint="eastAsia" w:ascii="宋体" w:hAnsi="宋体" w:cs="宋体"/>
        </w:rPr>
        <w:fldChar w:fldCharType="separate"/>
      </w:r>
      <w:r>
        <w:rPr>
          <w:rFonts w:hint="eastAsia"/>
        </w:rPr>
        <w:t>1</w:t>
      </w:r>
      <w:r>
        <w:t xml:space="preserve">0.4.2 </w:t>
      </w:r>
      <w:r>
        <w:rPr>
          <w:rFonts w:hint="eastAsia"/>
        </w:rPr>
        <w:t>医疗卫生保障</w:t>
      </w:r>
      <w:r>
        <w:tab/>
      </w:r>
      <w:r>
        <w:fldChar w:fldCharType="begin"/>
      </w:r>
      <w:r>
        <w:instrText xml:space="preserve"> PAGEREF _Toc23616 \h </w:instrText>
      </w:r>
      <w:r>
        <w:fldChar w:fldCharType="separate"/>
      </w:r>
      <w:r>
        <w:t>144</w:t>
      </w:r>
      <w:r>
        <w:fldChar w:fldCharType="end"/>
      </w:r>
      <w:r>
        <w:rPr>
          <w:rFonts w:hint="eastAsia" w:ascii="宋体" w:hAnsi="宋体" w:cs="宋体"/>
          <w:color w:val="auto"/>
        </w:rPr>
        <w:fldChar w:fldCharType="end"/>
      </w:r>
    </w:p>
    <w:p w14:paraId="3D6637EC">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_Toc27936 </w:instrText>
      </w:r>
      <w:r>
        <w:rPr>
          <w:rFonts w:hint="eastAsia" w:ascii="宋体" w:hAnsi="宋体" w:cs="宋体"/>
        </w:rPr>
        <w:fldChar w:fldCharType="separate"/>
      </w:r>
      <w:r>
        <w:rPr>
          <w:rFonts w:hint="eastAsia"/>
        </w:rPr>
        <w:t>1</w:t>
      </w:r>
      <w:r>
        <w:t xml:space="preserve">0.4.3 </w:t>
      </w:r>
      <w:r>
        <w:rPr>
          <w:rFonts w:hint="eastAsia"/>
        </w:rPr>
        <w:t>应急物资保障</w:t>
      </w:r>
      <w:r>
        <w:tab/>
      </w:r>
      <w:r>
        <w:fldChar w:fldCharType="begin"/>
      </w:r>
      <w:r>
        <w:instrText xml:space="preserve"> PAGEREF _Toc27936 \h </w:instrText>
      </w:r>
      <w:r>
        <w:fldChar w:fldCharType="separate"/>
      </w:r>
      <w:r>
        <w:t>144</w:t>
      </w:r>
      <w:r>
        <w:fldChar w:fldCharType="end"/>
      </w:r>
      <w:r>
        <w:rPr>
          <w:rFonts w:hint="eastAsia" w:ascii="宋体" w:hAnsi="宋体" w:cs="宋体"/>
          <w:color w:val="auto"/>
        </w:rPr>
        <w:fldChar w:fldCharType="end"/>
      </w:r>
    </w:p>
    <w:p w14:paraId="1ED984AF">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_Toc30922 </w:instrText>
      </w:r>
      <w:r>
        <w:rPr>
          <w:rFonts w:hint="eastAsia" w:ascii="宋体" w:hAnsi="宋体" w:cs="宋体"/>
        </w:rPr>
        <w:fldChar w:fldCharType="separate"/>
      </w:r>
      <w:r>
        <w:rPr>
          <w:rFonts w:hint="eastAsia"/>
        </w:rPr>
        <w:t>1</w:t>
      </w:r>
      <w:r>
        <w:t xml:space="preserve">0.4.4 </w:t>
      </w:r>
      <w:r>
        <w:rPr>
          <w:rFonts w:hint="eastAsia"/>
        </w:rPr>
        <w:t>应急队伍配置</w:t>
      </w:r>
      <w:r>
        <w:tab/>
      </w:r>
      <w:r>
        <w:fldChar w:fldCharType="begin"/>
      </w:r>
      <w:r>
        <w:instrText xml:space="preserve"> PAGEREF _Toc30922 \h </w:instrText>
      </w:r>
      <w:r>
        <w:fldChar w:fldCharType="separate"/>
      </w:r>
      <w:r>
        <w:t>145</w:t>
      </w:r>
      <w:r>
        <w:fldChar w:fldCharType="end"/>
      </w:r>
      <w:r>
        <w:rPr>
          <w:rFonts w:hint="eastAsia" w:ascii="宋体" w:hAnsi="宋体" w:cs="宋体"/>
          <w:color w:val="auto"/>
        </w:rPr>
        <w:fldChar w:fldCharType="end"/>
      </w:r>
    </w:p>
    <w:p w14:paraId="4292ACA5">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_Toc27166 </w:instrText>
      </w:r>
      <w:r>
        <w:rPr>
          <w:rFonts w:hint="eastAsia" w:ascii="宋体" w:hAnsi="宋体" w:cs="宋体"/>
        </w:rPr>
        <w:fldChar w:fldCharType="separate"/>
      </w:r>
      <w:r>
        <w:rPr>
          <w:rFonts w:hint="eastAsia"/>
        </w:rPr>
        <w:t>1</w:t>
      </w:r>
      <w:r>
        <w:t xml:space="preserve">0.4.5 </w:t>
      </w:r>
      <w:r>
        <w:rPr>
          <w:rFonts w:hint="eastAsia"/>
        </w:rPr>
        <w:t>资金保障</w:t>
      </w:r>
      <w:r>
        <w:tab/>
      </w:r>
      <w:r>
        <w:fldChar w:fldCharType="begin"/>
      </w:r>
      <w:r>
        <w:instrText xml:space="preserve"> PAGEREF _Toc27166 \h </w:instrText>
      </w:r>
      <w:r>
        <w:fldChar w:fldCharType="separate"/>
      </w:r>
      <w:r>
        <w:t>145</w:t>
      </w:r>
      <w:r>
        <w:fldChar w:fldCharType="end"/>
      </w:r>
      <w:r>
        <w:rPr>
          <w:rFonts w:hint="eastAsia" w:ascii="宋体" w:hAnsi="宋体" w:cs="宋体"/>
          <w:color w:val="auto"/>
        </w:rPr>
        <w:fldChar w:fldCharType="end"/>
      </w:r>
    </w:p>
    <w:p w14:paraId="5413294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_Toc11163 </w:instrText>
      </w:r>
      <w:r>
        <w:rPr>
          <w:rFonts w:hint="eastAsia" w:ascii="宋体" w:hAnsi="宋体" w:cs="宋体"/>
        </w:rPr>
        <w:fldChar w:fldCharType="separate"/>
      </w:r>
      <w:r>
        <w:rPr>
          <w:rFonts w:hint="eastAsia"/>
        </w:rPr>
        <w:t>1</w:t>
      </w:r>
      <w:r>
        <w:t xml:space="preserve">0.5 </w:t>
      </w:r>
      <w:r>
        <w:rPr>
          <w:rFonts w:hint="eastAsia"/>
        </w:rPr>
        <w:t>应急预案启动与结束</w:t>
      </w:r>
      <w:r>
        <w:tab/>
      </w:r>
      <w:r>
        <w:fldChar w:fldCharType="begin"/>
      </w:r>
      <w:r>
        <w:instrText xml:space="preserve"> PAGEREF _Toc11163 \h </w:instrText>
      </w:r>
      <w:r>
        <w:fldChar w:fldCharType="separate"/>
      </w:r>
      <w:r>
        <w:t>145</w:t>
      </w:r>
      <w:r>
        <w:fldChar w:fldCharType="end"/>
      </w:r>
      <w:r>
        <w:rPr>
          <w:rFonts w:hint="eastAsia" w:ascii="宋体" w:hAnsi="宋体" w:cs="宋体"/>
          <w:color w:val="auto"/>
        </w:rPr>
        <w:fldChar w:fldCharType="end"/>
      </w:r>
    </w:p>
    <w:p w14:paraId="57CDEA07">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_Toc28516 </w:instrText>
      </w:r>
      <w:r>
        <w:rPr>
          <w:rFonts w:hint="eastAsia" w:ascii="宋体" w:hAnsi="宋体" w:cs="宋体"/>
        </w:rPr>
        <w:fldChar w:fldCharType="separate"/>
      </w:r>
      <w:r>
        <w:t>10</w:t>
      </w:r>
      <w:r>
        <w:rPr>
          <w:rFonts w:hint="eastAsia"/>
        </w:rPr>
        <w:t>.</w:t>
      </w:r>
      <w:r>
        <w:t>5</w:t>
      </w:r>
      <w:r>
        <w:rPr>
          <w:rFonts w:hint="eastAsia"/>
        </w:rPr>
        <w:t>.1 应急处置程序</w:t>
      </w:r>
      <w:r>
        <w:tab/>
      </w:r>
      <w:r>
        <w:fldChar w:fldCharType="begin"/>
      </w:r>
      <w:r>
        <w:instrText xml:space="preserve"> PAGEREF _Toc28516 \h </w:instrText>
      </w:r>
      <w:r>
        <w:fldChar w:fldCharType="separate"/>
      </w:r>
      <w:r>
        <w:t>145</w:t>
      </w:r>
      <w:r>
        <w:fldChar w:fldCharType="end"/>
      </w:r>
      <w:r>
        <w:rPr>
          <w:rFonts w:hint="eastAsia" w:ascii="宋体" w:hAnsi="宋体" w:cs="宋体"/>
          <w:color w:val="auto"/>
        </w:rPr>
        <w:fldChar w:fldCharType="end"/>
      </w:r>
    </w:p>
    <w:p w14:paraId="33F7C33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_Toc28983 </w:instrText>
      </w:r>
      <w:r>
        <w:rPr>
          <w:rFonts w:hint="eastAsia" w:ascii="宋体" w:hAnsi="宋体" w:cs="宋体"/>
        </w:rPr>
        <w:fldChar w:fldCharType="separate"/>
      </w:r>
      <w:r>
        <w:t>10</w:t>
      </w:r>
      <w:r>
        <w:rPr>
          <w:rFonts w:hint="eastAsia"/>
        </w:rPr>
        <w:t>.</w:t>
      </w:r>
      <w:r>
        <w:t>5</w:t>
      </w:r>
      <w:r>
        <w:rPr>
          <w:rFonts w:hint="eastAsia"/>
        </w:rPr>
        <w:t>.2 应急启动</w:t>
      </w:r>
      <w:r>
        <w:tab/>
      </w:r>
      <w:r>
        <w:fldChar w:fldCharType="begin"/>
      </w:r>
      <w:r>
        <w:instrText xml:space="preserve"> PAGEREF _Toc28983 \h </w:instrText>
      </w:r>
      <w:r>
        <w:fldChar w:fldCharType="separate"/>
      </w:r>
      <w:r>
        <w:t>146</w:t>
      </w:r>
      <w:r>
        <w:fldChar w:fldCharType="end"/>
      </w:r>
      <w:r>
        <w:rPr>
          <w:rFonts w:hint="eastAsia" w:ascii="宋体" w:hAnsi="宋体" w:cs="宋体"/>
          <w:color w:val="auto"/>
        </w:rPr>
        <w:fldChar w:fldCharType="end"/>
      </w:r>
    </w:p>
    <w:p w14:paraId="2CC27BA6">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_Toc4709 </w:instrText>
      </w:r>
      <w:r>
        <w:rPr>
          <w:rFonts w:hint="eastAsia" w:ascii="宋体" w:hAnsi="宋体" w:cs="宋体"/>
        </w:rPr>
        <w:fldChar w:fldCharType="separate"/>
      </w:r>
      <w:r>
        <w:t>10</w:t>
      </w:r>
      <w:r>
        <w:rPr>
          <w:rFonts w:hint="eastAsia"/>
        </w:rPr>
        <w:t>.</w:t>
      </w:r>
      <w:r>
        <w:t>5</w:t>
      </w:r>
      <w:r>
        <w:rPr>
          <w:rFonts w:hint="eastAsia"/>
        </w:rPr>
        <w:t>.</w:t>
      </w:r>
      <w:r>
        <w:t>3</w:t>
      </w:r>
      <w:r>
        <w:rPr>
          <w:rFonts w:hint="eastAsia"/>
        </w:rPr>
        <w:t xml:space="preserve"> 应急疏散</w:t>
      </w:r>
      <w:r>
        <w:tab/>
      </w:r>
      <w:r>
        <w:fldChar w:fldCharType="begin"/>
      </w:r>
      <w:r>
        <w:instrText xml:space="preserve"> PAGEREF _Toc4709 \h </w:instrText>
      </w:r>
      <w:r>
        <w:fldChar w:fldCharType="separate"/>
      </w:r>
      <w:r>
        <w:t>146</w:t>
      </w:r>
      <w:r>
        <w:fldChar w:fldCharType="end"/>
      </w:r>
      <w:r>
        <w:rPr>
          <w:rFonts w:hint="eastAsia" w:ascii="宋体" w:hAnsi="宋体" w:cs="宋体"/>
          <w:color w:val="auto"/>
        </w:rPr>
        <w:fldChar w:fldCharType="end"/>
      </w:r>
    </w:p>
    <w:p w14:paraId="648E60C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_Toc20567 </w:instrText>
      </w:r>
      <w:r>
        <w:rPr>
          <w:rFonts w:hint="eastAsia" w:ascii="宋体" w:hAnsi="宋体" w:cs="宋体"/>
        </w:rPr>
        <w:fldChar w:fldCharType="separate"/>
      </w:r>
      <w:r>
        <w:t>10</w:t>
      </w:r>
      <w:r>
        <w:rPr>
          <w:rFonts w:hint="eastAsia"/>
        </w:rPr>
        <w:t>.</w:t>
      </w:r>
      <w:r>
        <w:t>5</w:t>
      </w:r>
      <w:r>
        <w:rPr>
          <w:rFonts w:hint="eastAsia"/>
        </w:rPr>
        <w:t>.</w:t>
      </w:r>
      <w:r>
        <w:t>4</w:t>
      </w:r>
      <w:r>
        <w:rPr>
          <w:rFonts w:hint="eastAsia"/>
        </w:rPr>
        <w:t xml:space="preserve"> 应急结束</w:t>
      </w:r>
      <w:r>
        <w:tab/>
      </w:r>
      <w:r>
        <w:fldChar w:fldCharType="begin"/>
      </w:r>
      <w:r>
        <w:instrText xml:space="preserve"> PAGEREF _Toc20567 \h </w:instrText>
      </w:r>
      <w:r>
        <w:fldChar w:fldCharType="separate"/>
      </w:r>
      <w:r>
        <w:t>146</w:t>
      </w:r>
      <w:r>
        <w:fldChar w:fldCharType="end"/>
      </w:r>
      <w:r>
        <w:rPr>
          <w:rFonts w:hint="eastAsia" w:ascii="宋体" w:hAnsi="宋体" w:cs="宋体"/>
          <w:color w:val="auto"/>
        </w:rPr>
        <w:fldChar w:fldCharType="end"/>
      </w:r>
    </w:p>
    <w:p w14:paraId="490EDB29">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_Toc12732 </w:instrText>
      </w:r>
      <w:r>
        <w:rPr>
          <w:rFonts w:hint="eastAsia" w:ascii="宋体" w:hAnsi="宋体" w:cs="宋体"/>
        </w:rPr>
        <w:fldChar w:fldCharType="separate"/>
      </w:r>
      <w:r>
        <w:t>10</w:t>
      </w:r>
      <w:r>
        <w:rPr>
          <w:rFonts w:hint="eastAsia"/>
        </w:rPr>
        <w:t>.</w:t>
      </w:r>
      <w:r>
        <w:t>6</w:t>
      </w:r>
      <w:r>
        <w:rPr>
          <w:rFonts w:hint="eastAsia"/>
        </w:rPr>
        <w:t xml:space="preserve"> 事故报告</w:t>
      </w:r>
      <w:r>
        <w:tab/>
      </w:r>
      <w:r>
        <w:fldChar w:fldCharType="begin"/>
      </w:r>
      <w:r>
        <w:instrText xml:space="preserve"> PAGEREF _Toc12732 \h </w:instrText>
      </w:r>
      <w:r>
        <w:fldChar w:fldCharType="separate"/>
      </w:r>
      <w:r>
        <w:t>146</w:t>
      </w:r>
      <w:r>
        <w:fldChar w:fldCharType="end"/>
      </w:r>
      <w:r>
        <w:rPr>
          <w:rFonts w:hint="eastAsia" w:ascii="宋体" w:hAnsi="宋体" w:cs="宋体"/>
          <w:color w:val="auto"/>
        </w:rPr>
        <w:fldChar w:fldCharType="end"/>
      </w:r>
    </w:p>
    <w:p w14:paraId="76D79D7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_Toc31948 </w:instrText>
      </w:r>
      <w:r>
        <w:rPr>
          <w:rFonts w:hint="eastAsia" w:ascii="宋体" w:hAnsi="宋体" w:cs="宋体"/>
        </w:rPr>
        <w:fldChar w:fldCharType="separate"/>
      </w:r>
      <w:r>
        <w:t>10</w:t>
      </w:r>
      <w:r>
        <w:rPr>
          <w:rFonts w:hint="eastAsia"/>
        </w:rPr>
        <w:t>.</w:t>
      </w:r>
      <w:r>
        <w:t>6</w:t>
      </w:r>
      <w:r>
        <w:rPr>
          <w:rFonts w:hint="eastAsia"/>
        </w:rPr>
        <w:t>.1 生产安全事故报告程序</w:t>
      </w:r>
      <w:r>
        <w:tab/>
      </w:r>
      <w:r>
        <w:fldChar w:fldCharType="begin"/>
      </w:r>
      <w:r>
        <w:instrText xml:space="preserve"> PAGEREF _Toc31948 \h </w:instrText>
      </w:r>
      <w:r>
        <w:fldChar w:fldCharType="separate"/>
      </w:r>
      <w:r>
        <w:t>146</w:t>
      </w:r>
      <w:r>
        <w:fldChar w:fldCharType="end"/>
      </w:r>
      <w:r>
        <w:rPr>
          <w:rFonts w:hint="eastAsia" w:ascii="宋体" w:hAnsi="宋体" w:cs="宋体"/>
          <w:color w:val="auto"/>
        </w:rPr>
        <w:fldChar w:fldCharType="end"/>
      </w:r>
    </w:p>
    <w:p w14:paraId="77E29D7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_Toc19221 </w:instrText>
      </w:r>
      <w:r>
        <w:rPr>
          <w:rFonts w:hint="eastAsia" w:ascii="宋体" w:hAnsi="宋体" w:cs="宋体"/>
        </w:rPr>
        <w:fldChar w:fldCharType="separate"/>
      </w:r>
      <w:r>
        <w:t>10.6.2</w:t>
      </w:r>
      <w:r>
        <w:rPr>
          <w:rFonts w:hint="eastAsia"/>
        </w:rPr>
        <w:t xml:space="preserve"> 生产安全事故报告内容</w:t>
      </w:r>
      <w:r>
        <w:tab/>
      </w:r>
      <w:r>
        <w:fldChar w:fldCharType="begin"/>
      </w:r>
      <w:r>
        <w:instrText xml:space="preserve"> PAGEREF _Toc19221 \h </w:instrText>
      </w:r>
      <w:r>
        <w:fldChar w:fldCharType="separate"/>
      </w:r>
      <w:r>
        <w:t>146</w:t>
      </w:r>
      <w:r>
        <w:fldChar w:fldCharType="end"/>
      </w:r>
      <w:r>
        <w:rPr>
          <w:rFonts w:hint="eastAsia" w:ascii="宋体" w:hAnsi="宋体" w:cs="宋体"/>
          <w:color w:val="auto"/>
        </w:rPr>
        <w:fldChar w:fldCharType="end"/>
      </w:r>
    </w:p>
    <w:p w14:paraId="054357C8">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_Toc6723 </w:instrText>
      </w:r>
      <w:r>
        <w:rPr>
          <w:rFonts w:hint="eastAsia" w:ascii="宋体" w:hAnsi="宋体" w:cs="宋体"/>
        </w:rPr>
        <w:fldChar w:fldCharType="separate"/>
      </w:r>
      <w:r>
        <w:rPr>
          <w:rFonts w:hint="eastAsia"/>
        </w:rPr>
        <w:t>1</w:t>
      </w:r>
      <w:r>
        <w:t xml:space="preserve">0.7 </w:t>
      </w:r>
      <w:r>
        <w:rPr>
          <w:rFonts w:hint="eastAsia"/>
        </w:rPr>
        <w:t>应急培训及演练</w:t>
      </w:r>
      <w:r>
        <w:tab/>
      </w:r>
      <w:r>
        <w:fldChar w:fldCharType="begin"/>
      </w:r>
      <w:r>
        <w:instrText xml:space="preserve"> PAGEREF _Toc6723 \h </w:instrText>
      </w:r>
      <w:r>
        <w:fldChar w:fldCharType="separate"/>
      </w:r>
      <w:r>
        <w:t>147</w:t>
      </w:r>
      <w:r>
        <w:fldChar w:fldCharType="end"/>
      </w:r>
      <w:r>
        <w:rPr>
          <w:rFonts w:hint="eastAsia" w:ascii="宋体" w:hAnsi="宋体" w:cs="宋体"/>
          <w:color w:val="auto"/>
        </w:rPr>
        <w:fldChar w:fldCharType="end"/>
      </w:r>
    </w:p>
    <w:p w14:paraId="1F9BEFA1">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_Toc25931 </w:instrText>
      </w:r>
      <w:r>
        <w:rPr>
          <w:rFonts w:hint="eastAsia" w:ascii="宋体" w:hAnsi="宋体" w:cs="宋体"/>
        </w:rPr>
        <w:fldChar w:fldCharType="separate"/>
      </w:r>
      <w:r>
        <w:t>10</w:t>
      </w:r>
      <w:r>
        <w:rPr>
          <w:rFonts w:hint="eastAsia"/>
        </w:rPr>
        <w:t>.</w:t>
      </w:r>
      <w:r>
        <w:t>7</w:t>
      </w:r>
      <w:r>
        <w:rPr>
          <w:rFonts w:hint="eastAsia"/>
        </w:rPr>
        <w:t>.1</w:t>
      </w:r>
      <w:r>
        <w:t xml:space="preserve"> </w:t>
      </w:r>
      <w:r>
        <w:rPr>
          <w:rFonts w:hint="eastAsia"/>
        </w:rPr>
        <w:t>应急培训</w:t>
      </w:r>
      <w:r>
        <w:tab/>
      </w:r>
      <w:r>
        <w:fldChar w:fldCharType="begin"/>
      </w:r>
      <w:r>
        <w:instrText xml:space="preserve"> PAGEREF _Toc25931 \h </w:instrText>
      </w:r>
      <w:r>
        <w:fldChar w:fldCharType="separate"/>
      </w:r>
      <w:r>
        <w:t>147</w:t>
      </w:r>
      <w:r>
        <w:fldChar w:fldCharType="end"/>
      </w:r>
      <w:r>
        <w:rPr>
          <w:rFonts w:hint="eastAsia" w:ascii="宋体" w:hAnsi="宋体" w:cs="宋体"/>
          <w:color w:val="auto"/>
        </w:rPr>
        <w:fldChar w:fldCharType="end"/>
      </w:r>
    </w:p>
    <w:p w14:paraId="3EEB56E2">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_Toc26221 </w:instrText>
      </w:r>
      <w:r>
        <w:rPr>
          <w:rFonts w:hint="eastAsia" w:ascii="宋体" w:hAnsi="宋体" w:cs="宋体"/>
        </w:rPr>
        <w:fldChar w:fldCharType="separate"/>
      </w:r>
      <w:r>
        <w:t>10</w:t>
      </w:r>
      <w:r>
        <w:rPr>
          <w:rFonts w:hint="eastAsia"/>
        </w:rPr>
        <w:t>.</w:t>
      </w:r>
      <w:r>
        <w:t>7</w:t>
      </w:r>
      <w:r>
        <w:rPr>
          <w:rFonts w:hint="eastAsia"/>
        </w:rPr>
        <w:t>.2</w:t>
      </w:r>
      <w:r>
        <w:t xml:space="preserve"> </w:t>
      </w:r>
      <w:r>
        <w:rPr>
          <w:rFonts w:hint="eastAsia"/>
        </w:rPr>
        <w:t>预案演练</w:t>
      </w:r>
      <w:r>
        <w:tab/>
      </w:r>
      <w:r>
        <w:fldChar w:fldCharType="begin"/>
      </w:r>
      <w:r>
        <w:instrText xml:space="preserve"> PAGEREF _Toc26221 \h </w:instrText>
      </w:r>
      <w:r>
        <w:fldChar w:fldCharType="separate"/>
      </w:r>
      <w:r>
        <w:t>147</w:t>
      </w:r>
      <w:r>
        <w:fldChar w:fldCharType="end"/>
      </w:r>
      <w:r>
        <w:rPr>
          <w:rFonts w:hint="eastAsia" w:ascii="宋体" w:hAnsi="宋体" w:cs="宋体"/>
          <w:color w:val="auto"/>
        </w:rPr>
        <w:fldChar w:fldCharType="end"/>
      </w:r>
    </w:p>
    <w:p w14:paraId="668E314B">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_Toc22667 </w:instrText>
      </w:r>
      <w:r>
        <w:rPr>
          <w:rFonts w:hint="eastAsia" w:ascii="宋体" w:hAnsi="宋体" w:cs="宋体"/>
        </w:rPr>
        <w:fldChar w:fldCharType="separate"/>
      </w:r>
      <w:r>
        <w:t>10</w:t>
      </w:r>
      <w:r>
        <w:rPr>
          <w:rFonts w:hint="eastAsia"/>
        </w:rPr>
        <w:t>.</w:t>
      </w:r>
      <w:r>
        <w:t>7</w:t>
      </w:r>
      <w:r>
        <w:rPr>
          <w:rFonts w:hint="eastAsia"/>
        </w:rPr>
        <w:t>.</w:t>
      </w:r>
      <w:r>
        <w:t xml:space="preserve">3 </w:t>
      </w:r>
      <w:r>
        <w:rPr>
          <w:rFonts w:hint="eastAsia"/>
        </w:rPr>
        <w:t>应急演练要求</w:t>
      </w:r>
      <w:r>
        <w:tab/>
      </w:r>
      <w:r>
        <w:fldChar w:fldCharType="begin"/>
      </w:r>
      <w:r>
        <w:instrText xml:space="preserve"> PAGEREF _Toc22667 \h </w:instrText>
      </w:r>
      <w:r>
        <w:fldChar w:fldCharType="separate"/>
      </w:r>
      <w:r>
        <w:t>147</w:t>
      </w:r>
      <w:r>
        <w:fldChar w:fldCharType="end"/>
      </w:r>
      <w:r>
        <w:rPr>
          <w:rFonts w:hint="eastAsia" w:ascii="宋体" w:hAnsi="宋体" w:cs="宋体"/>
          <w:color w:val="auto"/>
        </w:rPr>
        <w:fldChar w:fldCharType="end"/>
      </w:r>
    </w:p>
    <w:p w14:paraId="5B6FCD69">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_Toc3348 </w:instrText>
      </w:r>
      <w:r>
        <w:rPr>
          <w:rFonts w:hint="eastAsia" w:ascii="宋体" w:hAnsi="宋体" w:cs="宋体"/>
        </w:rPr>
        <w:fldChar w:fldCharType="separate"/>
      </w:r>
      <w:r>
        <w:t>10</w:t>
      </w:r>
      <w:r>
        <w:rPr>
          <w:rFonts w:hint="eastAsia"/>
        </w:rPr>
        <w:t>.</w:t>
      </w:r>
      <w:r>
        <w:t>7</w:t>
      </w:r>
      <w:r>
        <w:rPr>
          <w:rFonts w:hint="eastAsia"/>
        </w:rPr>
        <w:t>.4</w:t>
      </w:r>
      <w:r>
        <w:t xml:space="preserve"> </w:t>
      </w:r>
      <w:r>
        <w:rPr>
          <w:rFonts w:hint="eastAsia"/>
        </w:rPr>
        <w:t>评估与总结</w:t>
      </w:r>
      <w:r>
        <w:tab/>
      </w:r>
      <w:r>
        <w:fldChar w:fldCharType="begin"/>
      </w:r>
      <w:r>
        <w:instrText xml:space="preserve"> PAGEREF _Toc3348 \h </w:instrText>
      </w:r>
      <w:r>
        <w:fldChar w:fldCharType="separate"/>
      </w:r>
      <w:r>
        <w:t>148</w:t>
      </w:r>
      <w:r>
        <w:fldChar w:fldCharType="end"/>
      </w:r>
      <w:r>
        <w:rPr>
          <w:rFonts w:hint="eastAsia" w:ascii="宋体" w:hAnsi="宋体" w:cs="宋体"/>
          <w:color w:val="auto"/>
        </w:rPr>
        <w:fldChar w:fldCharType="end"/>
      </w:r>
    </w:p>
    <w:p w14:paraId="20CEA48A">
      <w:pPr>
        <w:pStyle w:val="22"/>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_Toc19582 </w:instrText>
      </w:r>
      <w:r>
        <w:rPr>
          <w:rFonts w:hint="eastAsia" w:ascii="宋体" w:hAnsi="宋体" w:cs="宋体"/>
        </w:rPr>
        <w:fldChar w:fldCharType="separate"/>
      </w:r>
      <w:r>
        <w:rPr>
          <w:rFonts w:hint="eastAsia"/>
        </w:rPr>
        <w:t xml:space="preserve">11 </w:t>
      </w:r>
      <w:r>
        <w:t>附件</w:t>
      </w:r>
      <w:r>
        <w:tab/>
      </w:r>
      <w:r>
        <w:fldChar w:fldCharType="begin"/>
      </w:r>
      <w:r>
        <w:instrText xml:space="preserve"> PAGEREF _Toc19582 \h </w:instrText>
      </w:r>
      <w:r>
        <w:fldChar w:fldCharType="separate"/>
      </w:r>
      <w:r>
        <w:t>149</w:t>
      </w:r>
      <w:r>
        <w:fldChar w:fldCharType="end"/>
      </w:r>
      <w:r>
        <w:rPr>
          <w:rFonts w:hint="eastAsia" w:ascii="宋体" w:hAnsi="宋体" w:cs="宋体"/>
          <w:color w:val="auto"/>
        </w:rPr>
        <w:fldChar w:fldCharType="end"/>
      </w:r>
    </w:p>
    <w:p w14:paraId="54623F6E">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_Toc15906 </w:instrText>
      </w:r>
      <w:r>
        <w:rPr>
          <w:rFonts w:hint="eastAsia" w:ascii="宋体" w:hAnsi="宋体" w:cs="宋体"/>
        </w:rPr>
        <w:fldChar w:fldCharType="separate"/>
      </w:r>
      <w:r>
        <w:rPr>
          <w:rFonts w:hint="eastAsia" w:ascii="Times New Roman" w:hAnsi="Times New Roman"/>
        </w:rPr>
        <w:t>附件1、</w:t>
      </w:r>
      <w:r>
        <w:rPr>
          <w:rFonts w:hint="eastAsia"/>
        </w:rPr>
        <w:t>安拆</w:t>
      </w:r>
      <w:r>
        <w:rPr>
          <w:rFonts w:ascii="Times New Roman" w:hAnsi="Times New Roman"/>
        </w:rPr>
        <w:t>单位证件</w:t>
      </w:r>
      <w:r>
        <w:tab/>
      </w:r>
      <w:r>
        <w:fldChar w:fldCharType="begin"/>
      </w:r>
      <w:r>
        <w:instrText xml:space="preserve"> PAGEREF _Toc15906 \h </w:instrText>
      </w:r>
      <w:r>
        <w:fldChar w:fldCharType="separate"/>
      </w:r>
      <w:r>
        <w:t>149</w:t>
      </w:r>
      <w:r>
        <w:fldChar w:fldCharType="end"/>
      </w:r>
      <w:r>
        <w:rPr>
          <w:rFonts w:hint="eastAsia" w:ascii="宋体" w:hAnsi="宋体" w:cs="宋体"/>
          <w:color w:val="auto"/>
        </w:rPr>
        <w:fldChar w:fldCharType="end"/>
      </w:r>
    </w:p>
    <w:p w14:paraId="2F221987">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_Toc17602 </w:instrText>
      </w:r>
      <w:r>
        <w:rPr>
          <w:rFonts w:hint="eastAsia" w:ascii="宋体" w:hAnsi="宋体" w:cs="宋体"/>
        </w:rPr>
        <w:fldChar w:fldCharType="separate"/>
      </w:r>
      <w:r>
        <w:rPr>
          <w:rFonts w:hint="eastAsia" w:ascii="Times New Roman" w:hAnsi="Times New Roman"/>
        </w:rPr>
        <w:t>附件2、</w:t>
      </w:r>
      <w:r>
        <w:rPr>
          <w:rFonts w:hint="eastAsia"/>
        </w:rPr>
        <w:t>安拆人员</w:t>
      </w:r>
      <w:r>
        <w:rPr>
          <w:rFonts w:ascii="Times New Roman" w:hAnsi="Times New Roman"/>
        </w:rPr>
        <w:t>证件</w:t>
      </w:r>
      <w:r>
        <w:tab/>
      </w:r>
      <w:r>
        <w:fldChar w:fldCharType="begin"/>
      </w:r>
      <w:r>
        <w:instrText xml:space="preserve"> PAGEREF _Toc17602 \h </w:instrText>
      </w:r>
      <w:r>
        <w:fldChar w:fldCharType="separate"/>
      </w:r>
      <w:r>
        <w:t>151</w:t>
      </w:r>
      <w:r>
        <w:fldChar w:fldCharType="end"/>
      </w:r>
      <w:r>
        <w:rPr>
          <w:rFonts w:hint="eastAsia" w:ascii="宋体" w:hAnsi="宋体" w:cs="宋体"/>
          <w:color w:val="auto"/>
        </w:rPr>
        <w:fldChar w:fldCharType="end"/>
      </w:r>
    </w:p>
    <w:p w14:paraId="49114EEC">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_Toc7340 </w:instrText>
      </w:r>
      <w:r>
        <w:rPr>
          <w:rFonts w:hint="eastAsia" w:ascii="宋体" w:hAnsi="宋体" w:cs="宋体"/>
        </w:rPr>
        <w:fldChar w:fldCharType="separate"/>
      </w:r>
      <w:r>
        <w:rPr>
          <w:rFonts w:hint="eastAsia"/>
        </w:rPr>
        <w:t>附件</w:t>
      </w:r>
      <w:r>
        <w:rPr>
          <w:rFonts w:hint="eastAsia"/>
          <w:lang w:val="en-US" w:eastAsia="zh-CN"/>
        </w:rPr>
        <w:t>3</w:t>
      </w:r>
      <w:r>
        <w:rPr>
          <w:rFonts w:hint="eastAsia"/>
        </w:rPr>
        <w:t>、</w:t>
      </w:r>
      <w:r>
        <w:rPr>
          <w:rFonts w:hint="eastAsia"/>
          <w:lang w:val="en-US" w:eastAsia="zh-CN"/>
        </w:rPr>
        <w:t>XGT</w:t>
      </w:r>
      <w:r>
        <w:t>6015-8</w:t>
      </w:r>
      <w:r>
        <w:rPr>
          <w:rFonts w:hint="eastAsia"/>
          <w:lang w:val="en-US" w:eastAsia="zh-CN"/>
        </w:rPr>
        <w:t>S</w:t>
      </w:r>
      <w:r>
        <w:rPr>
          <w:rFonts w:hint="eastAsia"/>
        </w:rPr>
        <w:t>塔式起重机操作手册</w:t>
      </w:r>
      <w:r>
        <w:tab/>
      </w:r>
      <w:r>
        <w:fldChar w:fldCharType="begin"/>
      </w:r>
      <w:r>
        <w:instrText xml:space="preserve"> PAGEREF _Toc7340 \h </w:instrText>
      </w:r>
      <w:r>
        <w:fldChar w:fldCharType="separate"/>
      </w:r>
      <w:r>
        <w:t>159</w:t>
      </w:r>
      <w:r>
        <w:fldChar w:fldCharType="end"/>
      </w:r>
      <w:r>
        <w:rPr>
          <w:rFonts w:hint="eastAsia" w:ascii="宋体" w:hAnsi="宋体" w:cs="宋体"/>
          <w:color w:val="auto"/>
        </w:rPr>
        <w:fldChar w:fldCharType="end"/>
      </w:r>
    </w:p>
    <w:p w14:paraId="331F470D">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_Toc5697 </w:instrText>
      </w:r>
      <w:r>
        <w:rPr>
          <w:rFonts w:hint="eastAsia" w:ascii="宋体" w:hAnsi="宋体" w:cs="宋体"/>
        </w:rPr>
        <w:fldChar w:fldCharType="separate"/>
      </w:r>
      <w:r>
        <w:rPr>
          <w:rFonts w:hint="eastAsia"/>
        </w:rPr>
        <w:t>附件</w:t>
      </w:r>
      <w:r>
        <w:rPr>
          <w:rFonts w:hint="eastAsia"/>
          <w:lang w:val="en-US" w:eastAsia="zh-CN"/>
        </w:rPr>
        <w:t>4</w:t>
      </w:r>
      <w:r>
        <w:rPr>
          <w:rFonts w:hint="eastAsia"/>
        </w:rPr>
        <w:t>、</w:t>
      </w:r>
      <w:r>
        <w:rPr>
          <w:rFonts w:hint="eastAsia"/>
          <w:lang w:val="en-US" w:eastAsia="zh-CN"/>
        </w:rPr>
        <w:t>XGT</w:t>
      </w:r>
      <w:r>
        <w:t>6</w:t>
      </w:r>
      <w:r>
        <w:rPr>
          <w:rFonts w:hint="eastAsia"/>
          <w:lang w:val="en-US" w:eastAsia="zh-CN"/>
        </w:rPr>
        <w:t>5</w:t>
      </w:r>
      <w:r>
        <w:t>15</w:t>
      </w:r>
      <w:r>
        <w:rPr>
          <w:rFonts w:hint="eastAsia"/>
          <w:lang w:val="en-US" w:eastAsia="zh-CN"/>
        </w:rPr>
        <w:t>D</w:t>
      </w:r>
      <w:r>
        <w:t>-</w:t>
      </w:r>
      <w:r>
        <w:rPr>
          <w:rFonts w:hint="eastAsia"/>
          <w:lang w:val="en-US" w:eastAsia="zh-CN"/>
        </w:rPr>
        <w:t>10S</w:t>
      </w:r>
      <w:r>
        <w:rPr>
          <w:rFonts w:hint="eastAsia"/>
        </w:rPr>
        <w:t>塔式起重机操作手册</w:t>
      </w:r>
      <w:r>
        <w:tab/>
      </w:r>
      <w:r>
        <w:fldChar w:fldCharType="begin"/>
      </w:r>
      <w:r>
        <w:instrText xml:space="preserve"> PAGEREF _Toc5697 \h </w:instrText>
      </w:r>
      <w:r>
        <w:fldChar w:fldCharType="separate"/>
      </w:r>
      <w:r>
        <w:t>159</w:t>
      </w:r>
      <w:r>
        <w:fldChar w:fldCharType="end"/>
      </w:r>
      <w:r>
        <w:rPr>
          <w:rFonts w:hint="eastAsia" w:ascii="宋体" w:hAnsi="宋体" w:cs="宋体"/>
          <w:color w:val="auto"/>
        </w:rPr>
        <w:fldChar w:fldCharType="end"/>
      </w:r>
    </w:p>
    <w:p w14:paraId="0D91F2CE">
      <w:pPr>
        <w:pStyle w:val="17"/>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_Toc13348 </w:instrText>
      </w:r>
      <w:r>
        <w:rPr>
          <w:rFonts w:hint="eastAsia" w:ascii="宋体" w:hAnsi="宋体" w:cs="宋体"/>
        </w:rPr>
        <w:fldChar w:fldCharType="separate"/>
      </w:r>
      <w:r>
        <w:rPr>
          <w:rFonts w:hint="eastAsia" w:ascii="宋体" w:hAnsi="宋体" w:eastAsia="宋体"/>
        </w:rPr>
        <w:t>附件</w:t>
      </w:r>
      <w:r>
        <w:rPr>
          <w:rFonts w:hint="eastAsia" w:ascii="宋体" w:hAnsi="宋体" w:eastAsia="宋体"/>
          <w:lang w:val="en-US" w:eastAsia="zh-CN"/>
        </w:rPr>
        <w:t>5</w:t>
      </w:r>
      <w:r>
        <w:rPr>
          <w:rFonts w:hint="eastAsia" w:ascii="宋体" w:hAnsi="宋体" w:eastAsia="宋体"/>
        </w:rPr>
        <w:t>、</w:t>
      </w:r>
      <w:r>
        <w:rPr>
          <w:rFonts w:hint="eastAsia" w:ascii="宋体" w:hAnsi="宋体" w:eastAsia="宋体"/>
          <w:lang w:val="en-US" w:eastAsia="zh-CN"/>
        </w:rPr>
        <w:t>XGT6516-10S</w:t>
      </w:r>
      <w:r>
        <w:rPr>
          <w:rFonts w:hint="eastAsia" w:ascii="宋体" w:hAnsi="宋体" w:eastAsia="宋体"/>
        </w:rPr>
        <w:t>塔式起重机操作手册</w:t>
      </w:r>
      <w:r>
        <w:tab/>
      </w:r>
      <w:r>
        <w:fldChar w:fldCharType="begin"/>
      </w:r>
      <w:r>
        <w:instrText xml:space="preserve"> PAGEREF _Toc13348 \h </w:instrText>
      </w:r>
      <w:r>
        <w:fldChar w:fldCharType="separate"/>
      </w:r>
      <w:r>
        <w:t>159</w:t>
      </w:r>
      <w:r>
        <w:fldChar w:fldCharType="end"/>
      </w:r>
      <w:r>
        <w:rPr>
          <w:rFonts w:hint="eastAsia" w:ascii="宋体" w:hAnsi="宋体" w:cs="宋体"/>
          <w:color w:val="auto"/>
        </w:rPr>
        <w:fldChar w:fldCharType="end"/>
      </w:r>
    </w:p>
    <w:p w14:paraId="0F76423A">
      <w:pPr>
        <w:pStyle w:val="24"/>
        <w:tabs>
          <w:tab w:val="right" w:leader="dot" w:pos="8640"/>
        </w:tabs>
      </w:pPr>
      <w:r>
        <w:rPr>
          <w:rFonts w:hint="eastAsia" w:ascii="宋体" w:hAnsi="宋体" w:cs="宋体"/>
          <w:color w:val="auto"/>
        </w:rPr>
        <w:fldChar w:fldCharType="begin"/>
      </w:r>
      <w:r>
        <w:rPr>
          <w:rFonts w:hint="eastAsia" w:ascii="宋体" w:hAnsi="宋体" w:cs="宋体"/>
        </w:rPr>
        <w:instrText xml:space="preserve"> HYPERLINK \l _Toc32412 </w:instrText>
      </w:r>
      <w:r>
        <w:rPr>
          <w:rFonts w:hint="eastAsia" w:ascii="宋体" w:hAnsi="宋体" w:cs="宋体"/>
        </w:rPr>
        <w:fldChar w:fldCharType="separate"/>
      </w:r>
      <w:r>
        <w:rPr>
          <w:rFonts w:hint="eastAsia"/>
        </w:rPr>
        <w:t>附录</w:t>
      </w:r>
      <w:r>
        <w:rPr>
          <w:rFonts w:hint="eastAsia"/>
          <w:lang w:val="en-US" w:eastAsia="zh-CN"/>
        </w:rPr>
        <w:t>6</w:t>
      </w:r>
      <w:r>
        <w:rPr>
          <w:rFonts w:hint="eastAsia"/>
        </w:rPr>
        <w:t>、</w:t>
      </w:r>
      <w:r>
        <w:rPr>
          <w:rFonts w:hint="eastAsia"/>
          <w:lang w:val="en-US" w:eastAsia="zh-CN"/>
        </w:rPr>
        <w:t>安装竣工验收样表</w:t>
      </w:r>
      <w:r>
        <w:tab/>
      </w:r>
      <w:r>
        <w:fldChar w:fldCharType="begin"/>
      </w:r>
      <w:r>
        <w:instrText xml:space="preserve"> PAGEREF _Toc32412 \h </w:instrText>
      </w:r>
      <w:r>
        <w:fldChar w:fldCharType="separate"/>
      </w:r>
      <w:r>
        <w:t>159</w:t>
      </w:r>
      <w:r>
        <w:fldChar w:fldCharType="end"/>
      </w:r>
      <w:r>
        <w:rPr>
          <w:rFonts w:hint="eastAsia" w:ascii="宋体" w:hAnsi="宋体" w:cs="宋体"/>
          <w:color w:val="auto"/>
        </w:rPr>
        <w:fldChar w:fldCharType="end"/>
      </w:r>
    </w:p>
    <w:p w14:paraId="2F5FB517">
      <w:pPr>
        <w:pStyle w:val="17"/>
        <w:tabs>
          <w:tab w:val="left" w:pos="1260"/>
          <w:tab w:val="right" w:leader="dot" w:pos="8296"/>
        </w:tabs>
        <w:ind w:firstLine="0" w:firstLineChars="0"/>
        <w:jc w:val="center"/>
        <w:rPr>
          <w:rFonts w:hint="eastAsia" w:ascii="宋体" w:hAnsi="宋体" w:cs="宋体"/>
          <w:color w:val="auto"/>
        </w:rPr>
        <w:sectPr>
          <w:headerReference r:id="rId11" w:type="default"/>
          <w:footerReference r:id="rId12" w:type="default"/>
          <w:pgSz w:w="11906" w:h="16838"/>
          <w:pgMar w:top="1440" w:right="1633" w:bottom="1440" w:left="1633" w:header="851" w:footer="992" w:gutter="0"/>
          <w:pgNumType w:start="1"/>
          <w:cols w:space="720" w:num="1"/>
          <w:docGrid w:type="lines" w:linePitch="312" w:charSpace="0"/>
        </w:sectPr>
      </w:pPr>
      <w:r>
        <w:rPr>
          <w:rFonts w:hint="eastAsia" w:ascii="宋体" w:hAnsi="宋体" w:cs="宋体"/>
          <w:color w:val="auto"/>
        </w:rPr>
        <w:fldChar w:fldCharType="end"/>
      </w:r>
      <w:bookmarkStart w:id="38" w:name="_Toc4364"/>
    </w:p>
    <w:p w14:paraId="5CC6E1B4">
      <w:pPr>
        <w:pStyle w:val="2"/>
        <w:rPr>
          <w:rFonts w:hint="eastAsia"/>
          <w:color w:val="auto"/>
        </w:rPr>
      </w:pPr>
      <w:bookmarkStart w:id="39" w:name="_Toc23628"/>
      <w:r>
        <w:rPr>
          <w:rFonts w:hint="eastAsia"/>
          <w:color w:val="auto"/>
        </w:rPr>
        <w:t>1 工程概况</w:t>
      </w:r>
      <w:bookmarkEnd w:id="38"/>
      <w:bookmarkEnd w:id="39"/>
    </w:p>
    <w:p w14:paraId="54CDA00A">
      <w:pPr>
        <w:pStyle w:val="3"/>
        <w:ind w:left="480"/>
        <w:rPr>
          <w:rFonts w:hint="eastAsia"/>
          <w:color w:val="auto"/>
        </w:rPr>
      </w:pPr>
      <w:bookmarkStart w:id="40" w:name="_Toc31141"/>
      <w:bookmarkStart w:id="41" w:name="_Toc460944593"/>
      <w:bookmarkStart w:id="42" w:name="_Toc460944507"/>
      <w:r>
        <w:rPr>
          <w:rFonts w:hint="eastAsia"/>
          <w:color w:val="auto"/>
        </w:rPr>
        <w:t>1.1项目概况</w:t>
      </w:r>
      <w:bookmarkEnd w:id="40"/>
    </w:p>
    <w:p w14:paraId="6F817DD1">
      <w:pPr>
        <w:ind w:firstLine="480"/>
        <w:rPr>
          <w:rFonts w:hint="eastAsia"/>
          <w:color w:val="auto"/>
        </w:rPr>
      </w:pPr>
      <w:r>
        <w:rPr>
          <w:rFonts w:hint="eastAsia"/>
          <w:color w:val="auto"/>
        </w:rPr>
        <w:t>新建文山至蒙自铁路站前工程WMZQ-1标，线路起讫里程DK22+950～DK52+850，正线长29.9km。</w:t>
      </w:r>
    </w:p>
    <w:p w14:paraId="55C4A121">
      <w:pPr>
        <w:ind w:firstLine="480"/>
        <w:rPr>
          <w:rFonts w:hint="eastAsia"/>
          <w:color w:val="auto"/>
        </w:rPr>
      </w:pPr>
      <w:r>
        <w:rPr>
          <w:rFonts w:hint="eastAsia"/>
          <w:color w:val="auto"/>
        </w:rPr>
        <w:t>本标段起于蒙文砚高速文山东收费站南侧文山站，跨盘龙河、省道S209后折向北，于新寨设马塘站，出站后线路折向西南，于坝心村东侧跨蒙文砚高速后折向西北，沿蒙文砚高速南侧经鹦哥塘村北、城子脚村南折向西，经以腻资水库北、新回龙村、幕龙新村北、跨省道S313后，止于薄竹站。</w:t>
      </w:r>
    </w:p>
    <w:p w14:paraId="73663F89">
      <w:pPr>
        <w:ind w:firstLine="480"/>
        <w:rPr>
          <w:rFonts w:hint="eastAsia"/>
          <w:color w:val="auto"/>
        </w:rPr>
      </w:pPr>
      <w:r>
        <w:rPr>
          <w:rFonts w:hint="eastAsia"/>
          <w:color w:val="auto"/>
        </w:rPr>
        <w:t>主要工程数量：（1）区间路基29处/9.52km；（2）隧道9座（含两座明洞）/5.21km；（3）正线桥梁20座/10.38km；（4）站场2座（含站场路基、配套房屋及附属）；（5）T梁制架362孔/1448片（制架梁范围DK22+950～DK80+480）。重难点及控制性工程为：坝子跨蒙文砚高速特大桥、所布纪隧道、盘龙河一号大桥、预制梁生产及架设、高路堤及深路堑施工等。</w:t>
      </w:r>
    </w:p>
    <w:p w14:paraId="443B52EA">
      <w:pPr>
        <w:ind w:firstLine="480"/>
        <w:rPr>
          <w:rFonts w:hint="eastAsia"/>
          <w:color w:val="auto"/>
        </w:rPr>
      </w:pPr>
      <w:r>
        <w:rPr>
          <w:rFonts w:hint="eastAsia"/>
          <w:color w:val="auto"/>
        </w:rPr>
        <w:t>盘龙河三号特大桥位于文山市马塘镇上坝村南侧，于DK37+313 跨越村道，采用32m简支梁一跨跨越，于DK37+726跨越盘龙河，采用48+80+48m连续梁中跨一跨跨越。桥梁起讫里程DK37+221.440～DK38+253.630，总长1032.19m，竖曲线半径：15000m。孔跨布置：3×32m简支T梁+1×24m简支T梁+9×32m简支T梁+(48+80+48)m连续梁+13×32m简支T梁。基础采用钻孔桩承台基础；墩身采用圆端形实体墩、圆端形空心墩，桥台采用双线矩形空心桥台；上部结构为有声屏障简支T梁、无声屏障简支T梁及（48+80+48）m连续梁。</w:t>
      </w:r>
    </w:p>
    <w:bookmarkEnd w:id="41"/>
    <w:bookmarkEnd w:id="42"/>
    <w:p w14:paraId="5DDD2E56">
      <w:pPr>
        <w:pStyle w:val="3"/>
        <w:ind w:left="480"/>
        <w:rPr>
          <w:rFonts w:hint="eastAsia"/>
          <w:color w:val="auto"/>
        </w:rPr>
      </w:pPr>
      <w:bookmarkStart w:id="43" w:name="_Toc13118"/>
      <w:bookmarkStart w:id="44" w:name="_Toc460944511"/>
      <w:bookmarkStart w:id="45" w:name="_Toc460944597"/>
      <w:r>
        <w:rPr>
          <w:rFonts w:hint="eastAsia"/>
          <w:color w:val="auto"/>
        </w:rPr>
        <w:t>1.2安装现场工作环境及条件</w:t>
      </w:r>
      <w:bookmarkEnd w:id="43"/>
    </w:p>
    <w:p w14:paraId="094791CE">
      <w:pPr>
        <w:ind w:firstLine="480"/>
        <w:rPr>
          <w:rFonts w:hint="eastAsia"/>
          <w:color w:val="auto"/>
        </w:rPr>
      </w:pPr>
      <w:r>
        <w:rPr>
          <w:rFonts w:hint="eastAsia"/>
          <w:color w:val="auto"/>
        </w:rPr>
        <w:t>根据现场工作环境及施工吊装要求，通过综合比较，塔吊采用</w:t>
      </w:r>
      <w:r>
        <w:rPr>
          <w:rFonts w:hint="eastAsia"/>
          <w:color w:val="auto"/>
          <w:lang w:val="en-US" w:eastAsia="zh-CN"/>
        </w:rPr>
        <w:t>XGT</w:t>
      </w:r>
      <w:r>
        <w:rPr>
          <w:rFonts w:hint="eastAsia"/>
          <w:color w:val="auto"/>
        </w:rPr>
        <w:t>6015</w:t>
      </w:r>
      <w:r>
        <w:rPr>
          <w:rFonts w:hint="eastAsia"/>
          <w:color w:val="auto"/>
          <w:lang w:val="en-US" w:eastAsia="zh-CN"/>
        </w:rPr>
        <w:t>A</w:t>
      </w:r>
      <w:r>
        <w:rPr>
          <w:rFonts w:hint="eastAsia"/>
          <w:color w:val="auto"/>
        </w:rPr>
        <w:t>-8</w:t>
      </w:r>
      <w:r>
        <w:rPr>
          <w:rFonts w:hint="eastAsia"/>
          <w:color w:val="auto"/>
          <w:lang w:val="en-US" w:eastAsia="zh-CN"/>
        </w:rPr>
        <w:t>S、XGT6515D-10S、XGT6515-10S三种</w:t>
      </w:r>
      <w:r>
        <w:rPr>
          <w:rFonts w:hint="eastAsia"/>
          <w:color w:val="auto"/>
        </w:rPr>
        <w:t>型</w:t>
      </w:r>
      <w:r>
        <w:rPr>
          <w:rFonts w:hint="eastAsia"/>
          <w:color w:val="auto"/>
          <w:lang w:val="en-US" w:eastAsia="zh-CN"/>
        </w:rPr>
        <w:t>号</w:t>
      </w:r>
      <w:r>
        <w:rPr>
          <w:rFonts w:hint="eastAsia"/>
          <w:color w:val="auto"/>
        </w:rPr>
        <w:t>塔</w:t>
      </w:r>
      <w:r>
        <w:rPr>
          <w:rFonts w:hint="eastAsia"/>
          <w:color w:val="auto"/>
          <w:lang w:val="en-US" w:eastAsia="zh-CN"/>
        </w:rPr>
        <w:t>机</w:t>
      </w:r>
      <w:r>
        <w:rPr>
          <w:rFonts w:hint="eastAsia"/>
          <w:color w:val="auto"/>
        </w:rPr>
        <w:t>，臂长为</w:t>
      </w:r>
      <w:r>
        <w:rPr>
          <w:rFonts w:hint="eastAsia"/>
          <w:color w:val="auto"/>
          <w:lang w:val="en-US" w:eastAsia="zh-CN"/>
        </w:rPr>
        <w:t>5</w:t>
      </w:r>
      <w:r>
        <w:rPr>
          <w:rFonts w:hint="eastAsia"/>
          <w:color w:val="auto"/>
        </w:rPr>
        <w:t>0</w:t>
      </w:r>
      <w:r>
        <w:rPr>
          <w:rFonts w:hint="eastAsia"/>
          <w:color w:val="auto"/>
          <w:lang w:val="en-US" w:eastAsia="zh-CN"/>
        </w:rPr>
        <w:t>/60</w:t>
      </w:r>
      <w:r>
        <w:rPr>
          <w:rFonts w:hint="eastAsia"/>
          <w:color w:val="auto"/>
        </w:rPr>
        <w:t>米。</w:t>
      </w:r>
    </w:p>
    <w:p w14:paraId="19B14948">
      <w:pPr>
        <w:ind w:firstLine="480"/>
        <w:rPr>
          <w:rFonts w:hint="eastAsia"/>
          <w:color w:val="auto"/>
        </w:rPr>
      </w:pPr>
      <w:r>
        <w:rPr>
          <w:rFonts w:hint="eastAsia"/>
          <w:color w:val="auto"/>
        </w:rPr>
        <w:t>根据现场土质情况并结合地质勘察报告数据，塔机基础</w:t>
      </w:r>
      <w:r>
        <w:rPr>
          <w:rFonts w:hint="eastAsia"/>
          <w:color w:val="auto"/>
          <w:lang w:val="en-US" w:eastAsia="zh-CN"/>
        </w:rPr>
        <w:t>在现有墩身承台上做扩大基础</w:t>
      </w:r>
      <w:r>
        <w:rPr>
          <w:rFonts w:hint="eastAsia"/>
          <w:color w:val="auto"/>
        </w:rPr>
        <w:t>。</w:t>
      </w:r>
    </w:p>
    <w:p w14:paraId="704BE103">
      <w:pPr>
        <w:ind w:firstLine="0" w:firstLineChars="0"/>
        <w:jc w:val="both"/>
        <w:rPr>
          <w:rFonts w:hint="eastAsia"/>
          <w:color w:val="auto"/>
        </w:rPr>
      </w:pPr>
      <w:r>
        <w:drawing>
          <wp:inline distT="0" distB="0" distL="114300" distR="114300">
            <wp:extent cx="5476240" cy="994410"/>
            <wp:effectExtent l="0" t="0" r="10160" b="1143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7"/>
                    <a:stretch>
                      <a:fillRect/>
                    </a:stretch>
                  </pic:blipFill>
                  <pic:spPr>
                    <a:xfrm>
                      <a:off x="0" y="0"/>
                      <a:ext cx="5476240" cy="994410"/>
                    </a:xfrm>
                    <a:prstGeom prst="rect">
                      <a:avLst/>
                    </a:prstGeom>
                    <a:noFill/>
                    <a:ln>
                      <a:noFill/>
                    </a:ln>
                  </pic:spPr>
                </pic:pic>
              </a:graphicData>
            </a:graphic>
          </wp:inline>
        </w:drawing>
      </w:r>
    </w:p>
    <w:p w14:paraId="7E4C85AA">
      <w:pPr>
        <w:ind w:firstLine="0" w:firstLineChars="0"/>
        <w:jc w:val="center"/>
        <w:rPr>
          <w:rFonts w:hint="eastAsia"/>
          <w:color w:val="auto"/>
        </w:rPr>
      </w:pPr>
      <w:r>
        <w:drawing>
          <wp:inline distT="0" distB="0" distL="114300" distR="114300">
            <wp:extent cx="5472430" cy="1089025"/>
            <wp:effectExtent l="0" t="0" r="13970" b="825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8"/>
                    <a:stretch>
                      <a:fillRect/>
                    </a:stretch>
                  </pic:blipFill>
                  <pic:spPr>
                    <a:xfrm>
                      <a:off x="0" y="0"/>
                      <a:ext cx="5472430" cy="1089025"/>
                    </a:xfrm>
                    <a:prstGeom prst="rect">
                      <a:avLst/>
                    </a:prstGeom>
                    <a:noFill/>
                    <a:ln>
                      <a:noFill/>
                    </a:ln>
                  </pic:spPr>
                </pic:pic>
              </a:graphicData>
            </a:graphic>
          </wp:inline>
        </w:drawing>
      </w:r>
    </w:p>
    <w:p w14:paraId="75025624">
      <w:pPr>
        <w:ind w:firstLine="0" w:firstLineChars="0"/>
        <w:jc w:val="center"/>
        <w:rPr>
          <w:rFonts w:hint="eastAsia"/>
          <w:color w:val="auto"/>
        </w:rPr>
      </w:pPr>
      <w:r>
        <w:rPr>
          <w:rFonts w:hint="eastAsia"/>
          <w:color w:val="auto"/>
        </w:rPr>
        <w:t>图1.2-1  塔机施工平面布置图</w:t>
      </w:r>
    </w:p>
    <w:p w14:paraId="75AFA321">
      <w:pPr>
        <w:pStyle w:val="3"/>
        <w:ind w:left="480"/>
        <w:rPr>
          <w:rFonts w:hint="eastAsia"/>
          <w:color w:val="auto"/>
        </w:rPr>
      </w:pPr>
      <w:bookmarkStart w:id="46" w:name="_Toc2232"/>
      <w:r>
        <w:rPr>
          <w:rFonts w:hint="eastAsia"/>
          <w:color w:val="auto"/>
        </w:rPr>
        <w:t>1.3自然条件</w:t>
      </w:r>
      <w:bookmarkEnd w:id="46"/>
    </w:p>
    <w:p w14:paraId="6E121329">
      <w:pPr>
        <w:pStyle w:val="4"/>
        <w:ind w:firstLine="482"/>
        <w:rPr>
          <w:rFonts w:hint="eastAsia"/>
          <w:color w:val="auto"/>
        </w:rPr>
      </w:pPr>
      <w:bookmarkStart w:id="47" w:name="_Toc7150"/>
      <w:r>
        <w:rPr>
          <w:rFonts w:hint="eastAsia"/>
          <w:color w:val="auto"/>
        </w:rPr>
        <w:t>1.3.1 地质情况</w:t>
      </w:r>
      <w:bookmarkEnd w:id="47"/>
    </w:p>
    <w:p w14:paraId="10A2C8D9">
      <w:pPr>
        <w:ind w:firstLine="480"/>
        <w:rPr>
          <w:rFonts w:hint="eastAsia"/>
          <w:color w:val="auto"/>
        </w:rPr>
      </w:pPr>
      <w:r>
        <w:rPr>
          <w:rFonts w:hint="eastAsia"/>
          <w:color w:val="auto"/>
        </w:rPr>
        <w:t>（1）地层岩性</w:t>
      </w:r>
    </w:p>
    <w:p w14:paraId="5BE7BF88">
      <w:pPr>
        <w:ind w:firstLine="480"/>
        <w:rPr>
          <w:rFonts w:hint="eastAsia"/>
          <w:color w:val="auto"/>
        </w:rPr>
      </w:pPr>
      <w:r>
        <w:rPr>
          <w:rFonts w:hint="eastAsia"/>
          <w:color w:val="auto"/>
        </w:rPr>
        <w:t>根据钻探揭露，结合区域地质资料对比分析，沿线所经过的地层岩性较复杂，按其成因和时代分类主要有:第四系全新统冲洪积层(Q4al+pl)黏土，第四系全新统残坡积层(Q4al+dl)黏土，下伏断层碎裂岩，三叠系中统个旧组(T2g)灰岩，三叠系下统永宁镇组(T1y)灰岩，奥陶系下统独树柯组(O1d)砂岩及奥陶系下统下木都底组(O1x)灰岩。地层分述如下：</w:t>
      </w:r>
    </w:p>
    <w:p w14:paraId="45DDCBB2">
      <w:pPr>
        <w:ind w:firstLine="480"/>
        <w:rPr>
          <w:rFonts w:hint="eastAsia"/>
          <w:color w:val="auto"/>
        </w:rPr>
      </w:pPr>
      <w:r>
        <w:rPr>
          <w:rFonts w:hint="eastAsia"/>
          <w:color w:val="auto"/>
          <w:lang w:val="en-US" w:eastAsia="zh-CN"/>
        </w:rPr>
        <w:t>1）</w:t>
      </w:r>
      <w:r>
        <w:rPr>
          <w:rFonts w:hint="eastAsia"/>
          <w:color w:val="auto"/>
          <w:lang w:val="en-US"/>
        </w:rPr>
        <w:t>第四系全新统冲洪积层（Q4al+pl）</w:t>
      </w:r>
    </w:p>
    <w:p w14:paraId="5B172A46">
      <w:pPr>
        <w:ind w:firstLine="480"/>
        <w:rPr>
          <w:rFonts w:hint="eastAsia"/>
          <w:color w:val="auto"/>
        </w:rPr>
      </w:pPr>
      <w:r>
        <w:rPr>
          <w:rFonts w:hint="eastAsia"/>
          <w:color w:val="auto"/>
        </w:rPr>
        <w:t>23-2-2 黏土，褐灰色，软塑，土质均匀，黏性一般，表层含植物根系，层厚约 0.5～7.5m。</w:t>
      </w:r>
    </w:p>
    <w:p w14:paraId="1D0FF314">
      <w:pPr>
        <w:ind w:firstLine="480"/>
        <w:rPr>
          <w:rFonts w:hint="eastAsia"/>
          <w:color w:val="auto"/>
        </w:rPr>
      </w:pPr>
      <w:r>
        <w:rPr>
          <w:rFonts w:hint="eastAsia"/>
          <w:color w:val="auto"/>
        </w:rPr>
        <w:t>23-2-3 黏土，褐灰色，硬塑，土质均匀，刀切面较光滑，黏性一般，表层含植物根系，厚度 1.5～16.2m。</w:t>
      </w:r>
    </w:p>
    <w:p w14:paraId="182528C1">
      <w:pPr>
        <w:ind w:firstLine="480"/>
        <w:rPr>
          <w:rFonts w:hint="eastAsia"/>
          <w:color w:val="auto"/>
        </w:rPr>
      </w:pPr>
      <w:r>
        <w:rPr>
          <w:rFonts w:hint="eastAsia"/>
          <w:color w:val="auto"/>
          <w:lang w:val="en-US" w:eastAsia="zh-CN"/>
        </w:rPr>
        <w:t>2）</w:t>
      </w:r>
      <w:r>
        <w:rPr>
          <w:rFonts w:hint="eastAsia"/>
          <w:color w:val="auto"/>
          <w:lang w:val="en-US"/>
        </w:rPr>
        <w:t>第四系全新统残坡积层（Q4el+dl）</w:t>
      </w:r>
    </w:p>
    <w:p w14:paraId="2F4C8A86">
      <w:pPr>
        <w:ind w:firstLine="480"/>
        <w:rPr>
          <w:rFonts w:hint="eastAsia"/>
          <w:color w:val="auto"/>
        </w:rPr>
      </w:pPr>
      <w:r>
        <w:rPr>
          <w:rFonts w:hint="eastAsia"/>
          <w:color w:val="auto"/>
        </w:rPr>
        <w:t>25-2-2 黏土，褐灰色，软塑，土质均匀，黏性一般，表层含植物根系，层厚约2.7～10.8m。</w:t>
      </w:r>
    </w:p>
    <w:p w14:paraId="2B00C73F">
      <w:pPr>
        <w:ind w:firstLine="480"/>
        <w:rPr>
          <w:rFonts w:hint="eastAsia"/>
          <w:color w:val="auto"/>
        </w:rPr>
      </w:pPr>
      <w:r>
        <w:rPr>
          <w:rFonts w:hint="eastAsia"/>
          <w:color w:val="auto"/>
        </w:rPr>
        <w:t>25-2-3黏土，褐灰色，硬塑，土质均匀，刀切面较光滑，黏性一般，表层含植物根系，厚度 0.2～15.0m。</w:t>
      </w:r>
    </w:p>
    <w:p w14:paraId="51AB3C27">
      <w:pPr>
        <w:ind w:firstLine="480"/>
        <w:rPr>
          <w:rFonts w:hint="eastAsia"/>
          <w:color w:val="auto"/>
        </w:rPr>
      </w:pPr>
      <w:r>
        <w:rPr>
          <w:rFonts w:hint="eastAsia"/>
          <w:color w:val="auto"/>
          <w:lang w:val="en-US" w:eastAsia="zh-CN"/>
        </w:rPr>
        <w:t>3）</w:t>
      </w:r>
      <w:r>
        <w:rPr>
          <w:rFonts w:hint="eastAsia"/>
          <w:color w:val="auto"/>
          <w:lang w:val="en-US"/>
        </w:rPr>
        <w:t>三叠系中统个旧组(T2g)</w:t>
      </w:r>
    </w:p>
    <w:p w14:paraId="30E1596B">
      <w:pPr>
        <w:ind w:firstLine="480"/>
        <w:rPr>
          <w:rFonts w:hint="eastAsia"/>
          <w:color w:val="auto"/>
        </w:rPr>
      </w:pPr>
      <w:r>
        <w:rPr>
          <w:rFonts w:hint="eastAsia"/>
          <w:color w:val="auto"/>
        </w:rPr>
        <w:t>44-1-4 溶蚀灰岩:浅灰色、深灰色，隐晶质结构，厚层状构造，岩质较硬，敲击声脆，溶蚀裂隙发育，溶蚀严重，可见溶孔，局部溶蚀面含黏土，岩芯呈碎块状，一般块径 2-10cm，揭露层厚 0.7～7.1m。</w:t>
      </w:r>
    </w:p>
    <w:p w14:paraId="664501EE">
      <w:pPr>
        <w:ind w:firstLine="480"/>
        <w:rPr>
          <w:rFonts w:hint="eastAsia"/>
          <w:color w:val="auto"/>
        </w:rPr>
      </w:pPr>
      <w:r>
        <w:rPr>
          <w:rFonts w:hint="eastAsia"/>
          <w:color w:val="auto"/>
        </w:rPr>
        <w:t>44-1-2强风化灰岩，褐红色、褐灰色，隐晶质结构，中厚层状构造，节理裂隙发育，岩体较破碎，岩芯呈块状，岩质硬，锤击声闷，层厚约8.0m。</w:t>
      </w:r>
    </w:p>
    <w:p w14:paraId="622815ED">
      <w:pPr>
        <w:ind w:firstLine="480"/>
        <w:rPr>
          <w:rFonts w:hint="eastAsia"/>
          <w:color w:val="auto"/>
        </w:rPr>
      </w:pPr>
      <w:r>
        <w:rPr>
          <w:rFonts w:hint="eastAsia"/>
          <w:color w:val="auto"/>
        </w:rPr>
        <w:t>44-1-3 弱风化灰岩，褐红色、褐灰色，隐晶质结构，中厚层状构造，节理裂隙较发育，岩体较完整，岩芯呈柱状，岩质硬，锤击声脆，该层未揭穿，揭示层厚 0.1～55.5m。</w:t>
      </w:r>
    </w:p>
    <w:p w14:paraId="5EF09526">
      <w:pPr>
        <w:ind w:firstLine="480"/>
        <w:rPr>
          <w:rFonts w:hint="eastAsia"/>
          <w:color w:val="auto"/>
        </w:rPr>
      </w:pPr>
      <w:r>
        <w:rPr>
          <w:rFonts w:hint="eastAsia"/>
          <w:color w:val="auto"/>
          <w:lang w:val="en-US" w:eastAsia="zh-CN"/>
        </w:rPr>
        <w:t>4）</w:t>
      </w:r>
      <w:r>
        <w:rPr>
          <w:rFonts w:hint="eastAsia"/>
          <w:color w:val="auto"/>
          <w:lang w:val="en-US"/>
        </w:rPr>
        <w:t>三叠系下统永宁镇组(T1y)</w:t>
      </w:r>
    </w:p>
    <w:p w14:paraId="2127B59E">
      <w:pPr>
        <w:ind w:firstLine="480"/>
        <w:rPr>
          <w:rFonts w:hint="eastAsia"/>
          <w:color w:val="auto"/>
        </w:rPr>
      </w:pPr>
      <w:r>
        <w:rPr>
          <w:rFonts w:hint="eastAsia"/>
          <w:color w:val="auto"/>
        </w:rPr>
        <w:t>45-1-4 溶蚀灰岩，浅灰色、深灰色，隐晶质结构，厚层状构造，岩质较硬，敲击声脆，溶蚀裂隙发育,溶蚀严重，可见溶孔，局部溶蚀面含黏土，岩芯呈碎块状，一般块径2～10cm，揭露层厚 0.1～6.5m。</w:t>
      </w:r>
    </w:p>
    <w:p w14:paraId="72DACAD9">
      <w:pPr>
        <w:ind w:firstLine="480"/>
        <w:rPr>
          <w:rFonts w:hint="eastAsia"/>
          <w:color w:val="auto"/>
        </w:rPr>
      </w:pPr>
      <w:r>
        <w:rPr>
          <w:rFonts w:hint="eastAsia"/>
          <w:color w:val="auto"/>
        </w:rPr>
        <w:t>45-1-3 弱风化灰岩，褐红色、褐灰色，隐晶质结构，中厚层状构造，节理裂隙较发育，岩体较完整，岩芯呈柱状，岩质硬，锤击声脆，该层未揭穿，揭示层厚 0.4～33.5m。</w:t>
      </w:r>
    </w:p>
    <w:p w14:paraId="4F0A8150">
      <w:pPr>
        <w:ind w:firstLine="480"/>
        <w:rPr>
          <w:rFonts w:hint="eastAsia"/>
          <w:color w:val="auto"/>
        </w:rPr>
      </w:pPr>
      <w:r>
        <w:rPr>
          <w:rFonts w:hint="eastAsia"/>
          <w:color w:val="auto"/>
          <w:lang w:val="en-US" w:eastAsia="zh-CN"/>
        </w:rPr>
        <w:t>5）</w:t>
      </w:r>
      <w:r>
        <w:rPr>
          <w:rFonts w:hint="eastAsia"/>
          <w:color w:val="auto"/>
          <w:lang w:val="en-US"/>
        </w:rPr>
        <w:t>奥陶系下统独树柯组(O1d)</w:t>
      </w:r>
    </w:p>
    <w:p w14:paraId="105449F1">
      <w:pPr>
        <w:ind w:firstLine="480"/>
        <w:rPr>
          <w:rFonts w:hint="eastAsia"/>
          <w:color w:val="auto"/>
        </w:rPr>
      </w:pPr>
      <w:r>
        <w:rPr>
          <w:rFonts w:hint="eastAsia"/>
          <w:color w:val="auto"/>
        </w:rPr>
        <w:t>82-7-1全风化砂岩，浅灰色，岩石风化完全，原岩组织结构已全部破坏，但结构尚可辨认，岩芯呈土柱状，块状，块径约2～9cm，岩质软，手掰易碎，层厚4.2～15.8m。</w:t>
      </w:r>
    </w:p>
    <w:p w14:paraId="38173EA9">
      <w:pPr>
        <w:ind w:firstLine="480"/>
        <w:rPr>
          <w:rFonts w:hint="eastAsia"/>
          <w:color w:val="auto"/>
        </w:rPr>
      </w:pPr>
      <w:r>
        <w:rPr>
          <w:rFonts w:hint="eastAsia"/>
          <w:color w:val="auto"/>
        </w:rPr>
        <w:t>82-7-2 强风化砂岩，浅灰色，细粒结构，层状构造，节理裂隙发育，岩体破碎，岩芯呈块状，碎块状，块径2～5cm，岩质软，锤击易碎，该层未揭穿，揭示层厚 39.2～44.3m。</w:t>
      </w:r>
    </w:p>
    <w:p w14:paraId="61AA04A2">
      <w:pPr>
        <w:ind w:firstLine="480"/>
        <w:rPr>
          <w:rFonts w:hint="eastAsia"/>
          <w:color w:val="auto"/>
        </w:rPr>
      </w:pPr>
      <w:r>
        <w:rPr>
          <w:rFonts w:hint="eastAsia"/>
          <w:color w:val="auto"/>
          <w:lang w:val="en-US" w:eastAsia="zh-CN"/>
        </w:rPr>
        <w:t>6）</w:t>
      </w:r>
      <w:r>
        <w:rPr>
          <w:rFonts w:hint="eastAsia"/>
          <w:color w:val="auto"/>
          <w:lang w:val="en-US"/>
        </w:rPr>
        <w:t>奥陶系下统下木都底组(O1x)</w:t>
      </w:r>
    </w:p>
    <w:p w14:paraId="45252FAA">
      <w:pPr>
        <w:ind w:firstLine="480"/>
        <w:rPr>
          <w:rFonts w:hint="eastAsia"/>
          <w:color w:val="auto"/>
        </w:rPr>
      </w:pPr>
      <w:r>
        <w:rPr>
          <w:rFonts w:hint="eastAsia"/>
          <w:color w:val="auto"/>
        </w:rPr>
        <w:t>83-1-3弱风化灰岩，褐红色、褐灰色，隐晶质结构，中厚层状构造，节理裂隙较发育，岩体较完整，岩芯呈柱状，岩质硬，锤击声脆，该层未揭穿，揭示层厚 12.8～52.2m。</w:t>
      </w:r>
    </w:p>
    <w:p w14:paraId="61853025">
      <w:pPr>
        <w:ind w:firstLine="480"/>
        <w:rPr>
          <w:rFonts w:hint="eastAsia"/>
          <w:color w:val="auto"/>
        </w:rPr>
      </w:pPr>
      <w:r>
        <w:rPr>
          <w:rFonts w:hint="eastAsia"/>
          <w:color w:val="auto"/>
          <w:lang w:val="en-US" w:eastAsia="zh-CN"/>
        </w:rPr>
        <w:t>7）</w:t>
      </w:r>
      <w:r>
        <w:rPr>
          <w:rFonts w:hint="eastAsia"/>
          <w:color w:val="auto"/>
          <w:lang w:val="en-US"/>
        </w:rPr>
        <w:t>断层</w:t>
      </w:r>
    </w:p>
    <w:p w14:paraId="0D916092">
      <w:pPr>
        <w:ind w:firstLine="480"/>
        <w:rPr>
          <w:rFonts w:hint="eastAsia"/>
          <w:color w:val="auto"/>
        </w:rPr>
      </w:pPr>
      <w:r>
        <w:rPr>
          <w:rFonts w:hint="eastAsia"/>
          <w:color w:val="auto"/>
        </w:rPr>
        <w:t>1-3-1 全风化碎裂岩，浅灰色，岩石风化完全，原岩组织结构已全部破坏，但结构尚可辨认，岩芯呈土柱状，局部夹块状，块径约2～7cm，岩质软，手可掰断，该层未揭穿，揭示层厚2.2～71.2m。</w:t>
      </w:r>
    </w:p>
    <w:p w14:paraId="08B6CF2F">
      <w:pPr>
        <w:ind w:firstLine="480"/>
        <w:rPr>
          <w:rFonts w:hint="eastAsia"/>
          <w:color w:val="auto"/>
        </w:rPr>
      </w:pPr>
      <w:r>
        <w:rPr>
          <w:rFonts w:hint="eastAsia"/>
          <w:color w:val="auto"/>
        </w:rPr>
        <w:t>1-3-2 强风化碎裂岩，浅灰色，碎裂结构，块状构造，节理裂隙发育，岩体破碎，岩质软，锤击易碎，该层未揭穿，揭示层厚0.7～28.5m。</w:t>
      </w:r>
    </w:p>
    <w:p w14:paraId="7D34DD42">
      <w:pPr>
        <w:ind w:firstLine="480"/>
        <w:rPr>
          <w:rFonts w:hint="eastAsia"/>
          <w:color w:val="auto"/>
        </w:rPr>
      </w:pPr>
      <w:r>
        <w:rPr>
          <w:rFonts w:hint="eastAsia"/>
          <w:color w:val="auto"/>
        </w:rPr>
        <w:t>（</w:t>
      </w:r>
      <w:r>
        <w:rPr>
          <w:rFonts w:hint="eastAsia"/>
          <w:color w:val="auto"/>
          <w:lang w:val="en-US" w:eastAsia="zh-CN"/>
        </w:rPr>
        <w:t>2</w:t>
      </w:r>
      <w:r>
        <w:rPr>
          <w:rFonts w:hint="eastAsia"/>
          <w:color w:val="auto"/>
        </w:rPr>
        <w:t>）地质构造</w:t>
      </w:r>
    </w:p>
    <w:p w14:paraId="73688B1B">
      <w:pPr>
        <w:ind w:firstLine="480"/>
        <w:rPr>
          <w:rFonts w:hint="eastAsia" w:eastAsia="宋体"/>
          <w:color w:val="auto"/>
          <w:lang w:val="en-US" w:eastAsia="zh-CN"/>
        </w:rPr>
      </w:pPr>
      <w:r>
        <w:rPr>
          <w:rFonts w:hint="eastAsia"/>
          <w:color w:val="auto"/>
        </w:rPr>
        <w:t>桥址区位于华南褶皱系之滇东南褶皱带。根据地质调绘及勘探成果资料，结合区域地质资料，盘龙河三号特大桥于DK37+331～DK37+865 穿越文麻断裂带</w:t>
      </w:r>
      <w:r>
        <w:rPr>
          <w:rFonts w:hint="eastAsia"/>
          <w:color w:val="auto"/>
          <w:lang w:val="en-US" w:eastAsia="zh-CN"/>
        </w:rPr>
        <w:t>。</w:t>
      </w:r>
    </w:p>
    <w:p w14:paraId="4AE88C4D">
      <w:pPr>
        <w:ind w:firstLine="480"/>
        <w:rPr>
          <w:rFonts w:hint="eastAsia"/>
          <w:color w:val="auto"/>
        </w:rPr>
      </w:pPr>
      <w:r>
        <w:rPr>
          <w:rFonts w:hint="eastAsia"/>
          <w:color w:val="auto"/>
        </w:rPr>
        <w:t>（3）不良地质及特殊岩土</w:t>
      </w:r>
    </w:p>
    <w:p w14:paraId="00555D07">
      <w:pPr>
        <w:ind w:firstLine="480"/>
        <w:rPr>
          <w:rFonts w:hint="eastAsia"/>
          <w:color w:val="auto"/>
        </w:rPr>
      </w:pPr>
      <w:r>
        <w:rPr>
          <w:rFonts w:hint="eastAsia"/>
          <w:color w:val="auto"/>
          <w:lang w:val="en-US" w:eastAsia="zh-CN"/>
        </w:rPr>
        <w:t>1）</w:t>
      </w:r>
      <w:r>
        <w:rPr>
          <w:rFonts w:hint="eastAsia"/>
          <w:color w:val="auto"/>
        </w:rPr>
        <w:t>不良地质</w:t>
      </w:r>
    </w:p>
    <w:p w14:paraId="3C4A8479">
      <w:pPr>
        <w:ind w:firstLine="480"/>
        <w:rPr>
          <w:rFonts w:hint="eastAsia"/>
          <w:color w:val="auto"/>
        </w:rPr>
      </w:pPr>
      <w:r>
        <w:rPr>
          <w:rFonts w:hint="eastAsia"/>
          <w:color w:val="auto"/>
        </w:rPr>
        <w:t>桥址区内主要不良地质为岩溶。地表基本被第四系地层覆盖，盘龙河大里程侧可见灰岩出露，岩溶形态多样，可见溶痕、溶隙、溶沟、石芽等，地下岩溶形态为溶槽、溶洞。从已勘察的钻孔中揭露情况来看，106个钻孔中揭露灰岩、揭露溶洞的钻孔有68个，见洞隙率64.15%，平均线岩溶率为9.34%，洞发育的规模大小不等，溶洞规模 0.4m～11.5m，层顶深度 0.5～46.5m，层顶标高 1259.94～1339.63m，层底深度1.3～49.8m，层底标高 1257.76～1337.13m，局部揭露多层串珠状溶洞，单孔揭露的最多溶洞个数为 5个，充填形式全充填、半充填和无充填三种形式，主要充填物为软塑黏土、灰岩碎块，揭露溶洞钻孔均为三叠系中统个旧组和三叠系下统永宁镇组灰岩，该地层内岩溶发育强度为强烈发育，奥陶系下统下木都底组灰岩未揭示明显溶蚀痕迹，岩溶发育程度为不发育。</w:t>
      </w:r>
    </w:p>
    <w:p w14:paraId="4F0F9EFA">
      <w:pPr>
        <w:ind w:firstLine="480"/>
        <w:rPr>
          <w:rFonts w:hint="eastAsia"/>
          <w:color w:val="auto"/>
          <w:lang w:val="zh-CN"/>
        </w:rPr>
      </w:pPr>
      <w:r>
        <w:rPr>
          <w:rFonts w:hint="eastAsia"/>
          <w:color w:val="auto"/>
        </w:rPr>
        <w:t>根据岩溶发育的规律，本线岩溶对工程影响的主要危害为溶洞和岩溶塌陷。溶洞对工程的危害较大，溶洞的大小和溶洞顶板的厚度对结构的稳定性具有较大的影响。岩溶塌陷形成机理主要以地下水波动引起的渗透潜蚀和真空吸蚀作用为主，抽取地下水是引起岩溶塌陷的主要原因</w:t>
      </w:r>
      <w:r>
        <w:rPr>
          <w:rFonts w:hint="eastAsia"/>
          <w:color w:val="auto"/>
          <w:lang w:val="zh-CN"/>
        </w:rPr>
        <w:t>。</w:t>
      </w:r>
    </w:p>
    <w:p w14:paraId="21E3ED0A">
      <w:pPr>
        <w:ind w:firstLine="480"/>
        <w:rPr>
          <w:rFonts w:hint="eastAsia"/>
          <w:color w:val="auto"/>
        </w:rPr>
      </w:pPr>
      <w:r>
        <w:rPr>
          <w:rFonts w:hint="eastAsia"/>
          <w:color w:val="auto"/>
          <w:lang w:val="en-US" w:eastAsia="zh-CN"/>
        </w:rPr>
        <w:t>2）</w:t>
      </w:r>
      <w:r>
        <w:rPr>
          <w:rFonts w:hint="eastAsia"/>
          <w:color w:val="auto"/>
        </w:rPr>
        <w:t>特殊岩土</w:t>
      </w:r>
    </w:p>
    <w:p w14:paraId="26E9F164">
      <w:pPr>
        <w:ind w:firstLine="480"/>
        <w:rPr>
          <w:rFonts w:hint="eastAsia"/>
          <w:color w:val="auto"/>
          <w:lang w:val="zh-CN"/>
        </w:rPr>
      </w:pPr>
      <w:r>
        <w:rPr>
          <w:rFonts w:hint="eastAsia"/>
          <w:color w:val="auto"/>
        </w:rPr>
        <w:t>盘龙河三号特大桥</w:t>
      </w:r>
      <w:r>
        <w:rPr>
          <w:rFonts w:hint="eastAsia"/>
          <w:color w:val="auto"/>
          <w:lang w:val="zh-CN"/>
        </w:rPr>
        <w:t>沿线特殊岩土主要为</w:t>
      </w:r>
      <w:r>
        <w:rPr>
          <w:rFonts w:hint="eastAsia"/>
          <w:color w:val="auto"/>
        </w:rPr>
        <w:t>人工填土、</w:t>
      </w:r>
      <w:r>
        <w:rPr>
          <w:rFonts w:hint="eastAsia"/>
          <w:color w:val="auto"/>
          <w:lang w:val="zh-CN"/>
        </w:rPr>
        <w:t>红黏土。</w:t>
      </w:r>
    </w:p>
    <w:p w14:paraId="70439B99">
      <w:pPr>
        <w:ind w:firstLine="480"/>
        <w:rPr>
          <w:rFonts w:hint="eastAsia"/>
          <w:color w:val="auto"/>
          <w:lang w:val="zh-CN"/>
        </w:rPr>
      </w:pPr>
      <w:r>
        <w:rPr>
          <w:rFonts w:hint="eastAsia"/>
          <w:color w:val="auto"/>
          <w:lang w:val="zh-CN"/>
        </w:rPr>
        <w:t>（1）人工填土：桥址区人工填土层主要为杂填土，主要为道路及房屋附近填土，分布在道路和房屋附近，厚度约为1.0～2.0m，填土具成分不一、厚薄多变、固结程度低、高压缩性等特征，易造成基坑局部坍塌及不均匀沉降，承台开挖过程中应注意加强支护。</w:t>
      </w:r>
    </w:p>
    <w:p w14:paraId="10263C47">
      <w:pPr>
        <w:ind w:firstLine="480"/>
        <w:rPr>
          <w:rFonts w:hint="eastAsia"/>
          <w:color w:val="auto"/>
          <w:lang w:val="zh-CN"/>
        </w:rPr>
      </w:pPr>
      <w:r>
        <w:rPr>
          <w:rFonts w:hint="eastAsia"/>
          <w:color w:val="auto"/>
          <w:lang w:val="zh-CN"/>
        </w:rPr>
        <w:t>（</w:t>
      </w:r>
      <w:r>
        <w:rPr>
          <w:rFonts w:hint="eastAsia"/>
          <w:color w:val="auto"/>
        </w:rPr>
        <w:t>2）</w:t>
      </w:r>
      <w:r>
        <w:rPr>
          <w:rFonts w:hint="eastAsia"/>
          <w:color w:val="auto"/>
          <w:lang w:val="zh-CN"/>
        </w:rPr>
        <w:t>红黏土：主要分布在DK37+227～DK37+346及DK37+870～DK38+253.35 里程范围内，为第四系残坡积层(Q4e1+d1)黏土，灰岩风化形成，厚 0.70～36.10m，红黏土具有遇水软化、失水收缩强烈、裂隙发育、易剥落，遇水膨胀等工程地质特征。根据试验成果，该层黏土具有弱膨胀性，遇水膨胀、失水收缩，地下水位以上的膨胀土对桩基成孔和承台基坑边坡有一定影响。</w:t>
      </w:r>
    </w:p>
    <w:p w14:paraId="56BB7C40">
      <w:pPr>
        <w:pStyle w:val="4"/>
        <w:ind w:firstLine="482"/>
        <w:rPr>
          <w:rFonts w:hint="eastAsia"/>
          <w:color w:val="auto"/>
        </w:rPr>
      </w:pPr>
      <w:bookmarkStart w:id="48" w:name="_Toc6157"/>
      <w:r>
        <w:rPr>
          <w:rFonts w:hint="eastAsia"/>
          <w:color w:val="auto"/>
        </w:rPr>
        <w:t>1.3.2 气象条件</w:t>
      </w:r>
      <w:bookmarkEnd w:id="48"/>
    </w:p>
    <w:p w14:paraId="719A919E">
      <w:pPr>
        <w:ind w:firstLine="480"/>
        <w:rPr>
          <w:rFonts w:hint="eastAsia"/>
          <w:color w:val="auto"/>
        </w:rPr>
      </w:pPr>
      <w:r>
        <w:rPr>
          <w:rFonts w:hint="eastAsia" w:ascii="宋体"/>
        </w:rPr>
        <w:t>盘龙河三号特大桥位于云贵高原南缘、北回归线附近，属低纬度亚热带季风气候。气候垂直分带明显，气温随海拔的升高而降低，基本呈线性递减，温度日差较大、年差较小，光热资源充足，冬无严寒，夏无酷暑，四季气候宜人。按照对铁路工程影响划分为温暖气候区</w:t>
      </w:r>
      <w:r>
        <w:rPr>
          <w:rFonts w:hint="eastAsia"/>
          <w:color w:val="auto"/>
        </w:rPr>
        <w:t>。</w:t>
      </w:r>
    </w:p>
    <w:p w14:paraId="51D14997">
      <w:pPr>
        <w:ind w:firstLine="0" w:firstLineChars="0"/>
        <w:jc w:val="center"/>
        <w:rPr>
          <w:rFonts w:hint="eastAsia"/>
          <w:color w:val="auto"/>
        </w:rPr>
      </w:pPr>
      <w:r>
        <w:rPr>
          <w:rFonts w:hint="eastAsia"/>
          <w:color w:val="auto"/>
        </w:rPr>
        <w:t>表1.3-1 年度气象特征值一览表</w:t>
      </w:r>
    </w:p>
    <w:tbl>
      <w:tblPr>
        <w:tblStyle w:val="28"/>
        <w:tblW w:w="0" w:type="auto"/>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Layout w:type="autofit"/>
        <w:tblCellMar>
          <w:top w:w="0" w:type="dxa"/>
          <w:left w:w="0" w:type="dxa"/>
          <w:bottom w:w="0" w:type="dxa"/>
          <w:right w:w="0" w:type="dxa"/>
        </w:tblCellMar>
      </w:tblPr>
      <w:tblGrid>
        <w:gridCol w:w="2689"/>
        <w:gridCol w:w="1559"/>
        <w:gridCol w:w="2977"/>
        <w:gridCol w:w="1268"/>
      </w:tblGrid>
      <w:tr w14:paraId="758E7C9B">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tblHeader/>
          <w:jc w:val="center"/>
        </w:trPr>
        <w:tc>
          <w:tcPr>
            <w:tcW w:w="8493"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50114F9">
            <w:pPr>
              <w:pStyle w:val="54"/>
              <w:rPr>
                <w:rFonts w:hint="eastAsia"/>
                <w:snapToGrid w:val="0"/>
                <w:color w:val="auto"/>
              </w:rPr>
            </w:pPr>
            <w:r>
              <w:rPr>
                <w:rFonts w:hint="eastAsia"/>
                <w:b/>
                <w:bCs w:val="0"/>
                <w:snapToGrid w:val="0"/>
                <w:color w:val="auto"/>
              </w:rPr>
              <w:t>主要气象特征值</w:t>
            </w:r>
          </w:p>
        </w:tc>
      </w:tr>
      <w:tr w14:paraId="04BE869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F3294">
            <w:pPr>
              <w:pStyle w:val="54"/>
              <w:ind w:firstLine="0" w:firstLineChars="0"/>
              <w:rPr>
                <w:rFonts w:hint="eastAsia" w:hAnsi="宋体" w:cs="宋体"/>
                <w:snapToGrid w:val="0"/>
                <w:color w:val="auto"/>
              </w:rPr>
            </w:pPr>
            <w:r>
              <w:rPr>
                <w:rFonts w:hint="eastAsia" w:ascii="宋体" w:hAnsi="宋体" w:cs="宋体"/>
                <w:snapToGrid w:val="0"/>
              </w:rPr>
              <w:t>年平均温度（℃）</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5443BC">
            <w:pPr>
              <w:pStyle w:val="54"/>
              <w:ind w:firstLine="0" w:firstLineChars="0"/>
              <w:rPr>
                <w:rFonts w:hint="eastAsia" w:hAnsi="宋体" w:cs="宋体"/>
                <w:snapToGrid w:val="0"/>
                <w:color w:val="auto"/>
              </w:rPr>
            </w:pPr>
            <w:r>
              <w:rPr>
                <w:rFonts w:hint="eastAsia" w:ascii="宋体" w:hAnsi="宋体" w:cs="宋体"/>
                <w:snapToGrid w:val="0"/>
              </w:rPr>
              <w:t>18.6</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56B779C2">
            <w:pPr>
              <w:pStyle w:val="54"/>
              <w:ind w:firstLine="0" w:firstLineChars="0"/>
              <w:rPr>
                <w:rFonts w:hint="eastAsia" w:hAnsi="宋体" w:cs="宋体"/>
                <w:snapToGrid w:val="0"/>
                <w:color w:val="auto"/>
              </w:rPr>
            </w:pPr>
            <w:r>
              <w:rPr>
                <w:rFonts w:hint="eastAsia" w:ascii="宋体" w:hAnsi="宋体" w:cs="宋体"/>
                <w:snapToGrid w:val="0"/>
              </w:rPr>
              <w:t>年平均蒸发量（mm）</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7C6E7FC">
            <w:pPr>
              <w:pStyle w:val="54"/>
              <w:ind w:firstLine="0" w:firstLineChars="0"/>
              <w:rPr>
                <w:rFonts w:hint="eastAsia" w:hAnsi="宋体" w:cs="宋体"/>
                <w:snapToGrid w:val="0"/>
                <w:color w:val="auto"/>
              </w:rPr>
            </w:pPr>
            <w:r>
              <w:rPr>
                <w:rFonts w:hint="eastAsia" w:ascii="宋体" w:hAnsi="宋体" w:cs="宋体"/>
                <w:snapToGrid w:val="0"/>
              </w:rPr>
              <w:t>1806.1</w:t>
            </w:r>
          </w:p>
        </w:tc>
      </w:tr>
      <w:tr w14:paraId="3A9CA6E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E12BE">
            <w:pPr>
              <w:pStyle w:val="54"/>
              <w:ind w:firstLine="0" w:firstLineChars="0"/>
              <w:rPr>
                <w:rFonts w:hint="eastAsia" w:hAnsi="宋体" w:cs="宋体"/>
                <w:snapToGrid w:val="0"/>
                <w:color w:val="auto"/>
              </w:rPr>
            </w:pPr>
            <w:r>
              <w:rPr>
                <w:rFonts w:hint="eastAsia" w:ascii="宋体" w:hAnsi="宋体" w:cs="宋体"/>
                <w:snapToGrid w:val="0"/>
              </w:rPr>
              <w:t>年最高气温（℃）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1CC3B">
            <w:pPr>
              <w:pStyle w:val="54"/>
              <w:ind w:firstLine="0" w:firstLineChars="0"/>
              <w:rPr>
                <w:rFonts w:hint="eastAsia" w:hAnsi="宋体" w:cs="宋体"/>
                <w:snapToGrid w:val="0"/>
                <w:color w:val="auto"/>
              </w:rPr>
            </w:pPr>
            <w:r>
              <w:rPr>
                <w:rFonts w:hint="eastAsia" w:ascii="宋体" w:hAnsi="宋体" w:cs="宋体"/>
                <w:snapToGrid w:val="0"/>
              </w:rPr>
              <w:t>36.3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06E4B8AC">
            <w:pPr>
              <w:pStyle w:val="54"/>
              <w:ind w:firstLine="0" w:firstLineChars="0"/>
              <w:rPr>
                <w:rFonts w:hint="eastAsia" w:hAnsi="宋体" w:cs="宋体"/>
                <w:snapToGrid w:val="0"/>
                <w:color w:val="auto"/>
              </w:rPr>
            </w:pPr>
            <w:r>
              <w:rPr>
                <w:rFonts w:hint="eastAsia" w:ascii="宋体" w:hAnsi="宋体" w:cs="宋体"/>
                <w:snapToGrid w:val="0"/>
              </w:rPr>
              <w:t>年平均风速（m/s）及主导风向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F8D4BAB">
            <w:pPr>
              <w:pStyle w:val="54"/>
              <w:ind w:firstLine="0" w:firstLineChars="0"/>
              <w:rPr>
                <w:rFonts w:hint="eastAsia" w:hAnsi="宋体" w:cs="宋体"/>
                <w:snapToGrid w:val="0"/>
                <w:color w:val="auto"/>
              </w:rPr>
            </w:pPr>
            <w:r>
              <w:rPr>
                <w:rFonts w:hint="eastAsia" w:ascii="宋体" w:hAnsi="宋体" w:cs="宋体"/>
                <w:snapToGrid w:val="0"/>
              </w:rPr>
              <w:t>1.8/ESE</w:t>
            </w:r>
          </w:p>
        </w:tc>
      </w:tr>
      <w:tr w14:paraId="3D36DC4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BC635">
            <w:pPr>
              <w:pStyle w:val="54"/>
              <w:ind w:firstLine="0" w:firstLineChars="0"/>
              <w:rPr>
                <w:rFonts w:hint="eastAsia" w:hAnsi="宋体" w:cs="宋体"/>
                <w:snapToGrid w:val="0"/>
                <w:color w:val="auto"/>
              </w:rPr>
            </w:pPr>
            <w:r>
              <w:rPr>
                <w:rFonts w:hint="eastAsia" w:ascii="宋体" w:hAnsi="宋体" w:cs="宋体"/>
                <w:snapToGrid w:val="0"/>
              </w:rPr>
              <w:t>年最低气温（℃）</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AFB460">
            <w:pPr>
              <w:pStyle w:val="54"/>
              <w:ind w:firstLine="0" w:firstLineChars="0"/>
              <w:rPr>
                <w:rFonts w:hint="eastAsia" w:hAnsi="宋体" w:cs="宋体"/>
                <w:snapToGrid w:val="0"/>
                <w:color w:val="auto"/>
              </w:rPr>
            </w:pPr>
            <w:r>
              <w:rPr>
                <w:rFonts w:hint="eastAsia" w:ascii="宋体" w:hAnsi="宋体" w:cs="宋体"/>
                <w:snapToGrid w:val="0"/>
              </w:rPr>
              <w:t>-2.3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4BA7878A">
            <w:pPr>
              <w:pStyle w:val="54"/>
              <w:ind w:firstLine="0" w:firstLineChars="0"/>
              <w:rPr>
                <w:rFonts w:hint="eastAsia" w:hAnsi="宋体" w:cs="宋体"/>
                <w:snapToGrid w:val="0"/>
                <w:color w:val="auto"/>
              </w:rPr>
            </w:pPr>
            <w:r>
              <w:rPr>
                <w:rFonts w:hint="eastAsia" w:ascii="宋体" w:hAnsi="宋体" w:cs="宋体"/>
                <w:snapToGrid w:val="0"/>
              </w:rPr>
              <w:t>最大风速（m/s）及其风向</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507899A">
            <w:pPr>
              <w:pStyle w:val="54"/>
              <w:ind w:firstLine="0" w:firstLineChars="0"/>
              <w:rPr>
                <w:rFonts w:hint="eastAsia" w:hAnsi="宋体" w:cs="宋体"/>
                <w:snapToGrid w:val="0"/>
                <w:color w:val="auto"/>
              </w:rPr>
            </w:pPr>
            <w:r>
              <w:rPr>
                <w:rFonts w:hint="eastAsia" w:ascii="宋体" w:hAnsi="宋体" w:cs="宋体"/>
                <w:snapToGrid w:val="0"/>
              </w:rPr>
              <w:t>13.2/WNW</w:t>
            </w:r>
          </w:p>
        </w:tc>
      </w:tr>
      <w:tr w14:paraId="75D6B69F">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AE131E">
            <w:pPr>
              <w:pStyle w:val="54"/>
              <w:ind w:firstLine="0" w:firstLineChars="0"/>
              <w:rPr>
                <w:rFonts w:hint="eastAsia" w:hAnsi="宋体" w:cs="宋体"/>
                <w:snapToGrid w:val="0"/>
                <w:color w:val="auto"/>
              </w:rPr>
            </w:pPr>
            <w:r>
              <w:rPr>
                <w:rFonts w:hint="eastAsia" w:ascii="宋体" w:hAnsi="宋体" w:cs="宋体"/>
                <w:snapToGrid w:val="0"/>
              </w:rPr>
              <w:t>年平均降雨量（mm）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2058FD">
            <w:pPr>
              <w:pStyle w:val="54"/>
              <w:ind w:firstLine="0" w:firstLineChars="0"/>
              <w:rPr>
                <w:rFonts w:hint="eastAsia" w:hAnsi="宋体" w:cs="宋体"/>
                <w:snapToGrid w:val="0"/>
                <w:color w:val="auto"/>
              </w:rPr>
            </w:pPr>
            <w:r>
              <w:rPr>
                <w:rFonts w:hint="eastAsia" w:ascii="宋体" w:hAnsi="宋体" w:cs="宋体"/>
                <w:snapToGrid w:val="0"/>
              </w:rPr>
              <w:t>1029.9</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D02BBC0">
            <w:pPr>
              <w:pStyle w:val="54"/>
              <w:ind w:firstLine="0" w:firstLineChars="0"/>
              <w:rPr>
                <w:rFonts w:hint="eastAsia" w:hAnsi="宋体" w:cs="宋体"/>
                <w:snapToGrid w:val="0"/>
                <w:color w:val="auto"/>
              </w:rPr>
            </w:pPr>
            <w:r>
              <w:rPr>
                <w:rFonts w:hint="eastAsia" w:ascii="宋体" w:hAnsi="宋体" w:cs="宋体"/>
                <w:snapToGrid w:val="0"/>
              </w:rPr>
              <w:t>平均雷暴日数（天）</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CE9866D">
            <w:pPr>
              <w:pStyle w:val="54"/>
              <w:ind w:firstLine="0" w:firstLineChars="0"/>
              <w:rPr>
                <w:rFonts w:hint="eastAsia" w:hAnsi="宋体" w:cs="宋体"/>
                <w:snapToGrid w:val="0"/>
                <w:color w:val="auto"/>
              </w:rPr>
            </w:pPr>
            <w:r>
              <w:rPr>
                <w:rFonts w:hint="eastAsia" w:ascii="宋体" w:hAnsi="宋体" w:cs="宋体"/>
                <w:snapToGrid w:val="0"/>
              </w:rPr>
              <w:t>50</w:t>
            </w:r>
          </w:p>
        </w:tc>
      </w:tr>
      <w:tr w14:paraId="3319D428">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510" w:hRule="atLeast"/>
          <w:jc w:val="cent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8E65A">
            <w:pPr>
              <w:pStyle w:val="54"/>
              <w:ind w:firstLine="0" w:firstLineChars="0"/>
              <w:rPr>
                <w:rFonts w:hint="eastAsia" w:hAnsi="宋体" w:cs="宋体"/>
                <w:snapToGrid w:val="0"/>
                <w:color w:val="auto"/>
              </w:rPr>
            </w:pPr>
            <w:r>
              <w:rPr>
                <w:rFonts w:hint="eastAsia" w:ascii="宋体" w:hAnsi="宋体" w:cs="宋体"/>
                <w:snapToGrid w:val="0"/>
              </w:rPr>
              <w:t>年最大降雨量（mm）</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9D673">
            <w:pPr>
              <w:pStyle w:val="54"/>
              <w:ind w:firstLine="0" w:firstLineChars="0"/>
              <w:rPr>
                <w:rFonts w:hint="eastAsia" w:hAnsi="宋体" w:cs="宋体"/>
                <w:snapToGrid w:val="0"/>
                <w:color w:val="auto"/>
              </w:rPr>
            </w:pPr>
            <w:r>
              <w:rPr>
                <w:rFonts w:hint="eastAsia" w:ascii="宋体" w:hAnsi="宋体" w:cs="宋体"/>
                <w:snapToGrid w:val="0"/>
              </w:rPr>
              <w:t>1184.3</w:t>
            </w:r>
          </w:p>
        </w:tc>
        <w:tc>
          <w:tcPr>
            <w:tcW w:w="2977" w:type="dxa"/>
            <w:tcBorders>
              <w:top w:val="single" w:color="auto" w:sz="4" w:space="0"/>
              <w:left w:val="single" w:color="auto" w:sz="4" w:space="0"/>
              <w:bottom w:val="single" w:color="auto" w:sz="4" w:space="0"/>
              <w:right w:val="single" w:color="auto" w:sz="4" w:space="0"/>
            </w:tcBorders>
            <w:shd w:val="clear" w:color="auto" w:fill="auto"/>
            <w:vAlign w:val="center"/>
          </w:tcPr>
          <w:p w14:paraId="1744C5C2">
            <w:pPr>
              <w:pStyle w:val="54"/>
              <w:ind w:firstLine="0" w:firstLineChars="0"/>
              <w:rPr>
                <w:rFonts w:hint="eastAsia" w:hAnsi="宋体" w:cs="宋体"/>
                <w:snapToGrid w:val="0"/>
                <w:color w:val="auto"/>
              </w:rPr>
            </w:pPr>
            <w:r>
              <w:rPr>
                <w:rFonts w:hint="eastAsia" w:ascii="宋体" w:hAnsi="宋体" w:cs="宋体"/>
                <w:snapToGrid w:val="0"/>
              </w:rPr>
              <w:t>雨期</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4635DFF">
            <w:pPr>
              <w:pStyle w:val="54"/>
              <w:ind w:firstLine="0" w:firstLineChars="0"/>
              <w:rPr>
                <w:rFonts w:hint="eastAsia" w:hAnsi="宋体" w:cs="宋体"/>
                <w:snapToGrid w:val="0"/>
                <w:color w:val="auto"/>
              </w:rPr>
            </w:pPr>
            <w:r>
              <w:rPr>
                <w:rFonts w:hint="eastAsia" w:ascii="宋体" w:hAnsi="宋体" w:cs="宋体"/>
                <w:snapToGrid w:val="0"/>
              </w:rPr>
              <w:t>5~10月份</w:t>
            </w:r>
          </w:p>
        </w:tc>
      </w:tr>
    </w:tbl>
    <w:p w14:paraId="00ECD82E">
      <w:pPr>
        <w:pStyle w:val="4"/>
        <w:ind w:firstLine="482"/>
        <w:rPr>
          <w:rFonts w:hint="eastAsia"/>
          <w:color w:val="auto"/>
        </w:rPr>
      </w:pPr>
      <w:bookmarkStart w:id="49" w:name="_Toc28761"/>
      <w:r>
        <w:rPr>
          <w:rFonts w:hint="eastAsia"/>
          <w:color w:val="auto"/>
        </w:rPr>
        <w:t>1.3.3水文情况</w:t>
      </w:r>
      <w:bookmarkEnd w:id="49"/>
    </w:p>
    <w:p w14:paraId="192E016E">
      <w:pPr>
        <w:ind w:firstLine="480"/>
        <w:rPr>
          <w:rFonts w:hint="eastAsia"/>
          <w:color w:val="auto"/>
        </w:rPr>
      </w:pPr>
      <w:r>
        <w:rPr>
          <w:rFonts w:hint="eastAsia"/>
          <w:color w:val="auto"/>
        </w:rPr>
        <w:t>（1）地表水</w:t>
      </w:r>
    </w:p>
    <w:p w14:paraId="4881DF23">
      <w:pPr>
        <w:ind w:firstLine="560"/>
        <w:rPr>
          <w:rFonts w:hint="eastAsia" w:ascii="宋体"/>
        </w:rPr>
      </w:pPr>
      <w:r>
        <w:rPr>
          <w:rFonts w:hint="eastAsia" w:ascii="宋体"/>
        </w:rPr>
        <w:t>桥址区存在地表水，在里程DK37+726处跨越盘龙河，水面宽度越12m～15m，流速约2.0m/s。</w:t>
      </w:r>
    </w:p>
    <w:p w14:paraId="4493419A">
      <w:pPr>
        <w:ind w:firstLine="480"/>
        <w:rPr>
          <w:rFonts w:hint="eastAsia"/>
          <w:color w:val="auto"/>
        </w:rPr>
      </w:pPr>
      <w:r>
        <w:rPr>
          <w:rFonts w:hint="eastAsia"/>
          <w:color w:val="auto"/>
        </w:rPr>
        <w:t>（2）地下水</w:t>
      </w:r>
    </w:p>
    <w:p w14:paraId="604890BD">
      <w:pPr>
        <w:ind w:firstLine="480"/>
        <w:rPr>
          <w:rFonts w:hint="eastAsia"/>
          <w:color w:val="auto"/>
        </w:rPr>
      </w:pPr>
      <w:r>
        <w:rPr>
          <w:rFonts w:hint="eastAsia" w:ascii="宋体"/>
        </w:rPr>
        <w:t>地下水类型主要有</w:t>
      </w:r>
      <w:r>
        <w:rPr>
          <w:rFonts w:hint="eastAsia" w:ascii="宋体"/>
          <w:szCs w:val="28"/>
          <w:lang w:bidi="ar"/>
        </w:rPr>
        <w:t>第四系孔隙水、基岩裂隙水及碳酸盐岩类岩溶水</w:t>
      </w:r>
      <w:r>
        <w:rPr>
          <w:rFonts w:hint="eastAsia"/>
          <w:color w:val="auto"/>
        </w:rPr>
        <w:t>。</w:t>
      </w:r>
    </w:p>
    <w:p w14:paraId="5AE59872">
      <w:pPr>
        <w:ind w:firstLine="480"/>
        <w:rPr>
          <w:rFonts w:hint="eastAsia"/>
          <w:color w:val="auto"/>
        </w:rPr>
      </w:pPr>
      <w:r>
        <w:rPr>
          <w:rFonts w:hint="eastAsia"/>
          <w:color w:val="auto"/>
        </w:rPr>
        <w:t>（3）环境水、土对混凝土的侵蚀性判定</w:t>
      </w:r>
    </w:p>
    <w:p w14:paraId="35163BEF">
      <w:pPr>
        <w:ind w:firstLine="480"/>
        <w:rPr>
          <w:rFonts w:hint="eastAsia"/>
          <w:color w:val="auto"/>
        </w:rPr>
      </w:pPr>
      <w:r>
        <w:rPr>
          <w:rFonts w:hint="eastAsia"/>
        </w:rPr>
        <w:t>根据工点地下水侵蚀性分析结论，根据《铁路混凝土结构耐久性设计规范》(TB10005-2010)判定，桥址区内地下水混凝土结构无化学、氯盐侵蚀，无盐类结晶破坏作用</w:t>
      </w:r>
      <w:r>
        <w:rPr>
          <w:rFonts w:hint="eastAsia"/>
          <w:color w:val="auto"/>
        </w:rPr>
        <w:t>。</w:t>
      </w:r>
    </w:p>
    <w:p w14:paraId="31061698">
      <w:pPr>
        <w:pStyle w:val="2"/>
        <w:rPr>
          <w:rFonts w:hint="eastAsia"/>
          <w:color w:val="auto"/>
        </w:rPr>
      </w:pPr>
      <w:bookmarkStart w:id="50" w:name="_Toc30637"/>
      <w:r>
        <w:rPr>
          <w:rFonts w:hint="eastAsia"/>
          <w:color w:val="auto"/>
        </w:rPr>
        <w:t xml:space="preserve">2 </w:t>
      </w:r>
      <w:r>
        <w:rPr>
          <w:color w:val="auto"/>
        </w:rPr>
        <w:t>编制依据及范围</w:t>
      </w:r>
      <w:bookmarkEnd w:id="50"/>
    </w:p>
    <w:p w14:paraId="519D85BB">
      <w:pPr>
        <w:pStyle w:val="3"/>
        <w:ind w:left="480"/>
        <w:rPr>
          <w:rFonts w:hint="eastAsia"/>
          <w:color w:val="auto"/>
        </w:rPr>
      </w:pPr>
      <w:bookmarkStart w:id="51" w:name="_Toc3703"/>
      <w:r>
        <w:rPr>
          <w:color w:val="auto"/>
        </w:rPr>
        <w:t>2.1编制依据</w:t>
      </w:r>
      <w:bookmarkEnd w:id="51"/>
    </w:p>
    <w:p w14:paraId="136243D1">
      <w:pPr>
        <w:ind w:firstLine="480"/>
        <w:rPr>
          <w:rFonts w:hint="eastAsia"/>
          <w:color w:val="auto"/>
        </w:rPr>
      </w:pPr>
      <w:r>
        <w:rPr>
          <w:rFonts w:hint="eastAsia"/>
          <w:color w:val="auto"/>
        </w:rPr>
        <w:t>[1]《中华人民共和国特种设备安全法》（主席令第四号）</w:t>
      </w:r>
    </w:p>
    <w:p w14:paraId="39B855DE">
      <w:pPr>
        <w:ind w:firstLine="480"/>
        <w:rPr>
          <w:rFonts w:hint="eastAsia"/>
          <w:color w:val="auto"/>
        </w:rPr>
      </w:pPr>
      <w:r>
        <w:rPr>
          <w:rFonts w:hint="eastAsia"/>
          <w:color w:val="auto"/>
        </w:rPr>
        <w:t>[2]《中华人民共和国安全生产法》（中华人民共和国主席令第八十八号）</w:t>
      </w:r>
    </w:p>
    <w:p w14:paraId="4DEC5FE8">
      <w:pPr>
        <w:ind w:firstLine="480"/>
        <w:rPr>
          <w:rFonts w:hint="eastAsia"/>
          <w:color w:val="auto"/>
        </w:rPr>
      </w:pPr>
      <w:r>
        <w:rPr>
          <w:rFonts w:hint="eastAsia"/>
          <w:color w:val="auto"/>
        </w:rPr>
        <w:t>[3]《建设工程安全生产管理条例》（国务院令第393号）</w:t>
      </w:r>
    </w:p>
    <w:p w14:paraId="3EB47980">
      <w:pPr>
        <w:ind w:firstLine="480"/>
        <w:rPr>
          <w:rFonts w:hint="eastAsia"/>
          <w:color w:val="auto"/>
        </w:rPr>
      </w:pPr>
      <w:r>
        <w:rPr>
          <w:rFonts w:hint="eastAsia"/>
          <w:color w:val="auto"/>
        </w:rPr>
        <w:t>[4]《特种设备安全监察条例》（国务院令第549号）</w:t>
      </w:r>
    </w:p>
    <w:p w14:paraId="464BCC45">
      <w:pPr>
        <w:ind w:firstLine="480"/>
        <w:rPr>
          <w:rFonts w:hint="eastAsia"/>
          <w:color w:val="auto"/>
        </w:rPr>
      </w:pPr>
      <w:r>
        <w:rPr>
          <w:rFonts w:hint="eastAsia"/>
          <w:color w:val="auto"/>
        </w:rPr>
        <w:t>[5]《特种设备使用管理规则》（TSG 08-2017）</w:t>
      </w:r>
    </w:p>
    <w:p w14:paraId="4969EF24">
      <w:pPr>
        <w:ind w:firstLine="480"/>
        <w:rPr>
          <w:rFonts w:hint="eastAsia"/>
          <w:color w:val="auto"/>
        </w:rPr>
      </w:pPr>
      <w:r>
        <w:rPr>
          <w:rFonts w:hint="eastAsia"/>
          <w:color w:val="auto"/>
        </w:rPr>
        <w:t>[6]《危险性较大的分部分项工程安全管理规定》(建设部令第37号)</w:t>
      </w:r>
    </w:p>
    <w:p w14:paraId="7699F835">
      <w:pPr>
        <w:ind w:firstLine="480"/>
        <w:rPr>
          <w:rFonts w:hint="eastAsia"/>
          <w:color w:val="auto"/>
        </w:rPr>
      </w:pPr>
      <w:r>
        <w:rPr>
          <w:rFonts w:hint="eastAsia"/>
          <w:color w:val="auto"/>
        </w:rPr>
        <w:t>[7]《住房城乡建设部办公厅关于实施《危险性较大的分部分项工程安全管理规定》有关问题的通知》（建办质〔2018〕31号）</w:t>
      </w:r>
    </w:p>
    <w:p w14:paraId="7CB5B685">
      <w:pPr>
        <w:ind w:firstLine="480"/>
        <w:rPr>
          <w:rFonts w:hint="eastAsia"/>
          <w:color w:val="auto"/>
        </w:rPr>
      </w:pPr>
      <w:r>
        <w:rPr>
          <w:rFonts w:hint="eastAsia"/>
          <w:color w:val="auto"/>
        </w:rPr>
        <w:t>[8]《住房和城乡建设部办公厅关于印发危险性较大的分部分项工程专项施工方案编制指南的通知》（建办质〔2022〕48号）</w:t>
      </w:r>
    </w:p>
    <w:p w14:paraId="169E5BC4">
      <w:pPr>
        <w:ind w:firstLine="480"/>
        <w:rPr>
          <w:rFonts w:hint="eastAsia"/>
          <w:color w:val="auto"/>
        </w:rPr>
      </w:pPr>
      <w:r>
        <w:rPr>
          <w:rFonts w:hint="eastAsia"/>
          <w:color w:val="auto"/>
        </w:rPr>
        <w:t>[9]《建筑起重机械安全监督管理规定》（建设部第166号令）</w:t>
      </w:r>
    </w:p>
    <w:p w14:paraId="479A439F">
      <w:pPr>
        <w:ind w:firstLine="480"/>
        <w:rPr>
          <w:rFonts w:hint="eastAsia"/>
          <w:color w:val="auto"/>
        </w:rPr>
      </w:pPr>
      <w:r>
        <w:rPr>
          <w:rFonts w:hint="eastAsia"/>
          <w:color w:val="auto"/>
        </w:rPr>
        <w:t>[10]《建筑机械使用安全技术规程》（JGJ33-2012）</w:t>
      </w:r>
    </w:p>
    <w:p w14:paraId="014BE25C">
      <w:pPr>
        <w:ind w:firstLine="480"/>
        <w:rPr>
          <w:rFonts w:hint="eastAsia"/>
          <w:color w:val="auto"/>
        </w:rPr>
      </w:pPr>
      <w:r>
        <w:rPr>
          <w:rFonts w:hint="eastAsia"/>
          <w:color w:val="auto"/>
        </w:rPr>
        <w:t>[11]《塔式起重机》（GB/T5031-2019）</w:t>
      </w:r>
    </w:p>
    <w:p w14:paraId="68B809B7">
      <w:pPr>
        <w:ind w:firstLine="480"/>
        <w:rPr>
          <w:rFonts w:hint="eastAsia"/>
          <w:color w:val="auto"/>
        </w:rPr>
      </w:pPr>
      <w:r>
        <w:rPr>
          <w:rFonts w:hint="eastAsia"/>
          <w:color w:val="auto"/>
        </w:rPr>
        <w:t>[12]《塔式起重机混凝土基础工程技术标准》（JGJ/T187-2019）</w:t>
      </w:r>
    </w:p>
    <w:p w14:paraId="71F6A05D">
      <w:pPr>
        <w:ind w:firstLine="480"/>
        <w:rPr>
          <w:rFonts w:hint="eastAsia"/>
          <w:color w:val="auto"/>
        </w:rPr>
      </w:pPr>
      <w:r>
        <w:rPr>
          <w:rFonts w:hint="eastAsia"/>
          <w:color w:val="auto"/>
        </w:rPr>
        <w:t>[13]《塔式起重机安装、拆卸与爬升规则》（GB/T26471-2023）</w:t>
      </w:r>
    </w:p>
    <w:p w14:paraId="2492CB62">
      <w:pPr>
        <w:ind w:firstLine="480"/>
        <w:rPr>
          <w:rFonts w:hint="eastAsia"/>
          <w:color w:val="auto"/>
        </w:rPr>
      </w:pPr>
      <w:r>
        <w:rPr>
          <w:rFonts w:hint="eastAsia"/>
          <w:color w:val="auto"/>
        </w:rPr>
        <w:t>[14]《塔式起重机安全评估规程》（GB/T33080-2016）</w:t>
      </w:r>
    </w:p>
    <w:p w14:paraId="5055FEB3">
      <w:pPr>
        <w:ind w:firstLine="480"/>
        <w:rPr>
          <w:rFonts w:hint="eastAsia"/>
          <w:color w:val="auto"/>
        </w:rPr>
      </w:pPr>
      <w:r>
        <w:rPr>
          <w:rFonts w:hint="eastAsia"/>
          <w:color w:val="auto"/>
        </w:rPr>
        <w:t>[15]《建筑施工塔式起重机安装、使用、拆卸安全技术规程》（JGJ196-2010）</w:t>
      </w:r>
    </w:p>
    <w:p w14:paraId="4FB0D44F">
      <w:pPr>
        <w:ind w:firstLine="480"/>
        <w:rPr>
          <w:rFonts w:hint="eastAsia"/>
          <w:color w:val="auto"/>
        </w:rPr>
      </w:pPr>
      <w:r>
        <w:rPr>
          <w:rFonts w:hint="eastAsia"/>
          <w:color w:val="auto"/>
        </w:rPr>
        <w:t>[16]《塔式起重机安全规程》（GB5144-20</w:t>
      </w:r>
      <w:r>
        <w:rPr>
          <w:rFonts w:hint="eastAsia"/>
          <w:color w:val="auto"/>
          <w:lang w:val="en-US" w:eastAsia="zh-CN"/>
        </w:rPr>
        <w:t>06</w:t>
      </w:r>
      <w:r>
        <w:rPr>
          <w:rFonts w:hint="eastAsia"/>
          <w:color w:val="auto"/>
        </w:rPr>
        <w:t>）</w:t>
      </w:r>
    </w:p>
    <w:p w14:paraId="7256267B">
      <w:pPr>
        <w:ind w:firstLine="480"/>
        <w:rPr>
          <w:rFonts w:hint="eastAsia"/>
          <w:color w:val="auto"/>
        </w:rPr>
      </w:pPr>
      <w:r>
        <w:rPr>
          <w:rFonts w:hint="eastAsia"/>
          <w:color w:val="auto"/>
        </w:rPr>
        <w:t>[17]《建筑施工安全检查标准》（JGJ59-2011）</w:t>
      </w:r>
    </w:p>
    <w:p w14:paraId="187F24EB">
      <w:pPr>
        <w:ind w:firstLine="480"/>
        <w:rPr>
          <w:rFonts w:hint="eastAsia"/>
          <w:color w:val="auto"/>
        </w:rPr>
      </w:pPr>
      <w:r>
        <w:rPr>
          <w:rFonts w:hint="eastAsia"/>
          <w:color w:val="auto"/>
        </w:rPr>
        <w:t>[18]《施工现场临时用电安全技术规范》</w:t>
      </w:r>
      <w:bookmarkStart w:id="52" w:name="OLE_LINK10"/>
      <w:r>
        <w:rPr>
          <w:rFonts w:hint="eastAsia"/>
          <w:color w:val="auto"/>
        </w:rPr>
        <w:t>（JGJ/T 46-2024）</w:t>
      </w:r>
      <w:bookmarkEnd w:id="52"/>
    </w:p>
    <w:p w14:paraId="52735CC6">
      <w:pPr>
        <w:ind w:firstLine="480"/>
        <w:rPr>
          <w:rFonts w:hint="eastAsia"/>
          <w:color w:val="auto"/>
        </w:rPr>
      </w:pPr>
      <w:r>
        <w:rPr>
          <w:rFonts w:hint="eastAsia"/>
          <w:color w:val="auto"/>
        </w:rPr>
        <w:t>[19]《建筑施工高处作业安全技术规范》（JGJ80-2016）</w:t>
      </w:r>
    </w:p>
    <w:p w14:paraId="17DA7C84">
      <w:pPr>
        <w:ind w:firstLine="480"/>
        <w:rPr>
          <w:rFonts w:hint="eastAsia"/>
          <w:color w:val="auto"/>
        </w:rPr>
      </w:pPr>
      <w:r>
        <w:rPr>
          <w:rFonts w:hint="eastAsia"/>
          <w:color w:val="auto"/>
        </w:rPr>
        <w:t xml:space="preserve">[20]《建筑施工起重吊装安全技术规范》（JGJ276-2012） </w:t>
      </w:r>
    </w:p>
    <w:p w14:paraId="4279E733">
      <w:pPr>
        <w:ind w:firstLine="480"/>
        <w:rPr>
          <w:rFonts w:hint="eastAsia"/>
          <w:color w:val="auto"/>
        </w:rPr>
      </w:pPr>
      <w:r>
        <w:rPr>
          <w:rFonts w:hint="eastAsia"/>
          <w:color w:val="auto"/>
        </w:rPr>
        <w:t>[21]《起重机钢丝绳保养、维护、检验和报废》（GB/T5972-2016）</w:t>
      </w:r>
    </w:p>
    <w:p w14:paraId="297378B1">
      <w:pPr>
        <w:ind w:firstLine="480"/>
        <w:rPr>
          <w:rFonts w:hint="eastAsia"/>
          <w:color w:val="auto"/>
        </w:rPr>
      </w:pPr>
      <w:r>
        <w:rPr>
          <w:rFonts w:hint="eastAsia"/>
          <w:color w:val="auto"/>
        </w:rPr>
        <w:t>[22]《一般用途钢丝绳吊索特性和技术条件》(GB/T 16762-2020 )</w:t>
      </w:r>
    </w:p>
    <w:p w14:paraId="502E8CDD">
      <w:pPr>
        <w:ind w:firstLine="480"/>
        <w:rPr>
          <w:rFonts w:hint="eastAsia"/>
          <w:color w:val="auto"/>
        </w:rPr>
      </w:pPr>
      <w:r>
        <w:rPr>
          <w:rFonts w:hint="eastAsia"/>
          <w:color w:val="auto"/>
        </w:rPr>
        <w:t xml:space="preserve">[23]《钢丝绳通用技术条件》(GB/T 20118-2017 ) </w:t>
      </w:r>
    </w:p>
    <w:p w14:paraId="108316F3">
      <w:pPr>
        <w:ind w:firstLine="480"/>
        <w:rPr>
          <w:rFonts w:hint="eastAsia" w:ascii="宋体" w:hAnsi="宋体" w:eastAsia="宋体"/>
          <w:color w:val="auto"/>
        </w:rPr>
      </w:pPr>
      <w:r>
        <w:rPr>
          <w:rFonts w:hint="eastAsia" w:ascii="宋体" w:hAnsi="宋体" w:eastAsia="宋体"/>
          <w:color w:val="auto"/>
        </w:rPr>
        <w:t>[2</w:t>
      </w:r>
      <w:r>
        <w:rPr>
          <w:rFonts w:hint="eastAsia" w:ascii="宋体" w:hAnsi="宋体" w:eastAsia="宋体"/>
          <w:color w:val="auto"/>
          <w:lang w:val="en-US" w:eastAsia="zh-CN"/>
        </w:rPr>
        <w:t>4</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6015</w:t>
      </w:r>
      <w:r>
        <w:rPr>
          <w:rFonts w:hint="eastAsia"/>
          <w:color w:val="auto"/>
          <w:lang w:val="en-US" w:eastAsia="zh-CN"/>
        </w:rPr>
        <w:t>A</w:t>
      </w:r>
      <w:r>
        <w:rPr>
          <w:rFonts w:hint="eastAsia" w:ascii="宋体" w:hAnsi="宋体" w:eastAsia="宋体"/>
          <w:color w:val="auto"/>
        </w:rPr>
        <w:t>-8</w:t>
      </w:r>
      <w:r>
        <w:rPr>
          <w:rFonts w:hint="eastAsia"/>
          <w:color w:val="auto"/>
          <w:lang w:val="en-US" w:eastAsia="zh-CN"/>
        </w:rPr>
        <w:t>S</w:t>
      </w:r>
      <w:r>
        <w:rPr>
          <w:rFonts w:hint="eastAsia" w:ascii="宋体" w:hAnsi="宋体" w:eastAsia="宋体"/>
          <w:color w:val="auto"/>
        </w:rPr>
        <w:t>塔式起重机安装使用说明》</w:t>
      </w:r>
    </w:p>
    <w:p w14:paraId="60A52846">
      <w:pPr>
        <w:ind w:firstLine="480"/>
        <w:rPr>
          <w:rFonts w:hint="eastAsia" w:ascii="宋体" w:hAnsi="宋体" w:eastAsia="宋体"/>
          <w:color w:val="auto"/>
        </w:rPr>
      </w:pPr>
      <w:r>
        <w:rPr>
          <w:rFonts w:hint="eastAsia" w:ascii="宋体" w:hAnsi="宋体" w:eastAsia="宋体"/>
          <w:color w:val="auto"/>
        </w:rPr>
        <w:t>[2</w:t>
      </w:r>
      <w:r>
        <w:rPr>
          <w:rFonts w:hint="eastAsia"/>
          <w:color w:val="auto"/>
          <w:lang w:val="en-US" w:eastAsia="zh-CN"/>
        </w:rPr>
        <w:t>5</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w:t>
      </w:r>
      <w:r>
        <w:rPr>
          <w:rFonts w:hint="eastAsia"/>
          <w:color w:val="auto"/>
          <w:lang w:val="en-US" w:eastAsia="zh-CN"/>
        </w:rPr>
        <w:t>5</w:t>
      </w:r>
      <w:r>
        <w:rPr>
          <w:rFonts w:hint="eastAsia" w:ascii="宋体" w:hAnsi="宋体" w:eastAsia="宋体"/>
          <w:color w:val="auto"/>
        </w:rPr>
        <w:t>15</w:t>
      </w:r>
      <w:r>
        <w:rPr>
          <w:rFonts w:hint="eastAsia"/>
          <w:color w:val="auto"/>
          <w:lang w:val="en-US" w:eastAsia="zh-CN"/>
        </w:rPr>
        <w:t>D</w:t>
      </w:r>
      <w:r>
        <w:rPr>
          <w:rFonts w:hint="eastAsia" w:ascii="宋体" w:hAnsi="宋体" w:eastAsia="宋体"/>
          <w:color w:val="auto"/>
        </w:rPr>
        <w:t>-</w:t>
      </w:r>
      <w:r>
        <w:rPr>
          <w:rFonts w:hint="eastAsia"/>
          <w:color w:val="auto"/>
          <w:lang w:val="en-US" w:eastAsia="zh-CN"/>
        </w:rPr>
        <w:t>10S</w:t>
      </w:r>
      <w:r>
        <w:rPr>
          <w:rFonts w:hint="eastAsia" w:ascii="宋体" w:hAnsi="宋体" w:eastAsia="宋体"/>
          <w:color w:val="auto"/>
        </w:rPr>
        <w:t>塔式起重机安装使用说明》</w:t>
      </w:r>
    </w:p>
    <w:p w14:paraId="02B61592">
      <w:pPr>
        <w:ind w:firstLine="480"/>
        <w:rPr>
          <w:rFonts w:hint="eastAsia" w:ascii="宋体" w:hAnsi="宋体" w:eastAsia="宋体"/>
          <w:color w:val="auto"/>
        </w:rPr>
      </w:pPr>
      <w:r>
        <w:rPr>
          <w:rFonts w:hint="eastAsia" w:ascii="宋体" w:hAnsi="宋体" w:eastAsia="宋体"/>
          <w:color w:val="auto"/>
        </w:rPr>
        <w:t>[2</w:t>
      </w:r>
      <w:r>
        <w:rPr>
          <w:rFonts w:hint="eastAsia"/>
          <w:color w:val="auto"/>
          <w:lang w:val="en-US" w:eastAsia="zh-CN"/>
        </w:rPr>
        <w:t>6</w:t>
      </w:r>
      <w:r>
        <w:rPr>
          <w:rFonts w:hint="eastAsia" w:ascii="宋体" w:hAnsi="宋体" w:eastAsia="宋体"/>
          <w:color w:val="auto"/>
        </w:rPr>
        <w:t>]《</w:t>
      </w:r>
      <w:r>
        <w:rPr>
          <w:rFonts w:hint="eastAsia"/>
          <w:color w:val="auto"/>
          <w:lang w:val="en-US" w:eastAsia="zh-CN"/>
        </w:rPr>
        <w:t>XGT</w:t>
      </w:r>
      <w:r>
        <w:rPr>
          <w:rFonts w:hint="eastAsia" w:ascii="宋体" w:hAnsi="宋体" w:eastAsia="宋体"/>
          <w:color w:val="auto"/>
        </w:rPr>
        <w:t>6</w:t>
      </w:r>
      <w:r>
        <w:rPr>
          <w:rFonts w:hint="eastAsia"/>
          <w:color w:val="auto"/>
          <w:lang w:val="en-US" w:eastAsia="zh-CN"/>
        </w:rPr>
        <w:t>5</w:t>
      </w:r>
      <w:r>
        <w:rPr>
          <w:rFonts w:hint="eastAsia" w:ascii="宋体" w:hAnsi="宋体" w:eastAsia="宋体"/>
          <w:color w:val="auto"/>
        </w:rPr>
        <w:t>15-</w:t>
      </w:r>
      <w:r>
        <w:rPr>
          <w:rFonts w:hint="eastAsia"/>
          <w:color w:val="auto"/>
          <w:lang w:val="en-US" w:eastAsia="zh-CN"/>
        </w:rPr>
        <w:t>10S</w:t>
      </w:r>
      <w:r>
        <w:rPr>
          <w:rFonts w:hint="eastAsia" w:ascii="宋体" w:hAnsi="宋体" w:eastAsia="宋体"/>
          <w:color w:val="auto"/>
        </w:rPr>
        <w:t>塔式起重机安装使用说明》</w:t>
      </w:r>
    </w:p>
    <w:p w14:paraId="10141A2F">
      <w:pPr>
        <w:pStyle w:val="3"/>
        <w:ind w:left="480"/>
        <w:rPr>
          <w:rFonts w:hint="eastAsia"/>
          <w:color w:val="auto"/>
        </w:rPr>
      </w:pPr>
      <w:bookmarkStart w:id="53" w:name="_Toc27512"/>
      <w:r>
        <w:rPr>
          <w:color w:val="auto"/>
        </w:rPr>
        <w:t>2.2适用范围</w:t>
      </w:r>
      <w:bookmarkEnd w:id="53"/>
    </w:p>
    <w:p w14:paraId="6E3D2F80">
      <w:pPr>
        <w:ind w:firstLine="480"/>
        <w:rPr>
          <w:rFonts w:hint="eastAsia"/>
          <w:color w:val="auto"/>
        </w:rPr>
      </w:pPr>
      <w:r>
        <w:rPr>
          <w:color w:val="auto"/>
        </w:rPr>
        <w:t>本方案适用于新建文山至蒙自铁路站前工程施工总价承包WMZQ-</w:t>
      </w:r>
      <w:r>
        <w:rPr>
          <w:rFonts w:hint="eastAsia"/>
          <w:color w:val="auto"/>
          <w:lang w:val="en-US" w:eastAsia="zh-CN"/>
        </w:rPr>
        <w:t>1</w:t>
      </w:r>
      <w:r>
        <w:rPr>
          <w:color w:val="auto"/>
        </w:rPr>
        <w:t>标段</w:t>
      </w:r>
      <w:r>
        <w:rPr>
          <w:rFonts w:hint="eastAsia"/>
          <w:color w:val="auto"/>
          <w:lang w:val="en-US" w:eastAsia="zh-CN"/>
        </w:rPr>
        <w:t>盘龙河三号</w:t>
      </w:r>
      <w:r>
        <w:rPr>
          <w:rFonts w:hint="eastAsia"/>
          <w:color w:val="auto"/>
        </w:rPr>
        <w:t>特大桥</w:t>
      </w:r>
      <w:r>
        <w:rPr>
          <w:color w:val="auto"/>
        </w:rPr>
        <w:t>塔式起重机的安拆施工。</w:t>
      </w:r>
    </w:p>
    <w:bookmarkEnd w:id="44"/>
    <w:bookmarkEnd w:id="45"/>
    <w:p w14:paraId="3C5424B5">
      <w:pPr>
        <w:pStyle w:val="2"/>
        <w:rPr>
          <w:rFonts w:hint="eastAsia"/>
          <w:color w:val="auto"/>
        </w:rPr>
      </w:pPr>
      <w:bookmarkStart w:id="54" w:name="_Toc14668"/>
      <w:bookmarkStart w:id="55" w:name="_Toc31476"/>
      <w:bookmarkStart w:id="56" w:name="_Toc182895387"/>
      <w:r>
        <w:rPr>
          <w:rFonts w:hint="eastAsia"/>
          <w:color w:val="auto"/>
        </w:rPr>
        <w:t>3 塔式起重机型号性能及技术参数</w:t>
      </w:r>
      <w:bookmarkEnd w:id="54"/>
      <w:bookmarkEnd w:id="55"/>
      <w:bookmarkEnd w:id="56"/>
    </w:p>
    <w:p w14:paraId="0310FA1E">
      <w:pPr>
        <w:pStyle w:val="3"/>
        <w:ind w:left="480"/>
        <w:rPr>
          <w:rFonts w:hint="eastAsia"/>
          <w:color w:val="auto"/>
        </w:rPr>
      </w:pPr>
      <w:bookmarkStart w:id="57" w:name="_Toc13049"/>
      <w:bookmarkStart w:id="58" w:name="_Toc28274"/>
      <w:bookmarkStart w:id="59" w:name="_Toc8220_WPSOffice_Level2"/>
      <w:bookmarkStart w:id="60" w:name="_Toc28632"/>
      <w:bookmarkStart w:id="61" w:name="_Toc7636_WPSOffice_Level2"/>
      <w:bookmarkStart w:id="62" w:name="_Toc7721"/>
      <w:bookmarkStart w:id="63" w:name="_Toc13317"/>
      <w:bookmarkStart w:id="64" w:name="_Toc182895388"/>
      <w:bookmarkStart w:id="65" w:name="_Toc1658"/>
      <w:bookmarkStart w:id="66" w:name="_Toc10409776"/>
      <w:r>
        <w:rPr>
          <w:rFonts w:hint="eastAsia"/>
          <w:color w:val="auto"/>
        </w:rPr>
        <w:t>3</w:t>
      </w:r>
      <w:r>
        <w:rPr>
          <w:color w:val="auto"/>
        </w:rPr>
        <w:t>.1塔式起重机型号</w:t>
      </w:r>
      <w:bookmarkEnd w:id="57"/>
      <w:bookmarkEnd w:id="58"/>
      <w:bookmarkEnd w:id="59"/>
      <w:bookmarkEnd w:id="60"/>
      <w:bookmarkEnd w:id="61"/>
      <w:bookmarkEnd w:id="62"/>
      <w:bookmarkEnd w:id="63"/>
      <w:bookmarkEnd w:id="64"/>
      <w:bookmarkEnd w:id="65"/>
    </w:p>
    <w:p w14:paraId="36464341">
      <w:pPr>
        <w:pStyle w:val="82"/>
        <w:ind w:firstLine="480"/>
        <w:rPr>
          <w:rFonts w:hint="eastAsia" w:ascii="Times New Roman" w:hAnsi="Times New Roman" w:cs="Times New Roman"/>
          <w:lang w:eastAsia="zh-CN"/>
        </w:rPr>
      </w:pPr>
      <w:r>
        <w:rPr>
          <w:rFonts w:hint="eastAsia"/>
          <w:color w:val="auto"/>
          <w:lang w:val="en-US" w:eastAsia="zh-CN"/>
        </w:rPr>
        <w:t>本项目待</w:t>
      </w:r>
      <w:r>
        <w:rPr>
          <w:color w:val="auto"/>
        </w:rPr>
        <w:t>安装塔机</w:t>
      </w:r>
      <w:r>
        <w:rPr>
          <w:rFonts w:hint="eastAsia"/>
          <w:color w:val="auto"/>
          <w:lang w:eastAsia="zh-CN"/>
        </w:rPr>
        <w:t>XGT6015A-8S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60</w:t>
      </w:r>
      <w:r>
        <w:rPr>
          <w:rFonts w:hint="eastAsia" w:ascii="Times New Roman" w:hAnsi="Times New Roman" w:cs="Times New Roman"/>
        </w:rPr>
        <w:t>米，</w:t>
      </w:r>
      <w:r>
        <w:rPr>
          <w:rFonts w:hint="eastAsia" w:ascii="Times New Roman" w:hAnsi="Times New Roman" w:cs="Times New Roman"/>
          <w:lang w:val="en-US" w:eastAsia="zh-CN"/>
        </w:rPr>
        <w:t>独立起升高度40米，</w:t>
      </w:r>
      <w:r>
        <w:rPr>
          <w:rFonts w:hint="eastAsia" w:ascii="Times New Roman" w:hAnsi="Times New Roman" w:cs="Times New Roman"/>
        </w:rPr>
        <w:t>最大起升高度达</w:t>
      </w:r>
      <w:r>
        <w:rPr>
          <w:rFonts w:hint="eastAsia" w:ascii="Times New Roman" w:hAnsi="Times New Roman" w:cs="Times New Roman"/>
          <w:lang w:val="en-US" w:eastAsia="zh-CN"/>
        </w:rPr>
        <w:t>199.6</w:t>
      </w:r>
      <w:r>
        <w:rPr>
          <w:rFonts w:hint="eastAsia" w:ascii="Times New Roman" w:hAnsi="Times New Roman" w:cs="Times New Roman"/>
        </w:rPr>
        <w:t>m，额定起重量为</w:t>
      </w:r>
      <w:r>
        <w:rPr>
          <w:rFonts w:hint="eastAsia" w:ascii="Times New Roman" w:hAnsi="Times New Roman" w:cs="Times New Roman"/>
          <w:lang w:val="en-US" w:eastAsia="zh-CN"/>
        </w:rPr>
        <w:t>8</w:t>
      </w:r>
      <w:r>
        <w:rPr>
          <w:rFonts w:hint="eastAsia" w:ascii="Times New Roman" w:hAnsi="Times New Roman" w:cs="Times New Roman"/>
        </w:rPr>
        <w:t>t。主要的参数见表</w:t>
      </w:r>
      <w:r>
        <w:rPr>
          <w:rFonts w:hint="eastAsia" w:cs="Times New Roman"/>
          <w:lang w:val="en-US" w:eastAsia="zh-CN"/>
        </w:rPr>
        <w:t>3.2-1</w:t>
      </w:r>
      <w:r>
        <w:rPr>
          <w:rFonts w:hint="eastAsia" w:ascii="Times New Roman" w:hAnsi="Times New Roman" w:cs="Times New Roman"/>
          <w:lang w:eastAsia="zh-CN"/>
        </w:rPr>
        <w:t>。</w:t>
      </w:r>
    </w:p>
    <w:p w14:paraId="30379CA6">
      <w:pPr>
        <w:pStyle w:val="82"/>
        <w:ind w:firstLine="480"/>
        <w:rPr>
          <w:rFonts w:hint="eastAsia" w:cs="Times New Roman"/>
          <w:lang w:val="en-US" w:eastAsia="zh-CN"/>
        </w:rPr>
      </w:pPr>
      <w:r>
        <w:rPr>
          <w:rFonts w:hint="eastAsia"/>
          <w:color w:val="auto"/>
          <w:lang w:val="en-US" w:eastAsia="zh-CN"/>
        </w:rPr>
        <w:t>本项目待</w:t>
      </w:r>
      <w:r>
        <w:rPr>
          <w:color w:val="auto"/>
        </w:rPr>
        <w:t>安装塔机</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D</w:t>
      </w:r>
      <w:r>
        <w:rPr>
          <w:rFonts w:hint="eastAsia"/>
          <w:color w:val="auto"/>
          <w:lang w:eastAsia="zh-CN"/>
        </w:rPr>
        <w:t>-</w:t>
      </w:r>
      <w:r>
        <w:rPr>
          <w:rFonts w:hint="eastAsia"/>
          <w:color w:val="auto"/>
          <w:lang w:val="en-US" w:eastAsia="zh-CN"/>
        </w:rPr>
        <w:t>10</w:t>
      </w:r>
      <w:r>
        <w:rPr>
          <w:rFonts w:hint="eastAsia"/>
          <w:color w:val="auto"/>
          <w:lang w:eastAsia="zh-CN"/>
        </w:rPr>
        <w:t>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65</w:t>
      </w:r>
      <w:r>
        <w:rPr>
          <w:rFonts w:hint="eastAsia" w:ascii="Times New Roman" w:hAnsi="Times New Roman" w:cs="Times New Roman"/>
        </w:rPr>
        <w:t>米，</w:t>
      </w:r>
      <w:r>
        <w:rPr>
          <w:rFonts w:hint="eastAsia" w:ascii="Times New Roman" w:hAnsi="Times New Roman" w:cs="Times New Roman"/>
          <w:lang w:val="en-US" w:eastAsia="zh-CN"/>
        </w:rPr>
        <w:t>独立起升高度50米，</w:t>
      </w:r>
      <w:r>
        <w:rPr>
          <w:rFonts w:hint="eastAsia" w:ascii="Times New Roman" w:hAnsi="Times New Roman" w:cs="Times New Roman"/>
        </w:rPr>
        <w:t>最大起升高度达</w:t>
      </w:r>
      <w:r>
        <w:rPr>
          <w:rFonts w:hint="eastAsia" w:ascii="Times New Roman" w:hAnsi="Times New Roman" w:cs="Times New Roman"/>
          <w:lang w:val="en-US" w:eastAsia="zh-CN"/>
        </w:rPr>
        <w:t>213.5</w:t>
      </w:r>
      <w:r>
        <w:rPr>
          <w:rFonts w:hint="eastAsia" w:ascii="Times New Roman" w:hAnsi="Times New Roman" w:cs="Times New Roman"/>
        </w:rPr>
        <w:t>m，额定起重量为</w:t>
      </w:r>
      <w:r>
        <w:rPr>
          <w:rFonts w:hint="eastAsia" w:ascii="Times New Roman" w:hAnsi="Times New Roman" w:cs="Times New Roman"/>
          <w:lang w:val="en-US" w:eastAsia="zh-CN"/>
        </w:rPr>
        <w:t>10</w:t>
      </w:r>
      <w:r>
        <w:rPr>
          <w:rFonts w:hint="eastAsia" w:ascii="Times New Roman" w:hAnsi="Times New Roman" w:cs="Times New Roman"/>
        </w:rPr>
        <w:t>t。主要的参数见表</w:t>
      </w:r>
      <w:r>
        <w:rPr>
          <w:rFonts w:hint="eastAsia" w:cs="Times New Roman"/>
          <w:lang w:val="en-US" w:eastAsia="zh-CN"/>
        </w:rPr>
        <w:t>3.2-3。</w:t>
      </w:r>
    </w:p>
    <w:p w14:paraId="0FE305AB">
      <w:pPr>
        <w:pStyle w:val="82"/>
        <w:ind w:firstLine="480"/>
        <w:rPr>
          <w:rFonts w:hint="default" w:cs="Times New Roman"/>
          <w:lang w:val="en-US" w:eastAsia="zh-CN"/>
        </w:rPr>
      </w:pPr>
      <w:r>
        <w:rPr>
          <w:rFonts w:hint="eastAsia"/>
          <w:color w:val="auto"/>
          <w:lang w:val="en-US" w:eastAsia="zh-CN"/>
        </w:rPr>
        <w:t>本项目待</w:t>
      </w:r>
      <w:r>
        <w:rPr>
          <w:color w:val="auto"/>
        </w:rPr>
        <w:t>安装塔机</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10</w:t>
      </w:r>
      <w:r>
        <w:rPr>
          <w:rFonts w:hint="eastAsia"/>
          <w:color w:val="auto"/>
          <w:lang w:eastAsia="zh-CN"/>
        </w:rPr>
        <w:t>S</w:t>
      </w:r>
      <w:r>
        <w:rPr>
          <w:color w:val="auto"/>
        </w:rPr>
        <w:t>是</w:t>
      </w:r>
      <w:r>
        <w:rPr>
          <w:rFonts w:hint="eastAsia" w:ascii="Times New Roman" w:hAnsi="Times New Roman" w:cs="Times New Roman"/>
          <w:lang w:val="en-US" w:eastAsia="zh-CN"/>
        </w:rPr>
        <w:t>徐工集团徐州建机工程机械有限公司</w:t>
      </w:r>
      <w:r>
        <w:rPr>
          <w:rFonts w:hint="eastAsia" w:ascii="Times New Roman" w:hAnsi="Times New Roman" w:cs="Times New Roman"/>
        </w:rPr>
        <w:t>设计的</w:t>
      </w:r>
      <w:r>
        <w:rPr>
          <w:rFonts w:hint="eastAsia" w:ascii="Times New Roman" w:hAnsi="Times New Roman" w:cs="Times New Roman"/>
          <w:lang w:eastAsia="zh-CN"/>
        </w:rPr>
        <w:t>塔式起重机</w:t>
      </w:r>
      <w:r>
        <w:rPr>
          <w:rFonts w:hint="eastAsia" w:ascii="Times New Roman" w:hAnsi="Times New Roman" w:cs="Times New Roman"/>
        </w:rPr>
        <w:t>，符合现行有关</w:t>
      </w:r>
      <w:r>
        <w:rPr>
          <w:rFonts w:hint="eastAsia" w:ascii="Times New Roman" w:hAnsi="Times New Roman" w:cs="Times New Roman"/>
          <w:lang w:val="en-US" w:eastAsia="zh-CN"/>
        </w:rPr>
        <w:t>国家和行业</w:t>
      </w:r>
      <w:r>
        <w:rPr>
          <w:rFonts w:hint="eastAsia" w:ascii="Times New Roman" w:hAnsi="Times New Roman" w:cs="Times New Roman"/>
        </w:rPr>
        <w:t>规定。该塔机为水平臂架，小车变幅，上回转，自升式平头塔式起重机。最大工作幅度</w:t>
      </w:r>
      <w:r>
        <w:rPr>
          <w:rFonts w:hint="eastAsia" w:ascii="Times New Roman" w:hAnsi="Times New Roman" w:cs="Times New Roman"/>
          <w:lang w:val="en-US" w:eastAsia="zh-CN"/>
        </w:rPr>
        <w:t>65</w:t>
      </w:r>
      <w:r>
        <w:rPr>
          <w:rFonts w:hint="eastAsia" w:ascii="Times New Roman" w:hAnsi="Times New Roman" w:cs="Times New Roman"/>
        </w:rPr>
        <w:t>米，</w:t>
      </w:r>
      <w:r>
        <w:rPr>
          <w:rFonts w:hint="eastAsia" w:ascii="Times New Roman" w:hAnsi="Times New Roman" w:cs="Times New Roman"/>
          <w:lang w:val="en-US" w:eastAsia="zh-CN"/>
        </w:rPr>
        <w:t>独立起升高度60米，</w:t>
      </w:r>
      <w:r>
        <w:rPr>
          <w:rFonts w:hint="eastAsia" w:ascii="Times New Roman" w:hAnsi="Times New Roman" w:cs="Times New Roman"/>
        </w:rPr>
        <w:t>最大起升高度达</w:t>
      </w:r>
      <w:r>
        <w:rPr>
          <w:rFonts w:hint="eastAsia" w:ascii="Times New Roman" w:hAnsi="Times New Roman" w:cs="Times New Roman"/>
          <w:lang w:val="en-US" w:eastAsia="zh-CN"/>
        </w:rPr>
        <w:t>262</w:t>
      </w:r>
      <w:r>
        <w:rPr>
          <w:rFonts w:hint="eastAsia" w:ascii="Times New Roman" w:hAnsi="Times New Roman" w:cs="Times New Roman"/>
        </w:rPr>
        <w:t>m，额定起重量为</w:t>
      </w:r>
      <w:r>
        <w:rPr>
          <w:rFonts w:hint="eastAsia" w:ascii="Times New Roman" w:hAnsi="Times New Roman" w:cs="Times New Roman"/>
          <w:lang w:val="en-US" w:eastAsia="zh-CN"/>
        </w:rPr>
        <w:t>10</w:t>
      </w:r>
      <w:r>
        <w:rPr>
          <w:rFonts w:hint="eastAsia" w:ascii="Times New Roman" w:hAnsi="Times New Roman" w:cs="Times New Roman"/>
        </w:rPr>
        <w:t>t。主要的参数见表</w:t>
      </w:r>
      <w:r>
        <w:rPr>
          <w:rFonts w:hint="eastAsia" w:cs="Times New Roman"/>
          <w:lang w:val="en-US" w:eastAsia="zh-CN"/>
        </w:rPr>
        <w:t>3.2-5。</w:t>
      </w:r>
    </w:p>
    <w:p w14:paraId="7225E5A5">
      <w:pPr>
        <w:pStyle w:val="82"/>
        <w:ind w:firstLine="480"/>
        <w:rPr>
          <w:rFonts w:hint="eastAsia" w:cs="Times New Roman"/>
          <w:color w:val="auto"/>
        </w:rPr>
      </w:pPr>
      <w:r>
        <w:rPr>
          <w:color w:val="auto"/>
        </w:rPr>
        <w:t>塔机安装情况如下表</w:t>
      </w:r>
      <w:r>
        <w:rPr>
          <w:rFonts w:hint="eastAsia" w:cs="Times New Roman"/>
          <w:color w:val="auto"/>
        </w:rPr>
        <w:t>：</w:t>
      </w:r>
    </w:p>
    <w:p w14:paraId="32E7E1DB">
      <w:pPr>
        <w:pStyle w:val="83"/>
        <w:rPr>
          <w:rFonts w:hint="eastAsia" w:eastAsia="宋体" w:cs="Times New Roman"/>
          <w:color w:val="auto"/>
          <w:kern w:val="0"/>
          <w:szCs w:val="22"/>
          <w:lang w:val="en-US"/>
        </w:rPr>
      </w:pPr>
      <w:r>
        <w:rPr>
          <w:rFonts w:hint="eastAsia" w:eastAsia="宋体" w:cs="Times New Roman"/>
          <w:color w:val="auto"/>
          <w:kern w:val="0"/>
          <w:szCs w:val="22"/>
          <w:lang w:val="en-US"/>
        </w:rPr>
        <w:t xml:space="preserve">表3.1-1  </w:t>
      </w:r>
      <w:r>
        <w:rPr>
          <w:rFonts w:hint="eastAsia" w:eastAsia="宋体" w:cs="Times New Roman"/>
          <w:color w:val="auto"/>
          <w:kern w:val="0"/>
          <w:szCs w:val="22"/>
          <w:lang w:val="en-US" w:eastAsia="zh-CN"/>
        </w:rPr>
        <w:t>盘龙河三号桥</w:t>
      </w:r>
      <w:r>
        <w:rPr>
          <w:rFonts w:hint="eastAsia" w:eastAsia="宋体" w:cs="Times New Roman"/>
          <w:color w:val="auto"/>
          <w:kern w:val="0"/>
          <w:szCs w:val="22"/>
          <w:lang w:val="en-US"/>
        </w:rPr>
        <w:t>塔机配置表</w:t>
      </w:r>
    </w:p>
    <w:tbl>
      <w:tblPr>
        <w:tblStyle w:val="28"/>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713"/>
        <w:gridCol w:w="1265"/>
        <w:gridCol w:w="1037"/>
        <w:gridCol w:w="1263"/>
        <w:gridCol w:w="1400"/>
        <w:gridCol w:w="1542"/>
      </w:tblGrid>
      <w:tr w14:paraId="3783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531" w:type="pct"/>
            <w:vAlign w:val="center"/>
          </w:tcPr>
          <w:p w14:paraId="04D04C3B">
            <w:pPr>
              <w:pStyle w:val="84"/>
              <w:rPr>
                <w:rFonts w:hint="eastAsia" w:ascii="宋体" w:hAnsi="宋体"/>
                <w:color w:val="auto"/>
                <w:sz w:val="24"/>
                <w:szCs w:val="22"/>
              </w:rPr>
            </w:pPr>
            <w:r>
              <w:rPr>
                <w:rFonts w:hint="eastAsia" w:ascii="宋体" w:hAnsi="宋体"/>
                <w:color w:val="auto"/>
                <w:sz w:val="24"/>
                <w:szCs w:val="22"/>
              </w:rPr>
              <w:t>墩号</w:t>
            </w:r>
          </w:p>
        </w:tc>
        <w:tc>
          <w:tcPr>
            <w:tcW w:w="931" w:type="pct"/>
            <w:vAlign w:val="center"/>
          </w:tcPr>
          <w:p w14:paraId="4609135A">
            <w:pPr>
              <w:pStyle w:val="84"/>
              <w:rPr>
                <w:rFonts w:hint="eastAsia" w:ascii="宋体" w:hAnsi="宋体"/>
                <w:color w:val="auto"/>
                <w:sz w:val="24"/>
                <w:szCs w:val="22"/>
              </w:rPr>
            </w:pPr>
            <w:r>
              <w:rPr>
                <w:rFonts w:hint="eastAsia" w:ascii="宋体" w:hAnsi="宋体"/>
                <w:color w:val="auto"/>
                <w:sz w:val="24"/>
                <w:szCs w:val="22"/>
              </w:rPr>
              <w:t>塔吊型号</w:t>
            </w:r>
          </w:p>
        </w:tc>
        <w:tc>
          <w:tcPr>
            <w:tcW w:w="687" w:type="pct"/>
            <w:vAlign w:val="center"/>
          </w:tcPr>
          <w:p w14:paraId="65384C12">
            <w:pPr>
              <w:pStyle w:val="84"/>
              <w:rPr>
                <w:rFonts w:hint="eastAsia" w:ascii="宋体" w:hAnsi="宋体"/>
                <w:color w:val="auto"/>
                <w:sz w:val="24"/>
                <w:szCs w:val="22"/>
              </w:rPr>
            </w:pPr>
            <w:r>
              <w:rPr>
                <w:rFonts w:hint="eastAsia" w:ascii="宋体" w:hAnsi="宋体"/>
                <w:color w:val="auto"/>
                <w:sz w:val="24"/>
                <w:szCs w:val="22"/>
              </w:rPr>
              <w:t>塔吊数量</w:t>
            </w:r>
          </w:p>
        </w:tc>
        <w:tc>
          <w:tcPr>
            <w:tcW w:w="563" w:type="pct"/>
            <w:vAlign w:val="center"/>
          </w:tcPr>
          <w:p w14:paraId="3BCB295A">
            <w:pPr>
              <w:pStyle w:val="84"/>
              <w:rPr>
                <w:rFonts w:hint="eastAsia" w:ascii="宋体" w:hAnsi="宋体"/>
                <w:color w:val="auto"/>
                <w:sz w:val="24"/>
                <w:szCs w:val="22"/>
              </w:rPr>
            </w:pPr>
            <w:r>
              <w:rPr>
                <w:rFonts w:hint="eastAsia" w:ascii="宋体" w:hAnsi="宋体"/>
                <w:color w:val="auto"/>
                <w:sz w:val="24"/>
                <w:szCs w:val="22"/>
              </w:rPr>
              <w:t>臂长</w:t>
            </w:r>
          </w:p>
        </w:tc>
        <w:tc>
          <w:tcPr>
            <w:tcW w:w="686" w:type="pct"/>
            <w:vAlign w:val="center"/>
          </w:tcPr>
          <w:p w14:paraId="1067F51C">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初装高度</w:t>
            </w:r>
          </w:p>
        </w:tc>
        <w:tc>
          <w:tcPr>
            <w:tcW w:w="761" w:type="pct"/>
            <w:vAlign w:val="center"/>
          </w:tcPr>
          <w:p w14:paraId="7BFE413A">
            <w:pPr>
              <w:pStyle w:val="84"/>
              <w:rPr>
                <w:rFonts w:hint="eastAsia" w:ascii="宋体" w:hAnsi="宋体"/>
                <w:color w:val="auto"/>
                <w:sz w:val="24"/>
                <w:szCs w:val="22"/>
              </w:rPr>
            </w:pPr>
            <w:r>
              <w:rPr>
                <w:rFonts w:hint="eastAsia" w:ascii="宋体" w:hAnsi="宋体"/>
                <w:color w:val="auto"/>
                <w:sz w:val="24"/>
                <w:szCs w:val="22"/>
                <w:lang w:val="en-US" w:eastAsia="zh-CN"/>
              </w:rPr>
              <w:t>最终</w:t>
            </w:r>
            <w:r>
              <w:rPr>
                <w:rFonts w:hint="eastAsia" w:ascii="宋体" w:hAnsi="宋体"/>
                <w:color w:val="auto"/>
                <w:sz w:val="24"/>
                <w:szCs w:val="22"/>
              </w:rPr>
              <w:t>高度</w:t>
            </w:r>
          </w:p>
        </w:tc>
        <w:tc>
          <w:tcPr>
            <w:tcW w:w="838" w:type="pct"/>
            <w:vAlign w:val="center"/>
          </w:tcPr>
          <w:p w14:paraId="64193E9C">
            <w:pPr>
              <w:pStyle w:val="84"/>
              <w:rPr>
                <w:rFonts w:hint="eastAsia" w:ascii="宋体" w:hAnsi="宋体"/>
                <w:color w:val="auto"/>
                <w:sz w:val="24"/>
                <w:szCs w:val="22"/>
              </w:rPr>
            </w:pPr>
            <w:r>
              <w:rPr>
                <w:rFonts w:hint="eastAsia" w:ascii="宋体" w:hAnsi="宋体"/>
                <w:color w:val="auto"/>
                <w:sz w:val="24"/>
                <w:szCs w:val="22"/>
              </w:rPr>
              <w:t>预埋形式</w:t>
            </w:r>
          </w:p>
        </w:tc>
      </w:tr>
      <w:tr w14:paraId="1E9D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593FFC6D">
            <w:pPr>
              <w:pStyle w:val="84"/>
              <w:rPr>
                <w:rFonts w:hint="eastAsia" w:ascii="宋体" w:hAnsi="宋体"/>
                <w:color w:val="auto"/>
                <w:sz w:val="24"/>
                <w:szCs w:val="22"/>
              </w:rPr>
            </w:pPr>
            <w:r>
              <w:rPr>
                <w:rFonts w:hint="eastAsia" w:ascii="宋体" w:hAnsi="宋体"/>
                <w:color w:val="auto"/>
                <w:sz w:val="24"/>
                <w:szCs w:val="22"/>
                <w:lang w:val="en-US" w:eastAsia="zh-CN"/>
              </w:rPr>
              <w:t>6</w:t>
            </w:r>
            <w:r>
              <w:rPr>
                <w:rFonts w:hint="eastAsia" w:ascii="宋体" w:hAnsi="宋体"/>
                <w:color w:val="auto"/>
                <w:sz w:val="24"/>
                <w:szCs w:val="22"/>
              </w:rPr>
              <w:t>#墩</w:t>
            </w:r>
          </w:p>
        </w:tc>
        <w:tc>
          <w:tcPr>
            <w:tcW w:w="931" w:type="pct"/>
            <w:vAlign w:val="center"/>
          </w:tcPr>
          <w:p w14:paraId="06C3CC60">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XGT6515-10S</w:t>
            </w:r>
          </w:p>
        </w:tc>
        <w:tc>
          <w:tcPr>
            <w:tcW w:w="687" w:type="pct"/>
            <w:vAlign w:val="center"/>
          </w:tcPr>
          <w:p w14:paraId="20842C22">
            <w:pPr>
              <w:ind w:left="0" w:leftChars="0" w:firstLine="0" w:firstLineChars="0"/>
              <w:jc w:val="center"/>
              <w:rPr>
                <w:rFonts w:hint="eastAsia" w:ascii="宋体" w:hAnsi="宋体"/>
                <w:color w:val="auto"/>
                <w:sz w:val="24"/>
                <w:szCs w:val="22"/>
              </w:rPr>
            </w:pPr>
            <w:r>
              <w:rPr>
                <w:rFonts w:hint="eastAsia" w:ascii="宋体" w:hAnsi="宋体"/>
                <w:color w:val="auto"/>
                <w:sz w:val="24"/>
                <w:szCs w:val="22"/>
              </w:rPr>
              <w:t>1台</w:t>
            </w:r>
          </w:p>
        </w:tc>
        <w:tc>
          <w:tcPr>
            <w:tcW w:w="563" w:type="pct"/>
            <w:vAlign w:val="center"/>
          </w:tcPr>
          <w:p w14:paraId="099DE31B">
            <w:pPr>
              <w:pStyle w:val="84"/>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483BF228">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091E329E">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60m</w:t>
            </w:r>
          </w:p>
        </w:tc>
        <w:tc>
          <w:tcPr>
            <w:tcW w:w="838" w:type="pct"/>
            <w:vAlign w:val="center"/>
          </w:tcPr>
          <w:p w14:paraId="66888687">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01ED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26BCF918">
            <w:pPr>
              <w:pStyle w:val="84"/>
              <w:rPr>
                <w:rFonts w:hint="eastAsia" w:ascii="宋体" w:hAnsi="宋体"/>
                <w:color w:val="auto"/>
                <w:sz w:val="24"/>
                <w:szCs w:val="22"/>
              </w:rPr>
            </w:pPr>
            <w:bookmarkStart w:id="67" w:name="_Toc182895389"/>
            <w:r>
              <w:rPr>
                <w:rFonts w:hint="eastAsia" w:ascii="宋体" w:hAnsi="宋体"/>
                <w:color w:val="auto"/>
                <w:sz w:val="24"/>
                <w:szCs w:val="22"/>
                <w:lang w:val="en-US" w:eastAsia="zh-CN"/>
              </w:rPr>
              <w:t>9</w:t>
            </w:r>
            <w:r>
              <w:rPr>
                <w:rFonts w:hint="eastAsia" w:ascii="宋体" w:hAnsi="宋体"/>
                <w:color w:val="auto"/>
                <w:sz w:val="24"/>
                <w:szCs w:val="22"/>
              </w:rPr>
              <w:t>#墩</w:t>
            </w:r>
          </w:p>
        </w:tc>
        <w:tc>
          <w:tcPr>
            <w:tcW w:w="931" w:type="pct"/>
            <w:vAlign w:val="center"/>
          </w:tcPr>
          <w:p w14:paraId="3AACC637">
            <w:pPr>
              <w:ind w:left="0" w:leftChars="0" w:firstLine="0" w:firstLineChars="0"/>
              <w:rPr>
                <w:rFonts w:hint="eastAsia" w:ascii="宋体" w:hAnsi="宋体"/>
                <w:color w:val="auto"/>
                <w:sz w:val="24"/>
                <w:szCs w:val="22"/>
              </w:rPr>
            </w:pPr>
            <w:r>
              <w:rPr>
                <w:rFonts w:hint="eastAsia" w:ascii="宋体" w:hAnsi="宋体"/>
                <w:color w:val="auto"/>
                <w:sz w:val="24"/>
                <w:szCs w:val="22"/>
                <w:lang w:val="en-US" w:eastAsia="zh-CN"/>
              </w:rPr>
              <w:t>XGT6515-10S</w:t>
            </w:r>
          </w:p>
        </w:tc>
        <w:tc>
          <w:tcPr>
            <w:tcW w:w="687" w:type="pct"/>
            <w:vAlign w:val="center"/>
          </w:tcPr>
          <w:p w14:paraId="113D042D">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CD5DDCE">
            <w:pPr>
              <w:pStyle w:val="84"/>
              <w:rPr>
                <w:rFonts w:hint="eastAsia" w:ascii="宋体" w:hAnsi="宋体"/>
                <w:color w:val="auto"/>
                <w:sz w:val="24"/>
                <w:szCs w:val="22"/>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63998E11">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63AB0F29">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60m</w:t>
            </w:r>
          </w:p>
        </w:tc>
        <w:tc>
          <w:tcPr>
            <w:tcW w:w="838" w:type="pct"/>
            <w:vAlign w:val="center"/>
          </w:tcPr>
          <w:p w14:paraId="34718451">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7A40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6C8DB07B">
            <w:pPr>
              <w:pStyle w:val="84"/>
              <w:rPr>
                <w:rFonts w:hint="eastAsia" w:ascii="宋体" w:hAnsi="宋体"/>
                <w:color w:val="auto"/>
                <w:sz w:val="24"/>
                <w:szCs w:val="22"/>
              </w:rPr>
            </w:pPr>
            <w:r>
              <w:rPr>
                <w:rFonts w:hint="eastAsia" w:ascii="宋体" w:hAnsi="宋体"/>
                <w:color w:val="auto"/>
                <w:sz w:val="24"/>
                <w:szCs w:val="22"/>
                <w:lang w:val="en-US" w:eastAsia="zh-CN"/>
              </w:rPr>
              <w:t>12</w:t>
            </w:r>
            <w:r>
              <w:rPr>
                <w:rFonts w:hint="eastAsia" w:ascii="宋体" w:hAnsi="宋体"/>
                <w:color w:val="auto"/>
                <w:sz w:val="24"/>
                <w:szCs w:val="22"/>
              </w:rPr>
              <w:t>#墩</w:t>
            </w:r>
          </w:p>
        </w:tc>
        <w:tc>
          <w:tcPr>
            <w:tcW w:w="931" w:type="pct"/>
            <w:vAlign w:val="center"/>
          </w:tcPr>
          <w:p w14:paraId="6D6DDC6A">
            <w:pPr>
              <w:ind w:left="0" w:leftChars="0" w:firstLine="0" w:firstLineChars="0"/>
              <w:rPr>
                <w:rFonts w:hint="eastAsia" w:ascii="宋体" w:hAnsi="宋体"/>
                <w:color w:val="auto"/>
                <w:sz w:val="24"/>
                <w:szCs w:val="22"/>
              </w:rPr>
            </w:pPr>
            <w:r>
              <w:rPr>
                <w:rFonts w:hint="eastAsia" w:ascii="宋体" w:hAnsi="宋体"/>
                <w:color w:val="auto"/>
                <w:sz w:val="24"/>
                <w:szCs w:val="22"/>
                <w:lang w:val="en-US" w:eastAsia="zh-CN"/>
              </w:rPr>
              <w:t>XGT6515-10S</w:t>
            </w:r>
          </w:p>
        </w:tc>
        <w:tc>
          <w:tcPr>
            <w:tcW w:w="687" w:type="pct"/>
            <w:vAlign w:val="center"/>
          </w:tcPr>
          <w:p w14:paraId="23351D4F">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0BD99CE0">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74E024AC">
            <w:pPr>
              <w:pStyle w:val="84"/>
              <w:rPr>
                <w:rFonts w:hint="default" w:ascii="宋体" w:hAnsi="宋体"/>
                <w:color w:val="auto"/>
                <w:sz w:val="24"/>
                <w:szCs w:val="22"/>
                <w:lang w:val="en-US" w:eastAsia="zh-CN"/>
              </w:rPr>
            </w:pPr>
            <w:r>
              <w:rPr>
                <w:rFonts w:hint="eastAsia" w:ascii="宋体" w:hAnsi="宋体"/>
                <w:color w:val="auto"/>
                <w:sz w:val="24"/>
                <w:szCs w:val="22"/>
                <w:lang w:val="en-US" w:eastAsia="zh-CN"/>
              </w:rPr>
              <w:t>60m</w:t>
            </w:r>
          </w:p>
        </w:tc>
        <w:tc>
          <w:tcPr>
            <w:tcW w:w="761" w:type="pct"/>
            <w:vAlign w:val="center"/>
          </w:tcPr>
          <w:p w14:paraId="7264C4A0">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90m</w:t>
            </w:r>
          </w:p>
        </w:tc>
        <w:tc>
          <w:tcPr>
            <w:tcW w:w="838" w:type="pct"/>
            <w:vAlign w:val="center"/>
          </w:tcPr>
          <w:p w14:paraId="5CF20C0C">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133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26C78881">
            <w:pPr>
              <w:pStyle w:val="84"/>
              <w:rPr>
                <w:rFonts w:hint="eastAsia" w:ascii="宋体" w:hAnsi="宋体"/>
                <w:color w:val="auto"/>
                <w:sz w:val="24"/>
                <w:szCs w:val="22"/>
              </w:rPr>
            </w:pPr>
            <w:r>
              <w:rPr>
                <w:rFonts w:hint="eastAsia" w:ascii="宋体" w:hAnsi="宋体"/>
                <w:color w:val="auto"/>
                <w:sz w:val="24"/>
                <w:szCs w:val="22"/>
              </w:rPr>
              <w:t>1</w:t>
            </w:r>
            <w:r>
              <w:rPr>
                <w:rFonts w:hint="eastAsia" w:ascii="宋体" w:hAnsi="宋体"/>
                <w:color w:val="auto"/>
                <w:sz w:val="24"/>
                <w:szCs w:val="22"/>
                <w:lang w:val="en-US" w:eastAsia="zh-CN"/>
              </w:rPr>
              <w:t>4</w:t>
            </w:r>
            <w:r>
              <w:rPr>
                <w:rFonts w:hint="eastAsia" w:ascii="宋体" w:hAnsi="宋体"/>
                <w:color w:val="auto"/>
                <w:sz w:val="24"/>
                <w:szCs w:val="22"/>
              </w:rPr>
              <w:t>#墩</w:t>
            </w:r>
          </w:p>
        </w:tc>
        <w:tc>
          <w:tcPr>
            <w:tcW w:w="931" w:type="pct"/>
            <w:vAlign w:val="center"/>
          </w:tcPr>
          <w:p w14:paraId="0E1CEA11">
            <w:pPr>
              <w:pStyle w:val="84"/>
              <w:rPr>
                <w:rFonts w:hint="eastAsia" w:ascii="宋体" w:hAnsi="宋体" w:eastAsia="宋体"/>
                <w:color w:val="auto"/>
                <w:sz w:val="24"/>
                <w:szCs w:val="22"/>
                <w:lang w:eastAsia="zh-CN"/>
              </w:rPr>
            </w:pPr>
            <w:r>
              <w:rPr>
                <w:rFonts w:hint="eastAsia" w:ascii="宋体" w:hAnsi="宋体"/>
                <w:color w:val="auto"/>
                <w:sz w:val="24"/>
                <w:szCs w:val="22"/>
                <w:lang w:val="en-US" w:eastAsia="zh-CN"/>
              </w:rPr>
              <w:t>XGT</w:t>
            </w:r>
            <w:r>
              <w:rPr>
                <w:rFonts w:hint="eastAsia" w:ascii="宋体" w:hAnsi="宋体"/>
                <w:color w:val="auto"/>
                <w:sz w:val="24"/>
                <w:szCs w:val="22"/>
              </w:rPr>
              <w:t>6015</w:t>
            </w:r>
            <w:r>
              <w:rPr>
                <w:rFonts w:hint="eastAsia" w:ascii="宋体" w:hAnsi="宋体"/>
                <w:color w:val="auto"/>
                <w:sz w:val="24"/>
                <w:szCs w:val="22"/>
                <w:lang w:val="en-US" w:eastAsia="zh-CN"/>
              </w:rPr>
              <w:t>A</w:t>
            </w:r>
            <w:r>
              <w:rPr>
                <w:rFonts w:hint="eastAsia" w:ascii="宋体" w:hAnsi="宋体"/>
                <w:color w:val="auto"/>
                <w:sz w:val="24"/>
                <w:szCs w:val="22"/>
              </w:rPr>
              <w:t>-8</w:t>
            </w:r>
            <w:r>
              <w:rPr>
                <w:rFonts w:hint="eastAsia" w:ascii="宋体" w:hAnsi="宋体"/>
                <w:color w:val="auto"/>
                <w:sz w:val="24"/>
                <w:szCs w:val="22"/>
                <w:lang w:val="en-US" w:eastAsia="zh-CN"/>
              </w:rPr>
              <w:t>S</w:t>
            </w:r>
          </w:p>
        </w:tc>
        <w:tc>
          <w:tcPr>
            <w:tcW w:w="687" w:type="pct"/>
            <w:vAlign w:val="center"/>
          </w:tcPr>
          <w:p w14:paraId="7FCF268B">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B84103E">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27D9BA7A">
            <w:pPr>
              <w:pStyle w:val="84"/>
              <w:rPr>
                <w:rFonts w:hint="default" w:ascii="宋体" w:hAnsi="宋体"/>
                <w:color w:val="auto"/>
                <w:sz w:val="24"/>
                <w:szCs w:val="22"/>
                <w:lang w:val="en-US" w:eastAsia="zh-CN"/>
              </w:rPr>
            </w:pPr>
            <w:r>
              <w:rPr>
                <w:rFonts w:hint="eastAsia" w:ascii="宋体" w:hAnsi="宋体"/>
                <w:color w:val="auto"/>
                <w:sz w:val="24"/>
                <w:szCs w:val="22"/>
                <w:lang w:val="en-US" w:eastAsia="zh-CN"/>
              </w:rPr>
              <w:t>40m</w:t>
            </w:r>
          </w:p>
        </w:tc>
        <w:tc>
          <w:tcPr>
            <w:tcW w:w="761" w:type="pct"/>
            <w:vAlign w:val="center"/>
          </w:tcPr>
          <w:p w14:paraId="5F1FECCD">
            <w:pPr>
              <w:pStyle w:val="84"/>
              <w:rPr>
                <w:rFonts w:hint="eastAsia" w:ascii="宋体" w:hAnsi="宋体"/>
                <w:color w:val="auto"/>
                <w:sz w:val="24"/>
                <w:szCs w:val="22"/>
              </w:rPr>
            </w:pPr>
            <w:r>
              <w:rPr>
                <w:rFonts w:hint="eastAsia" w:ascii="宋体" w:hAnsi="宋体"/>
                <w:color w:val="auto"/>
                <w:sz w:val="24"/>
                <w:szCs w:val="22"/>
                <w:lang w:val="en-US" w:eastAsia="zh-CN"/>
              </w:rPr>
              <w:t>84.8</w:t>
            </w:r>
            <w:r>
              <w:rPr>
                <w:rFonts w:hint="eastAsia" w:ascii="宋体" w:hAnsi="宋体"/>
                <w:color w:val="auto"/>
                <w:sz w:val="24"/>
                <w:szCs w:val="22"/>
              </w:rPr>
              <w:t>m</w:t>
            </w:r>
          </w:p>
        </w:tc>
        <w:tc>
          <w:tcPr>
            <w:tcW w:w="838" w:type="pct"/>
            <w:vAlign w:val="center"/>
          </w:tcPr>
          <w:p w14:paraId="1B9028C8">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 xml:space="preserve">基础与承台连接 </w:t>
            </w:r>
          </w:p>
        </w:tc>
      </w:tr>
      <w:tr w14:paraId="667C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366B8BCC">
            <w:pPr>
              <w:pStyle w:val="84"/>
              <w:rPr>
                <w:rFonts w:hint="eastAsia" w:ascii="宋体" w:hAnsi="宋体"/>
                <w:color w:val="auto"/>
                <w:sz w:val="24"/>
                <w:szCs w:val="22"/>
              </w:rPr>
            </w:pPr>
            <w:r>
              <w:rPr>
                <w:rFonts w:hint="eastAsia" w:ascii="宋体" w:hAnsi="宋体"/>
                <w:color w:val="auto"/>
                <w:sz w:val="24"/>
                <w:szCs w:val="22"/>
              </w:rPr>
              <w:t>1</w:t>
            </w:r>
            <w:r>
              <w:rPr>
                <w:rFonts w:hint="eastAsia" w:ascii="宋体" w:hAnsi="宋体"/>
                <w:color w:val="auto"/>
                <w:sz w:val="24"/>
                <w:szCs w:val="22"/>
                <w:lang w:val="en-US" w:eastAsia="zh-CN"/>
              </w:rPr>
              <w:t>5</w:t>
            </w:r>
            <w:r>
              <w:rPr>
                <w:rFonts w:hint="eastAsia" w:ascii="宋体" w:hAnsi="宋体"/>
                <w:color w:val="auto"/>
                <w:sz w:val="24"/>
                <w:szCs w:val="22"/>
              </w:rPr>
              <w:t>#墩</w:t>
            </w:r>
          </w:p>
        </w:tc>
        <w:tc>
          <w:tcPr>
            <w:tcW w:w="931" w:type="pct"/>
            <w:vAlign w:val="center"/>
          </w:tcPr>
          <w:p w14:paraId="16355F23">
            <w:pPr>
              <w:pStyle w:val="84"/>
              <w:rPr>
                <w:rFonts w:hint="eastAsia" w:ascii="宋体" w:hAnsi="宋体"/>
                <w:color w:val="auto"/>
                <w:sz w:val="24"/>
                <w:szCs w:val="22"/>
              </w:rPr>
            </w:pPr>
            <w:r>
              <w:rPr>
                <w:rFonts w:hint="eastAsia" w:ascii="宋体" w:hAnsi="宋体"/>
                <w:color w:val="auto"/>
                <w:sz w:val="24"/>
                <w:szCs w:val="22"/>
                <w:lang w:val="en-US" w:eastAsia="zh-CN"/>
              </w:rPr>
              <w:t>XGT</w:t>
            </w:r>
            <w:r>
              <w:rPr>
                <w:rFonts w:hint="eastAsia" w:ascii="宋体" w:hAnsi="宋体"/>
                <w:color w:val="auto"/>
                <w:sz w:val="24"/>
                <w:szCs w:val="22"/>
              </w:rPr>
              <w:t>6015</w:t>
            </w:r>
            <w:r>
              <w:rPr>
                <w:rFonts w:hint="eastAsia" w:ascii="宋体" w:hAnsi="宋体"/>
                <w:color w:val="auto"/>
                <w:sz w:val="24"/>
                <w:szCs w:val="22"/>
                <w:lang w:val="en-US" w:eastAsia="zh-CN"/>
              </w:rPr>
              <w:t>A</w:t>
            </w:r>
            <w:r>
              <w:rPr>
                <w:rFonts w:hint="eastAsia" w:ascii="宋体" w:hAnsi="宋体"/>
                <w:color w:val="auto"/>
                <w:sz w:val="24"/>
                <w:szCs w:val="22"/>
              </w:rPr>
              <w:t>-8</w:t>
            </w:r>
            <w:r>
              <w:rPr>
                <w:rFonts w:hint="eastAsia" w:ascii="宋体" w:hAnsi="宋体"/>
                <w:color w:val="auto"/>
                <w:sz w:val="24"/>
                <w:szCs w:val="22"/>
                <w:lang w:val="en-US" w:eastAsia="zh-CN"/>
              </w:rPr>
              <w:t>S</w:t>
            </w:r>
          </w:p>
        </w:tc>
        <w:tc>
          <w:tcPr>
            <w:tcW w:w="687" w:type="pct"/>
            <w:vAlign w:val="center"/>
          </w:tcPr>
          <w:p w14:paraId="6150AF1B">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1E85ADF7">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53AD900F">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34.4m</w:t>
            </w:r>
          </w:p>
        </w:tc>
        <w:tc>
          <w:tcPr>
            <w:tcW w:w="761" w:type="pct"/>
            <w:vAlign w:val="center"/>
          </w:tcPr>
          <w:p w14:paraId="28F86047">
            <w:pPr>
              <w:pStyle w:val="84"/>
              <w:rPr>
                <w:rFonts w:hint="eastAsia" w:ascii="宋体" w:hAnsi="宋体"/>
                <w:color w:val="auto"/>
                <w:sz w:val="24"/>
                <w:szCs w:val="22"/>
              </w:rPr>
            </w:pPr>
            <w:r>
              <w:rPr>
                <w:rFonts w:hint="eastAsia" w:ascii="宋体" w:hAnsi="宋体"/>
                <w:color w:val="auto"/>
                <w:sz w:val="24"/>
                <w:szCs w:val="22"/>
              </w:rPr>
              <w:t>79</w:t>
            </w:r>
            <w:r>
              <w:rPr>
                <w:rFonts w:hint="eastAsia" w:ascii="宋体" w:hAnsi="宋体"/>
                <w:color w:val="auto"/>
                <w:sz w:val="24"/>
                <w:szCs w:val="22"/>
                <w:lang w:val="en-US" w:eastAsia="zh-CN"/>
              </w:rPr>
              <w:t>.2</w:t>
            </w:r>
            <w:r>
              <w:rPr>
                <w:rFonts w:hint="eastAsia" w:ascii="宋体" w:hAnsi="宋体"/>
                <w:color w:val="auto"/>
                <w:sz w:val="24"/>
                <w:szCs w:val="22"/>
              </w:rPr>
              <w:t>m</w:t>
            </w:r>
          </w:p>
        </w:tc>
        <w:tc>
          <w:tcPr>
            <w:tcW w:w="838" w:type="pct"/>
            <w:vAlign w:val="center"/>
          </w:tcPr>
          <w:p w14:paraId="31DF34E9">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6203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7E47E138">
            <w:pPr>
              <w:pStyle w:val="84"/>
              <w:rPr>
                <w:rFonts w:hint="default" w:ascii="宋体" w:hAnsi="宋体" w:eastAsia="宋体"/>
                <w:color w:val="auto"/>
                <w:sz w:val="24"/>
                <w:szCs w:val="22"/>
                <w:lang w:val="en-US" w:eastAsia="zh-CN"/>
              </w:rPr>
            </w:pPr>
            <w:r>
              <w:rPr>
                <w:rFonts w:hint="eastAsia" w:ascii="宋体" w:hAnsi="宋体"/>
                <w:color w:val="auto"/>
                <w:sz w:val="24"/>
                <w:szCs w:val="22"/>
              </w:rPr>
              <w:t>1</w:t>
            </w:r>
            <w:r>
              <w:rPr>
                <w:rFonts w:hint="eastAsia" w:ascii="宋体" w:hAnsi="宋体"/>
                <w:color w:val="auto"/>
                <w:sz w:val="24"/>
                <w:szCs w:val="22"/>
                <w:lang w:val="en-US" w:eastAsia="zh-CN"/>
              </w:rPr>
              <w:t>7</w:t>
            </w:r>
            <w:r>
              <w:rPr>
                <w:rFonts w:hint="eastAsia" w:ascii="宋体" w:hAnsi="宋体"/>
                <w:color w:val="auto"/>
                <w:sz w:val="24"/>
                <w:szCs w:val="22"/>
              </w:rPr>
              <w:t>#墩</w:t>
            </w:r>
          </w:p>
        </w:tc>
        <w:tc>
          <w:tcPr>
            <w:tcW w:w="931" w:type="pct"/>
            <w:vAlign w:val="center"/>
          </w:tcPr>
          <w:p w14:paraId="58A398BA">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XGT6515D-10S</w:t>
            </w:r>
          </w:p>
        </w:tc>
        <w:tc>
          <w:tcPr>
            <w:tcW w:w="687" w:type="pct"/>
            <w:vAlign w:val="center"/>
          </w:tcPr>
          <w:p w14:paraId="501C3407">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7280AF53">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w:t>
            </w:r>
            <w:r>
              <w:rPr>
                <w:rFonts w:hint="eastAsia" w:ascii="宋体" w:hAnsi="宋体"/>
                <w:color w:val="auto"/>
                <w:sz w:val="24"/>
                <w:szCs w:val="22"/>
              </w:rPr>
              <w:t>0m</w:t>
            </w:r>
          </w:p>
        </w:tc>
        <w:tc>
          <w:tcPr>
            <w:tcW w:w="686" w:type="pct"/>
            <w:vAlign w:val="center"/>
          </w:tcPr>
          <w:p w14:paraId="44538F15">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50m</w:t>
            </w:r>
          </w:p>
        </w:tc>
        <w:tc>
          <w:tcPr>
            <w:tcW w:w="761" w:type="pct"/>
            <w:vAlign w:val="center"/>
          </w:tcPr>
          <w:p w14:paraId="0A577D77">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65m</w:t>
            </w:r>
          </w:p>
        </w:tc>
        <w:tc>
          <w:tcPr>
            <w:tcW w:w="838" w:type="pct"/>
            <w:vAlign w:val="center"/>
          </w:tcPr>
          <w:p w14:paraId="3D3C50CB">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r w14:paraId="4727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31" w:type="pct"/>
            <w:vAlign w:val="center"/>
          </w:tcPr>
          <w:p w14:paraId="532EDC7A">
            <w:pPr>
              <w:pStyle w:val="84"/>
              <w:rPr>
                <w:rFonts w:hint="eastAsia" w:ascii="宋体" w:hAnsi="宋体"/>
                <w:color w:val="auto"/>
                <w:sz w:val="24"/>
                <w:szCs w:val="22"/>
              </w:rPr>
            </w:pPr>
            <w:r>
              <w:rPr>
                <w:rFonts w:hint="eastAsia" w:ascii="宋体" w:hAnsi="宋体"/>
                <w:color w:val="auto"/>
                <w:sz w:val="24"/>
                <w:szCs w:val="22"/>
                <w:lang w:val="en-US" w:eastAsia="zh-CN"/>
              </w:rPr>
              <w:t>20</w:t>
            </w:r>
            <w:r>
              <w:rPr>
                <w:rFonts w:hint="eastAsia" w:ascii="宋体" w:hAnsi="宋体"/>
                <w:color w:val="auto"/>
                <w:sz w:val="24"/>
                <w:szCs w:val="22"/>
              </w:rPr>
              <w:t>#墩</w:t>
            </w:r>
          </w:p>
        </w:tc>
        <w:tc>
          <w:tcPr>
            <w:tcW w:w="931" w:type="pct"/>
            <w:vAlign w:val="center"/>
          </w:tcPr>
          <w:p w14:paraId="4D19A8F6">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XGT6515D-10S</w:t>
            </w:r>
          </w:p>
        </w:tc>
        <w:tc>
          <w:tcPr>
            <w:tcW w:w="687" w:type="pct"/>
            <w:vAlign w:val="center"/>
          </w:tcPr>
          <w:p w14:paraId="0A2D3617">
            <w:pPr>
              <w:ind w:left="0" w:leftChars="0" w:firstLine="0" w:firstLineChars="0"/>
              <w:jc w:val="center"/>
              <w:rPr>
                <w:rFonts w:hint="eastAsia" w:ascii="宋体" w:hAnsi="宋体" w:eastAsia="宋体"/>
                <w:color w:val="auto"/>
                <w:sz w:val="24"/>
                <w:szCs w:val="22"/>
              </w:rPr>
            </w:pPr>
            <w:r>
              <w:rPr>
                <w:rFonts w:hint="eastAsia" w:ascii="宋体" w:hAnsi="宋体" w:eastAsia="宋体"/>
                <w:color w:val="auto"/>
                <w:sz w:val="24"/>
                <w:szCs w:val="22"/>
              </w:rPr>
              <w:t>1台</w:t>
            </w:r>
          </w:p>
        </w:tc>
        <w:tc>
          <w:tcPr>
            <w:tcW w:w="563" w:type="pct"/>
            <w:vAlign w:val="center"/>
          </w:tcPr>
          <w:p w14:paraId="64650FD7">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6</w:t>
            </w:r>
            <w:r>
              <w:rPr>
                <w:rFonts w:hint="eastAsia" w:ascii="宋体" w:hAnsi="宋体"/>
                <w:color w:val="auto"/>
                <w:sz w:val="24"/>
                <w:szCs w:val="22"/>
              </w:rPr>
              <w:t>0m</w:t>
            </w:r>
          </w:p>
        </w:tc>
        <w:tc>
          <w:tcPr>
            <w:tcW w:w="686" w:type="pct"/>
            <w:vAlign w:val="center"/>
          </w:tcPr>
          <w:p w14:paraId="25A8BB70">
            <w:pPr>
              <w:pStyle w:val="84"/>
              <w:rPr>
                <w:rFonts w:hint="eastAsia" w:ascii="宋体" w:hAnsi="宋体"/>
                <w:color w:val="auto"/>
                <w:sz w:val="24"/>
                <w:szCs w:val="22"/>
                <w:lang w:val="en-US" w:eastAsia="zh-CN"/>
              </w:rPr>
            </w:pPr>
            <w:r>
              <w:rPr>
                <w:rFonts w:hint="eastAsia" w:ascii="宋体" w:hAnsi="宋体"/>
                <w:color w:val="auto"/>
                <w:sz w:val="24"/>
                <w:szCs w:val="22"/>
                <w:lang w:val="en-US" w:eastAsia="zh-CN"/>
              </w:rPr>
              <w:t>50m</w:t>
            </w:r>
          </w:p>
        </w:tc>
        <w:tc>
          <w:tcPr>
            <w:tcW w:w="761" w:type="pct"/>
            <w:vAlign w:val="center"/>
          </w:tcPr>
          <w:p w14:paraId="7E4A9B56">
            <w:pPr>
              <w:pStyle w:val="84"/>
              <w:rPr>
                <w:rFonts w:hint="default" w:ascii="宋体" w:hAnsi="宋体" w:eastAsia="宋体"/>
                <w:color w:val="auto"/>
                <w:sz w:val="24"/>
                <w:szCs w:val="22"/>
                <w:lang w:val="en-US" w:eastAsia="zh-CN"/>
              </w:rPr>
            </w:pPr>
            <w:r>
              <w:rPr>
                <w:rFonts w:hint="eastAsia" w:ascii="宋体" w:hAnsi="宋体"/>
                <w:color w:val="auto"/>
                <w:sz w:val="24"/>
                <w:szCs w:val="22"/>
                <w:lang w:val="en-US" w:eastAsia="zh-CN"/>
              </w:rPr>
              <w:t>50m</w:t>
            </w:r>
          </w:p>
        </w:tc>
        <w:tc>
          <w:tcPr>
            <w:tcW w:w="838" w:type="pct"/>
            <w:vAlign w:val="center"/>
          </w:tcPr>
          <w:p w14:paraId="38C958F9">
            <w:pPr>
              <w:pStyle w:val="84"/>
              <w:rPr>
                <w:rFonts w:hint="eastAsia" w:ascii="宋体" w:hAnsi="宋体"/>
                <w:color w:val="auto"/>
                <w:sz w:val="24"/>
                <w:szCs w:val="22"/>
              </w:rPr>
            </w:pPr>
            <w:r>
              <w:rPr>
                <w:rFonts w:hint="eastAsia" w:ascii="宋体" w:hAnsi="宋体"/>
                <w:color w:val="auto"/>
                <w:sz w:val="24"/>
                <w:szCs w:val="22"/>
                <w:lang w:val="en-US" w:eastAsia="zh-CN"/>
              </w:rPr>
              <w:t>扩大</w:t>
            </w:r>
            <w:r>
              <w:rPr>
                <w:rFonts w:hint="eastAsia" w:ascii="宋体" w:hAnsi="宋体"/>
                <w:color w:val="auto"/>
                <w:sz w:val="24"/>
                <w:szCs w:val="22"/>
              </w:rPr>
              <w:t>基础与承台连接</w:t>
            </w:r>
          </w:p>
        </w:tc>
      </w:tr>
    </w:tbl>
    <w:p w14:paraId="42ACF9AD">
      <w:pPr>
        <w:rPr>
          <w:rFonts w:hint="eastAsia" w:ascii="宋体" w:hAnsi="宋体" w:eastAsia="宋体"/>
          <w:color w:val="auto"/>
        </w:rPr>
      </w:pPr>
      <w:r>
        <w:rPr>
          <w:rFonts w:hint="eastAsia" w:ascii="宋体" w:hAnsi="宋体" w:eastAsia="宋体"/>
          <w:color w:val="auto"/>
        </w:rPr>
        <w:br w:type="page"/>
      </w:r>
    </w:p>
    <w:p w14:paraId="40AECFA7">
      <w:pPr>
        <w:pStyle w:val="3"/>
        <w:ind w:left="480"/>
        <w:rPr>
          <w:rFonts w:hint="eastAsia" w:ascii="宋体" w:hAnsi="宋体" w:eastAsia="宋体"/>
          <w:color w:val="auto"/>
        </w:rPr>
      </w:pPr>
      <w:bookmarkStart w:id="68" w:name="_Toc2914"/>
      <w:r>
        <w:rPr>
          <w:rFonts w:hint="eastAsia" w:ascii="宋体" w:hAnsi="宋体" w:eastAsia="宋体"/>
          <w:color w:val="auto"/>
        </w:rPr>
        <w:t>3.2塔式起重机性能参数</w:t>
      </w:r>
      <w:bookmarkEnd w:id="67"/>
      <w:bookmarkEnd w:id="68"/>
    </w:p>
    <w:p w14:paraId="2CA570A5">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rFonts w:hint="eastAsia" w:ascii="宋体" w:hAnsi="宋体" w:eastAsia="宋体"/>
          <w:color w:val="auto"/>
        </w:rPr>
        <w:t xml:space="preserve">  </w:t>
      </w:r>
      <w:r>
        <w:rPr>
          <w:rFonts w:hint="eastAsia" w:ascii="宋体" w:hAnsi="宋体" w:eastAsia="宋体"/>
          <w:color w:val="auto"/>
          <w:lang w:eastAsia="zh-CN"/>
        </w:rPr>
        <w:t>XGT6015A-8S</w:t>
      </w:r>
      <w:r>
        <w:rPr>
          <w:rFonts w:hint="eastAsia" w:ascii="宋体" w:hAnsi="宋体" w:eastAsia="宋体"/>
          <w:color w:val="auto"/>
        </w:rPr>
        <w:t>塔机性能参数表</w:t>
      </w:r>
    </w:p>
    <w:p w14:paraId="7EDE2700">
      <w:pPr>
        <w:pStyle w:val="82"/>
        <w:ind w:firstLine="0" w:firstLineChars="0"/>
        <w:jc w:val="center"/>
        <w:rPr>
          <w:rFonts w:hint="eastAsia" w:ascii="宋体" w:hAnsi="宋体" w:eastAsia="宋体"/>
          <w:color w:val="auto"/>
        </w:rPr>
      </w:pPr>
      <w:r>
        <w:drawing>
          <wp:inline distT="0" distB="0" distL="114300" distR="114300">
            <wp:extent cx="5149850" cy="8133715"/>
            <wp:effectExtent l="0" t="0" r="127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149850" cy="8133715"/>
                    </a:xfrm>
                    <a:prstGeom prst="rect">
                      <a:avLst/>
                    </a:prstGeom>
                    <a:noFill/>
                    <a:ln>
                      <a:noFill/>
                    </a:ln>
                  </pic:spPr>
                </pic:pic>
              </a:graphicData>
            </a:graphic>
          </wp:inline>
        </w:drawing>
      </w:r>
    </w:p>
    <w:p w14:paraId="500EAA75">
      <w:pPr>
        <w:pStyle w:val="82"/>
        <w:ind w:firstLine="0" w:firstLineChars="0"/>
        <w:jc w:val="center"/>
        <w:rPr>
          <w:rFonts w:hint="eastAsia" w:ascii="宋体" w:hAnsi="宋体" w:eastAsia="宋体"/>
          <w:color w:val="auto"/>
        </w:rPr>
      </w:pPr>
      <w:r>
        <w:drawing>
          <wp:inline distT="0" distB="0" distL="114300" distR="114300">
            <wp:extent cx="5301615" cy="159194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301615" cy="1591945"/>
                    </a:xfrm>
                    <a:prstGeom prst="rect">
                      <a:avLst/>
                    </a:prstGeom>
                    <a:noFill/>
                    <a:ln>
                      <a:noFill/>
                    </a:ln>
                  </pic:spPr>
                </pic:pic>
              </a:graphicData>
            </a:graphic>
          </wp:inline>
        </w:drawing>
      </w:r>
    </w:p>
    <w:p w14:paraId="2C6A8CA1">
      <w:pPr>
        <w:pStyle w:val="82"/>
        <w:ind w:firstLine="0" w:firstLineChars="0"/>
        <w:jc w:val="center"/>
        <w:rPr>
          <w:rFonts w:hint="default" w:ascii="宋体" w:hAnsi="宋体" w:eastAsia="宋体"/>
          <w:color w:val="auto"/>
          <w:lang w:val="en-US" w:eastAsia="zh-CN"/>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rFonts w:hint="eastAsia" w:ascii="宋体" w:hAnsi="宋体" w:eastAsia="宋体"/>
          <w:color w:val="auto"/>
          <w:lang w:val="en-US" w:eastAsia="zh-CN"/>
        </w:rPr>
        <w:t>XGT6015A-8S载荷性能表</w:t>
      </w:r>
    </w:p>
    <w:p w14:paraId="06C91B73">
      <w:pPr>
        <w:pStyle w:val="82"/>
        <w:ind w:firstLine="0" w:firstLineChars="0"/>
        <w:jc w:val="center"/>
        <w:rPr>
          <w:rFonts w:hint="eastAsia"/>
          <w:color w:val="auto"/>
        </w:rPr>
      </w:pPr>
      <w:r>
        <w:rPr>
          <w:rFonts w:hint="eastAsia" w:ascii="宋体" w:hAnsi="宋体" w:eastAsia="宋体"/>
          <w:color w:val="auto"/>
        </w:rPr>
        <w:drawing>
          <wp:inline distT="0" distB="0" distL="114300" distR="114300">
            <wp:extent cx="4951095" cy="2698115"/>
            <wp:effectExtent l="0" t="0" r="1905" b="146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4951095" cy="2698115"/>
                    </a:xfrm>
                    <a:prstGeom prst="rect">
                      <a:avLst/>
                    </a:prstGeom>
                    <a:noFill/>
                    <a:ln>
                      <a:noFill/>
                    </a:ln>
                  </pic:spPr>
                </pic:pic>
              </a:graphicData>
            </a:graphic>
          </wp:inline>
        </w:drawing>
      </w:r>
    </w:p>
    <w:p w14:paraId="02AACCBF">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3</w:t>
      </w:r>
      <w:r>
        <w:rPr>
          <w:rFonts w:hint="eastAsia" w:ascii="宋体" w:hAnsi="宋体" w:eastAsia="宋体"/>
          <w:color w:val="auto"/>
        </w:rPr>
        <w:t xml:space="preserve"> </w:t>
      </w:r>
      <w:r>
        <w:rPr>
          <w:rFonts w:hint="eastAsia" w:ascii="宋体" w:hAnsi="宋体" w:eastAsia="宋体"/>
          <w:color w:val="auto"/>
          <w:lang w:eastAsia="zh-CN"/>
        </w:rPr>
        <w:t>XGT6</w:t>
      </w:r>
      <w:r>
        <w:rPr>
          <w:rFonts w:hint="eastAsia" w:ascii="宋体" w:hAnsi="宋体" w:eastAsia="宋体"/>
          <w:color w:val="auto"/>
          <w:lang w:val="en-US" w:eastAsia="zh-CN"/>
        </w:rPr>
        <w:t>5</w:t>
      </w:r>
      <w:r>
        <w:rPr>
          <w:rFonts w:hint="eastAsia" w:ascii="宋体" w:hAnsi="宋体" w:eastAsia="宋体"/>
          <w:color w:val="auto"/>
          <w:lang w:eastAsia="zh-CN"/>
        </w:rPr>
        <w:t>15</w:t>
      </w:r>
      <w:r>
        <w:rPr>
          <w:rFonts w:hint="eastAsia" w:ascii="宋体" w:hAnsi="宋体" w:eastAsia="宋体"/>
          <w:color w:val="auto"/>
          <w:lang w:val="en-US" w:eastAsia="zh-CN"/>
        </w:rPr>
        <w:t>D</w:t>
      </w:r>
      <w:r>
        <w:rPr>
          <w:rFonts w:hint="eastAsia" w:ascii="宋体" w:hAnsi="宋体" w:eastAsia="宋体"/>
          <w:color w:val="auto"/>
          <w:lang w:eastAsia="zh-CN"/>
        </w:rPr>
        <w:t>-</w:t>
      </w:r>
      <w:r>
        <w:rPr>
          <w:rFonts w:hint="eastAsia" w:ascii="宋体" w:hAnsi="宋体" w:eastAsia="宋体"/>
          <w:color w:val="auto"/>
          <w:lang w:val="en-US" w:eastAsia="zh-CN"/>
        </w:rPr>
        <w:t>10</w:t>
      </w:r>
      <w:r>
        <w:rPr>
          <w:rFonts w:hint="eastAsia" w:ascii="宋体" w:hAnsi="宋体" w:eastAsia="宋体"/>
          <w:color w:val="auto"/>
          <w:lang w:eastAsia="zh-CN"/>
        </w:rPr>
        <w:t>S</w:t>
      </w:r>
      <w:r>
        <w:rPr>
          <w:rFonts w:hint="eastAsia" w:ascii="宋体" w:hAnsi="宋体" w:eastAsia="宋体"/>
          <w:color w:val="auto"/>
        </w:rPr>
        <w:t>塔机性能参数表</w:t>
      </w:r>
    </w:p>
    <w:p w14:paraId="0E4EE185">
      <w:pPr>
        <w:pStyle w:val="82"/>
        <w:ind w:firstLine="0" w:firstLineChars="0"/>
        <w:jc w:val="center"/>
      </w:pPr>
      <w:r>
        <w:drawing>
          <wp:inline distT="0" distB="0" distL="114300" distR="114300">
            <wp:extent cx="5095875" cy="3498850"/>
            <wp:effectExtent l="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rcRect b="49333"/>
                    <a:stretch>
                      <a:fillRect/>
                    </a:stretch>
                  </pic:blipFill>
                  <pic:spPr>
                    <a:xfrm>
                      <a:off x="0" y="0"/>
                      <a:ext cx="5095875" cy="3498850"/>
                    </a:xfrm>
                    <a:prstGeom prst="rect">
                      <a:avLst/>
                    </a:prstGeom>
                    <a:noFill/>
                    <a:ln>
                      <a:noFill/>
                    </a:ln>
                  </pic:spPr>
                </pic:pic>
              </a:graphicData>
            </a:graphic>
          </wp:inline>
        </w:drawing>
      </w:r>
    </w:p>
    <w:p w14:paraId="138DA7DE">
      <w:pPr>
        <w:pStyle w:val="82"/>
        <w:ind w:firstLine="0" w:firstLineChars="0"/>
        <w:jc w:val="center"/>
        <w:rPr>
          <w:rFonts w:hint="eastAsia"/>
        </w:rPr>
      </w:pPr>
      <w:r>
        <w:drawing>
          <wp:inline distT="0" distB="0" distL="114300" distR="114300">
            <wp:extent cx="5095875" cy="341884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rcRect t="50492"/>
                    <a:stretch>
                      <a:fillRect/>
                    </a:stretch>
                  </pic:blipFill>
                  <pic:spPr>
                    <a:xfrm>
                      <a:off x="0" y="0"/>
                      <a:ext cx="5095875" cy="3418840"/>
                    </a:xfrm>
                    <a:prstGeom prst="rect">
                      <a:avLst/>
                    </a:prstGeom>
                    <a:noFill/>
                    <a:ln>
                      <a:noFill/>
                    </a:ln>
                  </pic:spPr>
                </pic:pic>
              </a:graphicData>
            </a:graphic>
          </wp:inline>
        </w:drawing>
      </w:r>
    </w:p>
    <w:p w14:paraId="6A2E4BB4">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4 XGT6515D-10S载荷性能表</w:t>
      </w:r>
    </w:p>
    <w:p w14:paraId="3122FD37">
      <w:pPr>
        <w:pStyle w:val="82"/>
        <w:ind w:firstLine="0" w:firstLineChars="0"/>
        <w:jc w:val="center"/>
        <w:rPr>
          <w:rFonts w:hint="eastAsia" w:ascii="宋体" w:hAnsi="宋体" w:eastAsia="宋体"/>
          <w:color w:val="auto"/>
        </w:rPr>
      </w:pPr>
      <w:r>
        <w:drawing>
          <wp:inline distT="0" distB="0" distL="114300" distR="114300">
            <wp:extent cx="5095875" cy="2619375"/>
            <wp:effectExtent l="0" t="0" r="9525" b="190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095875" cy="2619375"/>
                    </a:xfrm>
                    <a:prstGeom prst="rect">
                      <a:avLst/>
                    </a:prstGeom>
                    <a:noFill/>
                    <a:ln>
                      <a:noFill/>
                    </a:ln>
                  </pic:spPr>
                </pic:pic>
              </a:graphicData>
            </a:graphic>
          </wp:inline>
        </w:drawing>
      </w:r>
      <w:r>
        <w:rPr>
          <w:rFonts w:hint="eastAsia" w:ascii="宋体" w:hAnsi="宋体" w:eastAsia="宋体"/>
          <w:color w:val="auto"/>
          <w:lang w:val="en-US"/>
        </w:rPr>
        <w:t xml:space="preserve">  </w:t>
      </w:r>
    </w:p>
    <w:p w14:paraId="73EFF826">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5</w:t>
      </w:r>
      <w:r>
        <w:rPr>
          <w:rFonts w:hint="eastAsia" w:ascii="宋体" w:hAnsi="宋体" w:eastAsia="宋体"/>
          <w:color w:val="auto"/>
        </w:rPr>
        <w:t xml:space="preserve"> </w:t>
      </w:r>
      <w:r>
        <w:rPr>
          <w:rFonts w:hint="eastAsia" w:ascii="宋体" w:hAnsi="宋体" w:eastAsia="宋体"/>
          <w:color w:val="auto"/>
          <w:lang w:eastAsia="zh-CN"/>
        </w:rPr>
        <w:t>XGT6</w:t>
      </w:r>
      <w:r>
        <w:rPr>
          <w:rFonts w:hint="eastAsia" w:ascii="宋体" w:hAnsi="宋体" w:eastAsia="宋体"/>
          <w:color w:val="auto"/>
          <w:lang w:val="en-US" w:eastAsia="zh-CN"/>
        </w:rPr>
        <w:t>5</w:t>
      </w:r>
      <w:r>
        <w:rPr>
          <w:rFonts w:hint="eastAsia" w:ascii="宋体" w:hAnsi="宋体" w:eastAsia="宋体"/>
          <w:color w:val="auto"/>
          <w:lang w:eastAsia="zh-CN"/>
        </w:rPr>
        <w:t>15-</w:t>
      </w:r>
      <w:r>
        <w:rPr>
          <w:rFonts w:hint="eastAsia" w:ascii="宋体" w:hAnsi="宋体" w:eastAsia="宋体"/>
          <w:color w:val="auto"/>
          <w:lang w:val="en-US" w:eastAsia="zh-CN"/>
        </w:rPr>
        <w:t>10</w:t>
      </w:r>
      <w:r>
        <w:rPr>
          <w:rFonts w:hint="eastAsia" w:ascii="宋体" w:hAnsi="宋体" w:eastAsia="宋体"/>
          <w:color w:val="auto"/>
          <w:lang w:eastAsia="zh-CN"/>
        </w:rPr>
        <w:t>S</w:t>
      </w:r>
      <w:r>
        <w:rPr>
          <w:rFonts w:hint="eastAsia" w:ascii="宋体" w:hAnsi="宋体" w:eastAsia="宋体"/>
          <w:color w:val="auto"/>
        </w:rPr>
        <w:t>塔机性能参数表</w:t>
      </w:r>
    </w:p>
    <w:p w14:paraId="46DC053D">
      <w:pPr>
        <w:pStyle w:val="82"/>
        <w:ind w:firstLine="0" w:firstLineChars="0"/>
        <w:jc w:val="center"/>
        <w:rPr>
          <w:rFonts w:hint="eastAsia" w:ascii="宋体" w:hAnsi="宋体" w:eastAsia="宋体"/>
          <w:color w:val="auto"/>
        </w:rPr>
      </w:pPr>
      <w:r>
        <w:drawing>
          <wp:inline distT="0" distB="0" distL="114300" distR="114300">
            <wp:extent cx="5438775" cy="189230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rcRect b="74199"/>
                    <a:stretch>
                      <a:fillRect/>
                    </a:stretch>
                  </pic:blipFill>
                  <pic:spPr>
                    <a:xfrm>
                      <a:off x="0" y="0"/>
                      <a:ext cx="5438775" cy="1892300"/>
                    </a:xfrm>
                    <a:prstGeom prst="rect">
                      <a:avLst/>
                    </a:prstGeom>
                    <a:noFill/>
                    <a:ln>
                      <a:noFill/>
                    </a:ln>
                  </pic:spPr>
                </pic:pic>
              </a:graphicData>
            </a:graphic>
          </wp:inline>
        </w:drawing>
      </w:r>
      <w:r>
        <w:drawing>
          <wp:inline distT="0" distB="0" distL="114300" distR="114300">
            <wp:extent cx="5438775" cy="5455285"/>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4"/>
                    <a:srcRect t="25619"/>
                    <a:stretch>
                      <a:fillRect/>
                    </a:stretch>
                  </pic:blipFill>
                  <pic:spPr>
                    <a:xfrm>
                      <a:off x="0" y="0"/>
                      <a:ext cx="5438775" cy="5455285"/>
                    </a:xfrm>
                    <a:prstGeom prst="rect">
                      <a:avLst/>
                    </a:prstGeom>
                    <a:noFill/>
                    <a:ln>
                      <a:noFill/>
                    </a:ln>
                  </pic:spPr>
                </pic:pic>
              </a:graphicData>
            </a:graphic>
          </wp:inline>
        </w:drawing>
      </w:r>
    </w:p>
    <w:p w14:paraId="097D58C4">
      <w:pPr>
        <w:pStyle w:val="82"/>
        <w:ind w:firstLine="0" w:firstLineChars="0"/>
        <w:jc w:val="center"/>
        <w:rPr>
          <w:rFonts w:hint="eastAsia" w:ascii="宋体" w:hAnsi="宋体" w:eastAsia="宋体"/>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3.2</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6 XGT6515-10S载荷性能表</w:t>
      </w:r>
    </w:p>
    <w:p w14:paraId="3C9E8B33">
      <w:pPr>
        <w:pStyle w:val="83"/>
        <w:rPr>
          <w:rFonts w:hint="eastAsia"/>
          <w:color w:val="auto"/>
          <w:lang w:val="en-US"/>
        </w:rPr>
      </w:pPr>
      <w:r>
        <w:drawing>
          <wp:inline distT="0" distB="0" distL="114300" distR="114300">
            <wp:extent cx="5481320" cy="2828925"/>
            <wp:effectExtent l="0" t="0" r="5080" b="571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5481320" cy="2828925"/>
                    </a:xfrm>
                    <a:prstGeom prst="rect">
                      <a:avLst/>
                    </a:prstGeom>
                    <a:noFill/>
                    <a:ln>
                      <a:noFill/>
                    </a:ln>
                  </pic:spPr>
                </pic:pic>
              </a:graphicData>
            </a:graphic>
          </wp:inline>
        </w:drawing>
      </w:r>
    </w:p>
    <w:p w14:paraId="294EEDDC">
      <w:pPr>
        <w:pStyle w:val="3"/>
        <w:ind w:left="480"/>
        <w:rPr>
          <w:rFonts w:hint="eastAsia"/>
          <w:color w:val="auto"/>
        </w:rPr>
      </w:pPr>
      <w:bookmarkStart w:id="69" w:name="_Toc13373"/>
      <w:bookmarkStart w:id="70" w:name="_Toc182895390"/>
      <w:bookmarkStart w:id="71" w:name="_Toc17920"/>
      <w:r>
        <w:rPr>
          <w:rFonts w:hint="eastAsia"/>
          <w:color w:val="auto"/>
        </w:rPr>
        <w:t>3.3主要安装部件重量</w:t>
      </w:r>
      <w:bookmarkEnd w:id="66"/>
      <w:bookmarkEnd w:id="69"/>
      <w:r>
        <w:rPr>
          <w:rFonts w:hint="eastAsia"/>
          <w:color w:val="auto"/>
        </w:rPr>
        <w:t>和尺寸</w:t>
      </w:r>
      <w:bookmarkEnd w:id="70"/>
      <w:bookmarkEnd w:id="71"/>
    </w:p>
    <w:p w14:paraId="5407CB97">
      <w:pPr>
        <w:ind w:firstLine="480"/>
        <w:jc w:val="center"/>
        <w:rPr>
          <w:rFonts w:hint="eastAsia"/>
          <w:color w:val="auto"/>
        </w:rPr>
      </w:pPr>
      <w:r>
        <w:rPr>
          <w:color w:val="auto"/>
        </w:rPr>
        <w:t>表</w:t>
      </w:r>
      <w:r>
        <w:rPr>
          <w:rFonts w:hint="eastAsia"/>
          <w:color w:val="auto"/>
        </w:rPr>
        <w:t>3.3-</w:t>
      </w:r>
      <w:r>
        <w:rPr>
          <w:color w:val="auto"/>
        </w:rPr>
        <w:t xml:space="preserve">1  </w:t>
      </w:r>
      <w:r>
        <w:rPr>
          <w:rFonts w:hint="eastAsia"/>
          <w:color w:val="auto"/>
          <w:lang w:val="en-US" w:eastAsia="zh-CN"/>
        </w:rPr>
        <w:t>XGT</w:t>
      </w:r>
      <w:r>
        <w:rPr>
          <w:rFonts w:hint="eastAsia"/>
          <w:color w:val="auto"/>
        </w:rPr>
        <w:t>6</w:t>
      </w:r>
      <w:r>
        <w:rPr>
          <w:rFonts w:hint="eastAsia"/>
          <w:color w:val="auto"/>
          <w:lang w:val="en-US" w:eastAsia="zh-CN"/>
        </w:rPr>
        <w:t>0</w:t>
      </w:r>
      <w:r>
        <w:rPr>
          <w:rFonts w:hint="eastAsia"/>
          <w:color w:val="auto"/>
        </w:rPr>
        <w:t>15</w:t>
      </w:r>
      <w:r>
        <w:rPr>
          <w:rFonts w:hint="eastAsia"/>
          <w:color w:val="auto"/>
          <w:lang w:val="en-US" w:eastAsia="zh-CN"/>
        </w:rPr>
        <w:t>A</w:t>
      </w:r>
      <w:r>
        <w:rPr>
          <w:color w:val="auto"/>
        </w:rPr>
        <w:t>-</w:t>
      </w:r>
      <w:r>
        <w:rPr>
          <w:rFonts w:hint="eastAsia"/>
          <w:color w:val="auto"/>
          <w:lang w:val="en-US" w:eastAsia="zh-CN"/>
        </w:rPr>
        <w:t>8S</w:t>
      </w:r>
      <w:r>
        <w:rPr>
          <w:color w:val="auto"/>
        </w:rPr>
        <w:t>主要部件重量尺寸表</w:t>
      </w:r>
    </w:p>
    <w:p w14:paraId="4A1A4250">
      <w:pPr>
        <w:pStyle w:val="82"/>
        <w:ind w:left="0" w:leftChars="0" w:firstLine="0" w:firstLineChars="0"/>
        <w:jc w:val="center"/>
        <w:rPr>
          <w:rFonts w:hint="eastAsia"/>
          <w:color w:val="auto"/>
        </w:rPr>
      </w:pPr>
      <w:r>
        <w:drawing>
          <wp:inline distT="0" distB="0" distL="114300" distR="114300">
            <wp:extent cx="4830445" cy="8047990"/>
            <wp:effectExtent l="0" t="0" r="635" b="139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6"/>
                    <a:srcRect l="12683"/>
                    <a:stretch>
                      <a:fillRect/>
                    </a:stretch>
                  </pic:blipFill>
                  <pic:spPr>
                    <a:xfrm>
                      <a:off x="0" y="0"/>
                      <a:ext cx="4830445" cy="8047990"/>
                    </a:xfrm>
                    <a:prstGeom prst="rect">
                      <a:avLst/>
                    </a:prstGeom>
                    <a:noFill/>
                    <a:ln>
                      <a:noFill/>
                    </a:ln>
                  </pic:spPr>
                </pic:pic>
              </a:graphicData>
            </a:graphic>
          </wp:inline>
        </w:drawing>
      </w:r>
      <w:r>
        <w:drawing>
          <wp:inline distT="0" distB="0" distL="114300" distR="114300">
            <wp:extent cx="4913630" cy="8398510"/>
            <wp:effectExtent l="0" t="0" r="8890"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7"/>
                    <a:stretch>
                      <a:fillRect/>
                    </a:stretch>
                  </pic:blipFill>
                  <pic:spPr>
                    <a:xfrm>
                      <a:off x="0" y="0"/>
                      <a:ext cx="4913630" cy="8398510"/>
                    </a:xfrm>
                    <a:prstGeom prst="rect">
                      <a:avLst/>
                    </a:prstGeom>
                    <a:noFill/>
                    <a:ln>
                      <a:noFill/>
                    </a:ln>
                  </pic:spPr>
                </pic:pic>
              </a:graphicData>
            </a:graphic>
          </wp:inline>
        </w:drawing>
      </w:r>
    </w:p>
    <w:p w14:paraId="6C6EC476">
      <w:pPr>
        <w:pStyle w:val="82"/>
        <w:ind w:firstLine="480"/>
        <w:rPr>
          <w:rFonts w:hint="eastAsia"/>
          <w:color w:val="auto"/>
        </w:rPr>
      </w:pPr>
      <w:r>
        <w:drawing>
          <wp:inline distT="0" distB="0" distL="114300" distR="114300">
            <wp:extent cx="4680585" cy="8769985"/>
            <wp:effectExtent l="0" t="0" r="13335" b="825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8"/>
                    <a:srcRect l="12547"/>
                    <a:stretch>
                      <a:fillRect/>
                    </a:stretch>
                  </pic:blipFill>
                  <pic:spPr>
                    <a:xfrm>
                      <a:off x="0" y="0"/>
                      <a:ext cx="4680585" cy="8769985"/>
                    </a:xfrm>
                    <a:prstGeom prst="rect">
                      <a:avLst/>
                    </a:prstGeom>
                    <a:noFill/>
                    <a:ln>
                      <a:noFill/>
                    </a:ln>
                  </pic:spPr>
                </pic:pic>
              </a:graphicData>
            </a:graphic>
          </wp:inline>
        </w:drawing>
      </w:r>
    </w:p>
    <w:p w14:paraId="4FCB8EDB">
      <w:pPr>
        <w:pStyle w:val="82"/>
        <w:ind w:left="0" w:leftChars="0" w:firstLine="0" w:firstLineChars="0"/>
        <w:jc w:val="center"/>
        <w:rPr>
          <w:color w:val="auto"/>
        </w:rPr>
      </w:pPr>
      <w:r>
        <w:rPr>
          <w:color w:val="auto"/>
        </w:rPr>
        <w:t>表</w:t>
      </w:r>
      <w:r>
        <w:rPr>
          <w:rFonts w:hint="eastAsia"/>
          <w:color w:val="auto"/>
        </w:rPr>
        <w:t>3.3-</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w:t>
      </w:r>
      <w:r>
        <w:rPr>
          <w:rFonts w:hint="eastAsia"/>
          <w:color w:val="auto"/>
        </w:rPr>
        <w:t>15</w:t>
      </w:r>
      <w:r>
        <w:rPr>
          <w:rFonts w:hint="eastAsia"/>
          <w:color w:val="auto"/>
          <w:lang w:val="en-US" w:eastAsia="zh-CN"/>
        </w:rPr>
        <w:t>D</w:t>
      </w:r>
      <w:r>
        <w:rPr>
          <w:color w:val="auto"/>
        </w:rPr>
        <w:t>-</w:t>
      </w:r>
      <w:r>
        <w:rPr>
          <w:rFonts w:hint="eastAsia"/>
          <w:color w:val="auto"/>
          <w:lang w:val="en-US" w:eastAsia="zh-CN"/>
        </w:rPr>
        <w:t>10S</w:t>
      </w:r>
      <w:r>
        <w:rPr>
          <w:color w:val="auto"/>
        </w:rPr>
        <w:t>主要部件重量尺寸表</w:t>
      </w:r>
    </w:p>
    <w:p w14:paraId="1BED029E">
      <w:pPr>
        <w:pStyle w:val="82"/>
        <w:ind w:left="0" w:leftChars="0" w:firstLine="0" w:firstLineChars="0"/>
        <w:jc w:val="center"/>
      </w:pPr>
      <w:r>
        <w:drawing>
          <wp:inline distT="0" distB="0" distL="114300" distR="114300">
            <wp:extent cx="4879340" cy="7705725"/>
            <wp:effectExtent l="0" t="0" r="12700" b="571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9"/>
                    <a:stretch>
                      <a:fillRect/>
                    </a:stretch>
                  </pic:blipFill>
                  <pic:spPr>
                    <a:xfrm>
                      <a:off x="0" y="0"/>
                      <a:ext cx="4879340" cy="7705725"/>
                    </a:xfrm>
                    <a:prstGeom prst="rect">
                      <a:avLst/>
                    </a:prstGeom>
                    <a:noFill/>
                    <a:ln>
                      <a:noFill/>
                    </a:ln>
                  </pic:spPr>
                </pic:pic>
              </a:graphicData>
            </a:graphic>
          </wp:inline>
        </w:drawing>
      </w:r>
    </w:p>
    <w:p w14:paraId="30FBE755">
      <w:pPr>
        <w:pStyle w:val="82"/>
        <w:ind w:left="0" w:leftChars="0" w:firstLine="0" w:firstLineChars="0"/>
        <w:jc w:val="center"/>
      </w:pPr>
      <w:r>
        <w:drawing>
          <wp:inline distT="0" distB="0" distL="114300" distR="114300">
            <wp:extent cx="5095875" cy="7296150"/>
            <wp:effectExtent l="0" t="0" r="9525" b="381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0"/>
                    <a:stretch>
                      <a:fillRect/>
                    </a:stretch>
                  </pic:blipFill>
                  <pic:spPr>
                    <a:xfrm>
                      <a:off x="0" y="0"/>
                      <a:ext cx="5095875" cy="7296150"/>
                    </a:xfrm>
                    <a:prstGeom prst="rect">
                      <a:avLst/>
                    </a:prstGeom>
                    <a:noFill/>
                    <a:ln>
                      <a:noFill/>
                    </a:ln>
                  </pic:spPr>
                </pic:pic>
              </a:graphicData>
            </a:graphic>
          </wp:inline>
        </w:drawing>
      </w:r>
      <w:r>
        <w:drawing>
          <wp:inline distT="0" distB="0" distL="114300" distR="114300">
            <wp:extent cx="4941570" cy="5743575"/>
            <wp:effectExtent l="0" t="0" r="11430" b="190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31"/>
                    <a:stretch>
                      <a:fillRect/>
                    </a:stretch>
                  </pic:blipFill>
                  <pic:spPr>
                    <a:xfrm>
                      <a:off x="0" y="0"/>
                      <a:ext cx="4941570" cy="5743575"/>
                    </a:xfrm>
                    <a:prstGeom prst="rect">
                      <a:avLst/>
                    </a:prstGeom>
                    <a:noFill/>
                    <a:ln>
                      <a:noFill/>
                    </a:ln>
                  </pic:spPr>
                </pic:pic>
              </a:graphicData>
            </a:graphic>
          </wp:inline>
        </w:drawing>
      </w:r>
    </w:p>
    <w:p w14:paraId="6573883D">
      <w:pPr>
        <w:pStyle w:val="82"/>
        <w:ind w:left="0" w:leftChars="0" w:firstLine="0" w:firstLineChars="0"/>
        <w:jc w:val="center"/>
        <w:rPr>
          <w:color w:val="auto"/>
        </w:rPr>
      </w:pPr>
      <w:r>
        <w:rPr>
          <w:color w:val="auto"/>
        </w:rPr>
        <w:t>表</w:t>
      </w:r>
      <w:r>
        <w:rPr>
          <w:rFonts w:hint="eastAsia"/>
          <w:color w:val="auto"/>
        </w:rPr>
        <w:t>3.3-</w:t>
      </w:r>
      <w:r>
        <w:rPr>
          <w:rFonts w:hint="eastAsia"/>
          <w:color w:val="auto"/>
          <w:lang w:val="en-US" w:eastAsia="zh-CN"/>
        </w:rPr>
        <w:t>3</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w:t>
      </w:r>
      <w:r>
        <w:rPr>
          <w:rFonts w:hint="eastAsia"/>
          <w:color w:val="auto"/>
        </w:rPr>
        <w:t>15</w:t>
      </w:r>
      <w:r>
        <w:rPr>
          <w:color w:val="auto"/>
        </w:rPr>
        <w:t>-</w:t>
      </w:r>
      <w:r>
        <w:rPr>
          <w:rFonts w:hint="eastAsia"/>
          <w:color w:val="auto"/>
          <w:lang w:val="en-US" w:eastAsia="zh-CN"/>
        </w:rPr>
        <w:t>10S</w:t>
      </w:r>
      <w:r>
        <w:rPr>
          <w:color w:val="auto"/>
        </w:rPr>
        <w:t>主要部件重量尺寸表</w:t>
      </w:r>
    </w:p>
    <w:p w14:paraId="64F7192E">
      <w:pPr>
        <w:pStyle w:val="82"/>
        <w:ind w:left="0" w:leftChars="0" w:firstLine="0" w:firstLineChars="0"/>
        <w:jc w:val="center"/>
      </w:pPr>
      <w:r>
        <w:drawing>
          <wp:inline distT="0" distB="0" distL="114300" distR="114300">
            <wp:extent cx="4909185" cy="2699385"/>
            <wp:effectExtent l="0" t="0" r="13335" b="1333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2"/>
                    <a:stretch>
                      <a:fillRect/>
                    </a:stretch>
                  </pic:blipFill>
                  <pic:spPr>
                    <a:xfrm>
                      <a:off x="0" y="0"/>
                      <a:ext cx="4909185" cy="2699385"/>
                    </a:xfrm>
                    <a:prstGeom prst="rect">
                      <a:avLst/>
                    </a:prstGeom>
                    <a:noFill/>
                    <a:ln>
                      <a:noFill/>
                    </a:ln>
                  </pic:spPr>
                </pic:pic>
              </a:graphicData>
            </a:graphic>
          </wp:inline>
        </w:drawing>
      </w:r>
    </w:p>
    <w:p w14:paraId="0F387846">
      <w:pPr>
        <w:pStyle w:val="82"/>
        <w:ind w:left="0" w:leftChars="0" w:firstLine="0" w:firstLineChars="0"/>
        <w:jc w:val="center"/>
      </w:pPr>
      <w:r>
        <w:drawing>
          <wp:inline distT="0" distB="0" distL="114300" distR="114300">
            <wp:extent cx="4699000" cy="8819515"/>
            <wp:effectExtent l="0" t="0" r="10160" b="4445"/>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3"/>
                    <a:stretch>
                      <a:fillRect/>
                    </a:stretch>
                  </pic:blipFill>
                  <pic:spPr>
                    <a:xfrm>
                      <a:off x="0" y="0"/>
                      <a:ext cx="4699000" cy="8819515"/>
                    </a:xfrm>
                    <a:prstGeom prst="rect">
                      <a:avLst/>
                    </a:prstGeom>
                    <a:noFill/>
                    <a:ln>
                      <a:noFill/>
                    </a:ln>
                  </pic:spPr>
                </pic:pic>
              </a:graphicData>
            </a:graphic>
          </wp:inline>
        </w:drawing>
      </w:r>
      <w:r>
        <w:drawing>
          <wp:inline distT="0" distB="0" distL="114300" distR="114300">
            <wp:extent cx="5008880" cy="5352415"/>
            <wp:effectExtent l="0" t="0" r="5080" b="1206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4"/>
                    <a:stretch>
                      <a:fillRect/>
                    </a:stretch>
                  </pic:blipFill>
                  <pic:spPr>
                    <a:xfrm>
                      <a:off x="0" y="0"/>
                      <a:ext cx="5008880" cy="5352415"/>
                    </a:xfrm>
                    <a:prstGeom prst="rect">
                      <a:avLst/>
                    </a:prstGeom>
                    <a:noFill/>
                    <a:ln>
                      <a:noFill/>
                    </a:ln>
                  </pic:spPr>
                </pic:pic>
              </a:graphicData>
            </a:graphic>
          </wp:inline>
        </w:drawing>
      </w:r>
    </w:p>
    <w:p w14:paraId="26C17366">
      <w:pPr>
        <w:pStyle w:val="3"/>
        <w:ind w:left="480"/>
        <w:rPr>
          <w:rFonts w:hint="eastAsia"/>
          <w:color w:val="auto"/>
        </w:rPr>
      </w:pPr>
      <w:bookmarkStart w:id="72" w:name="_Toc26200"/>
      <w:bookmarkStart w:id="73" w:name="_Toc22045_WPSOffice_Level2"/>
      <w:bookmarkStart w:id="74" w:name="_Toc19993"/>
      <w:bookmarkStart w:id="75" w:name="_Toc182895391"/>
      <w:bookmarkStart w:id="76" w:name="_Toc27858"/>
      <w:r>
        <w:rPr>
          <w:rFonts w:hint="eastAsia"/>
          <w:color w:val="auto"/>
        </w:rPr>
        <w:t>3.4</w:t>
      </w:r>
      <w:r>
        <w:rPr>
          <w:color w:val="auto"/>
        </w:rPr>
        <w:t>塔机基础</w:t>
      </w:r>
      <w:bookmarkEnd w:id="72"/>
      <w:bookmarkEnd w:id="73"/>
      <w:bookmarkEnd w:id="74"/>
      <w:bookmarkEnd w:id="75"/>
      <w:bookmarkEnd w:id="76"/>
    </w:p>
    <w:p w14:paraId="038912CE">
      <w:pPr>
        <w:ind w:firstLine="480"/>
        <w:rPr>
          <w:rFonts w:hint="eastAsia"/>
          <w:color w:val="auto"/>
          <w:szCs w:val="24"/>
          <w:lang w:eastAsia="zh-CN"/>
        </w:rPr>
      </w:pPr>
      <w:r>
        <w:rPr>
          <w:rFonts w:hint="eastAsia"/>
          <w:color w:val="auto"/>
          <w:kern w:val="0"/>
          <w:lang w:val="en-US" w:eastAsia="zh-CN"/>
        </w:rPr>
        <w:t>盘龙河三号特大桥所有</w:t>
      </w:r>
      <w:r>
        <w:rPr>
          <w:rFonts w:hint="eastAsia"/>
          <w:color w:val="auto"/>
          <w:kern w:val="0"/>
        </w:rPr>
        <w:t>塔</w:t>
      </w:r>
      <w:r>
        <w:rPr>
          <w:rFonts w:hint="eastAsia"/>
          <w:color w:val="auto"/>
          <w:kern w:val="0"/>
          <w:lang w:val="en-US" w:eastAsia="zh-CN"/>
        </w:rPr>
        <w:t>机</w:t>
      </w:r>
      <w:r>
        <w:rPr>
          <w:rFonts w:hint="eastAsia"/>
          <w:color w:val="auto"/>
          <w:kern w:val="0"/>
        </w:rPr>
        <w:t>基础</w:t>
      </w:r>
      <w:r>
        <w:rPr>
          <w:rFonts w:hint="eastAsia"/>
          <w:color w:val="auto"/>
          <w:kern w:val="0"/>
          <w:lang w:val="en-US" w:eastAsia="zh-CN"/>
        </w:rPr>
        <w:t>均</w:t>
      </w:r>
      <w:r>
        <w:rPr>
          <w:rFonts w:hint="eastAsia"/>
          <w:color w:val="auto"/>
          <w:kern w:val="0"/>
        </w:rPr>
        <w:t>采用钢筋混凝土扩大基础与承台同时浇筑</w:t>
      </w:r>
      <w:r>
        <w:rPr>
          <w:rFonts w:hint="eastAsia"/>
          <w:color w:val="auto"/>
          <w:kern w:val="0"/>
          <w:lang w:eastAsia="zh-CN"/>
        </w:rPr>
        <w:t>，</w:t>
      </w:r>
      <w:r>
        <w:rPr>
          <w:rFonts w:hint="eastAsia"/>
          <w:color w:val="auto"/>
          <w:kern w:val="0"/>
          <w:lang w:val="en-US" w:eastAsia="zh-CN"/>
        </w:rPr>
        <w:t>预埋螺栓基础形式</w:t>
      </w:r>
      <w:r>
        <w:rPr>
          <w:rFonts w:hint="eastAsia"/>
          <w:color w:val="auto"/>
          <w:kern w:val="0"/>
          <w:lang w:eastAsia="zh-CN"/>
        </w:rPr>
        <w:t>。</w:t>
      </w:r>
      <w:r>
        <w:rPr>
          <w:rFonts w:hint="eastAsia"/>
          <w:color w:val="auto"/>
          <w:kern w:val="0"/>
        </w:rPr>
        <w:t>基础尺寸为3m×3m×3.5m，</w:t>
      </w:r>
      <w:r>
        <w:rPr>
          <w:rFonts w:hint="eastAsia"/>
          <w:color w:val="auto"/>
          <w:kern w:val="0"/>
          <w:lang w:val="en-US" w:eastAsia="zh-CN"/>
        </w:rPr>
        <w:t>基础主筋</w:t>
      </w:r>
      <w:r>
        <w:rPr>
          <w:rFonts w:hint="eastAsia"/>
          <w:color w:val="auto"/>
          <w:lang w:val="en-US" w:eastAsia="zh-CN"/>
        </w:rPr>
        <w:t>采用直径Ф25钢筋，上下排双层双向，间距为 185mm，上下层钢筋间设直径Ф12 拉结筋，间距为370mm，拉结筋平行布置，控制上下保护层，基础的钢筋保护层厚度为75mm</w:t>
      </w:r>
      <w:r>
        <w:rPr>
          <w:rFonts w:hint="eastAsia"/>
          <w:color w:val="auto"/>
          <w:kern w:val="0"/>
        </w:rPr>
        <w:t>。基础混凝土与承台混凝土一同浇筑成型。</w:t>
      </w:r>
      <w:r>
        <w:rPr>
          <w:rFonts w:hint="eastAsia"/>
          <w:color w:val="auto"/>
          <w:szCs w:val="24"/>
        </w:rPr>
        <w:t>安装塔机时基础混凝土应达到设计强度</w:t>
      </w:r>
      <w:r>
        <w:rPr>
          <w:rFonts w:hint="eastAsia"/>
          <w:color w:val="auto"/>
          <w:szCs w:val="24"/>
          <w:lang w:val="en-US" w:eastAsia="zh-CN"/>
        </w:rPr>
        <w:t>80%以上</w:t>
      </w:r>
      <w:r>
        <w:rPr>
          <w:rFonts w:hint="eastAsia"/>
          <w:color w:val="auto"/>
          <w:szCs w:val="24"/>
          <w:lang w:eastAsia="zh-CN"/>
        </w:rPr>
        <w:t>，</w:t>
      </w:r>
      <w:r>
        <w:rPr>
          <w:rFonts w:hint="eastAsia"/>
          <w:color w:val="auto"/>
          <w:szCs w:val="24"/>
        </w:rPr>
        <w:t>塔机运行使用时基础混凝土应</w:t>
      </w:r>
      <w:r>
        <w:rPr>
          <w:rFonts w:hint="eastAsia"/>
          <w:color w:val="auto"/>
          <w:szCs w:val="24"/>
          <w:lang w:val="en-US" w:eastAsia="zh-CN"/>
        </w:rPr>
        <w:t>达到</w:t>
      </w:r>
      <w:r>
        <w:rPr>
          <w:rFonts w:hint="eastAsia"/>
          <w:color w:val="auto"/>
          <w:szCs w:val="24"/>
        </w:rPr>
        <w:t>设计强度</w:t>
      </w:r>
      <w:r>
        <w:rPr>
          <w:rFonts w:hint="eastAsia"/>
          <w:color w:val="auto"/>
          <w:szCs w:val="24"/>
          <w:lang w:val="en-US" w:eastAsia="zh-CN"/>
        </w:rPr>
        <w:t>100%</w:t>
      </w:r>
      <w:r>
        <w:rPr>
          <w:rFonts w:hint="eastAsia"/>
          <w:color w:val="auto"/>
          <w:szCs w:val="24"/>
          <w:lang w:eastAsia="zh-CN"/>
        </w:rPr>
        <w:t>。</w:t>
      </w:r>
    </w:p>
    <w:p w14:paraId="77A272CC">
      <w:pPr>
        <w:ind w:left="0" w:leftChars="0" w:firstLine="0" w:firstLineChars="0"/>
        <w:jc w:val="center"/>
      </w:pPr>
      <w:r>
        <w:drawing>
          <wp:inline distT="0" distB="0" distL="114300" distR="114300">
            <wp:extent cx="4862830" cy="3813175"/>
            <wp:effectExtent l="0" t="0" r="13970"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a:stretch>
                      <a:fillRect/>
                    </a:stretch>
                  </pic:blipFill>
                  <pic:spPr>
                    <a:xfrm>
                      <a:off x="0" y="0"/>
                      <a:ext cx="4862830" cy="3813175"/>
                    </a:xfrm>
                    <a:prstGeom prst="rect">
                      <a:avLst/>
                    </a:prstGeom>
                    <a:noFill/>
                    <a:ln>
                      <a:noFill/>
                    </a:ln>
                  </pic:spPr>
                </pic:pic>
              </a:graphicData>
            </a:graphic>
          </wp:inline>
        </w:drawing>
      </w:r>
    </w:p>
    <w:p w14:paraId="02C0DB45">
      <w:pPr>
        <w:pStyle w:val="82"/>
        <w:ind w:left="0" w:leftChars="0" w:firstLine="0" w:firstLineChars="0"/>
        <w:jc w:val="center"/>
        <w:rPr>
          <w:rFonts w:hint="default"/>
          <w:color w:val="auto"/>
          <w:lang w:val="en-US"/>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0</w:t>
      </w:r>
      <w:r>
        <w:rPr>
          <w:rFonts w:hint="eastAsia"/>
          <w:color w:val="auto"/>
        </w:rPr>
        <w:t>15</w:t>
      </w:r>
      <w:r>
        <w:rPr>
          <w:rFonts w:hint="eastAsia"/>
          <w:color w:val="auto"/>
          <w:lang w:val="en-US" w:eastAsia="zh-CN"/>
        </w:rPr>
        <w:t>A</w:t>
      </w:r>
      <w:r>
        <w:rPr>
          <w:color w:val="auto"/>
        </w:rPr>
        <w:t>-</w:t>
      </w:r>
      <w:r>
        <w:rPr>
          <w:rFonts w:hint="eastAsia"/>
          <w:color w:val="auto"/>
          <w:lang w:val="en-US" w:eastAsia="zh-CN"/>
        </w:rPr>
        <w:t>8S塔机预埋螺栓式基础</w:t>
      </w:r>
    </w:p>
    <w:p w14:paraId="14E32378">
      <w:pPr>
        <w:ind w:left="0" w:leftChars="0" w:firstLine="0" w:firstLineChars="0"/>
        <w:jc w:val="center"/>
        <w:rPr>
          <w:rFonts w:hint="eastAsia"/>
          <w:lang w:eastAsia="zh-CN"/>
        </w:rPr>
      </w:pPr>
      <w:r>
        <w:drawing>
          <wp:inline distT="0" distB="0" distL="114300" distR="114300">
            <wp:extent cx="4399280" cy="4002405"/>
            <wp:effectExtent l="0" t="0" r="5080" b="57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6"/>
                    <a:stretch>
                      <a:fillRect/>
                    </a:stretch>
                  </pic:blipFill>
                  <pic:spPr>
                    <a:xfrm>
                      <a:off x="0" y="0"/>
                      <a:ext cx="4399280" cy="4002405"/>
                    </a:xfrm>
                    <a:prstGeom prst="rect">
                      <a:avLst/>
                    </a:prstGeom>
                    <a:noFill/>
                    <a:ln>
                      <a:noFill/>
                    </a:ln>
                  </pic:spPr>
                </pic:pic>
              </a:graphicData>
            </a:graphic>
          </wp:inline>
        </w:drawing>
      </w:r>
    </w:p>
    <w:p w14:paraId="12FC8979">
      <w:pPr>
        <w:pStyle w:val="82"/>
        <w:ind w:left="0" w:leftChars="0" w:firstLine="0" w:firstLineChars="0"/>
        <w:jc w:val="center"/>
        <w:rPr>
          <w:rFonts w:hint="default"/>
          <w:color w:val="auto"/>
          <w:lang w:val="en-US"/>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1</w:t>
      </w:r>
      <w:r>
        <w:rPr>
          <w:color w:val="auto"/>
        </w:rPr>
        <w:t xml:space="preserve">  </w:t>
      </w:r>
      <w:r>
        <w:rPr>
          <w:rFonts w:hint="eastAsia"/>
          <w:color w:val="auto"/>
          <w:lang w:val="en-US" w:eastAsia="zh-CN"/>
        </w:rPr>
        <w:t>XGT6515D-10S塔机预埋螺栓式基础</w:t>
      </w:r>
    </w:p>
    <w:p w14:paraId="6FF4FEAB">
      <w:pPr>
        <w:ind w:left="0" w:leftChars="0" w:firstLine="0" w:firstLineChars="0"/>
        <w:jc w:val="center"/>
      </w:pPr>
      <w:r>
        <w:drawing>
          <wp:inline distT="0" distB="0" distL="114300" distR="114300">
            <wp:extent cx="5176520" cy="4222750"/>
            <wp:effectExtent l="0" t="0" r="5080"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rcRect l="7499" t="6652" r="7660"/>
                    <a:stretch>
                      <a:fillRect/>
                    </a:stretch>
                  </pic:blipFill>
                  <pic:spPr>
                    <a:xfrm>
                      <a:off x="0" y="0"/>
                      <a:ext cx="5176520" cy="4222750"/>
                    </a:xfrm>
                    <a:prstGeom prst="rect">
                      <a:avLst/>
                    </a:prstGeom>
                    <a:noFill/>
                    <a:ln>
                      <a:noFill/>
                    </a:ln>
                  </pic:spPr>
                </pic:pic>
              </a:graphicData>
            </a:graphic>
          </wp:inline>
        </w:drawing>
      </w:r>
    </w:p>
    <w:p w14:paraId="6336719A">
      <w:pPr>
        <w:ind w:left="0" w:leftChars="0" w:firstLine="0" w:firstLineChars="0"/>
        <w:jc w:val="center"/>
        <w:rPr>
          <w:rFonts w:hint="eastAsia"/>
          <w:lang w:eastAsia="zh-CN"/>
        </w:rPr>
      </w:pPr>
      <w:r>
        <w:rPr>
          <w:rFonts w:hint="eastAsia"/>
          <w:color w:val="auto"/>
          <w:lang w:val="en-US" w:eastAsia="zh-CN"/>
        </w:rPr>
        <w:t>图</w:t>
      </w:r>
      <w:r>
        <w:rPr>
          <w:rFonts w:hint="eastAsia"/>
          <w:color w:val="auto"/>
        </w:rPr>
        <w:t>3.</w:t>
      </w:r>
      <w:r>
        <w:rPr>
          <w:rFonts w:hint="eastAsia"/>
          <w:color w:val="auto"/>
          <w:lang w:val="en-US" w:eastAsia="zh-CN"/>
        </w:rPr>
        <w:t>4</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XGT</w:t>
      </w:r>
      <w:r>
        <w:rPr>
          <w:rFonts w:hint="eastAsia"/>
          <w:color w:val="auto"/>
        </w:rPr>
        <w:t>6</w:t>
      </w:r>
      <w:r>
        <w:rPr>
          <w:rFonts w:hint="eastAsia"/>
          <w:color w:val="auto"/>
          <w:lang w:val="en-US" w:eastAsia="zh-CN"/>
        </w:rPr>
        <w:t>515-10S塔机预埋螺栓式基础</w:t>
      </w:r>
    </w:p>
    <w:p w14:paraId="64335A6F">
      <w:pPr>
        <w:pStyle w:val="2"/>
        <w:rPr>
          <w:rFonts w:hint="eastAsia"/>
          <w:color w:val="auto"/>
        </w:rPr>
      </w:pPr>
      <w:bookmarkStart w:id="77" w:name="_Toc182895393"/>
      <w:bookmarkStart w:id="78" w:name="_Toc4643"/>
      <w:r>
        <w:rPr>
          <w:rFonts w:hint="eastAsia"/>
          <w:color w:val="auto"/>
        </w:rPr>
        <w:t>4 施工组织计划</w:t>
      </w:r>
      <w:bookmarkEnd w:id="77"/>
      <w:bookmarkEnd w:id="78"/>
    </w:p>
    <w:p w14:paraId="21214638">
      <w:pPr>
        <w:pStyle w:val="3"/>
        <w:ind w:left="480"/>
        <w:rPr>
          <w:rFonts w:hint="eastAsia"/>
          <w:color w:val="auto"/>
        </w:rPr>
      </w:pPr>
      <w:bookmarkStart w:id="79" w:name="_Toc28057"/>
      <w:bookmarkStart w:id="80" w:name="_Toc182895394"/>
      <w:bookmarkStart w:id="81" w:name="_Toc533610088"/>
      <w:bookmarkStart w:id="82" w:name="_Toc24375"/>
      <w:bookmarkStart w:id="83" w:name="_Toc7361"/>
      <w:bookmarkStart w:id="84" w:name="_Toc25716"/>
      <w:bookmarkStart w:id="85" w:name="_Toc6685"/>
      <w:r>
        <w:rPr>
          <w:rFonts w:hint="eastAsia"/>
          <w:color w:val="auto"/>
        </w:rPr>
        <w:t>4.1 组织机构</w:t>
      </w:r>
      <w:bookmarkEnd w:id="79"/>
      <w:bookmarkEnd w:id="80"/>
      <w:bookmarkEnd w:id="81"/>
      <w:bookmarkEnd w:id="82"/>
      <w:bookmarkEnd w:id="83"/>
      <w:bookmarkEnd w:id="84"/>
      <w:bookmarkEnd w:id="85"/>
    </w:p>
    <w:p w14:paraId="148F896B">
      <w:pPr>
        <w:ind w:firstLine="480"/>
        <w:rPr>
          <w:rFonts w:hint="eastAsia"/>
          <w:color w:val="auto"/>
        </w:rPr>
      </w:pPr>
      <w:r>
        <w:rPr>
          <w:rFonts w:hint="eastAsia"/>
          <w:color w:val="auto"/>
        </w:rPr>
        <w:t>为了全面落实施工生产安排，实现塔吊安装拆卸任务生产计划，对塔机安装、拆卸、运输全过程进行管理和监控，确保质量目标、工期目标、环境管理目标和职业健康安全管理目标的实现，根据工程实际情况确定如下图的施工组织机构，并明确分工职责。</w:t>
      </w:r>
    </w:p>
    <w:p w14:paraId="619794C0">
      <w:pPr>
        <w:ind w:firstLine="480"/>
        <w:jc w:val="center"/>
        <w:rPr>
          <w:rFonts w:hint="eastAsia"/>
          <w:color w:val="auto"/>
        </w:rPr>
      </w:pPr>
      <w:r>
        <w:rPr>
          <w:rFonts w:hint="eastAsia"/>
          <w:color w:val="auto"/>
        </w:rPr>
        <w:drawing>
          <wp:inline distT="0" distB="0" distL="114300" distR="114300">
            <wp:extent cx="3656965" cy="1713230"/>
            <wp:effectExtent l="0" t="0" r="635" b="1270"/>
            <wp:docPr id="14" name="图片 14"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绘图1"/>
                    <pic:cNvPicPr>
                      <a:picLocks noChangeAspect="1"/>
                    </pic:cNvPicPr>
                  </pic:nvPicPr>
                  <pic:blipFill>
                    <a:blip r:embed="rId38"/>
                    <a:stretch>
                      <a:fillRect/>
                    </a:stretch>
                  </pic:blipFill>
                  <pic:spPr>
                    <a:xfrm>
                      <a:off x="0" y="0"/>
                      <a:ext cx="3656965" cy="1713230"/>
                    </a:xfrm>
                    <a:prstGeom prst="rect">
                      <a:avLst/>
                    </a:prstGeom>
                  </pic:spPr>
                </pic:pic>
              </a:graphicData>
            </a:graphic>
          </wp:inline>
        </w:drawing>
      </w:r>
    </w:p>
    <w:p w14:paraId="0F328383">
      <w:pPr>
        <w:ind w:firstLine="480"/>
        <w:jc w:val="center"/>
        <w:rPr>
          <w:rFonts w:hint="eastAsia"/>
          <w:color w:val="auto"/>
        </w:rPr>
      </w:pPr>
      <w:r>
        <w:rPr>
          <w:rFonts w:hint="eastAsia"/>
          <w:color w:val="auto"/>
        </w:rPr>
        <w:t xml:space="preserve">图4.1-1 </w:t>
      </w:r>
      <w:r>
        <w:rPr>
          <w:color w:val="auto"/>
        </w:rPr>
        <w:t xml:space="preserve"> </w:t>
      </w:r>
      <w:r>
        <w:rPr>
          <w:rFonts w:hint="eastAsia"/>
          <w:color w:val="auto"/>
        </w:rPr>
        <w:t>塔式起重机安拆组织机构图</w:t>
      </w:r>
    </w:p>
    <w:p w14:paraId="1FEBF270">
      <w:pPr>
        <w:pStyle w:val="3"/>
        <w:ind w:left="480"/>
        <w:rPr>
          <w:rFonts w:hint="eastAsia"/>
          <w:color w:val="auto"/>
        </w:rPr>
      </w:pPr>
      <w:bookmarkStart w:id="86" w:name="_Toc17053"/>
      <w:bookmarkStart w:id="87" w:name="_Toc2688"/>
      <w:bookmarkStart w:id="88" w:name="_Toc14312"/>
      <w:bookmarkStart w:id="89" w:name="_Toc25512"/>
      <w:bookmarkStart w:id="90" w:name="_Toc533610089"/>
      <w:bookmarkStart w:id="91" w:name="_Toc13833"/>
      <w:bookmarkStart w:id="92" w:name="_Toc182895395"/>
      <w:r>
        <w:rPr>
          <w:rFonts w:hint="eastAsia"/>
          <w:color w:val="auto"/>
        </w:rPr>
        <w:t>4.</w:t>
      </w:r>
      <w:r>
        <w:rPr>
          <w:color w:val="auto"/>
        </w:rPr>
        <w:t>2</w:t>
      </w:r>
      <w:r>
        <w:rPr>
          <w:rFonts w:hint="eastAsia"/>
          <w:color w:val="auto"/>
        </w:rPr>
        <w:t xml:space="preserve"> 施工人员职责分工</w:t>
      </w:r>
      <w:bookmarkEnd w:id="86"/>
      <w:bookmarkEnd w:id="87"/>
      <w:bookmarkEnd w:id="88"/>
      <w:bookmarkEnd w:id="89"/>
      <w:bookmarkEnd w:id="90"/>
      <w:bookmarkEnd w:id="91"/>
      <w:bookmarkEnd w:id="92"/>
    </w:p>
    <w:p w14:paraId="39C06EDB">
      <w:pPr>
        <w:ind w:firstLine="480"/>
        <w:jc w:val="center"/>
        <w:rPr>
          <w:rFonts w:hint="eastAsia"/>
          <w:color w:val="auto"/>
        </w:rPr>
      </w:pPr>
      <w:r>
        <w:rPr>
          <w:rFonts w:hint="eastAsia"/>
          <w:color w:val="auto"/>
        </w:rPr>
        <w:t>表4.2-1  塔机安拆施工人员职责分工表</w:t>
      </w:r>
    </w:p>
    <w:tbl>
      <w:tblPr>
        <w:tblStyle w:val="28"/>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791"/>
        <w:gridCol w:w="3946"/>
      </w:tblGrid>
      <w:tr w14:paraId="086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Align w:val="center"/>
          </w:tcPr>
          <w:p w14:paraId="26699BEE">
            <w:pPr>
              <w:pStyle w:val="84"/>
              <w:rPr>
                <w:color w:val="auto"/>
              </w:rPr>
            </w:pPr>
            <w:bookmarkStart w:id="93" w:name="_Hlk533448464"/>
            <w:r>
              <w:rPr>
                <w:rFonts w:hint="eastAsia"/>
                <w:color w:val="auto"/>
              </w:rPr>
              <w:t>单位</w:t>
            </w:r>
          </w:p>
        </w:tc>
        <w:tc>
          <w:tcPr>
            <w:tcW w:w="1262" w:type="dxa"/>
            <w:vAlign w:val="center"/>
          </w:tcPr>
          <w:p w14:paraId="3C8FC12B">
            <w:pPr>
              <w:pStyle w:val="84"/>
              <w:rPr>
                <w:color w:val="auto"/>
              </w:rPr>
            </w:pPr>
            <w:r>
              <w:rPr>
                <w:rFonts w:hint="eastAsia"/>
                <w:color w:val="auto"/>
              </w:rPr>
              <w:t>姓名</w:t>
            </w:r>
          </w:p>
        </w:tc>
        <w:tc>
          <w:tcPr>
            <w:tcW w:w="1791" w:type="dxa"/>
            <w:vAlign w:val="center"/>
          </w:tcPr>
          <w:p w14:paraId="71F261F0">
            <w:pPr>
              <w:pStyle w:val="84"/>
              <w:rPr>
                <w:color w:val="auto"/>
              </w:rPr>
            </w:pPr>
            <w:r>
              <w:rPr>
                <w:rFonts w:hint="eastAsia"/>
                <w:color w:val="auto"/>
              </w:rPr>
              <w:t>岗位</w:t>
            </w:r>
          </w:p>
        </w:tc>
        <w:tc>
          <w:tcPr>
            <w:tcW w:w="3946" w:type="dxa"/>
            <w:vAlign w:val="center"/>
          </w:tcPr>
          <w:p w14:paraId="7AA433CA">
            <w:pPr>
              <w:pStyle w:val="84"/>
              <w:rPr>
                <w:color w:val="auto"/>
              </w:rPr>
            </w:pPr>
            <w:r>
              <w:rPr>
                <w:rFonts w:hint="eastAsia"/>
                <w:color w:val="auto"/>
              </w:rPr>
              <w:t>岗位职责</w:t>
            </w:r>
          </w:p>
        </w:tc>
      </w:tr>
      <w:tr w14:paraId="4B4F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restart"/>
            <w:vAlign w:val="center"/>
          </w:tcPr>
          <w:p w14:paraId="73DB1435">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中铁大桥局集团有限公司机械化施工分公司</w:t>
            </w:r>
          </w:p>
        </w:tc>
        <w:tc>
          <w:tcPr>
            <w:tcW w:w="1262" w:type="dxa"/>
            <w:vAlign w:val="center"/>
          </w:tcPr>
          <w:p w14:paraId="36A329B2">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陶俊杰</w:t>
            </w:r>
          </w:p>
        </w:tc>
        <w:tc>
          <w:tcPr>
            <w:tcW w:w="1791" w:type="dxa"/>
            <w:vAlign w:val="center"/>
          </w:tcPr>
          <w:p w14:paraId="2C834FA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安拆负责人</w:t>
            </w:r>
          </w:p>
        </w:tc>
        <w:tc>
          <w:tcPr>
            <w:tcW w:w="3946" w:type="dxa"/>
            <w:vAlign w:val="top"/>
          </w:tcPr>
          <w:p w14:paraId="4492B5A5">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对塔机安装的全过程进行管理、监控，合理的组织生产，确保安全施工。</w:t>
            </w:r>
          </w:p>
        </w:tc>
      </w:tr>
      <w:tr w14:paraId="65A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D2991B1">
            <w:pPr>
              <w:pStyle w:val="84"/>
              <w:rPr>
                <w:rFonts w:hint="eastAsia" w:ascii="Times New Roman" w:hAnsi="Times New Roman" w:eastAsia="宋体" w:cs="Times New Roman"/>
                <w:color w:val="auto"/>
              </w:rPr>
            </w:pPr>
          </w:p>
        </w:tc>
        <w:tc>
          <w:tcPr>
            <w:tcW w:w="1262" w:type="dxa"/>
            <w:vAlign w:val="center"/>
          </w:tcPr>
          <w:p w14:paraId="7EC704BF">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余翔宇</w:t>
            </w:r>
          </w:p>
        </w:tc>
        <w:tc>
          <w:tcPr>
            <w:tcW w:w="1791" w:type="dxa"/>
            <w:vAlign w:val="center"/>
          </w:tcPr>
          <w:p w14:paraId="340DFE3C">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技术</w:t>
            </w:r>
            <w:r>
              <w:rPr>
                <w:rFonts w:hint="eastAsia" w:ascii="Times New Roman" w:hAnsi="Times New Roman" w:eastAsia="宋体" w:cs="Times New Roman"/>
                <w:color w:val="auto"/>
                <w:lang w:val="en-US" w:eastAsia="zh-CN"/>
              </w:rPr>
              <w:t>总工</w:t>
            </w:r>
          </w:p>
        </w:tc>
        <w:tc>
          <w:tcPr>
            <w:tcW w:w="3946" w:type="dxa"/>
            <w:vAlign w:val="top"/>
          </w:tcPr>
          <w:p w14:paraId="17DF1E8A">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现场勘察，编制塔机的安装技术方案，负责安装技术指导，汇编整理技术资料，监管设备检验。</w:t>
            </w:r>
          </w:p>
        </w:tc>
      </w:tr>
      <w:tr w14:paraId="5759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CE1F8B">
            <w:pPr>
              <w:pStyle w:val="84"/>
              <w:rPr>
                <w:rFonts w:hint="eastAsia" w:ascii="Times New Roman" w:hAnsi="Times New Roman" w:eastAsia="宋体" w:cs="Times New Roman"/>
                <w:color w:val="auto"/>
              </w:rPr>
            </w:pPr>
          </w:p>
        </w:tc>
        <w:tc>
          <w:tcPr>
            <w:tcW w:w="1262" w:type="dxa"/>
            <w:vAlign w:val="center"/>
          </w:tcPr>
          <w:p w14:paraId="559CEA37">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李升良</w:t>
            </w:r>
          </w:p>
        </w:tc>
        <w:tc>
          <w:tcPr>
            <w:tcW w:w="1791" w:type="dxa"/>
            <w:vAlign w:val="center"/>
          </w:tcPr>
          <w:p w14:paraId="7FD22E3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施工工长</w:t>
            </w:r>
          </w:p>
        </w:tc>
        <w:tc>
          <w:tcPr>
            <w:tcW w:w="3946" w:type="dxa"/>
            <w:vAlign w:val="top"/>
          </w:tcPr>
          <w:p w14:paraId="3D433BC9">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负责现场塔机按照安装方案安装，以及组织现场安装人员施工。</w:t>
            </w:r>
          </w:p>
        </w:tc>
      </w:tr>
      <w:tr w14:paraId="0898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1AA4C399">
            <w:pPr>
              <w:pStyle w:val="84"/>
              <w:rPr>
                <w:rFonts w:hint="eastAsia" w:ascii="Times New Roman" w:hAnsi="Times New Roman" w:eastAsia="宋体" w:cs="Times New Roman"/>
                <w:color w:val="auto"/>
              </w:rPr>
            </w:pPr>
          </w:p>
        </w:tc>
        <w:tc>
          <w:tcPr>
            <w:tcW w:w="1262" w:type="dxa"/>
            <w:vAlign w:val="center"/>
          </w:tcPr>
          <w:p w14:paraId="3DF0894B">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谭国明</w:t>
            </w:r>
          </w:p>
        </w:tc>
        <w:tc>
          <w:tcPr>
            <w:tcW w:w="1791" w:type="dxa"/>
            <w:vAlign w:val="center"/>
          </w:tcPr>
          <w:p w14:paraId="4FCFCB60">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安全员</w:t>
            </w:r>
          </w:p>
        </w:tc>
        <w:tc>
          <w:tcPr>
            <w:tcW w:w="3946" w:type="dxa"/>
            <w:vAlign w:val="top"/>
          </w:tcPr>
          <w:p w14:paraId="71BA0680">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检查施工中安全保护措施的监督执行，监督执行作业前安全技术交底，负责现场施工安全监督。</w:t>
            </w:r>
          </w:p>
        </w:tc>
      </w:tr>
      <w:tr w14:paraId="366E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57D5DAF6">
            <w:pPr>
              <w:pStyle w:val="84"/>
              <w:rPr>
                <w:rFonts w:hint="eastAsia" w:ascii="Times New Roman" w:hAnsi="Times New Roman" w:eastAsia="宋体" w:cs="Times New Roman"/>
                <w:color w:val="auto"/>
              </w:rPr>
            </w:pPr>
          </w:p>
        </w:tc>
        <w:tc>
          <w:tcPr>
            <w:tcW w:w="1262" w:type="dxa"/>
            <w:vAlign w:val="center"/>
          </w:tcPr>
          <w:p w14:paraId="08E4A45C">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李三平</w:t>
            </w:r>
          </w:p>
        </w:tc>
        <w:tc>
          <w:tcPr>
            <w:tcW w:w="1791" w:type="dxa"/>
            <w:vAlign w:val="center"/>
          </w:tcPr>
          <w:p w14:paraId="4682121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起重指挥</w:t>
            </w:r>
          </w:p>
        </w:tc>
        <w:tc>
          <w:tcPr>
            <w:tcW w:w="3946" w:type="dxa"/>
            <w:vAlign w:val="top"/>
          </w:tcPr>
          <w:p w14:paraId="06FD1729">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负责地面起重指挥，做好作业人员的协调工作。</w:t>
            </w:r>
          </w:p>
        </w:tc>
      </w:tr>
      <w:tr w14:paraId="3FCD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3E424356">
            <w:pPr>
              <w:pStyle w:val="84"/>
              <w:rPr>
                <w:rFonts w:hint="eastAsia" w:ascii="Times New Roman" w:hAnsi="Times New Roman" w:eastAsia="宋体" w:cs="Times New Roman"/>
                <w:color w:val="auto"/>
              </w:rPr>
            </w:pPr>
          </w:p>
        </w:tc>
        <w:tc>
          <w:tcPr>
            <w:tcW w:w="1262" w:type="dxa"/>
            <w:vAlign w:val="center"/>
          </w:tcPr>
          <w:p w14:paraId="0F1E1A61">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靳言</w:t>
            </w:r>
          </w:p>
        </w:tc>
        <w:tc>
          <w:tcPr>
            <w:tcW w:w="1791" w:type="dxa"/>
            <w:vAlign w:val="center"/>
          </w:tcPr>
          <w:p w14:paraId="10E6B071">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安拆电工</w:t>
            </w:r>
          </w:p>
        </w:tc>
        <w:tc>
          <w:tcPr>
            <w:tcW w:w="3946" w:type="dxa"/>
            <w:vAlign w:val="top"/>
          </w:tcPr>
          <w:p w14:paraId="7D0B912D">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负责塔机电控柜、电阻箱等电气元件接线</w:t>
            </w:r>
          </w:p>
        </w:tc>
      </w:tr>
      <w:tr w14:paraId="5928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dxa"/>
            <w:vMerge w:val="continue"/>
            <w:vAlign w:val="center"/>
          </w:tcPr>
          <w:p w14:paraId="43DDD1D7">
            <w:pPr>
              <w:pStyle w:val="84"/>
              <w:rPr>
                <w:rFonts w:hint="eastAsia" w:ascii="Times New Roman" w:hAnsi="Times New Roman" w:eastAsia="宋体" w:cs="Times New Roman"/>
                <w:color w:val="auto"/>
              </w:rPr>
            </w:pPr>
          </w:p>
        </w:tc>
        <w:tc>
          <w:tcPr>
            <w:tcW w:w="1262" w:type="dxa"/>
            <w:vAlign w:val="center"/>
          </w:tcPr>
          <w:p w14:paraId="723E1248">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李升良</w:t>
            </w:r>
          </w:p>
          <w:p w14:paraId="1548E72C">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高双文</w:t>
            </w:r>
          </w:p>
          <w:p w14:paraId="3E819A9B">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刘立辉</w:t>
            </w:r>
          </w:p>
          <w:p w14:paraId="662E6D16">
            <w:pPr>
              <w:pStyle w:val="84"/>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胡洛兵</w:t>
            </w:r>
          </w:p>
          <w:p w14:paraId="7F3979C7">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汤波</w:t>
            </w:r>
          </w:p>
        </w:tc>
        <w:tc>
          <w:tcPr>
            <w:tcW w:w="1791" w:type="dxa"/>
            <w:vAlign w:val="center"/>
          </w:tcPr>
          <w:p w14:paraId="565DA80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塔机安拆工</w:t>
            </w:r>
          </w:p>
        </w:tc>
        <w:tc>
          <w:tcPr>
            <w:tcW w:w="3946" w:type="dxa"/>
            <w:vAlign w:val="top"/>
          </w:tcPr>
          <w:p w14:paraId="62044718">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4F5F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90" w:type="dxa"/>
            <w:vMerge w:val="continue"/>
            <w:vAlign w:val="center"/>
          </w:tcPr>
          <w:p w14:paraId="7CB0D05C">
            <w:pPr>
              <w:pStyle w:val="84"/>
              <w:rPr>
                <w:rFonts w:hint="eastAsia" w:ascii="Times New Roman" w:hAnsi="Times New Roman" w:eastAsia="宋体" w:cs="Times New Roman"/>
                <w:color w:val="auto"/>
              </w:rPr>
            </w:pPr>
          </w:p>
        </w:tc>
        <w:tc>
          <w:tcPr>
            <w:tcW w:w="1262" w:type="dxa"/>
            <w:vAlign w:val="center"/>
          </w:tcPr>
          <w:p w14:paraId="3FA10EF5">
            <w:pPr>
              <w:pStyle w:val="84"/>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1791" w:type="dxa"/>
            <w:vAlign w:val="center"/>
          </w:tcPr>
          <w:p w14:paraId="20C7A6B2">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塔机司机</w:t>
            </w:r>
          </w:p>
        </w:tc>
        <w:tc>
          <w:tcPr>
            <w:tcW w:w="3946" w:type="dxa"/>
            <w:vAlign w:val="top"/>
          </w:tcPr>
          <w:p w14:paraId="2652BE67">
            <w:pPr>
              <w:pStyle w:val="84"/>
              <w:jc w:val="left"/>
              <w:rPr>
                <w:rFonts w:hint="eastAsia" w:ascii="Times New Roman" w:hAnsi="Times New Roman" w:eastAsia="宋体" w:cs="Times New Roman"/>
                <w:color w:val="auto"/>
              </w:rPr>
            </w:pPr>
            <w:r>
              <w:rPr>
                <w:rFonts w:hint="eastAsia" w:ascii="Times New Roman" w:hAnsi="Times New Roman" w:eastAsia="宋体" w:cs="Times New Roman"/>
                <w:color w:val="auto"/>
              </w:rPr>
              <w:t>负责顶升期间操作塔机</w:t>
            </w:r>
          </w:p>
        </w:tc>
      </w:tr>
      <w:tr w14:paraId="14AE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90" w:type="dxa"/>
            <w:vMerge w:val="restart"/>
            <w:vAlign w:val="center"/>
          </w:tcPr>
          <w:p w14:paraId="11DB9D6B">
            <w:pPr>
              <w:pStyle w:val="84"/>
              <w:jc w:val="center"/>
              <w:rPr>
                <w:color w:val="auto"/>
              </w:rPr>
            </w:pPr>
            <w:r>
              <w:rPr>
                <w:rFonts w:hint="eastAsia"/>
                <w:color w:val="auto"/>
              </w:rPr>
              <w:t>项目部</w:t>
            </w:r>
          </w:p>
        </w:tc>
        <w:tc>
          <w:tcPr>
            <w:tcW w:w="1262" w:type="dxa"/>
            <w:vAlign w:val="center"/>
          </w:tcPr>
          <w:p w14:paraId="3132BE4E">
            <w:pPr>
              <w:widowControl/>
              <w:adjustRightInd w:val="0"/>
              <w:spacing w:line="240" w:lineRule="auto"/>
              <w:ind w:firstLine="33" w:firstLineChars="14"/>
              <w:jc w:val="center"/>
              <w:textAlignment w:val="center"/>
              <w:rPr>
                <w:color w:val="auto"/>
                <w:kern w:val="2"/>
              </w:rPr>
            </w:pPr>
            <w:r>
              <w:rPr>
                <w:rFonts w:hint="eastAsia" w:ascii="仿宋" w:hAnsi="仿宋" w:cs="Times New Roman"/>
                <w:kern w:val="0"/>
                <w:sz w:val="24"/>
                <w:szCs w:val="24"/>
                <w:lang w:val="en-US" w:eastAsia="zh-CN"/>
              </w:rPr>
              <w:t>/</w:t>
            </w:r>
          </w:p>
        </w:tc>
        <w:tc>
          <w:tcPr>
            <w:tcW w:w="1791" w:type="dxa"/>
            <w:vAlign w:val="center"/>
          </w:tcPr>
          <w:p w14:paraId="02BB852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汽车吊操作工</w:t>
            </w:r>
          </w:p>
        </w:tc>
        <w:tc>
          <w:tcPr>
            <w:tcW w:w="3946" w:type="dxa"/>
            <w:vAlign w:val="top"/>
          </w:tcPr>
          <w:p w14:paraId="6EF05307">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在安装前一天必须到现场查看场地参加技术安全、危险源交底。</w:t>
            </w:r>
          </w:p>
        </w:tc>
      </w:tr>
      <w:tr w14:paraId="4C64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790" w:type="dxa"/>
            <w:vMerge w:val="continue"/>
            <w:vAlign w:val="center"/>
          </w:tcPr>
          <w:p w14:paraId="17FBF3A1">
            <w:pPr>
              <w:pStyle w:val="84"/>
              <w:jc w:val="center"/>
              <w:rPr>
                <w:color w:val="auto"/>
              </w:rPr>
            </w:pPr>
          </w:p>
        </w:tc>
        <w:tc>
          <w:tcPr>
            <w:tcW w:w="1262" w:type="dxa"/>
            <w:vAlign w:val="center"/>
          </w:tcPr>
          <w:p w14:paraId="37BE3856">
            <w:pPr>
              <w:widowControl/>
              <w:adjustRightInd w:val="0"/>
              <w:spacing w:line="240" w:lineRule="auto"/>
              <w:ind w:firstLine="33" w:firstLineChars="14"/>
              <w:jc w:val="center"/>
              <w:textAlignment w:val="center"/>
              <w:rPr>
                <w:color w:val="auto"/>
                <w:kern w:val="2"/>
              </w:rPr>
            </w:pPr>
          </w:p>
        </w:tc>
        <w:tc>
          <w:tcPr>
            <w:tcW w:w="1791" w:type="dxa"/>
            <w:vAlign w:val="center"/>
          </w:tcPr>
          <w:p w14:paraId="178414B6">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现场负责人</w:t>
            </w:r>
          </w:p>
        </w:tc>
        <w:tc>
          <w:tcPr>
            <w:tcW w:w="3946" w:type="dxa"/>
            <w:vAlign w:val="center"/>
          </w:tcPr>
          <w:p w14:paraId="411B38F3">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对塔机安装的全过程进行统筹、协调，确保安全施工。</w:t>
            </w:r>
          </w:p>
        </w:tc>
      </w:tr>
      <w:tr w14:paraId="7A7B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480B7BFF">
            <w:pPr>
              <w:pStyle w:val="84"/>
              <w:jc w:val="center"/>
              <w:rPr>
                <w:color w:val="auto"/>
              </w:rPr>
            </w:pPr>
          </w:p>
        </w:tc>
        <w:tc>
          <w:tcPr>
            <w:tcW w:w="1262" w:type="dxa"/>
            <w:vAlign w:val="center"/>
          </w:tcPr>
          <w:p w14:paraId="7BA0C2FE">
            <w:pPr>
              <w:widowControl/>
              <w:adjustRightInd w:val="0"/>
              <w:spacing w:line="240" w:lineRule="auto"/>
              <w:ind w:firstLine="33" w:firstLineChars="14"/>
              <w:jc w:val="center"/>
              <w:textAlignment w:val="center"/>
              <w:rPr>
                <w:color w:val="auto"/>
                <w:kern w:val="2"/>
              </w:rPr>
            </w:pPr>
          </w:p>
        </w:tc>
        <w:tc>
          <w:tcPr>
            <w:tcW w:w="1791" w:type="dxa"/>
            <w:vAlign w:val="center"/>
          </w:tcPr>
          <w:p w14:paraId="616596E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安全员</w:t>
            </w:r>
          </w:p>
        </w:tc>
        <w:tc>
          <w:tcPr>
            <w:tcW w:w="3946" w:type="dxa"/>
            <w:vAlign w:val="center"/>
          </w:tcPr>
          <w:p w14:paraId="115B669A">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检查施工中安全保护措施的监督执行，监督执行作业前安全技术交底，负责现场施工安全监督。</w:t>
            </w:r>
          </w:p>
        </w:tc>
      </w:tr>
      <w:tr w14:paraId="49C6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3B1F3EE9">
            <w:pPr>
              <w:pStyle w:val="84"/>
              <w:jc w:val="center"/>
              <w:rPr>
                <w:color w:val="auto"/>
              </w:rPr>
            </w:pPr>
            <w:bookmarkStart w:id="94" w:name="_Toc3710"/>
            <w:bookmarkStart w:id="95" w:name="_Toc316054867"/>
            <w:bookmarkStart w:id="96" w:name="_Toc182895396"/>
            <w:bookmarkStart w:id="97" w:name="_Toc451347511"/>
            <w:bookmarkStart w:id="98" w:name="_Toc316373119"/>
            <w:bookmarkStart w:id="99" w:name="_Toc8096"/>
            <w:bookmarkStart w:id="100" w:name="_Toc29012"/>
            <w:bookmarkStart w:id="101" w:name="_Toc13379"/>
            <w:bookmarkStart w:id="102" w:name="_Toc27668"/>
            <w:bookmarkStart w:id="103" w:name="_Toc533610090"/>
          </w:p>
        </w:tc>
        <w:tc>
          <w:tcPr>
            <w:tcW w:w="1262" w:type="dxa"/>
            <w:vAlign w:val="center"/>
          </w:tcPr>
          <w:p w14:paraId="62DFE0C3">
            <w:pPr>
              <w:widowControl/>
              <w:adjustRightInd w:val="0"/>
              <w:spacing w:line="240" w:lineRule="auto"/>
              <w:ind w:firstLine="33" w:firstLineChars="14"/>
              <w:jc w:val="center"/>
              <w:textAlignment w:val="center"/>
              <w:rPr>
                <w:color w:val="auto"/>
                <w:kern w:val="2"/>
              </w:rPr>
            </w:pPr>
          </w:p>
        </w:tc>
        <w:tc>
          <w:tcPr>
            <w:tcW w:w="1791" w:type="dxa"/>
            <w:vAlign w:val="center"/>
          </w:tcPr>
          <w:p w14:paraId="59798379">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机管员</w:t>
            </w:r>
          </w:p>
        </w:tc>
        <w:tc>
          <w:tcPr>
            <w:tcW w:w="3946" w:type="dxa"/>
            <w:vAlign w:val="center"/>
          </w:tcPr>
          <w:p w14:paraId="3D2F357B">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配合汇编整理技术资料，监管设备检验，塔机安装完毕后自检。</w:t>
            </w:r>
          </w:p>
        </w:tc>
      </w:tr>
      <w:tr w14:paraId="4C7E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63D0BC1F">
            <w:pPr>
              <w:pStyle w:val="84"/>
              <w:jc w:val="center"/>
              <w:rPr>
                <w:color w:val="auto"/>
              </w:rPr>
            </w:pPr>
          </w:p>
        </w:tc>
        <w:tc>
          <w:tcPr>
            <w:tcW w:w="1262" w:type="dxa"/>
            <w:vAlign w:val="center"/>
          </w:tcPr>
          <w:p w14:paraId="3C9E156A">
            <w:pPr>
              <w:widowControl/>
              <w:adjustRightInd w:val="0"/>
              <w:spacing w:line="240" w:lineRule="auto"/>
              <w:ind w:firstLine="33" w:firstLineChars="14"/>
              <w:jc w:val="center"/>
              <w:textAlignment w:val="center"/>
              <w:rPr>
                <w:color w:val="auto"/>
                <w:kern w:val="2"/>
              </w:rPr>
            </w:pPr>
          </w:p>
        </w:tc>
        <w:tc>
          <w:tcPr>
            <w:tcW w:w="1791" w:type="dxa"/>
            <w:vAlign w:val="center"/>
          </w:tcPr>
          <w:p w14:paraId="754317F2">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测量人员</w:t>
            </w:r>
          </w:p>
        </w:tc>
        <w:tc>
          <w:tcPr>
            <w:tcW w:w="3946" w:type="dxa"/>
            <w:vAlign w:val="center"/>
          </w:tcPr>
          <w:p w14:paraId="25AF3AA5">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配合塔吊垂直度测量</w:t>
            </w:r>
          </w:p>
        </w:tc>
      </w:tr>
      <w:tr w14:paraId="2AC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90" w:type="dxa"/>
            <w:vMerge w:val="continue"/>
            <w:vAlign w:val="center"/>
          </w:tcPr>
          <w:p w14:paraId="1BD92479">
            <w:pPr>
              <w:pStyle w:val="84"/>
              <w:jc w:val="center"/>
              <w:rPr>
                <w:color w:val="auto"/>
              </w:rPr>
            </w:pPr>
          </w:p>
        </w:tc>
        <w:tc>
          <w:tcPr>
            <w:tcW w:w="1262" w:type="dxa"/>
            <w:vAlign w:val="center"/>
          </w:tcPr>
          <w:p w14:paraId="3225CA4E">
            <w:pPr>
              <w:widowControl/>
              <w:adjustRightInd w:val="0"/>
              <w:spacing w:line="240" w:lineRule="auto"/>
              <w:ind w:firstLine="33" w:firstLineChars="14"/>
              <w:jc w:val="center"/>
              <w:textAlignment w:val="center"/>
              <w:rPr>
                <w:color w:val="auto"/>
                <w:kern w:val="2"/>
              </w:rPr>
            </w:pPr>
          </w:p>
        </w:tc>
        <w:tc>
          <w:tcPr>
            <w:tcW w:w="1791" w:type="dxa"/>
            <w:vAlign w:val="center"/>
          </w:tcPr>
          <w:p w14:paraId="2610D57F">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特种设备管理人员</w:t>
            </w:r>
          </w:p>
        </w:tc>
        <w:tc>
          <w:tcPr>
            <w:tcW w:w="3946" w:type="dxa"/>
            <w:vAlign w:val="center"/>
          </w:tcPr>
          <w:p w14:paraId="3BE2EBC5">
            <w:pPr>
              <w:pStyle w:val="8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塔吊安拆过程全过程盯控</w:t>
            </w:r>
          </w:p>
        </w:tc>
      </w:tr>
      <w:bookmarkEnd w:id="93"/>
    </w:tbl>
    <w:p w14:paraId="7DA8AB88">
      <w:pPr>
        <w:pStyle w:val="3"/>
        <w:ind w:left="480"/>
        <w:rPr>
          <w:rFonts w:hint="eastAsia"/>
          <w:color w:val="auto"/>
        </w:rPr>
      </w:pPr>
      <w:bookmarkStart w:id="104" w:name="_Toc11591"/>
      <w:r>
        <w:rPr>
          <w:rFonts w:hint="eastAsia"/>
          <w:color w:val="auto"/>
        </w:rPr>
        <w:t>4.3 施工计划</w:t>
      </w:r>
      <w:bookmarkEnd w:id="94"/>
      <w:bookmarkEnd w:id="95"/>
      <w:bookmarkEnd w:id="96"/>
      <w:bookmarkEnd w:id="97"/>
      <w:bookmarkEnd w:id="98"/>
      <w:bookmarkEnd w:id="99"/>
      <w:bookmarkEnd w:id="104"/>
    </w:p>
    <w:p w14:paraId="3DC39338">
      <w:pPr>
        <w:ind w:firstLine="480"/>
        <w:rPr>
          <w:rFonts w:hint="eastAsia"/>
          <w:color w:val="auto"/>
        </w:rPr>
      </w:pPr>
      <w:bookmarkStart w:id="105" w:name="_Toc23683"/>
      <w:bookmarkStart w:id="106" w:name="_Toc182895397"/>
      <w:bookmarkStart w:id="107" w:name="_Toc32419"/>
      <w:r>
        <w:rPr>
          <w:rFonts w:hint="eastAsia"/>
          <w:color w:val="auto"/>
        </w:rPr>
        <w:t>塔机单台安装顶升到独立高度用时约</w:t>
      </w:r>
      <w:r>
        <w:rPr>
          <w:rFonts w:hint="eastAsia"/>
          <w:color w:val="auto"/>
          <w:lang w:val="en-US" w:eastAsia="zh-CN"/>
        </w:rPr>
        <w:t>5</w:t>
      </w:r>
      <w:r>
        <w:rPr>
          <w:rFonts w:hint="eastAsia"/>
          <w:color w:val="auto"/>
        </w:rPr>
        <w:t>天。其中不包含塔机预拼组件时间。</w:t>
      </w:r>
    </w:p>
    <w:p w14:paraId="6605102F">
      <w:pPr>
        <w:ind w:left="0" w:leftChars="0" w:firstLine="0" w:firstLineChars="0"/>
        <w:jc w:val="center"/>
        <w:rPr>
          <w:rFonts w:hint="eastAsia"/>
          <w:color w:val="auto"/>
        </w:rPr>
      </w:pPr>
      <w:bookmarkStart w:id="108" w:name="_Toc29824_WPSOffice_Level2"/>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4.3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rPr>
        <w:t>施工进度表</w:t>
      </w:r>
      <w:bookmarkEnd w:id="108"/>
    </w:p>
    <w:tbl>
      <w:tblPr>
        <w:tblStyle w:val="28"/>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368"/>
        <w:gridCol w:w="1275"/>
        <w:gridCol w:w="1472"/>
      </w:tblGrid>
      <w:tr w14:paraId="310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36A0EC65">
            <w:pPr>
              <w:pStyle w:val="84"/>
              <w:rPr>
                <w:color w:val="auto"/>
              </w:rPr>
            </w:pPr>
            <w:r>
              <w:rPr>
                <w:color w:val="auto"/>
              </w:rPr>
              <w:t>序号</w:t>
            </w:r>
          </w:p>
        </w:tc>
        <w:tc>
          <w:tcPr>
            <w:tcW w:w="5368" w:type="dxa"/>
            <w:vAlign w:val="center"/>
          </w:tcPr>
          <w:p w14:paraId="4A2013B6">
            <w:pPr>
              <w:pStyle w:val="84"/>
              <w:rPr>
                <w:color w:val="auto"/>
              </w:rPr>
            </w:pPr>
            <w:r>
              <w:rPr>
                <w:color w:val="auto"/>
              </w:rPr>
              <w:t>工 作 项 目</w:t>
            </w:r>
          </w:p>
        </w:tc>
        <w:tc>
          <w:tcPr>
            <w:tcW w:w="1275" w:type="dxa"/>
            <w:vAlign w:val="center"/>
          </w:tcPr>
          <w:p w14:paraId="3CFFE969">
            <w:pPr>
              <w:pStyle w:val="84"/>
              <w:rPr>
                <w:color w:val="auto"/>
              </w:rPr>
            </w:pPr>
            <w:r>
              <w:rPr>
                <w:color w:val="auto"/>
              </w:rPr>
              <w:t>时间（天）</w:t>
            </w:r>
          </w:p>
        </w:tc>
        <w:tc>
          <w:tcPr>
            <w:tcW w:w="1472" w:type="dxa"/>
            <w:vAlign w:val="center"/>
          </w:tcPr>
          <w:p w14:paraId="5297E50D">
            <w:pPr>
              <w:pStyle w:val="84"/>
              <w:rPr>
                <w:color w:val="auto"/>
              </w:rPr>
            </w:pPr>
            <w:r>
              <w:rPr>
                <w:color w:val="auto"/>
              </w:rPr>
              <w:t>备注</w:t>
            </w:r>
          </w:p>
        </w:tc>
      </w:tr>
      <w:tr w14:paraId="5C7C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3" w:type="dxa"/>
            <w:vAlign w:val="center"/>
          </w:tcPr>
          <w:p w14:paraId="5794D64D">
            <w:pPr>
              <w:pStyle w:val="84"/>
              <w:rPr>
                <w:color w:val="auto"/>
              </w:rPr>
            </w:pPr>
            <w:r>
              <w:rPr>
                <w:color w:val="auto"/>
              </w:rPr>
              <w:t>1</w:t>
            </w:r>
          </w:p>
        </w:tc>
        <w:tc>
          <w:tcPr>
            <w:tcW w:w="5368" w:type="dxa"/>
            <w:vAlign w:val="center"/>
          </w:tcPr>
          <w:p w14:paraId="1552939B">
            <w:pPr>
              <w:pStyle w:val="84"/>
              <w:rPr>
                <w:rFonts w:ascii="Times New Roman" w:hAnsi="Times New Roman" w:eastAsia="宋体" w:cs="Times New Roman"/>
                <w:color w:val="auto"/>
              </w:rPr>
            </w:pPr>
            <w:r>
              <w:rPr>
                <w:rFonts w:hint="eastAsia" w:ascii="Times New Roman" w:hAnsi="Times New Roman" w:eastAsia="宋体" w:cs="Times New Roman"/>
                <w:color w:val="auto"/>
              </w:rPr>
              <w:t>施工队伍进场，工具准备，现场勘查，协调</w:t>
            </w:r>
          </w:p>
        </w:tc>
        <w:tc>
          <w:tcPr>
            <w:tcW w:w="1275" w:type="dxa"/>
            <w:vAlign w:val="center"/>
          </w:tcPr>
          <w:p w14:paraId="679A78D8">
            <w:pPr>
              <w:pStyle w:val="84"/>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1472" w:type="dxa"/>
            <w:vAlign w:val="center"/>
          </w:tcPr>
          <w:p w14:paraId="2AA487A1">
            <w:pPr>
              <w:pStyle w:val="84"/>
              <w:rPr>
                <w:color w:val="auto"/>
              </w:rPr>
            </w:pPr>
          </w:p>
        </w:tc>
      </w:tr>
      <w:tr w14:paraId="3CE1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20C70A32">
            <w:pPr>
              <w:pStyle w:val="84"/>
              <w:rPr>
                <w:color w:val="auto"/>
              </w:rPr>
            </w:pPr>
            <w:r>
              <w:rPr>
                <w:color w:val="auto"/>
              </w:rPr>
              <w:t>2</w:t>
            </w:r>
          </w:p>
        </w:tc>
        <w:tc>
          <w:tcPr>
            <w:tcW w:w="5368" w:type="dxa"/>
            <w:vAlign w:val="center"/>
          </w:tcPr>
          <w:p w14:paraId="50F7BC95">
            <w:pPr>
              <w:pStyle w:val="84"/>
              <w:rPr>
                <w:rFonts w:ascii="Times New Roman" w:hAnsi="Times New Roman" w:eastAsia="宋体" w:cs="Times New Roman"/>
                <w:color w:val="auto"/>
              </w:rPr>
            </w:pPr>
            <w:r>
              <w:rPr>
                <w:rFonts w:hint="eastAsia" w:ascii="Times New Roman" w:hAnsi="Times New Roman" w:eastAsia="宋体" w:cs="Times New Roman"/>
                <w:color w:val="auto"/>
              </w:rPr>
              <w:t>安装塔机1节基础节</w:t>
            </w:r>
            <w:r>
              <w:rPr>
                <w:rFonts w:hint="eastAsia" w:cs="Times New Roman"/>
                <w:color w:val="auto"/>
                <w:lang w:eastAsia="zh-CN"/>
              </w:rPr>
              <w:t>、</w:t>
            </w:r>
            <w:r>
              <w:rPr>
                <w:rFonts w:hint="eastAsia" w:cs="Times New Roman"/>
                <w:color w:val="auto"/>
                <w:lang w:val="en-US" w:eastAsia="zh-CN"/>
              </w:rPr>
              <w:t>1</w:t>
            </w:r>
            <w:r>
              <w:rPr>
                <w:rFonts w:hint="eastAsia" w:ascii="Times New Roman" w:hAnsi="Times New Roman" w:eastAsia="宋体" w:cs="Times New Roman"/>
                <w:color w:val="auto"/>
                <w:lang w:val="en-US" w:eastAsia="zh-CN"/>
              </w:rPr>
              <w:t>节标准节</w:t>
            </w:r>
            <w:r>
              <w:rPr>
                <w:rFonts w:hint="eastAsia" w:cs="Times New Roman"/>
                <w:color w:val="auto"/>
                <w:lang w:val="en-US" w:eastAsia="zh-CN"/>
              </w:rPr>
              <w:t>、</w:t>
            </w:r>
            <w:r>
              <w:rPr>
                <w:rFonts w:hint="eastAsia" w:ascii="Times New Roman" w:hAnsi="Times New Roman" w:eastAsia="宋体" w:cs="Times New Roman"/>
                <w:color w:val="auto"/>
              </w:rPr>
              <w:t>安装爬升架</w:t>
            </w:r>
          </w:p>
        </w:tc>
        <w:tc>
          <w:tcPr>
            <w:tcW w:w="1275" w:type="dxa"/>
            <w:vAlign w:val="center"/>
          </w:tcPr>
          <w:p w14:paraId="247574BA">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472" w:type="dxa"/>
            <w:vAlign w:val="center"/>
          </w:tcPr>
          <w:p w14:paraId="0B6D795E">
            <w:pPr>
              <w:pStyle w:val="84"/>
              <w:rPr>
                <w:color w:val="auto"/>
              </w:rPr>
            </w:pPr>
          </w:p>
        </w:tc>
      </w:tr>
      <w:tr w14:paraId="2F84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626FADEA">
            <w:pPr>
              <w:pStyle w:val="84"/>
              <w:rPr>
                <w:color w:val="auto"/>
              </w:rPr>
            </w:pPr>
            <w:r>
              <w:rPr>
                <w:rFonts w:hint="eastAsia"/>
                <w:color w:val="auto"/>
              </w:rPr>
              <w:t>3</w:t>
            </w:r>
          </w:p>
        </w:tc>
        <w:tc>
          <w:tcPr>
            <w:tcW w:w="5368" w:type="dxa"/>
            <w:vAlign w:val="center"/>
          </w:tcPr>
          <w:p w14:paraId="7D44992F">
            <w:pPr>
              <w:pStyle w:val="84"/>
              <w:rPr>
                <w:rFonts w:hint="default" w:ascii="Times New Roman" w:hAnsi="Times New Roman" w:eastAsia="宋体" w:cs="Times New Roman"/>
                <w:color w:val="auto"/>
                <w:lang w:val="en-US"/>
              </w:rPr>
            </w:pPr>
            <w:r>
              <w:rPr>
                <w:rFonts w:hint="eastAsia" w:ascii="Times New Roman" w:hAnsi="Times New Roman" w:eastAsia="宋体" w:cs="Times New Roman"/>
                <w:color w:val="auto"/>
              </w:rPr>
              <w:t>安装</w:t>
            </w:r>
            <w:r>
              <w:rPr>
                <w:rFonts w:hint="eastAsia" w:cs="Times New Roman"/>
                <w:color w:val="auto"/>
                <w:lang w:val="en-US" w:eastAsia="zh-CN"/>
              </w:rPr>
              <w:t>特殊</w:t>
            </w:r>
            <w:r>
              <w:rPr>
                <w:rFonts w:hint="eastAsia" w:ascii="Times New Roman" w:hAnsi="Times New Roman" w:eastAsia="宋体" w:cs="Times New Roman"/>
                <w:color w:val="auto"/>
                <w:lang w:val="en-US" w:eastAsia="zh-CN"/>
              </w:rPr>
              <w:t>节、</w:t>
            </w:r>
            <w:r>
              <w:rPr>
                <w:rFonts w:hint="eastAsia" w:ascii="Times New Roman" w:hAnsi="Times New Roman" w:eastAsia="宋体" w:cs="Times New Roman"/>
                <w:color w:val="auto"/>
              </w:rPr>
              <w:t>回转</w:t>
            </w:r>
            <w:r>
              <w:rPr>
                <w:rFonts w:hint="eastAsia" w:ascii="Times New Roman" w:hAnsi="Times New Roman" w:eastAsia="宋体" w:cs="Times New Roman"/>
                <w:color w:val="auto"/>
                <w:lang w:val="en-US" w:eastAsia="zh-CN"/>
              </w:rPr>
              <w:t>总成</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平衡臂、起重臂</w:t>
            </w:r>
            <w:r>
              <w:rPr>
                <w:rFonts w:hint="eastAsia" w:cs="Times New Roman"/>
                <w:color w:val="auto"/>
                <w:lang w:val="en-US" w:eastAsia="zh-CN"/>
              </w:rPr>
              <w:t>、平衡重</w:t>
            </w:r>
          </w:p>
        </w:tc>
        <w:tc>
          <w:tcPr>
            <w:tcW w:w="1275" w:type="dxa"/>
            <w:vAlign w:val="center"/>
          </w:tcPr>
          <w:p w14:paraId="1816EB61">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472" w:type="dxa"/>
            <w:vAlign w:val="center"/>
          </w:tcPr>
          <w:p w14:paraId="61AFDC5C">
            <w:pPr>
              <w:pStyle w:val="84"/>
              <w:rPr>
                <w:color w:val="auto"/>
              </w:rPr>
            </w:pPr>
          </w:p>
        </w:tc>
      </w:tr>
      <w:tr w14:paraId="096C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dxa"/>
            <w:vAlign w:val="center"/>
          </w:tcPr>
          <w:p w14:paraId="66B7D2BD">
            <w:pPr>
              <w:pStyle w:val="84"/>
              <w:rPr>
                <w:color w:val="auto"/>
              </w:rPr>
            </w:pPr>
            <w:r>
              <w:rPr>
                <w:rFonts w:hint="eastAsia"/>
                <w:color w:val="auto"/>
              </w:rPr>
              <w:t>4</w:t>
            </w:r>
          </w:p>
        </w:tc>
        <w:tc>
          <w:tcPr>
            <w:tcW w:w="5368" w:type="dxa"/>
            <w:vAlign w:val="center"/>
          </w:tcPr>
          <w:p w14:paraId="02D9B7A9">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穿钩，调试，</w:t>
            </w:r>
            <w:r>
              <w:rPr>
                <w:rFonts w:hint="eastAsia" w:ascii="Times New Roman" w:hAnsi="Times New Roman" w:eastAsia="宋体" w:cs="Times New Roman"/>
                <w:color w:val="auto"/>
              </w:rPr>
              <w:t>顶升到</w:t>
            </w:r>
            <w:r>
              <w:rPr>
                <w:rFonts w:hint="eastAsia" w:ascii="Times New Roman" w:hAnsi="Times New Roman" w:eastAsia="宋体" w:cs="Times New Roman"/>
                <w:color w:val="auto"/>
                <w:lang w:val="en-US" w:eastAsia="zh-CN"/>
              </w:rPr>
              <w:t>使用</w:t>
            </w:r>
            <w:r>
              <w:rPr>
                <w:rFonts w:hint="eastAsia" w:ascii="Times New Roman" w:hAnsi="Times New Roman" w:eastAsia="宋体" w:cs="Times New Roman"/>
                <w:color w:val="auto"/>
              </w:rPr>
              <w:t>高度</w:t>
            </w:r>
          </w:p>
        </w:tc>
        <w:tc>
          <w:tcPr>
            <w:tcW w:w="1275" w:type="dxa"/>
            <w:vAlign w:val="center"/>
          </w:tcPr>
          <w:p w14:paraId="031AB8C6">
            <w:pPr>
              <w:pStyle w:val="84"/>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p>
        </w:tc>
        <w:tc>
          <w:tcPr>
            <w:tcW w:w="1472" w:type="dxa"/>
            <w:vAlign w:val="center"/>
          </w:tcPr>
          <w:p w14:paraId="1885FF0F">
            <w:pPr>
              <w:pStyle w:val="84"/>
              <w:rPr>
                <w:color w:val="auto"/>
              </w:rPr>
            </w:pPr>
          </w:p>
        </w:tc>
      </w:tr>
      <w:tr w14:paraId="0317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3" w:type="dxa"/>
            <w:vAlign w:val="center"/>
          </w:tcPr>
          <w:p w14:paraId="2CA55B5E">
            <w:pPr>
              <w:pStyle w:val="84"/>
              <w:rPr>
                <w:color w:val="auto"/>
              </w:rPr>
            </w:pPr>
            <w:r>
              <w:rPr>
                <w:rFonts w:hint="eastAsia"/>
                <w:color w:val="auto"/>
              </w:rPr>
              <w:t>5</w:t>
            </w:r>
          </w:p>
        </w:tc>
        <w:tc>
          <w:tcPr>
            <w:tcW w:w="5368" w:type="dxa"/>
            <w:vAlign w:val="center"/>
          </w:tcPr>
          <w:p w14:paraId="026A3D0D">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验收，交付使用</w:t>
            </w:r>
          </w:p>
        </w:tc>
        <w:tc>
          <w:tcPr>
            <w:tcW w:w="1275" w:type="dxa"/>
            <w:vAlign w:val="center"/>
          </w:tcPr>
          <w:p w14:paraId="292CBBF4">
            <w:pPr>
              <w:pStyle w:val="84"/>
              <w:rPr>
                <w:rFonts w:hint="default" w:ascii="Times New Roman" w:hAnsi="Times New Roman" w:eastAsia="宋体" w:cs="Times New Roman"/>
                <w:color w:val="auto"/>
                <w:lang w:val="en-US"/>
              </w:rPr>
            </w:pPr>
            <w:r>
              <w:rPr>
                <w:rFonts w:hint="eastAsia" w:cs="Times New Roman"/>
                <w:color w:val="auto"/>
                <w:lang w:val="en-US" w:eastAsia="zh-CN"/>
              </w:rPr>
              <w:t>0.5</w:t>
            </w:r>
          </w:p>
        </w:tc>
        <w:tc>
          <w:tcPr>
            <w:tcW w:w="1472" w:type="dxa"/>
            <w:vAlign w:val="center"/>
          </w:tcPr>
          <w:p w14:paraId="1E50476E">
            <w:pPr>
              <w:pStyle w:val="84"/>
              <w:rPr>
                <w:color w:val="auto"/>
              </w:rPr>
            </w:pPr>
          </w:p>
        </w:tc>
      </w:tr>
      <w:tr w14:paraId="3BE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1" w:type="dxa"/>
            <w:gridSpan w:val="2"/>
            <w:vAlign w:val="center"/>
          </w:tcPr>
          <w:p w14:paraId="5A1B4B1E">
            <w:pPr>
              <w:pStyle w:val="84"/>
              <w:jc w:val="center"/>
              <w:rPr>
                <w:color w:val="auto"/>
              </w:rPr>
            </w:pPr>
            <w:r>
              <w:rPr>
                <w:color w:val="auto"/>
              </w:rPr>
              <w:t>总计时间</w:t>
            </w:r>
          </w:p>
        </w:tc>
        <w:tc>
          <w:tcPr>
            <w:tcW w:w="1275" w:type="dxa"/>
            <w:vAlign w:val="center"/>
          </w:tcPr>
          <w:p w14:paraId="375AE294">
            <w:pPr>
              <w:pStyle w:val="84"/>
              <w:rPr>
                <w:rFonts w:hint="eastAsia" w:eastAsia="宋体"/>
                <w:color w:val="auto"/>
                <w:lang w:eastAsia="zh-CN"/>
              </w:rPr>
            </w:pPr>
            <w:r>
              <w:rPr>
                <w:rFonts w:hint="eastAsia"/>
                <w:color w:val="auto"/>
                <w:lang w:val="en-US" w:eastAsia="zh-CN"/>
              </w:rPr>
              <w:t>5</w:t>
            </w:r>
          </w:p>
        </w:tc>
        <w:tc>
          <w:tcPr>
            <w:tcW w:w="1472" w:type="dxa"/>
            <w:vAlign w:val="center"/>
          </w:tcPr>
          <w:p w14:paraId="34EC6207">
            <w:pPr>
              <w:pStyle w:val="84"/>
              <w:rPr>
                <w:color w:val="auto"/>
              </w:rPr>
            </w:pPr>
          </w:p>
        </w:tc>
      </w:tr>
    </w:tbl>
    <w:p w14:paraId="3D75D977">
      <w:pPr>
        <w:pStyle w:val="3"/>
        <w:ind w:left="480"/>
        <w:rPr>
          <w:rFonts w:hint="eastAsia"/>
          <w:color w:val="auto"/>
        </w:rPr>
      </w:pPr>
      <w:bookmarkStart w:id="109" w:name="_Toc20775"/>
      <w:r>
        <w:rPr>
          <w:rFonts w:hint="eastAsia"/>
          <w:color w:val="auto"/>
        </w:rPr>
        <w:t>4.4</w:t>
      </w:r>
      <w:r>
        <w:rPr>
          <w:color w:val="auto"/>
        </w:rPr>
        <w:t xml:space="preserve"> </w:t>
      </w:r>
      <w:r>
        <w:rPr>
          <w:rFonts w:hint="eastAsia"/>
          <w:color w:val="auto"/>
        </w:rPr>
        <w:t>安拆用主要机械设备及辅助工器具</w:t>
      </w:r>
      <w:bookmarkEnd w:id="105"/>
      <w:bookmarkEnd w:id="106"/>
      <w:bookmarkEnd w:id="107"/>
      <w:bookmarkEnd w:id="109"/>
    </w:p>
    <w:p w14:paraId="6D247D19">
      <w:pPr>
        <w:widowControl/>
        <w:snapToGrid w:val="0"/>
        <w:ind w:left="480" w:leftChars="200" w:firstLine="0" w:firstLineChars="0"/>
        <w:jc w:val="left"/>
        <w:rPr>
          <w:rFonts w:hint="eastAsia"/>
          <w:color w:val="auto"/>
          <w:kern w:val="0"/>
          <w:szCs w:val="24"/>
        </w:rPr>
      </w:pPr>
      <w:r>
        <w:rPr>
          <w:rFonts w:hint="eastAsia"/>
          <w:color w:val="auto"/>
          <w:kern w:val="0"/>
          <w:szCs w:val="24"/>
        </w:rPr>
        <w:t>（1）施工机械</w:t>
      </w:r>
    </w:p>
    <w:tbl>
      <w:tblPr>
        <w:tblStyle w:val="28"/>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010"/>
        <w:gridCol w:w="1936"/>
        <w:gridCol w:w="1004"/>
        <w:gridCol w:w="1050"/>
        <w:gridCol w:w="1770"/>
      </w:tblGrid>
      <w:tr w14:paraId="6FAB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2BE0243D">
            <w:pPr>
              <w:pStyle w:val="84"/>
              <w:rPr>
                <w:color w:val="auto"/>
              </w:rPr>
            </w:pPr>
            <w:r>
              <w:rPr>
                <w:rFonts w:hint="eastAsia"/>
                <w:color w:val="auto"/>
              </w:rPr>
              <w:t>序号</w:t>
            </w:r>
          </w:p>
        </w:tc>
        <w:tc>
          <w:tcPr>
            <w:tcW w:w="2010" w:type="dxa"/>
            <w:vAlign w:val="center"/>
          </w:tcPr>
          <w:p w14:paraId="50DB1140">
            <w:pPr>
              <w:pStyle w:val="84"/>
              <w:rPr>
                <w:color w:val="auto"/>
              </w:rPr>
            </w:pPr>
            <w:r>
              <w:rPr>
                <w:rFonts w:hint="eastAsia"/>
                <w:color w:val="auto"/>
              </w:rPr>
              <w:t>设备名称</w:t>
            </w:r>
          </w:p>
        </w:tc>
        <w:tc>
          <w:tcPr>
            <w:tcW w:w="1936" w:type="dxa"/>
            <w:vAlign w:val="center"/>
          </w:tcPr>
          <w:p w14:paraId="7F319CF6">
            <w:pPr>
              <w:pStyle w:val="84"/>
              <w:rPr>
                <w:color w:val="auto"/>
              </w:rPr>
            </w:pPr>
            <w:r>
              <w:rPr>
                <w:rFonts w:hint="eastAsia"/>
                <w:color w:val="auto"/>
              </w:rPr>
              <w:t>规格型号</w:t>
            </w:r>
          </w:p>
        </w:tc>
        <w:tc>
          <w:tcPr>
            <w:tcW w:w="1004" w:type="dxa"/>
            <w:vAlign w:val="center"/>
          </w:tcPr>
          <w:p w14:paraId="2D5F8BF8">
            <w:pPr>
              <w:pStyle w:val="84"/>
              <w:rPr>
                <w:color w:val="auto"/>
              </w:rPr>
            </w:pPr>
            <w:r>
              <w:rPr>
                <w:rFonts w:hint="eastAsia"/>
                <w:color w:val="auto"/>
              </w:rPr>
              <w:t>单位</w:t>
            </w:r>
          </w:p>
        </w:tc>
        <w:tc>
          <w:tcPr>
            <w:tcW w:w="1050" w:type="dxa"/>
            <w:vAlign w:val="center"/>
          </w:tcPr>
          <w:p w14:paraId="458973A6">
            <w:pPr>
              <w:pStyle w:val="84"/>
              <w:rPr>
                <w:color w:val="auto"/>
              </w:rPr>
            </w:pPr>
            <w:r>
              <w:rPr>
                <w:rFonts w:hint="eastAsia"/>
                <w:color w:val="auto"/>
              </w:rPr>
              <w:t>数量</w:t>
            </w:r>
          </w:p>
        </w:tc>
        <w:tc>
          <w:tcPr>
            <w:tcW w:w="1770" w:type="dxa"/>
            <w:vAlign w:val="center"/>
          </w:tcPr>
          <w:p w14:paraId="452676E1">
            <w:pPr>
              <w:pStyle w:val="84"/>
              <w:rPr>
                <w:color w:val="auto"/>
              </w:rPr>
            </w:pPr>
            <w:r>
              <w:rPr>
                <w:rFonts w:hint="eastAsia"/>
                <w:color w:val="auto"/>
              </w:rPr>
              <w:t>备注</w:t>
            </w:r>
          </w:p>
        </w:tc>
      </w:tr>
      <w:tr w14:paraId="3F5F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1E5498E8">
            <w:pPr>
              <w:pStyle w:val="84"/>
              <w:rPr>
                <w:color w:val="auto"/>
              </w:rPr>
            </w:pPr>
            <w:r>
              <w:rPr>
                <w:color w:val="auto"/>
              </w:rPr>
              <w:t>1</w:t>
            </w:r>
          </w:p>
        </w:tc>
        <w:tc>
          <w:tcPr>
            <w:tcW w:w="2010" w:type="dxa"/>
            <w:vAlign w:val="center"/>
          </w:tcPr>
          <w:p w14:paraId="2E7ABD8C">
            <w:pPr>
              <w:pStyle w:val="84"/>
              <w:rPr>
                <w:color w:val="auto"/>
              </w:rPr>
            </w:pPr>
            <w:r>
              <w:rPr>
                <w:color w:val="auto"/>
              </w:rPr>
              <w:t>25吨</w:t>
            </w:r>
            <w:r>
              <w:rPr>
                <w:rFonts w:hint="eastAsia"/>
                <w:color w:val="auto"/>
              </w:rPr>
              <w:t>汽车</w:t>
            </w:r>
            <w:r>
              <w:rPr>
                <w:color w:val="auto"/>
              </w:rPr>
              <w:t>吊</w:t>
            </w:r>
          </w:p>
        </w:tc>
        <w:tc>
          <w:tcPr>
            <w:tcW w:w="1936" w:type="dxa"/>
            <w:vAlign w:val="center"/>
          </w:tcPr>
          <w:p w14:paraId="35C65F5A">
            <w:pPr>
              <w:pStyle w:val="84"/>
              <w:rPr>
                <w:rFonts w:hint="default" w:eastAsia="宋体"/>
                <w:color w:val="auto"/>
                <w:lang w:val="en-US" w:eastAsia="zh-CN"/>
              </w:rPr>
            </w:pPr>
            <w:r>
              <w:rPr>
                <w:rFonts w:hint="eastAsia"/>
                <w:color w:val="auto"/>
                <w:lang w:val="en-US" w:eastAsia="zh-CN"/>
              </w:rPr>
              <w:t>三一STC250C5-1</w:t>
            </w:r>
          </w:p>
        </w:tc>
        <w:tc>
          <w:tcPr>
            <w:tcW w:w="1004" w:type="dxa"/>
            <w:vAlign w:val="center"/>
          </w:tcPr>
          <w:p w14:paraId="1644E214">
            <w:pPr>
              <w:pStyle w:val="84"/>
              <w:rPr>
                <w:color w:val="auto"/>
              </w:rPr>
            </w:pPr>
            <w:r>
              <w:rPr>
                <w:color w:val="auto"/>
              </w:rPr>
              <w:t>台</w:t>
            </w:r>
          </w:p>
        </w:tc>
        <w:tc>
          <w:tcPr>
            <w:tcW w:w="1050" w:type="dxa"/>
            <w:vAlign w:val="center"/>
          </w:tcPr>
          <w:p w14:paraId="6BA1DFB2">
            <w:pPr>
              <w:pStyle w:val="84"/>
              <w:rPr>
                <w:color w:val="auto"/>
              </w:rPr>
            </w:pPr>
            <w:r>
              <w:rPr>
                <w:color w:val="auto"/>
              </w:rPr>
              <w:t>1</w:t>
            </w:r>
          </w:p>
        </w:tc>
        <w:tc>
          <w:tcPr>
            <w:tcW w:w="1770" w:type="dxa"/>
            <w:vAlign w:val="center"/>
          </w:tcPr>
          <w:p w14:paraId="3C0FA5FA">
            <w:pPr>
              <w:pStyle w:val="84"/>
              <w:rPr>
                <w:color w:val="auto"/>
              </w:rPr>
            </w:pPr>
            <w:r>
              <w:rPr>
                <w:color w:val="auto"/>
              </w:rPr>
              <w:t>大臂</w:t>
            </w:r>
            <w:r>
              <w:rPr>
                <w:rFonts w:hint="eastAsia"/>
                <w:color w:val="auto"/>
                <w:lang w:val="en-US" w:eastAsia="zh-CN"/>
              </w:rPr>
              <w:t>35.3</w:t>
            </w:r>
            <w:r>
              <w:rPr>
                <w:color w:val="auto"/>
              </w:rPr>
              <w:t>m</w:t>
            </w:r>
          </w:p>
        </w:tc>
      </w:tr>
      <w:tr w14:paraId="31A2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4352CE7B">
            <w:pPr>
              <w:pStyle w:val="84"/>
              <w:rPr>
                <w:color w:val="auto"/>
              </w:rPr>
            </w:pPr>
            <w:r>
              <w:rPr>
                <w:rFonts w:hint="eastAsia"/>
                <w:color w:val="auto"/>
              </w:rPr>
              <w:t>2</w:t>
            </w:r>
          </w:p>
        </w:tc>
        <w:tc>
          <w:tcPr>
            <w:tcW w:w="2010" w:type="dxa"/>
            <w:vAlign w:val="center"/>
          </w:tcPr>
          <w:p w14:paraId="5AC82A0F">
            <w:pPr>
              <w:pStyle w:val="84"/>
              <w:rPr>
                <w:color w:val="auto"/>
              </w:rPr>
            </w:pPr>
            <w:r>
              <w:rPr>
                <w:rFonts w:hint="eastAsia"/>
                <w:color w:val="auto"/>
              </w:rPr>
              <w:t>50吨汽车吊</w:t>
            </w:r>
          </w:p>
        </w:tc>
        <w:tc>
          <w:tcPr>
            <w:tcW w:w="1936" w:type="dxa"/>
            <w:vAlign w:val="center"/>
          </w:tcPr>
          <w:p w14:paraId="4C02786F">
            <w:pPr>
              <w:pStyle w:val="84"/>
              <w:rPr>
                <w:rFonts w:hint="default" w:eastAsia="宋体"/>
                <w:color w:val="auto"/>
                <w:lang w:val="en-US" w:eastAsia="zh-CN"/>
              </w:rPr>
            </w:pPr>
            <w:r>
              <w:rPr>
                <w:rFonts w:hint="eastAsia"/>
                <w:color w:val="auto"/>
                <w:lang w:val="en-US" w:eastAsia="zh-CN"/>
              </w:rPr>
              <w:t>中联</w:t>
            </w:r>
            <w:r>
              <w:rPr>
                <w:rFonts w:hint="eastAsia"/>
                <w:color w:val="auto"/>
              </w:rPr>
              <w:t>Z</w:t>
            </w:r>
            <w:r>
              <w:rPr>
                <w:rFonts w:hint="eastAsia"/>
                <w:color w:val="auto"/>
                <w:lang w:val="en-US" w:eastAsia="zh-CN"/>
              </w:rPr>
              <w:t>TC500H552</w:t>
            </w:r>
          </w:p>
        </w:tc>
        <w:tc>
          <w:tcPr>
            <w:tcW w:w="1004" w:type="dxa"/>
            <w:vAlign w:val="center"/>
          </w:tcPr>
          <w:p w14:paraId="15D32540">
            <w:pPr>
              <w:pStyle w:val="84"/>
              <w:rPr>
                <w:color w:val="auto"/>
              </w:rPr>
            </w:pPr>
            <w:r>
              <w:rPr>
                <w:rFonts w:hint="eastAsia"/>
                <w:color w:val="auto"/>
              </w:rPr>
              <w:t>台</w:t>
            </w:r>
          </w:p>
        </w:tc>
        <w:tc>
          <w:tcPr>
            <w:tcW w:w="1050" w:type="dxa"/>
            <w:vAlign w:val="center"/>
          </w:tcPr>
          <w:p w14:paraId="6048C371">
            <w:pPr>
              <w:pStyle w:val="84"/>
              <w:rPr>
                <w:color w:val="auto"/>
              </w:rPr>
            </w:pPr>
            <w:r>
              <w:rPr>
                <w:rFonts w:hint="eastAsia"/>
                <w:color w:val="auto"/>
              </w:rPr>
              <w:t>1</w:t>
            </w:r>
          </w:p>
        </w:tc>
        <w:tc>
          <w:tcPr>
            <w:tcW w:w="1770" w:type="dxa"/>
            <w:vAlign w:val="center"/>
          </w:tcPr>
          <w:p w14:paraId="627EB2EB">
            <w:pPr>
              <w:pStyle w:val="84"/>
              <w:rPr>
                <w:color w:val="auto"/>
              </w:rPr>
            </w:pPr>
            <w:r>
              <w:rPr>
                <w:color w:val="auto"/>
              </w:rPr>
              <w:t>大臂</w:t>
            </w:r>
            <w:r>
              <w:rPr>
                <w:rFonts w:hint="eastAsia"/>
                <w:color w:val="auto"/>
                <w:lang w:val="en-US" w:eastAsia="zh-CN"/>
              </w:rPr>
              <w:t>32.7</w:t>
            </w:r>
            <w:r>
              <w:rPr>
                <w:rFonts w:hint="eastAsia"/>
                <w:color w:val="auto"/>
              </w:rPr>
              <w:t>m</w:t>
            </w:r>
          </w:p>
        </w:tc>
      </w:tr>
    </w:tbl>
    <w:p w14:paraId="50447B1E">
      <w:pPr>
        <w:ind w:firstLine="480"/>
        <w:rPr>
          <w:rFonts w:hint="eastAsia"/>
          <w:color w:val="auto"/>
          <w:kern w:val="0"/>
          <w:szCs w:val="24"/>
        </w:rPr>
      </w:pPr>
      <w:r>
        <w:rPr>
          <w:rFonts w:hint="eastAsia"/>
          <w:color w:val="auto"/>
          <w:kern w:val="0"/>
          <w:szCs w:val="24"/>
        </w:rPr>
        <w:t>注：根据现场具体工况选择汽车吊型号，本项目拟选型</w:t>
      </w:r>
      <w:r>
        <w:rPr>
          <w:rFonts w:hint="eastAsia"/>
          <w:color w:val="auto"/>
          <w:kern w:val="0"/>
          <w:szCs w:val="24"/>
          <w:lang w:val="en-US" w:eastAsia="zh-CN"/>
        </w:rPr>
        <w:t>汽车吊</w:t>
      </w:r>
      <w:r>
        <w:rPr>
          <w:rFonts w:hint="eastAsia"/>
          <w:color w:val="auto"/>
          <w:kern w:val="0"/>
          <w:szCs w:val="24"/>
        </w:rPr>
        <w:t>型号2</w:t>
      </w:r>
      <w:r>
        <w:rPr>
          <w:color w:val="auto"/>
          <w:kern w:val="0"/>
          <w:szCs w:val="24"/>
        </w:rPr>
        <w:t>5</w:t>
      </w:r>
      <w:r>
        <w:rPr>
          <w:rFonts w:hint="eastAsia"/>
          <w:color w:val="auto"/>
          <w:kern w:val="0"/>
          <w:szCs w:val="24"/>
        </w:rPr>
        <w:t>吨或5</w:t>
      </w:r>
      <w:r>
        <w:rPr>
          <w:color w:val="auto"/>
          <w:kern w:val="0"/>
          <w:szCs w:val="24"/>
        </w:rPr>
        <w:t>0</w:t>
      </w:r>
      <w:r>
        <w:rPr>
          <w:rFonts w:hint="eastAsia"/>
          <w:color w:val="auto"/>
          <w:kern w:val="0"/>
          <w:szCs w:val="24"/>
        </w:rPr>
        <w:t>吨均满足。</w:t>
      </w:r>
    </w:p>
    <w:p w14:paraId="6E340E8E">
      <w:pPr>
        <w:widowControl/>
        <w:snapToGrid w:val="0"/>
        <w:ind w:left="480" w:leftChars="200" w:firstLine="0" w:firstLineChars="0"/>
        <w:jc w:val="left"/>
        <w:rPr>
          <w:rFonts w:hint="eastAsia"/>
          <w:color w:val="auto"/>
          <w:kern w:val="0"/>
          <w:szCs w:val="24"/>
        </w:rPr>
      </w:pPr>
      <w:r>
        <w:rPr>
          <w:rFonts w:hint="eastAsia"/>
          <w:color w:val="auto"/>
          <w:kern w:val="0"/>
          <w:szCs w:val="24"/>
        </w:rPr>
        <w:t>（2）工具及索具</w:t>
      </w:r>
    </w:p>
    <w:tbl>
      <w:tblPr>
        <w:tblStyle w:val="28"/>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227"/>
        <w:gridCol w:w="1985"/>
        <w:gridCol w:w="954"/>
        <w:gridCol w:w="940"/>
        <w:gridCol w:w="1600"/>
      </w:tblGrid>
      <w:tr w14:paraId="598C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4AB4EDC5">
            <w:pPr>
              <w:pStyle w:val="84"/>
              <w:rPr>
                <w:color w:val="auto"/>
              </w:rPr>
            </w:pPr>
            <w:bookmarkStart w:id="110" w:name="_Toc25901"/>
            <w:r>
              <w:rPr>
                <w:color w:val="auto"/>
              </w:rPr>
              <w:t>序号</w:t>
            </w:r>
          </w:p>
        </w:tc>
        <w:tc>
          <w:tcPr>
            <w:tcW w:w="2227" w:type="dxa"/>
            <w:vAlign w:val="center"/>
          </w:tcPr>
          <w:p w14:paraId="533357B6">
            <w:pPr>
              <w:pStyle w:val="84"/>
              <w:rPr>
                <w:color w:val="auto"/>
              </w:rPr>
            </w:pPr>
            <w:r>
              <w:rPr>
                <w:color w:val="auto"/>
              </w:rPr>
              <w:t>机具名称</w:t>
            </w:r>
          </w:p>
        </w:tc>
        <w:tc>
          <w:tcPr>
            <w:tcW w:w="1985" w:type="dxa"/>
            <w:vAlign w:val="center"/>
          </w:tcPr>
          <w:p w14:paraId="7D77131C">
            <w:pPr>
              <w:pStyle w:val="84"/>
              <w:rPr>
                <w:color w:val="auto"/>
              </w:rPr>
            </w:pPr>
            <w:r>
              <w:rPr>
                <w:color w:val="auto"/>
              </w:rPr>
              <w:t>规格型号</w:t>
            </w:r>
          </w:p>
        </w:tc>
        <w:tc>
          <w:tcPr>
            <w:tcW w:w="954" w:type="dxa"/>
            <w:vAlign w:val="center"/>
          </w:tcPr>
          <w:p w14:paraId="0E2295D0">
            <w:pPr>
              <w:pStyle w:val="84"/>
              <w:rPr>
                <w:color w:val="auto"/>
              </w:rPr>
            </w:pPr>
            <w:r>
              <w:rPr>
                <w:color w:val="auto"/>
              </w:rPr>
              <w:t>单位</w:t>
            </w:r>
          </w:p>
        </w:tc>
        <w:tc>
          <w:tcPr>
            <w:tcW w:w="940" w:type="dxa"/>
            <w:vAlign w:val="center"/>
          </w:tcPr>
          <w:p w14:paraId="04966A4C">
            <w:pPr>
              <w:pStyle w:val="84"/>
              <w:rPr>
                <w:color w:val="auto"/>
              </w:rPr>
            </w:pPr>
            <w:r>
              <w:rPr>
                <w:color w:val="auto"/>
              </w:rPr>
              <w:t>数量</w:t>
            </w:r>
          </w:p>
        </w:tc>
        <w:tc>
          <w:tcPr>
            <w:tcW w:w="1600" w:type="dxa"/>
            <w:vAlign w:val="center"/>
          </w:tcPr>
          <w:p w14:paraId="6B1A80C6">
            <w:pPr>
              <w:pStyle w:val="84"/>
              <w:rPr>
                <w:color w:val="auto"/>
              </w:rPr>
            </w:pPr>
            <w:r>
              <w:rPr>
                <w:color w:val="auto"/>
              </w:rPr>
              <w:t>备注</w:t>
            </w:r>
          </w:p>
        </w:tc>
      </w:tr>
      <w:tr w14:paraId="357D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62660AAB">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2227" w:type="dxa"/>
            <w:vAlign w:val="center"/>
          </w:tcPr>
          <w:p w14:paraId="3D1E8FEA">
            <w:pPr>
              <w:pStyle w:val="84"/>
              <w:rPr>
                <w:rFonts w:ascii="Times New Roman" w:hAnsi="Times New Roman" w:eastAsia="宋体" w:cs="Times New Roman"/>
                <w:color w:val="auto"/>
              </w:rPr>
            </w:pPr>
            <w:r>
              <w:rPr>
                <w:rFonts w:hint="eastAsia" w:ascii="Times New Roman" w:hAnsi="Times New Roman" w:eastAsia="宋体" w:cs="Times New Roman"/>
                <w:color w:val="auto"/>
              </w:rPr>
              <w:t>链条葫芦</w:t>
            </w:r>
          </w:p>
        </w:tc>
        <w:tc>
          <w:tcPr>
            <w:tcW w:w="1985" w:type="dxa"/>
            <w:vAlign w:val="center"/>
          </w:tcPr>
          <w:p w14:paraId="4AAB5921">
            <w:pPr>
              <w:pStyle w:val="84"/>
              <w:rPr>
                <w:rFonts w:ascii="Times New Roman" w:hAnsi="Times New Roman" w:eastAsia="宋体" w:cs="Times New Roman"/>
                <w:color w:val="auto"/>
              </w:rPr>
            </w:pPr>
            <w:r>
              <w:rPr>
                <w:rFonts w:ascii="Times New Roman" w:hAnsi="Times New Roman" w:eastAsia="宋体" w:cs="Times New Roman"/>
                <w:color w:val="auto"/>
              </w:rPr>
              <w:t>2t</w:t>
            </w:r>
          </w:p>
        </w:tc>
        <w:tc>
          <w:tcPr>
            <w:tcW w:w="954" w:type="dxa"/>
            <w:vAlign w:val="center"/>
          </w:tcPr>
          <w:p w14:paraId="7DA1C17B">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04814EA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24D3F3ED">
            <w:pPr>
              <w:pStyle w:val="84"/>
              <w:rPr>
                <w:rFonts w:ascii="Times New Roman" w:hAnsi="Times New Roman" w:eastAsia="宋体" w:cs="Times New Roman"/>
                <w:color w:val="auto"/>
              </w:rPr>
            </w:pPr>
          </w:p>
        </w:tc>
      </w:tr>
      <w:tr w14:paraId="2541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46D79680">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2227" w:type="dxa"/>
            <w:vAlign w:val="center"/>
          </w:tcPr>
          <w:p w14:paraId="5E74947E">
            <w:pPr>
              <w:pStyle w:val="84"/>
              <w:rPr>
                <w:rFonts w:ascii="Times New Roman" w:hAnsi="Times New Roman" w:eastAsia="宋体" w:cs="Times New Roman"/>
                <w:color w:val="auto"/>
              </w:rPr>
            </w:pPr>
            <w:r>
              <w:rPr>
                <w:rFonts w:hint="eastAsia" w:ascii="Times New Roman" w:hAnsi="Times New Roman" w:eastAsia="宋体" w:cs="Times New Roman"/>
                <w:color w:val="auto"/>
              </w:rPr>
              <w:t>链条葫芦</w:t>
            </w:r>
          </w:p>
        </w:tc>
        <w:tc>
          <w:tcPr>
            <w:tcW w:w="1985" w:type="dxa"/>
            <w:vAlign w:val="center"/>
          </w:tcPr>
          <w:p w14:paraId="1BE4A02A">
            <w:pPr>
              <w:pStyle w:val="84"/>
              <w:rPr>
                <w:rFonts w:ascii="Times New Roman" w:hAnsi="Times New Roman" w:eastAsia="宋体" w:cs="Times New Roman"/>
                <w:color w:val="auto"/>
              </w:rPr>
            </w:pPr>
            <w:r>
              <w:rPr>
                <w:rFonts w:ascii="Times New Roman" w:hAnsi="Times New Roman" w:eastAsia="宋体" w:cs="Times New Roman"/>
                <w:color w:val="auto"/>
              </w:rPr>
              <w:t>3t</w:t>
            </w:r>
          </w:p>
        </w:tc>
        <w:tc>
          <w:tcPr>
            <w:tcW w:w="954" w:type="dxa"/>
            <w:vAlign w:val="center"/>
          </w:tcPr>
          <w:p w14:paraId="4F471600">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5F58135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50714A07">
            <w:pPr>
              <w:pStyle w:val="84"/>
              <w:rPr>
                <w:rFonts w:ascii="Times New Roman" w:hAnsi="Times New Roman" w:eastAsia="宋体" w:cs="Times New Roman"/>
                <w:color w:val="auto"/>
              </w:rPr>
            </w:pPr>
          </w:p>
        </w:tc>
      </w:tr>
      <w:tr w14:paraId="7DA2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68307D3">
            <w:pPr>
              <w:pStyle w:val="84"/>
              <w:rPr>
                <w:rFonts w:ascii="Times New Roman" w:hAnsi="Times New Roman" w:eastAsia="宋体" w:cs="Times New Roman"/>
                <w:color w:val="auto"/>
              </w:rPr>
            </w:pPr>
            <w:r>
              <w:rPr>
                <w:rFonts w:ascii="Times New Roman" w:hAnsi="Times New Roman" w:eastAsia="宋体" w:cs="Times New Roman"/>
                <w:color w:val="auto"/>
              </w:rPr>
              <w:t>3</w:t>
            </w:r>
          </w:p>
        </w:tc>
        <w:tc>
          <w:tcPr>
            <w:tcW w:w="2227" w:type="dxa"/>
            <w:vAlign w:val="center"/>
          </w:tcPr>
          <w:p w14:paraId="3AAC453F">
            <w:pPr>
              <w:pStyle w:val="84"/>
              <w:rPr>
                <w:rFonts w:ascii="Times New Roman" w:hAnsi="Times New Roman" w:eastAsia="宋体" w:cs="Times New Roman"/>
                <w:color w:val="auto"/>
              </w:rPr>
            </w:pPr>
            <w:r>
              <w:rPr>
                <w:rFonts w:hint="eastAsia" w:ascii="Times New Roman" w:hAnsi="Times New Roman" w:eastAsia="宋体" w:cs="Times New Roman"/>
                <w:color w:val="auto"/>
              </w:rPr>
              <w:t>活动扳手</w:t>
            </w:r>
          </w:p>
        </w:tc>
        <w:tc>
          <w:tcPr>
            <w:tcW w:w="1985" w:type="dxa"/>
            <w:vAlign w:val="center"/>
          </w:tcPr>
          <w:p w14:paraId="4D5C27AF">
            <w:pPr>
              <w:pStyle w:val="84"/>
              <w:rPr>
                <w:rFonts w:ascii="Times New Roman" w:hAnsi="Times New Roman" w:eastAsia="宋体" w:cs="Times New Roman"/>
                <w:color w:val="auto"/>
              </w:rPr>
            </w:pPr>
            <w:r>
              <w:rPr>
                <w:rFonts w:ascii="Times New Roman" w:hAnsi="Times New Roman" w:eastAsia="宋体" w:cs="Times New Roman"/>
                <w:color w:val="auto"/>
              </w:rPr>
              <w:t>14</w:t>
            </w:r>
            <w:r>
              <w:rPr>
                <w:rFonts w:hint="eastAsia" w:ascii="Times New Roman" w:hAnsi="Times New Roman" w:eastAsia="宋体" w:cs="Times New Roman"/>
                <w:color w:val="auto"/>
              </w:rPr>
              <w:t>寸</w:t>
            </w:r>
          </w:p>
        </w:tc>
        <w:tc>
          <w:tcPr>
            <w:tcW w:w="954" w:type="dxa"/>
            <w:vAlign w:val="center"/>
          </w:tcPr>
          <w:p w14:paraId="594E1BF1">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6417EA54">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038068AC">
            <w:pPr>
              <w:pStyle w:val="84"/>
              <w:rPr>
                <w:rFonts w:ascii="Times New Roman" w:hAnsi="Times New Roman" w:eastAsia="宋体" w:cs="Times New Roman"/>
                <w:color w:val="auto"/>
              </w:rPr>
            </w:pPr>
          </w:p>
        </w:tc>
      </w:tr>
      <w:tr w14:paraId="1A76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76AB4E15">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2227" w:type="dxa"/>
            <w:vAlign w:val="center"/>
          </w:tcPr>
          <w:p w14:paraId="0F9CAF9A">
            <w:pPr>
              <w:pStyle w:val="84"/>
              <w:rPr>
                <w:rFonts w:ascii="Times New Roman" w:hAnsi="Times New Roman" w:eastAsia="宋体" w:cs="Times New Roman"/>
                <w:color w:val="auto"/>
              </w:rPr>
            </w:pPr>
            <w:r>
              <w:rPr>
                <w:rFonts w:hint="eastAsia" w:ascii="Times New Roman" w:hAnsi="Times New Roman" w:eastAsia="宋体" w:cs="Times New Roman"/>
                <w:color w:val="auto"/>
              </w:rPr>
              <w:t>梅花扳手</w:t>
            </w:r>
          </w:p>
        </w:tc>
        <w:tc>
          <w:tcPr>
            <w:tcW w:w="1985" w:type="dxa"/>
            <w:vAlign w:val="center"/>
          </w:tcPr>
          <w:p w14:paraId="1F74132B">
            <w:pPr>
              <w:pStyle w:val="84"/>
              <w:rPr>
                <w:rFonts w:ascii="Times New Roman" w:hAnsi="Times New Roman" w:eastAsia="宋体" w:cs="Times New Roman"/>
                <w:color w:val="auto"/>
              </w:rPr>
            </w:pPr>
            <w:r>
              <w:rPr>
                <w:rFonts w:ascii="Times New Roman" w:hAnsi="Times New Roman" w:eastAsia="宋体" w:cs="Times New Roman"/>
                <w:color w:val="auto"/>
              </w:rPr>
              <w:t>14-17</w:t>
            </w:r>
            <w:r>
              <w:rPr>
                <w:rFonts w:hint="eastAsia" w:ascii="Times New Roman" w:hAnsi="Times New Roman" w:eastAsia="宋体" w:cs="Times New Roman"/>
                <w:color w:val="auto"/>
              </w:rPr>
              <w:t>、</w:t>
            </w:r>
            <w:r>
              <w:rPr>
                <w:rFonts w:ascii="Times New Roman" w:hAnsi="Times New Roman" w:eastAsia="宋体" w:cs="Times New Roman"/>
                <w:color w:val="auto"/>
              </w:rPr>
              <w:t>17-19</w:t>
            </w:r>
          </w:p>
        </w:tc>
        <w:tc>
          <w:tcPr>
            <w:tcW w:w="954" w:type="dxa"/>
            <w:vAlign w:val="center"/>
          </w:tcPr>
          <w:p w14:paraId="3F52C50B">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0C943732">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44FF0FA6">
            <w:pPr>
              <w:pStyle w:val="84"/>
              <w:rPr>
                <w:rFonts w:ascii="Times New Roman" w:hAnsi="Times New Roman" w:eastAsia="宋体" w:cs="Times New Roman"/>
                <w:color w:val="auto"/>
              </w:rPr>
            </w:pPr>
          </w:p>
        </w:tc>
      </w:tr>
      <w:tr w14:paraId="373D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7CD2B81E">
            <w:pPr>
              <w:pStyle w:val="84"/>
              <w:rPr>
                <w:rFonts w:ascii="Times New Roman" w:hAnsi="Times New Roman" w:eastAsia="宋体" w:cs="Times New Roman"/>
                <w:color w:val="auto"/>
              </w:rPr>
            </w:pPr>
            <w:r>
              <w:rPr>
                <w:rFonts w:ascii="Times New Roman" w:hAnsi="Times New Roman" w:eastAsia="宋体" w:cs="Times New Roman"/>
                <w:color w:val="auto"/>
              </w:rPr>
              <w:t>5</w:t>
            </w:r>
          </w:p>
        </w:tc>
        <w:tc>
          <w:tcPr>
            <w:tcW w:w="2227" w:type="dxa"/>
            <w:vAlign w:val="center"/>
          </w:tcPr>
          <w:p w14:paraId="19796549">
            <w:pPr>
              <w:pStyle w:val="84"/>
              <w:rPr>
                <w:rFonts w:ascii="Times New Roman" w:hAnsi="Times New Roman" w:eastAsia="宋体" w:cs="Times New Roman"/>
                <w:color w:val="auto"/>
              </w:rPr>
            </w:pPr>
            <w:r>
              <w:rPr>
                <w:rFonts w:hint="eastAsia" w:ascii="Times New Roman" w:hAnsi="Times New Roman" w:eastAsia="宋体" w:cs="Times New Roman"/>
                <w:color w:val="auto"/>
              </w:rPr>
              <w:t>大锤</w:t>
            </w:r>
          </w:p>
        </w:tc>
        <w:tc>
          <w:tcPr>
            <w:tcW w:w="1985" w:type="dxa"/>
            <w:vAlign w:val="center"/>
          </w:tcPr>
          <w:p w14:paraId="5D1347FF">
            <w:pPr>
              <w:pStyle w:val="84"/>
              <w:rPr>
                <w:rFonts w:ascii="Times New Roman" w:hAnsi="Times New Roman" w:eastAsia="宋体" w:cs="Times New Roman"/>
                <w:color w:val="auto"/>
              </w:rPr>
            </w:pPr>
            <w:r>
              <w:rPr>
                <w:rFonts w:ascii="Times New Roman" w:hAnsi="Times New Roman" w:eastAsia="宋体" w:cs="Times New Roman"/>
                <w:color w:val="auto"/>
              </w:rPr>
              <w:t>16</w:t>
            </w:r>
            <w:r>
              <w:rPr>
                <w:rFonts w:hint="eastAsia" w:ascii="Times New Roman" w:hAnsi="Times New Roman" w:eastAsia="宋体" w:cs="Times New Roman"/>
                <w:color w:val="auto"/>
              </w:rPr>
              <w:t>、</w:t>
            </w:r>
            <w:r>
              <w:rPr>
                <w:rFonts w:ascii="Times New Roman" w:hAnsi="Times New Roman" w:eastAsia="宋体" w:cs="Times New Roman"/>
                <w:color w:val="auto"/>
              </w:rPr>
              <w:t>18</w:t>
            </w:r>
            <w:r>
              <w:rPr>
                <w:rFonts w:hint="eastAsia" w:ascii="Times New Roman" w:hAnsi="Times New Roman" w:eastAsia="宋体" w:cs="Times New Roman"/>
                <w:color w:val="auto"/>
              </w:rPr>
              <w:t>、</w:t>
            </w:r>
            <w:r>
              <w:rPr>
                <w:rFonts w:ascii="Times New Roman" w:hAnsi="Times New Roman" w:eastAsia="宋体" w:cs="Times New Roman"/>
                <w:color w:val="auto"/>
              </w:rPr>
              <w:t>20P</w:t>
            </w:r>
          </w:p>
        </w:tc>
        <w:tc>
          <w:tcPr>
            <w:tcW w:w="954" w:type="dxa"/>
            <w:vAlign w:val="center"/>
          </w:tcPr>
          <w:p w14:paraId="108D6F80">
            <w:pPr>
              <w:pStyle w:val="84"/>
              <w:rPr>
                <w:rFonts w:ascii="Times New Roman" w:hAnsi="Times New Roman" w:eastAsia="宋体" w:cs="Times New Roman"/>
                <w:color w:val="auto"/>
              </w:rPr>
            </w:pPr>
            <w:r>
              <w:rPr>
                <w:rFonts w:hint="eastAsia" w:ascii="Times New Roman" w:hAnsi="Times New Roman" w:eastAsia="宋体" w:cs="Times New Roman"/>
                <w:color w:val="auto"/>
              </w:rPr>
              <w:t>把</w:t>
            </w:r>
          </w:p>
        </w:tc>
        <w:tc>
          <w:tcPr>
            <w:tcW w:w="940" w:type="dxa"/>
            <w:vAlign w:val="center"/>
          </w:tcPr>
          <w:p w14:paraId="715EBA75">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6FD0A4BE">
            <w:pPr>
              <w:pStyle w:val="84"/>
              <w:rPr>
                <w:rFonts w:ascii="Times New Roman" w:hAnsi="Times New Roman" w:eastAsia="宋体" w:cs="Times New Roman"/>
                <w:color w:val="auto"/>
              </w:rPr>
            </w:pPr>
          </w:p>
        </w:tc>
      </w:tr>
      <w:tr w14:paraId="375B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F414AC4">
            <w:pPr>
              <w:pStyle w:val="84"/>
              <w:rPr>
                <w:rFonts w:ascii="Times New Roman" w:hAnsi="Times New Roman" w:eastAsia="宋体" w:cs="Times New Roman"/>
                <w:color w:val="auto"/>
              </w:rPr>
            </w:pPr>
            <w:r>
              <w:rPr>
                <w:rFonts w:ascii="Times New Roman" w:hAnsi="Times New Roman" w:eastAsia="宋体" w:cs="Times New Roman"/>
                <w:color w:val="auto"/>
              </w:rPr>
              <w:t>6</w:t>
            </w:r>
          </w:p>
        </w:tc>
        <w:tc>
          <w:tcPr>
            <w:tcW w:w="2227" w:type="dxa"/>
            <w:vAlign w:val="center"/>
          </w:tcPr>
          <w:p w14:paraId="6FB6376B">
            <w:pPr>
              <w:pStyle w:val="84"/>
              <w:rPr>
                <w:rFonts w:ascii="Times New Roman" w:hAnsi="Times New Roman" w:eastAsia="宋体" w:cs="Times New Roman"/>
                <w:color w:val="auto"/>
              </w:rPr>
            </w:pPr>
            <w:r>
              <w:rPr>
                <w:rFonts w:hint="eastAsia" w:ascii="Times New Roman" w:hAnsi="Times New Roman" w:eastAsia="宋体" w:cs="Times New Roman"/>
                <w:color w:val="auto"/>
              </w:rPr>
              <w:t>电工常用工具</w:t>
            </w:r>
          </w:p>
        </w:tc>
        <w:tc>
          <w:tcPr>
            <w:tcW w:w="1985" w:type="dxa"/>
            <w:vAlign w:val="center"/>
          </w:tcPr>
          <w:p w14:paraId="4F05F084">
            <w:pPr>
              <w:pStyle w:val="84"/>
              <w:rPr>
                <w:rFonts w:ascii="Times New Roman" w:hAnsi="Times New Roman" w:eastAsia="宋体" w:cs="Times New Roman"/>
                <w:color w:val="auto"/>
              </w:rPr>
            </w:pPr>
          </w:p>
        </w:tc>
        <w:tc>
          <w:tcPr>
            <w:tcW w:w="954" w:type="dxa"/>
            <w:vAlign w:val="center"/>
          </w:tcPr>
          <w:p w14:paraId="04CB153D">
            <w:pPr>
              <w:pStyle w:val="84"/>
              <w:rPr>
                <w:rFonts w:ascii="Times New Roman" w:hAnsi="Times New Roman" w:eastAsia="宋体" w:cs="Times New Roman"/>
                <w:color w:val="auto"/>
              </w:rPr>
            </w:pPr>
            <w:r>
              <w:rPr>
                <w:rFonts w:hint="eastAsia" w:ascii="Times New Roman" w:hAnsi="Times New Roman" w:eastAsia="宋体" w:cs="Times New Roman"/>
                <w:color w:val="auto"/>
              </w:rPr>
              <w:t>套</w:t>
            </w:r>
          </w:p>
        </w:tc>
        <w:tc>
          <w:tcPr>
            <w:tcW w:w="940" w:type="dxa"/>
            <w:vAlign w:val="center"/>
          </w:tcPr>
          <w:p w14:paraId="5B3CD523">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600" w:type="dxa"/>
            <w:vAlign w:val="center"/>
          </w:tcPr>
          <w:p w14:paraId="7B88C475">
            <w:pPr>
              <w:pStyle w:val="84"/>
              <w:rPr>
                <w:rFonts w:ascii="Times New Roman" w:hAnsi="Times New Roman" w:eastAsia="宋体" w:cs="Times New Roman"/>
                <w:color w:val="auto"/>
              </w:rPr>
            </w:pPr>
          </w:p>
        </w:tc>
      </w:tr>
      <w:tr w14:paraId="2F0C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0F921327">
            <w:pPr>
              <w:pStyle w:val="84"/>
              <w:rPr>
                <w:rFonts w:ascii="Times New Roman" w:hAnsi="Times New Roman" w:eastAsia="宋体" w:cs="Times New Roman"/>
                <w:color w:val="auto"/>
              </w:rPr>
            </w:pPr>
            <w:r>
              <w:rPr>
                <w:rFonts w:ascii="Times New Roman" w:hAnsi="Times New Roman" w:eastAsia="宋体" w:cs="Times New Roman"/>
                <w:color w:val="auto"/>
              </w:rPr>
              <w:t>7</w:t>
            </w:r>
          </w:p>
        </w:tc>
        <w:tc>
          <w:tcPr>
            <w:tcW w:w="2227" w:type="dxa"/>
            <w:vAlign w:val="center"/>
          </w:tcPr>
          <w:p w14:paraId="3C2E2371">
            <w:pPr>
              <w:pStyle w:val="84"/>
              <w:rPr>
                <w:rFonts w:ascii="Times New Roman" w:hAnsi="Times New Roman" w:eastAsia="宋体" w:cs="Times New Roman"/>
                <w:color w:val="auto"/>
                <w:highlight w:val="yellow"/>
              </w:rPr>
            </w:pPr>
            <w:r>
              <w:rPr>
                <w:rFonts w:hint="eastAsia" w:ascii="Times New Roman" w:hAnsi="Times New Roman" w:eastAsia="宋体" w:cs="Times New Roman"/>
                <w:color w:val="auto"/>
                <w:highlight w:val="none"/>
              </w:rPr>
              <w:t>吊装钢丝绳</w:t>
            </w:r>
          </w:p>
        </w:tc>
        <w:tc>
          <w:tcPr>
            <w:tcW w:w="1985" w:type="dxa"/>
            <w:vAlign w:val="center"/>
          </w:tcPr>
          <w:p w14:paraId="74990800">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20</w:t>
            </w:r>
            <w:r>
              <w:rPr>
                <w:rFonts w:hint="eastAsia" w:ascii="Times New Roman" w:hAnsi="Times New Roman" w:eastAsia="宋体" w:cs="Times New Roman"/>
                <w:color w:val="auto"/>
              </w:rPr>
              <w:t>mm6×19W+IWR1870Mpa</w:t>
            </w:r>
          </w:p>
        </w:tc>
        <w:tc>
          <w:tcPr>
            <w:tcW w:w="954" w:type="dxa"/>
            <w:vAlign w:val="center"/>
          </w:tcPr>
          <w:p w14:paraId="65AC22FB">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340A5DF5">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w:t>
            </w:r>
          </w:p>
        </w:tc>
        <w:tc>
          <w:tcPr>
            <w:tcW w:w="1600" w:type="dxa"/>
            <w:vAlign w:val="center"/>
          </w:tcPr>
          <w:p w14:paraId="0ACE395B">
            <w:pPr>
              <w:pStyle w:val="84"/>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起吊起重臂</w:t>
            </w:r>
            <w:r>
              <w:rPr>
                <w:rFonts w:hint="eastAsia" w:cs="Times New Roman"/>
                <w:color w:val="auto"/>
                <w:lang w:eastAsia="zh-CN"/>
              </w:rPr>
              <w:t>、</w:t>
            </w:r>
            <w:r>
              <w:rPr>
                <w:rFonts w:hint="eastAsia" w:cs="Times New Roman"/>
                <w:color w:val="auto"/>
                <w:lang w:val="en-US" w:eastAsia="zh-CN"/>
              </w:rPr>
              <w:t>平衡重</w:t>
            </w:r>
            <w:r>
              <w:rPr>
                <w:rFonts w:hint="eastAsia" w:ascii="Times New Roman" w:hAnsi="Times New Roman" w:eastAsia="宋体" w:cs="Times New Roman"/>
                <w:color w:val="auto"/>
                <w:lang w:val="en-US" w:eastAsia="zh-CN"/>
              </w:rPr>
              <w:t>等</w:t>
            </w:r>
          </w:p>
        </w:tc>
      </w:tr>
      <w:tr w14:paraId="5CA0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6D11C019">
            <w:pPr>
              <w:pStyle w:val="84"/>
              <w:rPr>
                <w:rFonts w:ascii="Times New Roman" w:hAnsi="Times New Roman" w:eastAsia="宋体" w:cs="Times New Roman"/>
                <w:color w:val="auto"/>
              </w:rPr>
            </w:pPr>
            <w:r>
              <w:rPr>
                <w:rFonts w:ascii="Times New Roman" w:hAnsi="Times New Roman" w:eastAsia="宋体" w:cs="Times New Roman"/>
                <w:color w:val="auto"/>
              </w:rPr>
              <w:t>8</w:t>
            </w:r>
          </w:p>
        </w:tc>
        <w:tc>
          <w:tcPr>
            <w:tcW w:w="2227" w:type="dxa"/>
            <w:vAlign w:val="center"/>
          </w:tcPr>
          <w:p w14:paraId="5A73F327">
            <w:pPr>
              <w:pStyle w:val="84"/>
              <w:rPr>
                <w:rFonts w:ascii="Times New Roman" w:hAnsi="Times New Roman" w:eastAsia="宋体" w:cs="Times New Roman"/>
                <w:color w:val="auto"/>
                <w:highlight w:val="yellow"/>
              </w:rPr>
            </w:pPr>
            <w:r>
              <w:rPr>
                <w:rFonts w:hint="eastAsia" w:ascii="Times New Roman" w:hAnsi="Times New Roman" w:eastAsia="宋体" w:cs="Times New Roman"/>
                <w:color w:val="auto"/>
                <w:highlight w:val="none"/>
              </w:rPr>
              <w:t>吊装钢丝绳</w:t>
            </w:r>
          </w:p>
        </w:tc>
        <w:tc>
          <w:tcPr>
            <w:tcW w:w="1985" w:type="dxa"/>
            <w:vAlign w:val="center"/>
          </w:tcPr>
          <w:p w14:paraId="4CB87605">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16</w:t>
            </w:r>
            <w:r>
              <w:rPr>
                <w:rFonts w:hint="eastAsia" w:ascii="Times New Roman" w:hAnsi="Times New Roman" w:eastAsia="宋体" w:cs="Times New Roman"/>
                <w:color w:val="auto"/>
              </w:rPr>
              <w:t>mm6×19W+IWR1870Mpa</w:t>
            </w:r>
          </w:p>
        </w:tc>
        <w:tc>
          <w:tcPr>
            <w:tcW w:w="954" w:type="dxa"/>
            <w:vAlign w:val="center"/>
          </w:tcPr>
          <w:p w14:paraId="48816C21">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3AB2F145">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1600" w:type="dxa"/>
            <w:vAlign w:val="center"/>
          </w:tcPr>
          <w:p w14:paraId="4B185E82">
            <w:pPr>
              <w:pStyle w:val="84"/>
              <w:rPr>
                <w:rFonts w:ascii="Times New Roman" w:hAnsi="Times New Roman" w:eastAsia="宋体" w:cs="Times New Roman"/>
                <w:color w:val="auto"/>
              </w:rPr>
            </w:pPr>
            <w:r>
              <w:rPr>
                <w:rFonts w:hint="default" w:ascii="Times New Roman" w:hAnsi="Times New Roman" w:eastAsia="宋体" w:cs="Times New Roman"/>
                <w:color w:val="auto"/>
              </w:rPr>
              <w:t>起吊基础节</w:t>
            </w:r>
            <w:r>
              <w:rPr>
                <w:rFonts w:hint="eastAsia" w:ascii="Times New Roman" w:hAnsi="Times New Roman" w:eastAsia="宋体" w:cs="Times New Roman"/>
                <w:color w:val="auto"/>
                <w:lang w:eastAsia="zh-CN"/>
              </w:rPr>
              <w:t>、</w:t>
            </w:r>
            <w:r>
              <w:rPr>
                <w:rFonts w:hint="eastAsia" w:cs="Times New Roman"/>
                <w:color w:val="auto"/>
                <w:lang w:val="en-US" w:eastAsia="zh-CN"/>
              </w:rPr>
              <w:t>标准节、特殊节</w:t>
            </w:r>
            <w:r>
              <w:rPr>
                <w:rFonts w:hint="default" w:ascii="Times New Roman" w:hAnsi="Times New Roman" w:eastAsia="宋体" w:cs="Times New Roman"/>
                <w:color w:val="auto"/>
              </w:rPr>
              <w:t>等</w:t>
            </w:r>
          </w:p>
        </w:tc>
      </w:tr>
      <w:tr w14:paraId="7396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006CB81">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9</w:t>
            </w:r>
          </w:p>
        </w:tc>
        <w:tc>
          <w:tcPr>
            <w:tcW w:w="2227" w:type="dxa"/>
            <w:vAlign w:val="center"/>
          </w:tcPr>
          <w:p w14:paraId="64001336">
            <w:pPr>
              <w:pStyle w:val="84"/>
              <w:rPr>
                <w:rFonts w:ascii="Times New Roman" w:hAnsi="Times New Roman" w:eastAsia="宋体" w:cs="Times New Roman"/>
                <w:color w:val="auto"/>
              </w:rPr>
            </w:pPr>
            <w:r>
              <w:rPr>
                <w:rFonts w:hint="eastAsia" w:ascii="Times New Roman" w:hAnsi="Times New Roman" w:eastAsia="宋体" w:cs="Times New Roman"/>
                <w:color w:val="auto"/>
              </w:rPr>
              <w:t>麻绳（揽风绳）</w:t>
            </w:r>
          </w:p>
        </w:tc>
        <w:tc>
          <w:tcPr>
            <w:tcW w:w="1985" w:type="dxa"/>
            <w:vAlign w:val="center"/>
          </w:tcPr>
          <w:p w14:paraId="47F6A411">
            <w:pPr>
              <w:pStyle w:val="84"/>
              <w:rPr>
                <w:rFonts w:ascii="Times New Roman" w:hAnsi="Times New Roman" w:eastAsia="宋体" w:cs="Times New Roman"/>
                <w:color w:val="auto"/>
              </w:rPr>
            </w:pPr>
            <w:r>
              <w:rPr>
                <w:rFonts w:ascii="Times New Roman" w:hAnsi="Times New Roman" w:eastAsia="宋体" w:cs="Times New Roman"/>
                <w:color w:val="auto"/>
              </w:rPr>
              <w:t>Φ20×30m</w:t>
            </w:r>
          </w:p>
        </w:tc>
        <w:tc>
          <w:tcPr>
            <w:tcW w:w="954" w:type="dxa"/>
            <w:vAlign w:val="center"/>
          </w:tcPr>
          <w:p w14:paraId="54C96EFB">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1A6141FE">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1AA3DEE9">
            <w:pPr>
              <w:pStyle w:val="84"/>
              <w:rPr>
                <w:rFonts w:ascii="Times New Roman" w:hAnsi="Times New Roman" w:eastAsia="宋体" w:cs="Times New Roman"/>
                <w:color w:val="auto"/>
              </w:rPr>
            </w:pPr>
          </w:p>
        </w:tc>
      </w:tr>
      <w:tr w14:paraId="042D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83BE809">
            <w:pPr>
              <w:pStyle w:val="8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10</w:t>
            </w:r>
          </w:p>
        </w:tc>
        <w:tc>
          <w:tcPr>
            <w:tcW w:w="2227" w:type="dxa"/>
            <w:vAlign w:val="center"/>
          </w:tcPr>
          <w:p w14:paraId="22D6ACDE">
            <w:pPr>
              <w:pStyle w:val="84"/>
              <w:rPr>
                <w:rFonts w:ascii="Times New Roman" w:hAnsi="Times New Roman" w:eastAsia="宋体" w:cs="Times New Roman"/>
                <w:color w:val="auto"/>
              </w:rPr>
            </w:pPr>
            <w:r>
              <w:rPr>
                <w:rFonts w:hint="eastAsia" w:ascii="Times New Roman" w:hAnsi="Times New Roman" w:eastAsia="宋体" w:cs="Times New Roman"/>
                <w:color w:val="auto"/>
              </w:rPr>
              <w:t>对讲机</w:t>
            </w:r>
          </w:p>
        </w:tc>
        <w:tc>
          <w:tcPr>
            <w:tcW w:w="1985" w:type="dxa"/>
            <w:vAlign w:val="center"/>
          </w:tcPr>
          <w:p w14:paraId="70782AE0">
            <w:pPr>
              <w:pStyle w:val="84"/>
              <w:rPr>
                <w:rFonts w:ascii="Times New Roman" w:hAnsi="Times New Roman" w:eastAsia="宋体" w:cs="Times New Roman"/>
                <w:color w:val="auto"/>
              </w:rPr>
            </w:pPr>
          </w:p>
        </w:tc>
        <w:tc>
          <w:tcPr>
            <w:tcW w:w="954" w:type="dxa"/>
            <w:vAlign w:val="center"/>
          </w:tcPr>
          <w:p w14:paraId="4DCAAF51">
            <w:pPr>
              <w:pStyle w:val="84"/>
              <w:rPr>
                <w:rFonts w:ascii="Times New Roman" w:hAnsi="Times New Roman" w:eastAsia="宋体" w:cs="Times New Roman"/>
                <w:color w:val="auto"/>
              </w:rPr>
            </w:pPr>
            <w:r>
              <w:rPr>
                <w:rFonts w:hint="eastAsia" w:ascii="Times New Roman" w:hAnsi="Times New Roman" w:eastAsia="宋体" w:cs="Times New Roman"/>
                <w:color w:val="auto"/>
              </w:rPr>
              <w:t>部</w:t>
            </w:r>
          </w:p>
        </w:tc>
        <w:tc>
          <w:tcPr>
            <w:tcW w:w="940" w:type="dxa"/>
            <w:vAlign w:val="center"/>
          </w:tcPr>
          <w:p w14:paraId="65037F4E">
            <w:pPr>
              <w:pStyle w:val="84"/>
              <w:rPr>
                <w:rFonts w:ascii="Times New Roman" w:hAnsi="Times New Roman" w:eastAsia="宋体" w:cs="Times New Roman"/>
                <w:color w:val="auto"/>
              </w:rPr>
            </w:pPr>
            <w:r>
              <w:rPr>
                <w:rFonts w:ascii="Times New Roman" w:hAnsi="Times New Roman" w:eastAsia="宋体" w:cs="Times New Roman"/>
                <w:color w:val="auto"/>
              </w:rPr>
              <w:t>3</w:t>
            </w:r>
          </w:p>
        </w:tc>
        <w:tc>
          <w:tcPr>
            <w:tcW w:w="1600" w:type="dxa"/>
            <w:vAlign w:val="center"/>
          </w:tcPr>
          <w:p w14:paraId="3FD3DC30">
            <w:pPr>
              <w:pStyle w:val="84"/>
              <w:rPr>
                <w:rFonts w:ascii="Times New Roman" w:hAnsi="Times New Roman" w:eastAsia="宋体" w:cs="Times New Roman"/>
                <w:color w:val="auto"/>
              </w:rPr>
            </w:pPr>
          </w:p>
        </w:tc>
      </w:tr>
      <w:tr w14:paraId="03C0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202CF589">
            <w:pPr>
              <w:pStyle w:val="84"/>
              <w:rPr>
                <w:rFonts w:ascii="Times New Roman" w:hAnsi="Times New Roman" w:eastAsia="宋体" w:cs="Times New Roman"/>
                <w:color w:val="auto"/>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1</w:t>
            </w:r>
          </w:p>
        </w:tc>
        <w:tc>
          <w:tcPr>
            <w:tcW w:w="2227" w:type="dxa"/>
            <w:vAlign w:val="center"/>
          </w:tcPr>
          <w:p w14:paraId="2B3E4FDF">
            <w:pPr>
              <w:pStyle w:val="84"/>
              <w:rPr>
                <w:rFonts w:ascii="Times New Roman" w:hAnsi="Times New Roman" w:eastAsia="宋体" w:cs="Times New Roman"/>
                <w:color w:val="auto"/>
              </w:rPr>
            </w:pPr>
            <w:r>
              <w:rPr>
                <w:rFonts w:hint="eastAsia" w:ascii="Times New Roman" w:hAnsi="Times New Roman" w:eastAsia="宋体" w:cs="Times New Roman"/>
                <w:color w:val="auto"/>
              </w:rPr>
              <w:t>橇棍</w:t>
            </w:r>
          </w:p>
        </w:tc>
        <w:tc>
          <w:tcPr>
            <w:tcW w:w="1985" w:type="dxa"/>
            <w:vAlign w:val="center"/>
          </w:tcPr>
          <w:p w14:paraId="513450DB">
            <w:pPr>
              <w:pStyle w:val="84"/>
              <w:rPr>
                <w:rFonts w:ascii="Times New Roman" w:hAnsi="Times New Roman" w:eastAsia="宋体" w:cs="Times New Roman"/>
                <w:color w:val="auto"/>
              </w:rPr>
            </w:pPr>
            <w:r>
              <w:rPr>
                <w:rFonts w:ascii="Times New Roman" w:hAnsi="Times New Roman" w:eastAsia="宋体" w:cs="Times New Roman"/>
                <w:color w:val="auto"/>
              </w:rPr>
              <w:t>1m</w:t>
            </w:r>
            <w:r>
              <w:rPr>
                <w:rFonts w:hint="eastAsia" w:ascii="Times New Roman" w:hAnsi="Times New Roman" w:eastAsia="宋体" w:cs="Times New Roman"/>
                <w:color w:val="auto"/>
              </w:rPr>
              <w:t>、</w:t>
            </w:r>
            <w:r>
              <w:rPr>
                <w:rFonts w:ascii="Times New Roman" w:hAnsi="Times New Roman" w:eastAsia="宋体" w:cs="Times New Roman"/>
                <w:color w:val="auto"/>
              </w:rPr>
              <w:t>1.5m</w:t>
            </w:r>
          </w:p>
        </w:tc>
        <w:tc>
          <w:tcPr>
            <w:tcW w:w="954" w:type="dxa"/>
            <w:vAlign w:val="center"/>
          </w:tcPr>
          <w:p w14:paraId="4056D109">
            <w:pPr>
              <w:pStyle w:val="84"/>
              <w:rPr>
                <w:rFonts w:ascii="Times New Roman" w:hAnsi="Times New Roman" w:eastAsia="宋体" w:cs="Times New Roman"/>
                <w:color w:val="auto"/>
              </w:rPr>
            </w:pPr>
            <w:r>
              <w:rPr>
                <w:rFonts w:hint="eastAsia" w:ascii="Times New Roman" w:hAnsi="Times New Roman" w:eastAsia="宋体" w:cs="Times New Roman"/>
                <w:color w:val="auto"/>
              </w:rPr>
              <w:t>根</w:t>
            </w:r>
          </w:p>
        </w:tc>
        <w:tc>
          <w:tcPr>
            <w:tcW w:w="940" w:type="dxa"/>
            <w:vAlign w:val="center"/>
          </w:tcPr>
          <w:p w14:paraId="4ABF6334">
            <w:pPr>
              <w:pStyle w:val="84"/>
              <w:rPr>
                <w:rFonts w:ascii="Times New Roman" w:hAnsi="Times New Roman" w:eastAsia="宋体" w:cs="Times New Roman"/>
                <w:color w:val="auto"/>
              </w:rPr>
            </w:pPr>
            <w:r>
              <w:rPr>
                <w:rFonts w:hint="eastAsia" w:ascii="Times New Roman" w:hAnsi="Times New Roman" w:eastAsia="宋体" w:cs="Times New Roman"/>
                <w:color w:val="auto"/>
              </w:rPr>
              <w:t>各</w:t>
            </w:r>
            <w:r>
              <w:rPr>
                <w:rFonts w:ascii="Times New Roman" w:hAnsi="Times New Roman" w:eastAsia="宋体" w:cs="Times New Roman"/>
                <w:color w:val="auto"/>
              </w:rPr>
              <w:t>1</w:t>
            </w:r>
          </w:p>
        </w:tc>
        <w:tc>
          <w:tcPr>
            <w:tcW w:w="1600" w:type="dxa"/>
            <w:vAlign w:val="center"/>
          </w:tcPr>
          <w:p w14:paraId="676AAD16">
            <w:pPr>
              <w:pStyle w:val="84"/>
              <w:rPr>
                <w:rFonts w:ascii="Times New Roman" w:hAnsi="Times New Roman" w:eastAsia="宋体" w:cs="Times New Roman"/>
                <w:color w:val="auto"/>
              </w:rPr>
            </w:pPr>
          </w:p>
        </w:tc>
      </w:tr>
      <w:tr w14:paraId="6453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17C978CB">
            <w:pPr>
              <w:pStyle w:val="84"/>
              <w:rPr>
                <w:rFonts w:ascii="Times New Roman" w:hAnsi="Times New Roman" w:eastAsia="宋体" w:cs="Times New Roman"/>
                <w:color w:val="auto"/>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2</w:t>
            </w:r>
          </w:p>
        </w:tc>
        <w:tc>
          <w:tcPr>
            <w:tcW w:w="2227" w:type="dxa"/>
            <w:vAlign w:val="center"/>
          </w:tcPr>
          <w:p w14:paraId="2765EA31">
            <w:pPr>
              <w:pStyle w:val="84"/>
              <w:rPr>
                <w:rFonts w:ascii="Times New Roman" w:hAnsi="Times New Roman" w:eastAsia="宋体" w:cs="Times New Roman"/>
                <w:color w:val="auto"/>
              </w:rPr>
            </w:pPr>
            <w:r>
              <w:rPr>
                <w:rFonts w:hint="eastAsia" w:ascii="Times New Roman" w:hAnsi="Times New Roman" w:eastAsia="宋体" w:cs="Times New Roman"/>
                <w:color w:val="auto"/>
              </w:rPr>
              <w:t>卸扣</w:t>
            </w:r>
          </w:p>
        </w:tc>
        <w:tc>
          <w:tcPr>
            <w:tcW w:w="1985" w:type="dxa"/>
            <w:vAlign w:val="center"/>
          </w:tcPr>
          <w:p w14:paraId="40C8A822">
            <w:pPr>
              <w:pStyle w:val="84"/>
              <w:rPr>
                <w:rFonts w:ascii="Times New Roman" w:hAnsi="Times New Roman" w:eastAsia="宋体" w:cs="Times New Roman"/>
                <w:color w:val="auto"/>
              </w:rPr>
            </w:pPr>
            <w:r>
              <w:rPr>
                <w:rFonts w:hint="eastAsia" w:ascii="Times New Roman" w:hAnsi="Times New Roman" w:eastAsia="宋体" w:cs="Times New Roman"/>
                <w:color w:val="auto"/>
              </w:rPr>
              <w:t>GB/T 25854-6-DW</w:t>
            </w:r>
            <w:r>
              <w:rPr>
                <w:rFonts w:hint="eastAsia" w:ascii="Times New Roman" w:hAnsi="Times New Roman" w:eastAsia="宋体" w:cs="Times New Roman"/>
                <w:color w:val="auto"/>
                <w:lang w:val="en-US" w:eastAsia="zh-CN"/>
              </w:rPr>
              <w:t>5</w:t>
            </w:r>
          </w:p>
        </w:tc>
        <w:tc>
          <w:tcPr>
            <w:tcW w:w="954" w:type="dxa"/>
            <w:vAlign w:val="center"/>
          </w:tcPr>
          <w:p w14:paraId="193681C9">
            <w:pPr>
              <w:pStyle w:val="84"/>
              <w:rPr>
                <w:rFonts w:ascii="Times New Roman" w:hAnsi="Times New Roman" w:eastAsia="宋体" w:cs="Times New Roman"/>
                <w:color w:val="auto"/>
              </w:rPr>
            </w:pPr>
            <w:r>
              <w:rPr>
                <w:rFonts w:hint="eastAsia" w:ascii="Times New Roman" w:hAnsi="Times New Roman" w:eastAsia="宋体" w:cs="Times New Roman"/>
                <w:color w:val="auto"/>
              </w:rPr>
              <w:t>只</w:t>
            </w:r>
          </w:p>
        </w:tc>
        <w:tc>
          <w:tcPr>
            <w:tcW w:w="940" w:type="dxa"/>
            <w:vAlign w:val="center"/>
          </w:tcPr>
          <w:p w14:paraId="4A499E54">
            <w:pPr>
              <w:pStyle w:val="84"/>
              <w:rPr>
                <w:rFonts w:ascii="Times New Roman" w:hAnsi="Times New Roman" w:eastAsia="宋体" w:cs="Times New Roman"/>
                <w:color w:val="auto"/>
              </w:rPr>
            </w:pPr>
            <w:r>
              <w:rPr>
                <w:rFonts w:ascii="Times New Roman" w:hAnsi="Times New Roman" w:eastAsia="宋体" w:cs="Times New Roman"/>
                <w:color w:val="auto"/>
              </w:rPr>
              <w:t>4</w:t>
            </w:r>
          </w:p>
        </w:tc>
        <w:tc>
          <w:tcPr>
            <w:tcW w:w="1600" w:type="dxa"/>
            <w:vAlign w:val="center"/>
          </w:tcPr>
          <w:p w14:paraId="07C8A6F1">
            <w:pPr>
              <w:pStyle w:val="84"/>
              <w:rPr>
                <w:rFonts w:ascii="Times New Roman" w:hAnsi="Times New Roman" w:eastAsia="宋体" w:cs="Times New Roman"/>
                <w:color w:val="auto"/>
              </w:rPr>
            </w:pPr>
          </w:p>
        </w:tc>
      </w:tr>
      <w:tr w14:paraId="1333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8BDE989">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4</w:t>
            </w:r>
          </w:p>
        </w:tc>
        <w:tc>
          <w:tcPr>
            <w:tcW w:w="2227" w:type="dxa"/>
            <w:vAlign w:val="center"/>
          </w:tcPr>
          <w:p w14:paraId="7F3686FF">
            <w:pPr>
              <w:pStyle w:val="84"/>
              <w:rPr>
                <w:rFonts w:ascii="Times New Roman" w:hAnsi="Times New Roman" w:eastAsia="宋体" w:cs="Times New Roman"/>
                <w:color w:val="auto"/>
              </w:rPr>
            </w:pPr>
            <w:r>
              <w:rPr>
                <w:rFonts w:hint="eastAsia" w:ascii="Times New Roman" w:hAnsi="Times New Roman" w:eastAsia="宋体" w:cs="Times New Roman"/>
                <w:color w:val="auto"/>
              </w:rPr>
              <w:t>吊带</w:t>
            </w:r>
          </w:p>
        </w:tc>
        <w:tc>
          <w:tcPr>
            <w:tcW w:w="1985" w:type="dxa"/>
            <w:vAlign w:val="center"/>
          </w:tcPr>
          <w:p w14:paraId="09D868B6">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两端环眼</w:t>
            </w:r>
            <w:r>
              <w:rPr>
                <w:rFonts w:ascii="Times New Roman" w:hAnsi="Times New Roman" w:eastAsia="宋体" w:cs="Times New Roman"/>
                <w:color w:val="auto"/>
              </w:rPr>
              <w:t>4t/6m</w:t>
            </w:r>
          </w:p>
        </w:tc>
        <w:tc>
          <w:tcPr>
            <w:tcW w:w="954" w:type="dxa"/>
            <w:vAlign w:val="center"/>
          </w:tcPr>
          <w:p w14:paraId="4397DE47">
            <w:pPr>
              <w:pStyle w:val="84"/>
              <w:rPr>
                <w:rFonts w:ascii="Times New Roman" w:hAnsi="Times New Roman" w:eastAsia="宋体" w:cs="Times New Roman"/>
                <w:color w:val="auto"/>
              </w:rPr>
            </w:pPr>
            <w:r>
              <w:rPr>
                <w:rFonts w:hint="eastAsia" w:ascii="Times New Roman" w:hAnsi="Times New Roman" w:eastAsia="宋体" w:cs="Times New Roman"/>
                <w:color w:val="auto"/>
              </w:rPr>
              <w:t>副</w:t>
            </w:r>
          </w:p>
        </w:tc>
        <w:tc>
          <w:tcPr>
            <w:tcW w:w="940" w:type="dxa"/>
            <w:vAlign w:val="center"/>
          </w:tcPr>
          <w:p w14:paraId="4D8203DA">
            <w:pPr>
              <w:pStyle w:val="84"/>
              <w:rPr>
                <w:rFonts w:ascii="Times New Roman" w:hAnsi="Times New Roman" w:eastAsia="宋体" w:cs="Times New Roman"/>
                <w:color w:val="auto"/>
              </w:rPr>
            </w:pPr>
            <w:r>
              <w:rPr>
                <w:rFonts w:ascii="Times New Roman" w:hAnsi="Times New Roman" w:eastAsia="宋体" w:cs="Times New Roman"/>
                <w:color w:val="auto"/>
              </w:rPr>
              <w:t>2</w:t>
            </w:r>
          </w:p>
        </w:tc>
        <w:tc>
          <w:tcPr>
            <w:tcW w:w="1600" w:type="dxa"/>
            <w:vAlign w:val="center"/>
          </w:tcPr>
          <w:p w14:paraId="58C8B876">
            <w:pPr>
              <w:pStyle w:val="84"/>
              <w:rPr>
                <w:rFonts w:ascii="Times New Roman" w:hAnsi="Times New Roman" w:eastAsia="宋体" w:cs="Times New Roman"/>
                <w:color w:val="auto"/>
              </w:rPr>
            </w:pPr>
          </w:p>
        </w:tc>
      </w:tr>
      <w:tr w14:paraId="7FA4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26146913">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5</w:t>
            </w:r>
          </w:p>
        </w:tc>
        <w:tc>
          <w:tcPr>
            <w:tcW w:w="2227" w:type="dxa"/>
            <w:vAlign w:val="center"/>
          </w:tcPr>
          <w:p w14:paraId="201A2C47">
            <w:pPr>
              <w:pStyle w:val="84"/>
              <w:rPr>
                <w:rFonts w:ascii="Times New Roman" w:hAnsi="Times New Roman" w:eastAsia="宋体" w:cs="Times New Roman"/>
                <w:color w:val="auto"/>
              </w:rPr>
            </w:pPr>
            <w:r>
              <w:rPr>
                <w:rFonts w:hint="eastAsia" w:ascii="Times New Roman" w:hAnsi="Times New Roman" w:eastAsia="宋体" w:cs="Times New Roman"/>
                <w:color w:val="auto"/>
              </w:rPr>
              <w:t>枕木</w:t>
            </w:r>
          </w:p>
        </w:tc>
        <w:tc>
          <w:tcPr>
            <w:tcW w:w="1985" w:type="dxa"/>
            <w:vAlign w:val="center"/>
          </w:tcPr>
          <w:p w14:paraId="78498015">
            <w:pPr>
              <w:pStyle w:val="84"/>
              <w:rPr>
                <w:rFonts w:hint="eastAsia" w:ascii="Times New Roman" w:hAnsi="Times New Roman" w:eastAsia="宋体" w:cs="Times New Roman"/>
                <w:color w:val="auto"/>
              </w:rPr>
            </w:pPr>
          </w:p>
        </w:tc>
        <w:tc>
          <w:tcPr>
            <w:tcW w:w="954" w:type="dxa"/>
            <w:vAlign w:val="center"/>
          </w:tcPr>
          <w:p w14:paraId="241CAD96">
            <w:pPr>
              <w:pStyle w:val="84"/>
              <w:rPr>
                <w:rFonts w:ascii="Times New Roman" w:hAnsi="Times New Roman" w:eastAsia="宋体" w:cs="Times New Roman"/>
                <w:color w:val="auto"/>
              </w:rPr>
            </w:pPr>
          </w:p>
        </w:tc>
        <w:tc>
          <w:tcPr>
            <w:tcW w:w="940" w:type="dxa"/>
            <w:vAlign w:val="center"/>
          </w:tcPr>
          <w:p w14:paraId="754A6EC2">
            <w:pPr>
              <w:pStyle w:val="84"/>
              <w:rPr>
                <w:rFonts w:ascii="Times New Roman" w:hAnsi="Times New Roman" w:eastAsia="宋体" w:cs="Times New Roman"/>
                <w:color w:val="auto"/>
              </w:rPr>
            </w:pPr>
            <w:r>
              <w:rPr>
                <w:rFonts w:hint="eastAsia" w:ascii="Times New Roman" w:hAnsi="Times New Roman" w:eastAsia="宋体" w:cs="Times New Roman"/>
                <w:color w:val="auto"/>
              </w:rPr>
              <w:t>若干</w:t>
            </w:r>
          </w:p>
        </w:tc>
        <w:tc>
          <w:tcPr>
            <w:tcW w:w="1600" w:type="dxa"/>
            <w:vAlign w:val="center"/>
          </w:tcPr>
          <w:p w14:paraId="0C8E2EEB">
            <w:pPr>
              <w:pStyle w:val="84"/>
              <w:rPr>
                <w:rFonts w:ascii="Times New Roman" w:hAnsi="Times New Roman" w:eastAsia="宋体" w:cs="Times New Roman"/>
                <w:color w:val="auto"/>
              </w:rPr>
            </w:pPr>
          </w:p>
        </w:tc>
      </w:tr>
      <w:tr w14:paraId="2683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Align w:val="center"/>
          </w:tcPr>
          <w:p w14:paraId="39B8DB1D">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1</w:t>
            </w:r>
            <w:r>
              <w:rPr>
                <w:rFonts w:hint="eastAsia" w:cs="Times New Roman"/>
                <w:color w:val="auto"/>
                <w:lang w:val="en-US" w:eastAsia="zh-CN"/>
              </w:rPr>
              <w:t>6</w:t>
            </w:r>
          </w:p>
        </w:tc>
        <w:tc>
          <w:tcPr>
            <w:tcW w:w="2227" w:type="dxa"/>
            <w:vAlign w:val="center"/>
          </w:tcPr>
          <w:p w14:paraId="49039DB0">
            <w:pPr>
              <w:pStyle w:val="84"/>
              <w:rPr>
                <w:rFonts w:hint="eastAsia" w:ascii="Times New Roman" w:hAnsi="Times New Roman" w:eastAsia="宋体" w:cs="Times New Roman"/>
                <w:color w:val="auto"/>
              </w:rPr>
            </w:pPr>
            <w:r>
              <w:rPr>
                <w:rFonts w:hint="eastAsia" w:ascii="Times New Roman" w:hAnsi="Times New Roman" w:eastAsia="宋体" w:cs="Times New Roman"/>
                <w:color w:val="auto"/>
              </w:rPr>
              <w:t>全站仪</w:t>
            </w:r>
          </w:p>
        </w:tc>
        <w:tc>
          <w:tcPr>
            <w:tcW w:w="1985" w:type="dxa"/>
            <w:vAlign w:val="center"/>
          </w:tcPr>
          <w:p w14:paraId="24539E37">
            <w:pPr>
              <w:pStyle w:val="84"/>
              <w:rPr>
                <w:rFonts w:hint="eastAsia" w:ascii="Times New Roman" w:hAnsi="Times New Roman" w:eastAsia="宋体" w:cs="Times New Roman"/>
                <w:color w:val="auto"/>
              </w:rPr>
            </w:pPr>
            <w:r>
              <w:rPr>
                <w:rFonts w:ascii="Times New Roman" w:hAnsi="Times New Roman" w:eastAsia="宋体" w:cs="Times New Roman"/>
                <w:color w:val="auto"/>
              </w:rPr>
              <w:t>TOPCN-GTS602</w:t>
            </w:r>
          </w:p>
        </w:tc>
        <w:tc>
          <w:tcPr>
            <w:tcW w:w="954" w:type="dxa"/>
            <w:vAlign w:val="center"/>
          </w:tcPr>
          <w:p w14:paraId="2B4A492F">
            <w:pPr>
              <w:pStyle w:val="84"/>
              <w:rPr>
                <w:rFonts w:ascii="Times New Roman" w:hAnsi="Times New Roman" w:eastAsia="宋体" w:cs="Times New Roman"/>
                <w:color w:val="auto"/>
              </w:rPr>
            </w:pPr>
            <w:r>
              <w:rPr>
                <w:rFonts w:hint="eastAsia" w:ascii="Times New Roman" w:hAnsi="Times New Roman" w:eastAsia="宋体" w:cs="Times New Roman"/>
                <w:color w:val="auto"/>
              </w:rPr>
              <w:t>台</w:t>
            </w:r>
          </w:p>
        </w:tc>
        <w:tc>
          <w:tcPr>
            <w:tcW w:w="940" w:type="dxa"/>
            <w:vAlign w:val="center"/>
          </w:tcPr>
          <w:p w14:paraId="55EE69DB">
            <w:pPr>
              <w:pStyle w:val="84"/>
              <w:rPr>
                <w:rFonts w:ascii="Times New Roman" w:hAnsi="Times New Roman" w:eastAsia="宋体" w:cs="Times New Roman"/>
                <w:color w:val="auto"/>
              </w:rPr>
            </w:pPr>
            <w:r>
              <w:rPr>
                <w:rFonts w:ascii="Times New Roman" w:hAnsi="Times New Roman" w:eastAsia="宋体" w:cs="Times New Roman"/>
                <w:color w:val="auto"/>
              </w:rPr>
              <w:t>1</w:t>
            </w:r>
          </w:p>
        </w:tc>
        <w:tc>
          <w:tcPr>
            <w:tcW w:w="1600" w:type="dxa"/>
            <w:vAlign w:val="center"/>
          </w:tcPr>
          <w:p w14:paraId="4D04D1FD">
            <w:pPr>
              <w:pStyle w:val="84"/>
              <w:rPr>
                <w:rFonts w:ascii="Times New Roman" w:hAnsi="Times New Roman" w:eastAsia="宋体" w:cs="Times New Roman"/>
                <w:color w:val="auto"/>
              </w:rPr>
            </w:pPr>
            <w:r>
              <w:rPr>
                <w:rFonts w:hint="eastAsia" w:ascii="Times New Roman" w:hAnsi="Times New Roman" w:eastAsia="宋体" w:cs="Times New Roman"/>
                <w:color w:val="auto"/>
              </w:rPr>
              <w:t>垂直度测量</w:t>
            </w:r>
          </w:p>
        </w:tc>
      </w:tr>
    </w:tbl>
    <w:p w14:paraId="29E5AE82">
      <w:pPr>
        <w:ind w:firstLine="480"/>
        <w:rPr>
          <w:rFonts w:hint="eastAsia"/>
          <w:color w:val="auto"/>
          <w:kern w:val="0"/>
        </w:rPr>
      </w:pPr>
      <w:r>
        <w:rPr>
          <w:rFonts w:hint="eastAsia"/>
          <w:color w:val="auto"/>
          <w:kern w:val="0"/>
        </w:rPr>
        <w:t>注：对所使用的起重机械、吊索、吊具进行全面的质量和安全检查，确认完好无损方可使用。</w:t>
      </w:r>
    </w:p>
    <w:p w14:paraId="2893B0E8">
      <w:pPr>
        <w:pStyle w:val="2"/>
        <w:rPr>
          <w:rFonts w:hint="eastAsia"/>
          <w:color w:val="auto"/>
        </w:rPr>
      </w:pPr>
      <w:bookmarkStart w:id="111" w:name="_Toc8188"/>
      <w:bookmarkStart w:id="112" w:name="_Toc182895398"/>
      <w:bookmarkStart w:id="113" w:name="_Toc6665"/>
      <w:r>
        <w:rPr>
          <w:rFonts w:hint="eastAsia"/>
          <w:color w:val="auto"/>
        </w:rPr>
        <w:t>5 塔机安拆所使用设备的型号、性能及起重性能校验</w:t>
      </w:r>
      <w:bookmarkEnd w:id="110"/>
      <w:bookmarkEnd w:id="111"/>
      <w:bookmarkEnd w:id="112"/>
      <w:bookmarkEnd w:id="113"/>
    </w:p>
    <w:p w14:paraId="44F68667">
      <w:pPr>
        <w:pStyle w:val="3"/>
        <w:ind w:left="480"/>
        <w:rPr>
          <w:rFonts w:hint="eastAsia"/>
          <w:color w:val="auto"/>
        </w:rPr>
      </w:pPr>
      <w:bookmarkStart w:id="114" w:name="_Toc28881"/>
      <w:bookmarkStart w:id="115" w:name="_Toc28850"/>
      <w:bookmarkStart w:id="116" w:name="_Toc12352"/>
      <w:bookmarkStart w:id="117" w:name="_Toc2805"/>
      <w:bookmarkStart w:id="118" w:name="_Toc533610083"/>
      <w:bookmarkStart w:id="119" w:name="_Toc2506"/>
      <w:bookmarkStart w:id="120" w:name="_Toc182895399"/>
      <w:r>
        <w:rPr>
          <w:rFonts w:hint="eastAsia"/>
          <w:color w:val="auto"/>
        </w:rPr>
        <w:t>5.1 吊机型号选择</w:t>
      </w:r>
      <w:bookmarkEnd w:id="114"/>
      <w:bookmarkEnd w:id="115"/>
      <w:bookmarkEnd w:id="116"/>
      <w:bookmarkEnd w:id="117"/>
      <w:bookmarkEnd w:id="118"/>
      <w:bookmarkEnd w:id="119"/>
      <w:bookmarkEnd w:id="120"/>
    </w:p>
    <w:p w14:paraId="6F393B88">
      <w:pPr>
        <w:ind w:firstLine="480"/>
        <w:rPr>
          <w:rFonts w:hint="eastAsia"/>
          <w:color w:val="auto"/>
          <w:kern w:val="0"/>
        </w:rPr>
      </w:pPr>
      <w:bookmarkStart w:id="121" w:name="_Toc14820"/>
      <w:bookmarkStart w:id="122" w:name="_Toc182895400"/>
      <w:bookmarkStart w:id="123" w:name="_Toc14726"/>
      <w:bookmarkStart w:id="124" w:name="_Toc13954"/>
      <w:bookmarkStart w:id="125" w:name="_Toc27014"/>
      <w:bookmarkStart w:id="126" w:name="_Toc533610084"/>
      <w:r>
        <w:rPr>
          <w:color w:val="auto"/>
          <w:kern w:val="0"/>
        </w:rPr>
        <w:t>安装最大起吊重量为</w:t>
      </w:r>
      <w:r>
        <w:rPr>
          <w:rFonts w:hint="eastAsia"/>
          <w:color w:val="auto"/>
          <w:kern w:val="0"/>
          <w:lang w:val="en-US" w:eastAsia="zh-CN"/>
        </w:rPr>
        <w:t>XGT6515-10S塔机爬升架</w:t>
      </w:r>
      <w:r>
        <w:rPr>
          <w:color w:val="auto"/>
          <w:kern w:val="0"/>
        </w:rPr>
        <w:t>，</w:t>
      </w:r>
      <w:r>
        <w:rPr>
          <w:rFonts w:hint="eastAsia"/>
          <w:color w:val="auto"/>
          <w:kern w:val="0"/>
          <w:lang w:val="en-US" w:eastAsia="zh-CN"/>
        </w:rPr>
        <w:t>吊</w:t>
      </w:r>
      <w:r>
        <w:rPr>
          <w:color w:val="auto"/>
          <w:kern w:val="0"/>
        </w:rPr>
        <w:t>重</w:t>
      </w:r>
      <w:r>
        <w:rPr>
          <w:rFonts w:hint="eastAsia"/>
          <w:color w:val="auto"/>
          <w:kern w:val="0"/>
          <w:lang w:val="en-US" w:eastAsia="zh-CN"/>
        </w:rPr>
        <w:t>5.35</w:t>
      </w:r>
      <w:r>
        <w:rPr>
          <w:color w:val="auto"/>
          <w:kern w:val="0"/>
        </w:rPr>
        <w:t>t</w:t>
      </w:r>
      <w:r>
        <w:rPr>
          <w:rFonts w:hint="eastAsia"/>
          <w:color w:val="auto"/>
          <w:kern w:val="0"/>
          <w:lang w:eastAsia="zh-CN"/>
        </w:rPr>
        <w:t>，</w:t>
      </w:r>
      <w:r>
        <w:rPr>
          <w:rFonts w:hint="eastAsia"/>
          <w:color w:val="auto"/>
          <w:kern w:val="0"/>
          <w:lang w:val="en-US" w:eastAsia="zh-CN"/>
        </w:rPr>
        <w:t>吊高22m</w:t>
      </w:r>
      <w:r>
        <w:rPr>
          <w:rFonts w:hint="eastAsia"/>
          <w:color w:val="auto"/>
          <w:kern w:val="0"/>
        </w:rPr>
        <w:t>。</w:t>
      </w:r>
      <w:r>
        <w:rPr>
          <w:color w:val="auto"/>
          <w:kern w:val="0"/>
        </w:rPr>
        <w:t>最大起升高度为</w:t>
      </w:r>
      <w:r>
        <w:rPr>
          <w:rFonts w:hint="eastAsia"/>
          <w:color w:val="auto"/>
          <w:kern w:val="0"/>
        </w:rPr>
        <w:t>安装</w:t>
      </w:r>
      <w:r>
        <w:rPr>
          <w:rFonts w:hint="eastAsia"/>
          <w:color w:val="auto"/>
          <w:kern w:val="0"/>
          <w:lang w:val="en-US" w:eastAsia="zh-CN"/>
        </w:rPr>
        <w:t>ZGT6515D-10S塔机平衡重</w:t>
      </w:r>
      <w:r>
        <w:rPr>
          <w:color w:val="auto"/>
          <w:kern w:val="0"/>
        </w:rPr>
        <w:t>，</w:t>
      </w:r>
      <w:r>
        <w:rPr>
          <w:rFonts w:hint="eastAsia"/>
          <w:color w:val="auto"/>
          <w:kern w:val="0"/>
          <w:lang w:val="en-US" w:eastAsia="zh-CN"/>
        </w:rPr>
        <w:t>吊重3.2t，</w:t>
      </w:r>
      <w:r>
        <w:rPr>
          <w:color w:val="auto"/>
          <w:kern w:val="0"/>
        </w:rPr>
        <w:t>吊高</w:t>
      </w:r>
      <w:r>
        <w:rPr>
          <w:rFonts w:hint="eastAsia"/>
          <w:color w:val="auto"/>
          <w:kern w:val="0"/>
          <w:lang w:val="en-US" w:eastAsia="zh-CN"/>
        </w:rPr>
        <w:t>34</w:t>
      </w:r>
      <w:r>
        <w:rPr>
          <w:color w:val="auto"/>
          <w:kern w:val="0"/>
        </w:rPr>
        <w:t>m</w:t>
      </w:r>
      <w:r>
        <w:rPr>
          <w:rFonts w:hint="eastAsia"/>
          <w:color w:val="auto"/>
          <w:kern w:val="0"/>
        </w:rPr>
        <w:t>。根据现场情况选择</w:t>
      </w:r>
      <w:r>
        <w:rPr>
          <w:rFonts w:hint="eastAsia"/>
          <w:color w:val="auto"/>
          <w:kern w:val="0"/>
          <w:lang w:val="en-US" w:eastAsia="zh-CN"/>
        </w:rPr>
        <w:t>三一</w:t>
      </w:r>
      <w:r>
        <w:rPr>
          <w:rFonts w:hint="eastAsia"/>
          <w:color w:val="auto"/>
          <w:kern w:val="0"/>
        </w:rPr>
        <w:t>2</w:t>
      </w:r>
      <w:r>
        <w:rPr>
          <w:color w:val="auto"/>
          <w:kern w:val="0"/>
        </w:rPr>
        <w:t>5</w:t>
      </w:r>
      <w:r>
        <w:rPr>
          <w:rFonts w:hint="eastAsia"/>
          <w:color w:val="auto"/>
          <w:kern w:val="0"/>
        </w:rPr>
        <w:t>吨汽车吊安装，起重臂长度</w:t>
      </w:r>
      <w:r>
        <w:rPr>
          <w:rFonts w:hint="eastAsia"/>
          <w:color w:val="auto"/>
          <w:kern w:val="0"/>
          <w:lang w:val="en-US" w:eastAsia="zh-CN"/>
        </w:rPr>
        <w:t>29.6/41</w:t>
      </w:r>
      <w:r>
        <w:rPr>
          <w:rFonts w:hint="eastAsia"/>
          <w:color w:val="auto"/>
          <w:kern w:val="0"/>
        </w:rPr>
        <w:t>m</w:t>
      </w:r>
      <w:r>
        <w:rPr>
          <w:rFonts w:hint="eastAsia"/>
          <w:color w:val="auto"/>
          <w:kern w:val="0"/>
          <w:lang w:eastAsia="zh-CN"/>
        </w:rPr>
        <w:t>，</w:t>
      </w:r>
      <w:r>
        <w:rPr>
          <w:rFonts w:hint="eastAsia"/>
          <w:color w:val="auto"/>
          <w:kern w:val="0"/>
        </w:rPr>
        <w:t>满足安装要求。</w:t>
      </w:r>
    </w:p>
    <w:p w14:paraId="0EBAE03B">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表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lang w:eastAsia="zh-CN"/>
        </w:rPr>
        <w:t>XGT6015A-8S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38"/>
        <w:gridCol w:w="2137"/>
        <w:gridCol w:w="2131"/>
      </w:tblGrid>
      <w:tr w14:paraId="1EAECB1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5E82137E">
            <w:pPr>
              <w:ind w:firstLine="0" w:firstLineChars="0"/>
              <w:jc w:val="center"/>
            </w:pPr>
            <w:r>
              <w:rPr>
                <w:rFonts w:hint="eastAsia"/>
              </w:rPr>
              <w:t>序 号</w:t>
            </w:r>
          </w:p>
        </w:tc>
        <w:tc>
          <w:tcPr>
            <w:tcW w:w="2738" w:type="dxa"/>
            <w:noWrap w:val="0"/>
            <w:vAlign w:val="center"/>
          </w:tcPr>
          <w:p w14:paraId="7E47508E">
            <w:pPr>
              <w:ind w:firstLine="0" w:firstLineChars="0"/>
              <w:jc w:val="center"/>
            </w:pPr>
            <w:r>
              <w:rPr>
                <w:rFonts w:hint="eastAsia"/>
              </w:rPr>
              <w:t>名称</w:t>
            </w:r>
          </w:p>
        </w:tc>
        <w:tc>
          <w:tcPr>
            <w:tcW w:w="2137" w:type="dxa"/>
            <w:noWrap w:val="0"/>
            <w:vAlign w:val="center"/>
          </w:tcPr>
          <w:p w14:paraId="6BC6A4AC">
            <w:pPr>
              <w:ind w:firstLine="0" w:firstLineChars="0"/>
              <w:jc w:val="center"/>
            </w:pPr>
            <w:r>
              <w:rPr>
                <w:rFonts w:hint="eastAsia"/>
              </w:rPr>
              <w:t>重量（</w:t>
            </w:r>
            <w:r>
              <w:rPr>
                <w:rFonts w:hint="eastAsia"/>
                <w:lang w:val="en-US" w:eastAsia="zh-CN"/>
              </w:rPr>
              <w:t>t</w:t>
            </w:r>
            <w:r>
              <w:rPr>
                <w:rFonts w:hint="eastAsia"/>
              </w:rPr>
              <w:t>）</w:t>
            </w:r>
          </w:p>
        </w:tc>
        <w:tc>
          <w:tcPr>
            <w:tcW w:w="2131" w:type="dxa"/>
            <w:noWrap w:val="0"/>
            <w:vAlign w:val="center"/>
          </w:tcPr>
          <w:p w14:paraId="33577E98">
            <w:pPr>
              <w:ind w:firstLine="0" w:firstLineChars="0"/>
              <w:jc w:val="center"/>
            </w:pPr>
            <w:r>
              <w:rPr>
                <w:rFonts w:hint="eastAsia"/>
              </w:rPr>
              <w:t>吊高 H(m)</w:t>
            </w:r>
          </w:p>
        </w:tc>
      </w:tr>
      <w:tr w14:paraId="0701BAF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13B68BDA">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1FADF2EF">
            <w:pPr>
              <w:spacing w:line="24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基础节</w:t>
            </w:r>
          </w:p>
        </w:tc>
        <w:tc>
          <w:tcPr>
            <w:tcW w:w="2137" w:type="dxa"/>
            <w:noWrap w:val="0"/>
            <w:vAlign w:val="center"/>
          </w:tcPr>
          <w:p w14:paraId="04D458FC">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1.598</w:t>
            </w:r>
          </w:p>
        </w:tc>
        <w:tc>
          <w:tcPr>
            <w:tcW w:w="2131" w:type="dxa"/>
            <w:noWrap w:val="0"/>
            <w:vAlign w:val="center"/>
          </w:tcPr>
          <w:p w14:paraId="5189EE70">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9</w:t>
            </w:r>
          </w:p>
        </w:tc>
      </w:tr>
      <w:tr w14:paraId="3D3363B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162F969E">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062968A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标准节</w:t>
            </w:r>
          </w:p>
        </w:tc>
        <w:tc>
          <w:tcPr>
            <w:tcW w:w="2137" w:type="dxa"/>
            <w:noWrap w:val="0"/>
            <w:vAlign w:val="center"/>
          </w:tcPr>
          <w:p w14:paraId="2E8A58C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0.838</w:t>
            </w:r>
          </w:p>
        </w:tc>
        <w:tc>
          <w:tcPr>
            <w:tcW w:w="2131" w:type="dxa"/>
            <w:noWrap w:val="0"/>
            <w:vAlign w:val="center"/>
          </w:tcPr>
          <w:p w14:paraId="2561AFFF">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12</w:t>
            </w:r>
          </w:p>
        </w:tc>
      </w:tr>
      <w:tr w14:paraId="4CC327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28B5ACFE">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00A92E6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爬升架</w:t>
            </w:r>
          </w:p>
        </w:tc>
        <w:tc>
          <w:tcPr>
            <w:tcW w:w="2137" w:type="dxa"/>
            <w:noWrap w:val="0"/>
            <w:vAlign w:val="center"/>
          </w:tcPr>
          <w:p w14:paraId="24D255F8">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3.381</w:t>
            </w:r>
          </w:p>
        </w:tc>
        <w:tc>
          <w:tcPr>
            <w:tcW w:w="2131" w:type="dxa"/>
            <w:noWrap w:val="0"/>
            <w:vAlign w:val="center"/>
          </w:tcPr>
          <w:p w14:paraId="23E17C0E">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18.5</w:t>
            </w:r>
          </w:p>
        </w:tc>
      </w:tr>
      <w:tr w14:paraId="1407071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74708B7">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center"/>
          </w:tcPr>
          <w:p w14:paraId="150A186F">
            <w:pPr>
              <w:spacing w:line="24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特殊节</w:t>
            </w:r>
          </w:p>
        </w:tc>
        <w:tc>
          <w:tcPr>
            <w:tcW w:w="2137" w:type="dxa"/>
            <w:noWrap w:val="0"/>
            <w:vAlign w:val="center"/>
          </w:tcPr>
          <w:p w14:paraId="2F93B61A">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1.316</w:t>
            </w:r>
          </w:p>
        </w:tc>
        <w:tc>
          <w:tcPr>
            <w:tcW w:w="2131" w:type="dxa"/>
            <w:noWrap w:val="0"/>
            <w:vAlign w:val="center"/>
          </w:tcPr>
          <w:p w14:paraId="15E964D6">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15</w:t>
            </w:r>
          </w:p>
        </w:tc>
      </w:tr>
      <w:tr w14:paraId="5893B37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B90CEEF">
            <w:pPr>
              <w:numPr>
                <w:ilvl w:val="0"/>
                <w:numId w:val="3"/>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38" w:type="dxa"/>
            <w:noWrap w:val="0"/>
            <w:vAlign w:val="center"/>
          </w:tcPr>
          <w:p w14:paraId="46D250C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回转总成</w:t>
            </w:r>
          </w:p>
        </w:tc>
        <w:tc>
          <w:tcPr>
            <w:tcW w:w="2137" w:type="dxa"/>
            <w:noWrap w:val="0"/>
            <w:vAlign w:val="center"/>
          </w:tcPr>
          <w:p w14:paraId="2C436202">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3.983</w:t>
            </w:r>
          </w:p>
        </w:tc>
        <w:tc>
          <w:tcPr>
            <w:tcW w:w="2131" w:type="dxa"/>
            <w:noWrap w:val="0"/>
            <w:vAlign w:val="center"/>
          </w:tcPr>
          <w:p w14:paraId="7F037AB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w:t>
            </w:r>
          </w:p>
        </w:tc>
      </w:tr>
      <w:tr w14:paraId="0C0CD21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9AF20BB">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21120AB4">
            <w:pPr>
              <w:spacing w:line="24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臂根节</w:t>
            </w:r>
          </w:p>
        </w:tc>
        <w:tc>
          <w:tcPr>
            <w:tcW w:w="2137" w:type="dxa"/>
            <w:noWrap w:val="0"/>
            <w:vAlign w:val="center"/>
          </w:tcPr>
          <w:p w14:paraId="71EC06D3">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2.909</w:t>
            </w:r>
          </w:p>
        </w:tc>
        <w:tc>
          <w:tcPr>
            <w:tcW w:w="2131" w:type="dxa"/>
            <w:noWrap w:val="0"/>
            <w:vAlign w:val="center"/>
          </w:tcPr>
          <w:p w14:paraId="0B4AE8E6">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20.5</w:t>
            </w:r>
          </w:p>
        </w:tc>
      </w:tr>
      <w:tr w14:paraId="599784A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FED3D62">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center"/>
          </w:tcPr>
          <w:p w14:paraId="437915D4">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平衡臂总成</w:t>
            </w:r>
          </w:p>
        </w:tc>
        <w:tc>
          <w:tcPr>
            <w:tcW w:w="2137" w:type="dxa"/>
            <w:noWrap w:val="0"/>
            <w:vAlign w:val="center"/>
          </w:tcPr>
          <w:p w14:paraId="354CA7F1">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5.027</w:t>
            </w:r>
          </w:p>
        </w:tc>
        <w:tc>
          <w:tcPr>
            <w:tcW w:w="2131" w:type="dxa"/>
            <w:noWrap w:val="0"/>
            <w:vAlign w:val="center"/>
          </w:tcPr>
          <w:p w14:paraId="71C3263E">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18</w:t>
            </w:r>
          </w:p>
        </w:tc>
      </w:tr>
      <w:tr w14:paraId="5151F68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182EC7F">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center"/>
          </w:tcPr>
          <w:p w14:paraId="023EE129">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两</w:t>
            </w:r>
            <w:r>
              <w:rPr>
                <w:rFonts w:hint="eastAsia" w:ascii="宋体" w:hAnsi="宋体" w:eastAsia="宋体"/>
                <w:color w:val="000000"/>
                <w:sz w:val="24"/>
                <w:szCs w:val="24"/>
                <w:lang w:val="en-US" w:eastAsia="zh-CN"/>
              </w:rPr>
              <w:t>块平衡重</w:t>
            </w:r>
          </w:p>
        </w:tc>
        <w:tc>
          <w:tcPr>
            <w:tcW w:w="2137" w:type="dxa"/>
            <w:noWrap w:val="0"/>
            <w:vAlign w:val="center"/>
          </w:tcPr>
          <w:p w14:paraId="027E9577">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p>
        </w:tc>
        <w:tc>
          <w:tcPr>
            <w:tcW w:w="2131" w:type="dxa"/>
            <w:noWrap w:val="0"/>
            <w:vAlign w:val="center"/>
          </w:tcPr>
          <w:p w14:paraId="795E85B3">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20.5</w:t>
            </w:r>
          </w:p>
        </w:tc>
      </w:tr>
      <w:tr w14:paraId="72643DD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3333ED98">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7CCFC341">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50米</w:t>
            </w:r>
            <w:r>
              <w:rPr>
                <w:rFonts w:hint="eastAsia" w:ascii="宋体" w:hAnsi="宋体" w:eastAsia="宋体"/>
                <w:color w:val="000000"/>
                <w:sz w:val="24"/>
                <w:szCs w:val="24"/>
                <w:lang w:val="en-US" w:eastAsia="zh-CN"/>
              </w:rPr>
              <w:t>起重臂总成</w:t>
            </w:r>
          </w:p>
        </w:tc>
        <w:tc>
          <w:tcPr>
            <w:tcW w:w="2137" w:type="dxa"/>
            <w:noWrap w:val="0"/>
            <w:vAlign w:val="center"/>
          </w:tcPr>
          <w:p w14:paraId="63BFAFCA">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5.169</w:t>
            </w:r>
          </w:p>
        </w:tc>
        <w:tc>
          <w:tcPr>
            <w:tcW w:w="2131" w:type="dxa"/>
            <w:noWrap w:val="0"/>
            <w:vAlign w:val="center"/>
          </w:tcPr>
          <w:p w14:paraId="5E8A4DD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20.5</w:t>
            </w:r>
          </w:p>
        </w:tc>
      </w:tr>
      <w:tr w14:paraId="040BBA2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7E5B22A">
            <w:pPr>
              <w:numPr>
                <w:ilvl w:val="0"/>
                <w:numId w:val="3"/>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6889122A">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剩余平衡重</w:t>
            </w:r>
          </w:p>
        </w:tc>
        <w:tc>
          <w:tcPr>
            <w:tcW w:w="2137" w:type="dxa"/>
            <w:noWrap w:val="0"/>
            <w:vAlign w:val="center"/>
          </w:tcPr>
          <w:p w14:paraId="01EA79C8">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r>
              <w:rPr>
                <w:rFonts w:hint="eastAsia" w:ascii="宋体" w:hAnsi="宋体" w:eastAsia="宋体"/>
                <w:color w:val="000000"/>
                <w:sz w:val="24"/>
                <w:szCs w:val="24"/>
                <w:lang w:val="en-US" w:eastAsia="zh-CN"/>
              </w:rPr>
              <w:t>+</w:t>
            </w:r>
            <w:r>
              <w:rPr>
                <w:rFonts w:hint="eastAsia"/>
                <w:color w:val="000000"/>
                <w:sz w:val="24"/>
                <w:szCs w:val="24"/>
                <w:lang w:val="en-US" w:eastAsia="zh-CN"/>
              </w:rPr>
              <w:t>1</w:t>
            </w:r>
            <w:r>
              <w:rPr>
                <w:rFonts w:hint="default" w:ascii="宋体" w:hAnsi="宋体" w:eastAsia="宋体"/>
                <w:color w:val="000000"/>
                <w:sz w:val="24"/>
                <w:szCs w:val="24"/>
                <w:lang w:val="en-US" w:eastAsia="zh-CN"/>
              </w:rPr>
              <w:t>×</w:t>
            </w:r>
            <w:r>
              <w:rPr>
                <w:rFonts w:hint="eastAsia"/>
                <w:color w:val="000000"/>
                <w:sz w:val="24"/>
                <w:szCs w:val="24"/>
                <w:lang w:val="en-US" w:eastAsia="zh-CN"/>
              </w:rPr>
              <w:t>2</w:t>
            </w:r>
            <w:r>
              <w:rPr>
                <w:rFonts w:hint="eastAsia" w:ascii="宋体" w:hAnsi="宋体" w:eastAsia="宋体"/>
                <w:color w:val="000000"/>
                <w:sz w:val="24"/>
                <w:szCs w:val="24"/>
                <w:lang w:val="en-US" w:eastAsia="zh-CN"/>
              </w:rPr>
              <w:t>.3</w:t>
            </w:r>
          </w:p>
        </w:tc>
        <w:tc>
          <w:tcPr>
            <w:tcW w:w="2131" w:type="dxa"/>
            <w:noWrap w:val="0"/>
            <w:vAlign w:val="center"/>
          </w:tcPr>
          <w:p w14:paraId="11786D9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20.5</w:t>
            </w:r>
          </w:p>
        </w:tc>
      </w:tr>
    </w:tbl>
    <w:p w14:paraId="64193ED3">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2</w:t>
      </w:r>
      <w:r>
        <w:rPr>
          <w:color w:val="auto"/>
        </w:rPr>
        <w:t xml:space="preserve">  </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D</w:t>
      </w:r>
      <w:r>
        <w:rPr>
          <w:rFonts w:hint="eastAsia"/>
          <w:color w:val="auto"/>
          <w:lang w:eastAsia="zh-CN"/>
        </w:rPr>
        <w:t>-</w:t>
      </w:r>
      <w:r>
        <w:rPr>
          <w:rFonts w:hint="eastAsia"/>
          <w:color w:val="auto"/>
          <w:lang w:val="en-US" w:eastAsia="zh-CN"/>
        </w:rPr>
        <w:t>10</w:t>
      </w:r>
      <w:r>
        <w:rPr>
          <w:rFonts w:hint="eastAsia"/>
          <w:color w:val="auto"/>
          <w:lang w:eastAsia="zh-CN"/>
        </w:rPr>
        <w:t>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38"/>
        <w:gridCol w:w="2137"/>
        <w:gridCol w:w="2131"/>
      </w:tblGrid>
      <w:tr w14:paraId="67E6E3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6B6AB170">
            <w:pPr>
              <w:ind w:firstLine="0" w:firstLineChars="0"/>
              <w:jc w:val="center"/>
            </w:pPr>
            <w:r>
              <w:rPr>
                <w:rFonts w:hint="eastAsia"/>
              </w:rPr>
              <w:t>序 号</w:t>
            </w:r>
          </w:p>
        </w:tc>
        <w:tc>
          <w:tcPr>
            <w:tcW w:w="2738" w:type="dxa"/>
            <w:noWrap w:val="0"/>
            <w:vAlign w:val="center"/>
          </w:tcPr>
          <w:p w14:paraId="45604923">
            <w:pPr>
              <w:ind w:firstLine="0" w:firstLineChars="0"/>
              <w:jc w:val="center"/>
            </w:pPr>
            <w:r>
              <w:rPr>
                <w:rFonts w:hint="eastAsia"/>
              </w:rPr>
              <w:t>名称</w:t>
            </w:r>
          </w:p>
        </w:tc>
        <w:tc>
          <w:tcPr>
            <w:tcW w:w="2137" w:type="dxa"/>
            <w:noWrap w:val="0"/>
            <w:vAlign w:val="center"/>
          </w:tcPr>
          <w:p w14:paraId="4EC1E8E0">
            <w:pPr>
              <w:ind w:firstLine="0" w:firstLineChars="0"/>
              <w:jc w:val="center"/>
            </w:pPr>
            <w:r>
              <w:rPr>
                <w:rFonts w:hint="eastAsia"/>
              </w:rPr>
              <w:t>重量（</w:t>
            </w:r>
            <w:r>
              <w:rPr>
                <w:rFonts w:hint="eastAsia"/>
                <w:lang w:val="en-US" w:eastAsia="zh-CN"/>
              </w:rPr>
              <w:t>t</w:t>
            </w:r>
            <w:r>
              <w:rPr>
                <w:rFonts w:hint="eastAsia"/>
              </w:rPr>
              <w:t>）</w:t>
            </w:r>
          </w:p>
        </w:tc>
        <w:tc>
          <w:tcPr>
            <w:tcW w:w="2131" w:type="dxa"/>
            <w:noWrap w:val="0"/>
            <w:vAlign w:val="center"/>
          </w:tcPr>
          <w:p w14:paraId="2350B35F">
            <w:pPr>
              <w:ind w:firstLine="0" w:firstLineChars="0"/>
              <w:jc w:val="center"/>
            </w:pPr>
            <w:r>
              <w:rPr>
                <w:rFonts w:hint="eastAsia"/>
              </w:rPr>
              <w:t>吊高 H(m)</w:t>
            </w:r>
          </w:p>
        </w:tc>
      </w:tr>
      <w:tr w14:paraId="3ACD81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58A8879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672A8417">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安装基础节</w:t>
            </w:r>
          </w:p>
        </w:tc>
        <w:tc>
          <w:tcPr>
            <w:tcW w:w="2137" w:type="dxa"/>
            <w:noWrap w:val="0"/>
            <w:vAlign w:val="top"/>
          </w:tcPr>
          <w:p w14:paraId="00C77E3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3.456</w:t>
            </w:r>
          </w:p>
        </w:tc>
        <w:tc>
          <w:tcPr>
            <w:tcW w:w="2131" w:type="dxa"/>
            <w:noWrap w:val="0"/>
            <w:vAlign w:val="top"/>
          </w:tcPr>
          <w:p w14:paraId="2A193566">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18</w:t>
            </w:r>
          </w:p>
        </w:tc>
      </w:tr>
      <w:tr w14:paraId="12E0915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7E97DC3">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1DE0EC59">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安装爬升架</w:t>
            </w:r>
          </w:p>
        </w:tc>
        <w:tc>
          <w:tcPr>
            <w:tcW w:w="2137" w:type="dxa"/>
            <w:noWrap w:val="0"/>
            <w:vAlign w:val="top"/>
          </w:tcPr>
          <w:p w14:paraId="6E72F0D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4.314</w:t>
            </w:r>
          </w:p>
        </w:tc>
        <w:tc>
          <w:tcPr>
            <w:tcW w:w="2131" w:type="dxa"/>
            <w:noWrap w:val="0"/>
            <w:vAlign w:val="top"/>
          </w:tcPr>
          <w:p w14:paraId="3C4DA18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6A9F6C0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0D8BA879">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7E41408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安装特殊节</w:t>
            </w:r>
          </w:p>
        </w:tc>
        <w:tc>
          <w:tcPr>
            <w:tcW w:w="2137" w:type="dxa"/>
            <w:noWrap w:val="0"/>
            <w:vAlign w:val="top"/>
          </w:tcPr>
          <w:p w14:paraId="0F73F1A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1.716</w:t>
            </w:r>
          </w:p>
        </w:tc>
        <w:tc>
          <w:tcPr>
            <w:tcW w:w="2131" w:type="dxa"/>
            <w:noWrap w:val="0"/>
            <w:vAlign w:val="top"/>
          </w:tcPr>
          <w:p w14:paraId="1B6341B9">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2891F6B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64AB9F34">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38" w:type="dxa"/>
            <w:noWrap w:val="0"/>
            <w:vAlign w:val="top"/>
          </w:tcPr>
          <w:p w14:paraId="46E3E8A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安装回转总成</w:t>
            </w:r>
          </w:p>
        </w:tc>
        <w:tc>
          <w:tcPr>
            <w:tcW w:w="2137" w:type="dxa"/>
            <w:noWrap w:val="0"/>
            <w:vAlign w:val="top"/>
          </w:tcPr>
          <w:p w14:paraId="1DBDFC3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4.678</w:t>
            </w:r>
          </w:p>
        </w:tc>
        <w:tc>
          <w:tcPr>
            <w:tcW w:w="2131" w:type="dxa"/>
            <w:noWrap w:val="0"/>
            <w:vAlign w:val="top"/>
          </w:tcPr>
          <w:p w14:paraId="34DB44D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27</w:t>
            </w:r>
          </w:p>
        </w:tc>
      </w:tr>
      <w:tr w14:paraId="47E1DC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0CAD121">
            <w:pPr>
              <w:numPr>
                <w:ilvl w:val="0"/>
                <w:numId w:val="4"/>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38" w:type="dxa"/>
            <w:noWrap w:val="0"/>
            <w:vAlign w:val="top"/>
          </w:tcPr>
          <w:p w14:paraId="25B0979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安装起重臂根节</w:t>
            </w:r>
          </w:p>
        </w:tc>
        <w:tc>
          <w:tcPr>
            <w:tcW w:w="2137" w:type="dxa"/>
            <w:noWrap w:val="0"/>
            <w:vAlign w:val="top"/>
          </w:tcPr>
          <w:p w14:paraId="78FDD9E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3.8</w:t>
            </w:r>
          </w:p>
        </w:tc>
        <w:tc>
          <w:tcPr>
            <w:tcW w:w="2131" w:type="dxa"/>
            <w:noWrap w:val="0"/>
            <w:vAlign w:val="top"/>
          </w:tcPr>
          <w:p w14:paraId="3F11A0F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43639C9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A0F9D78">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61EC927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安装平衡臂</w:t>
            </w:r>
          </w:p>
        </w:tc>
        <w:tc>
          <w:tcPr>
            <w:tcW w:w="2137" w:type="dxa"/>
            <w:noWrap w:val="0"/>
            <w:vAlign w:val="top"/>
          </w:tcPr>
          <w:p w14:paraId="67F31FB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5.2</w:t>
            </w:r>
          </w:p>
        </w:tc>
        <w:tc>
          <w:tcPr>
            <w:tcW w:w="2131" w:type="dxa"/>
            <w:noWrap w:val="0"/>
            <w:vAlign w:val="top"/>
          </w:tcPr>
          <w:p w14:paraId="2F5C5C33">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49783A9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EF9C8A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38" w:type="dxa"/>
            <w:noWrap w:val="0"/>
            <w:vAlign w:val="top"/>
          </w:tcPr>
          <w:p w14:paraId="5F7D215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安装一块平衡重</w:t>
            </w:r>
          </w:p>
        </w:tc>
        <w:tc>
          <w:tcPr>
            <w:tcW w:w="2137" w:type="dxa"/>
            <w:noWrap w:val="0"/>
            <w:vAlign w:val="top"/>
          </w:tcPr>
          <w:p w14:paraId="799CEC5B">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3.2</w:t>
            </w:r>
          </w:p>
        </w:tc>
        <w:tc>
          <w:tcPr>
            <w:tcW w:w="2131" w:type="dxa"/>
            <w:noWrap w:val="0"/>
            <w:vAlign w:val="top"/>
          </w:tcPr>
          <w:p w14:paraId="443B2DC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r w14:paraId="5A9686F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D9AE96F">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01913D8B">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起重臂臂节二</w:t>
            </w:r>
          </w:p>
        </w:tc>
        <w:tc>
          <w:tcPr>
            <w:tcW w:w="2137" w:type="dxa"/>
            <w:noWrap w:val="0"/>
            <w:vAlign w:val="top"/>
          </w:tcPr>
          <w:p w14:paraId="4534F9E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1.029</w:t>
            </w:r>
          </w:p>
        </w:tc>
        <w:tc>
          <w:tcPr>
            <w:tcW w:w="2131" w:type="dxa"/>
            <w:noWrap w:val="0"/>
            <w:vAlign w:val="top"/>
          </w:tcPr>
          <w:p w14:paraId="327E7225">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69BA513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1CC786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16729C16">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起重臂臂节三</w:t>
            </w:r>
          </w:p>
        </w:tc>
        <w:tc>
          <w:tcPr>
            <w:tcW w:w="2137" w:type="dxa"/>
            <w:noWrap w:val="0"/>
            <w:vAlign w:val="top"/>
          </w:tcPr>
          <w:p w14:paraId="3F6C3E9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1.401</w:t>
            </w:r>
          </w:p>
        </w:tc>
        <w:tc>
          <w:tcPr>
            <w:tcW w:w="2131" w:type="dxa"/>
            <w:noWrap w:val="0"/>
            <w:vAlign w:val="top"/>
          </w:tcPr>
          <w:p w14:paraId="20CE6695">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1109972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CD2EFB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07DED73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起重臂臂节四</w:t>
            </w:r>
          </w:p>
        </w:tc>
        <w:tc>
          <w:tcPr>
            <w:tcW w:w="2137" w:type="dxa"/>
            <w:noWrap w:val="0"/>
            <w:vAlign w:val="top"/>
          </w:tcPr>
          <w:p w14:paraId="26E9B6D0">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1.148</w:t>
            </w:r>
          </w:p>
        </w:tc>
        <w:tc>
          <w:tcPr>
            <w:tcW w:w="2131" w:type="dxa"/>
            <w:noWrap w:val="0"/>
            <w:vAlign w:val="top"/>
          </w:tcPr>
          <w:p w14:paraId="78FE767B">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6EDA4DE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37FEF186">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509486ED">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起重臂臂节五</w:t>
            </w:r>
          </w:p>
        </w:tc>
        <w:tc>
          <w:tcPr>
            <w:tcW w:w="2137" w:type="dxa"/>
            <w:noWrap w:val="0"/>
            <w:vAlign w:val="top"/>
          </w:tcPr>
          <w:p w14:paraId="68CC8F53">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0.57</w:t>
            </w:r>
          </w:p>
        </w:tc>
        <w:tc>
          <w:tcPr>
            <w:tcW w:w="2131" w:type="dxa"/>
            <w:noWrap w:val="0"/>
            <w:vAlign w:val="top"/>
          </w:tcPr>
          <w:p w14:paraId="4FEEB6B8">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2B2E3CD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29B371E5">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6D94733A">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起重臂臂节六</w:t>
            </w:r>
          </w:p>
        </w:tc>
        <w:tc>
          <w:tcPr>
            <w:tcW w:w="2137" w:type="dxa"/>
            <w:noWrap w:val="0"/>
            <w:vAlign w:val="top"/>
          </w:tcPr>
          <w:p w14:paraId="2A42D747">
            <w:pPr>
              <w:spacing w:line="360" w:lineRule="auto"/>
              <w:ind w:firstLine="0" w:firstLineChars="0"/>
              <w:jc w:val="center"/>
              <w:rPr>
                <w:rFonts w:hint="eastAsia" w:ascii="宋体" w:hAnsi="宋体" w:eastAsia="宋体"/>
                <w:color w:val="000000"/>
                <w:sz w:val="24"/>
                <w:szCs w:val="24"/>
                <w:lang w:val="en-US" w:eastAsia="zh-CN"/>
              </w:rPr>
            </w:pPr>
            <w:r>
              <w:rPr>
                <w:rFonts w:hint="eastAsia"/>
                <w:color w:val="000000"/>
                <w:sz w:val="24"/>
                <w:szCs w:val="24"/>
                <w:lang w:val="en-US" w:eastAsia="zh-CN"/>
              </w:rPr>
              <w:t>0.79</w:t>
            </w:r>
          </w:p>
        </w:tc>
        <w:tc>
          <w:tcPr>
            <w:tcW w:w="2131" w:type="dxa"/>
            <w:noWrap w:val="0"/>
            <w:vAlign w:val="top"/>
          </w:tcPr>
          <w:p w14:paraId="4E28AA1E">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59F8576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8DD939A">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5864E01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起重臂臂节七)</w:t>
            </w:r>
          </w:p>
        </w:tc>
        <w:tc>
          <w:tcPr>
            <w:tcW w:w="2137" w:type="dxa"/>
            <w:noWrap w:val="0"/>
            <w:vAlign w:val="top"/>
          </w:tcPr>
          <w:p w14:paraId="4BCA4986">
            <w:pPr>
              <w:spacing w:line="360" w:lineRule="auto"/>
              <w:ind w:firstLine="0" w:firstLineChars="0"/>
              <w:jc w:val="center"/>
              <w:rPr>
                <w:rFonts w:hint="default" w:ascii="宋体" w:hAnsi="宋体" w:eastAsia="宋体"/>
                <w:color w:val="000000"/>
                <w:sz w:val="24"/>
                <w:szCs w:val="24"/>
                <w:lang w:val="en-US" w:eastAsia="zh-CN"/>
              </w:rPr>
            </w:pPr>
            <w:r>
              <w:rPr>
                <w:rFonts w:hint="eastAsia"/>
                <w:color w:val="000000"/>
                <w:sz w:val="24"/>
                <w:szCs w:val="24"/>
                <w:lang w:val="en-US" w:eastAsia="zh-CN"/>
              </w:rPr>
              <w:t>0.65</w:t>
            </w:r>
          </w:p>
        </w:tc>
        <w:tc>
          <w:tcPr>
            <w:tcW w:w="2131" w:type="dxa"/>
            <w:noWrap w:val="0"/>
            <w:vAlign w:val="top"/>
          </w:tcPr>
          <w:p w14:paraId="33103D6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03245F5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CA3739A">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33F0D681">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起重臂臂节八(含臂尖)</w:t>
            </w:r>
          </w:p>
        </w:tc>
        <w:tc>
          <w:tcPr>
            <w:tcW w:w="2137" w:type="dxa"/>
            <w:noWrap w:val="0"/>
            <w:vAlign w:val="top"/>
          </w:tcPr>
          <w:p w14:paraId="32FE19A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0.34</w:t>
            </w:r>
          </w:p>
        </w:tc>
        <w:tc>
          <w:tcPr>
            <w:tcW w:w="2131" w:type="dxa"/>
            <w:noWrap w:val="0"/>
            <w:vAlign w:val="top"/>
          </w:tcPr>
          <w:p w14:paraId="425D17D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31</w:t>
            </w:r>
          </w:p>
        </w:tc>
      </w:tr>
      <w:tr w14:paraId="1ADE371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28A6C24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top"/>
          </w:tcPr>
          <w:p w14:paraId="1B4A4FF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50m臂长剩余平衡重</w:t>
            </w:r>
          </w:p>
        </w:tc>
        <w:tc>
          <w:tcPr>
            <w:tcW w:w="2137" w:type="dxa"/>
            <w:noWrap w:val="0"/>
            <w:vAlign w:val="top"/>
          </w:tcPr>
          <w:p w14:paraId="22B99B7A">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3.2+3</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2.3</w:t>
            </w:r>
          </w:p>
        </w:tc>
        <w:tc>
          <w:tcPr>
            <w:tcW w:w="2131" w:type="dxa"/>
            <w:noWrap w:val="0"/>
            <w:vAlign w:val="top"/>
          </w:tcPr>
          <w:p w14:paraId="5EE8460F">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r w14:paraId="46A8A75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6C6C4D2">
            <w:pPr>
              <w:numPr>
                <w:ilvl w:val="0"/>
                <w:numId w:val="4"/>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38" w:type="dxa"/>
            <w:noWrap w:val="0"/>
            <w:vAlign w:val="center"/>
          </w:tcPr>
          <w:p w14:paraId="69D78319">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60m臂长剩余平衡重</w:t>
            </w:r>
          </w:p>
        </w:tc>
        <w:tc>
          <w:tcPr>
            <w:tcW w:w="2137" w:type="dxa"/>
            <w:noWrap w:val="0"/>
            <w:vAlign w:val="center"/>
          </w:tcPr>
          <w:p w14:paraId="55D6D060">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3.2+2</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2.3</w:t>
            </w:r>
          </w:p>
        </w:tc>
        <w:tc>
          <w:tcPr>
            <w:tcW w:w="2131" w:type="dxa"/>
            <w:noWrap w:val="0"/>
            <w:vAlign w:val="top"/>
          </w:tcPr>
          <w:p w14:paraId="7B27B1E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34</w:t>
            </w:r>
          </w:p>
        </w:tc>
      </w:tr>
    </w:tbl>
    <w:p w14:paraId="02AABF4F">
      <w:pPr>
        <w:ind w:firstLine="0" w:firstLineChars="0"/>
        <w:jc w:val="center"/>
        <w:rPr>
          <w:rFonts w:hint="eastAsia"/>
          <w:color w:val="auto"/>
        </w:rPr>
      </w:pPr>
      <w:r>
        <w:rPr>
          <w:rFonts w:hint="eastAsia" w:ascii="宋体" w:hAnsi="宋体" w:eastAsia="宋体"/>
          <w:color w:val="auto"/>
        </w:rPr>
        <w:t xml:space="preserve">表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5.1</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lang w:val="en-US" w:eastAsia="zh-CN"/>
        </w:rPr>
        <w:t>3</w:t>
      </w:r>
      <w:r>
        <w:rPr>
          <w:color w:val="auto"/>
        </w:rPr>
        <w:t xml:space="preserve">  </w:t>
      </w:r>
      <w:r>
        <w:rPr>
          <w:rFonts w:hint="eastAsia"/>
          <w:color w:val="auto"/>
          <w:lang w:eastAsia="zh-CN"/>
        </w:rPr>
        <w:t>XGT6</w:t>
      </w:r>
      <w:r>
        <w:rPr>
          <w:rFonts w:hint="eastAsia"/>
          <w:color w:val="auto"/>
          <w:lang w:val="en-US" w:eastAsia="zh-CN"/>
        </w:rPr>
        <w:t>5</w:t>
      </w:r>
      <w:r>
        <w:rPr>
          <w:rFonts w:hint="eastAsia"/>
          <w:color w:val="auto"/>
          <w:lang w:eastAsia="zh-CN"/>
        </w:rPr>
        <w:t>15-</w:t>
      </w:r>
      <w:r>
        <w:rPr>
          <w:rFonts w:hint="eastAsia"/>
          <w:color w:val="auto"/>
          <w:lang w:val="en-US" w:eastAsia="zh-CN"/>
        </w:rPr>
        <w:t>10</w:t>
      </w:r>
      <w:r>
        <w:rPr>
          <w:rFonts w:hint="eastAsia"/>
          <w:color w:val="auto"/>
          <w:lang w:eastAsia="zh-CN"/>
        </w:rPr>
        <w:t>S</w:t>
      </w:r>
      <w:r>
        <w:rPr>
          <w:rFonts w:hint="eastAsia"/>
          <w:color w:val="auto"/>
        </w:rPr>
        <w:t>部件的安装重量和高度</w:t>
      </w:r>
    </w:p>
    <w:tbl>
      <w:tblPr>
        <w:tblStyle w:val="28"/>
        <w:tblW w:w="8522"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2746"/>
        <w:gridCol w:w="2265"/>
        <w:gridCol w:w="1995"/>
      </w:tblGrid>
      <w:tr w14:paraId="5C10301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noWrap w:val="0"/>
            <w:vAlign w:val="center"/>
          </w:tcPr>
          <w:p w14:paraId="425CD0CA">
            <w:pPr>
              <w:ind w:firstLine="0" w:firstLineChars="0"/>
              <w:jc w:val="center"/>
            </w:pPr>
            <w:r>
              <w:rPr>
                <w:rFonts w:hint="eastAsia"/>
              </w:rPr>
              <w:t>序 号</w:t>
            </w:r>
          </w:p>
        </w:tc>
        <w:tc>
          <w:tcPr>
            <w:tcW w:w="2746" w:type="dxa"/>
            <w:noWrap w:val="0"/>
            <w:vAlign w:val="center"/>
          </w:tcPr>
          <w:p w14:paraId="110190BD">
            <w:pPr>
              <w:ind w:firstLine="0" w:firstLineChars="0"/>
              <w:jc w:val="center"/>
            </w:pPr>
            <w:r>
              <w:rPr>
                <w:rFonts w:hint="eastAsia"/>
              </w:rPr>
              <w:t>名称</w:t>
            </w:r>
          </w:p>
        </w:tc>
        <w:tc>
          <w:tcPr>
            <w:tcW w:w="2265" w:type="dxa"/>
            <w:noWrap w:val="0"/>
            <w:vAlign w:val="center"/>
          </w:tcPr>
          <w:p w14:paraId="13EE4320">
            <w:pPr>
              <w:ind w:firstLine="0" w:firstLineChars="0"/>
              <w:jc w:val="center"/>
            </w:pPr>
            <w:r>
              <w:rPr>
                <w:rFonts w:hint="eastAsia"/>
              </w:rPr>
              <w:t>重量（</w:t>
            </w:r>
            <w:r>
              <w:rPr>
                <w:rFonts w:hint="eastAsia"/>
                <w:lang w:val="en-US" w:eastAsia="zh-CN"/>
              </w:rPr>
              <w:t>t</w:t>
            </w:r>
            <w:r>
              <w:rPr>
                <w:rFonts w:hint="eastAsia"/>
              </w:rPr>
              <w:t>）</w:t>
            </w:r>
          </w:p>
        </w:tc>
        <w:tc>
          <w:tcPr>
            <w:tcW w:w="1995" w:type="dxa"/>
            <w:noWrap w:val="0"/>
            <w:vAlign w:val="center"/>
          </w:tcPr>
          <w:p w14:paraId="533EF4A9">
            <w:pPr>
              <w:ind w:firstLine="0" w:firstLineChars="0"/>
              <w:jc w:val="center"/>
            </w:pPr>
            <w:r>
              <w:rPr>
                <w:rFonts w:hint="eastAsia"/>
              </w:rPr>
              <w:t>吊高 H(m)</w:t>
            </w:r>
          </w:p>
        </w:tc>
      </w:tr>
      <w:tr w14:paraId="33724C2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7AE3F17B">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DDD9DD8">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基础节</w:t>
            </w:r>
          </w:p>
        </w:tc>
        <w:tc>
          <w:tcPr>
            <w:tcW w:w="2265" w:type="dxa"/>
            <w:noWrap w:val="0"/>
            <w:vAlign w:val="top"/>
          </w:tcPr>
          <w:p w14:paraId="669F301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4.085</w:t>
            </w:r>
          </w:p>
        </w:tc>
        <w:tc>
          <w:tcPr>
            <w:tcW w:w="1995" w:type="dxa"/>
            <w:noWrap w:val="0"/>
            <w:vAlign w:val="top"/>
          </w:tcPr>
          <w:p w14:paraId="477B1FB6">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11</w:t>
            </w:r>
          </w:p>
        </w:tc>
      </w:tr>
      <w:tr w14:paraId="47DA510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2DDAAE53">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7BF2D411">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一节标准节</w:t>
            </w:r>
          </w:p>
        </w:tc>
        <w:tc>
          <w:tcPr>
            <w:tcW w:w="2265" w:type="dxa"/>
            <w:noWrap w:val="0"/>
            <w:vAlign w:val="top"/>
          </w:tcPr>
          <w:p w14:paraId="388307C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1.8</w:t>
            </w:r>
          </w:p>
        </w:tc>
        <w:tc>
          <w:tcPr>
            <w:tcW w:w="1995" w:type="dxa"/>
            <w:noWrap w:val="0"/>
            <w:vAlign w:val="top"/>
          </w:tcPr>
          <w:p w14:paraId="0B86942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14</w:t>
            </w:r>
          </w:p>
        </w:tc>
      </w:tr>
      <w:tr w14:paraId="727CE76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41E45AD0">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ABB1AFD">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爬升架</w:t>
            </w:r>
          </w:p>
        </w:tc>
        <w:tc>
          <w:tcPr>
            <w:tcW w:w="2265" w:type="dxa"/>
            <w:noWrap w:val="0"/>
            <w:vAlign w:val="top"/>
          </w:tcPr>
          <w:p w14:paraId="753F455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5.35</w:t>
            </w:r>
          </w:p>
        </w:tc>
        <w:tc>
          <w:tcPr>
            <w:tcW w:w="1995" w:type="dxa"/>
            <w:noWrap w:val="0"/>
            <w:vAlign w:val="top"/>
          </w:tcPr>
          <w:p w14:paraId="121E104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3D29349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516" w:type="dxa"/>
            <w:noWrap w:val="0"/>
            <w:vAlign w:val="center"/>
          </w:tcPr>
          <w:p w14:paraId="02A18591">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rPr>
            </w:pPr>
          </w:p>
        </w:tc>
        <w:tc>
          <w:tcPr>
            <w:tcW w:w="2746" w:type="dxa"/>
            <w:noWrap w:val="0"/>
            <w:vAlign w:val="top"/>
          </w:tcPr>
          <w:p w14:paraId="5BB425F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特殊节</w:t>
            </w:r>
          </w:p>
        </w:tc>
        <w:tc>
          <w:tcPr>
            <w:tcW w:w="2265" w:type="dxa"/>
            <w:noWrap w:val="0"/>
            <w:vAlign w:val="top"/>
          </w:tcPr>
          <w:p w14:paraId="551F642E">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3.0</w:t>
            </w:r>
          </w:p>
        </w:tc>
        <w:tc>
          <w:tcPr>
            <w:tcW w:w="1995" w:type="dxa"/>
            <w:noWrap w:val="0"/>
            <w:vAlign w:val="top"/>
          </w:tcPr>
          <w:p w14:paraId="6A951A5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4528F7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4AF0E43">
            <w:pPr>
              <w:numPr>
                <w:ilvl w:val="0"/>
                <w:numId w:val="5"/>
              </w:numPr>
              <w:tabs>
                <w:tab w:val="clear" w:pos="0"/>
              </w:tabs>
              <w:spacing w:line="360" w:lineRule="auto"/>
              <w:ind w:left="425" w:leftChars="0" w:hanging="425" w:firstLineChars="0"/>
              <w:jc w:val="center"/>
              <w:rPr>
                <w:rFonts w:hint="default" w:ascii="宋体" w:hAnsi="宋体" w:eastAsia="宋体"/>
                <w:color w:val="000000"/>
                <w:sz w:val="24"/>
                <w:szCs w:val="24"/>
                <w:lang w:val="en-US" w:eastAsia="zh-CN"/>
              </w:rPr>
            </w:pPr>
          </w:p>
        </w:tc>
        <w:tc>
          <w:tcPr>
            <w:tcW w:w="2746" w:type="dxa"/>
            <w:noWrap w:val="0"/>
            <w:vAlign w:val="top"/>
          </w:tcPr>
          <w:p w14:paraId="10BA4A42">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回转总成</w:t>
            </w:r>
          </w:p>
        </w:tc>
        <w:tc>
          <w:tcPr>
            <w:tcW w:w="2265" w:type="dxa"/>
            <w:noWrap w:val="0"/>
            <w:vAlign w:val="top"/>
          </w:tcPr>
          <w:p w14:paraId="0DEBFF30">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4.758</w:t>
            </w:r>
          </w:p>
        </w:tc>
        <w:tc>
          <w:tcPr>
            <w:tcW w:w="1995" w:type="dxa"/>
            <w:noWrap w:val="0"/>
            <w:vAlign w:val="top"/>
          </w:tcPr>
          <w:p w14:paraId="21E58DC1">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p>
        </w:tc>
      </w:tr>
      <w:tr w14:paraId="26CF6E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1720396">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6B3C1AB9">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起重臂根节</w:t>
            </w:r>
          </w:p>
        </w:tc>
        <w:tc>
          <w:tcPr>
            <w:tcW w:w="2265" w:type="dxa"/>
            <w:noWrap w:val="0"/>
            <w:vAlign w:val="top"/>
          </w:tcPr>
          <w:p w14:paraId="3AEEB746">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3.8</w:t>
            </w:r>
          </w:p>
        </w:tc>
        <w:tc>
          <w:tcPr>
            <w:tcW w:w="1995" w:type="dxa"/>
            <w:noWrap w:val="0"/>
            <w:vAlign w:val="top"/>
          </w:tcPr>
          <w:p w14:paraId="57D81F9C">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41B3C27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00A28D85">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46" w:type="dxa"/>
            <w:noWrap w:val="0"/>
            <w:vAlign w:val="top"/>
          </w:tcPr>
          <w:p w14:paraId="55D0714F">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平衡臂</w:t>
            </w:r>
          </w:p>
        </w:tc>
        <w:tc>
          <w:tcPr>
            <w:tcW w:w="2265" w:type="dxa"/>
            <w:noWrap w:val="0"/>
            <w:vAlign w:val="top"/>
          </w:tcPr>
          <w:p w14:paraId="10C52D9F">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5.2</w:t>
            </w:r>
          </w:p>
        </w:tc>
        <w:tc>
          <w:tcPr>
            <w:tcW w:w="1995" w:type="dxa"/>
            <w:noWrap w:val="0"/>
            <w:vAlign w:val="top"/>
          </w:tcPr>
          <w:p w14:paraId="03BBB47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7D5DABC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3FF0100">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eastAsia="zh-CN"/>
              </w:rPr>
            </w:pPr>
          </w:p>
        </w:tc>
        <w:tc>
          <w:tcPr>
            <w:tcW w:w="2746" w:type="dxa"/>
            <w:noWrap w:val="0"/>
            <w:vAlign w:val="top"/>
          </w:tcPr>
          <w:p w14:paraId="1EB9CE2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一块平衡重</w:t>
            </w:r>
          </w:p>
        </w:tc>
        <w:tc>
          <w:tcPr>
            <w:tcW w:w="2265" w:type="dxa"/>
            <w:noWrap w:val="0"/>
            <w:vAlign w:val="top"/>
          </w:tcPr>
          <w:p w14:paraId="30419AFD">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3.2</w:t>
            </w:r>
          </w:p>
        </w:tc>
        <w:tc>
          <w:tcPr>
            <w:tcW w:w="1995" w:type="dxa"/>
            <w:noWrap w:val="0"/>
            <w:vAlign w:val="top"/>
          </w:tcPr>
          <w:p w14:paraId="46B957B2">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29</w:t>
            </w:r>
          </w:p>
        </w:tc>
      </w:tr>
      <w:tr w14:paraId="1BF804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4AB3FC3F">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7E1B0557">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起重臂臂节二</w:t>
            </w:r>
          </w:p>
        </w:tc>
        <w:tc>
          <w:tcPr>
            <w:tcW w:w="2265" w:type="dxa"/>
            <w:noWrap w:val="0"/>
            <w:vAlign w:val="top"/>
          </w:tcPr>
          <w:p w14:paraId="4E01900B">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1.029</w:t>
            </w:r>
          </w:p>
        </w:tc>
        <w:tc>
          <w:tcPr>
            <w:tcW w:w="1995" w:type="dxa"/>
            <w:noWrap w:val="0"/>
            <w:vAlign w:val="top"/>
          </w:tcPr>
          <w:p w14:paraId="5D9DDD8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7EBA7FE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1E2E894">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053747BC">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起重臂臂节三</w:t>
            </w:r>
          </w:p>
        </w:tc>
        <w:tc>
          <w:tcPr>
            <w:tcW w:w="2265" w:type="dxa"/>
            <w:noWrap w:val="0"/>
            <w:vAlign w:val="top"/>
          </w:tcPr>
          <w:p w14:paraId="3DD70FD4">
            <w:pPr>
              <w:spacing w:line="36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1.401</w:t>
            </w:r>
          </w:p>
        </w:tc>
        <w:tc>
          <w:tcPr>
            <w:tcW w:w="1995" w:type="dxa"/>
            <w:noWrap w:val="0"/>
            <w:vAlign w:val="top"/>
          </w:tcPr>
          <w:p w14:paraId="49B58233">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5A76004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1D137DCC">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34023D6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起重臂臂节四</w:t>
            </w:r>
          </w:p>
        </w:tc>
        <w:tc>
          <w:tcPr>
            <w:tcW w:w="2265" w:type="dxa"/>
            <w:noWrap w:val="0"/>
            <w:vAlign w:val="top"/>
          </w:tcPr>
          <w:p w14:paraId="0CA0D9A0">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1.148</w:t>
            </w:r>
          </w:p>
        </w:tc>
        <w:tc>
          <w:tcPr>
            <w:tcW w:w="1995" w:type="dxa"/>
            <w:noWrap w:val="0"/>
            <w:vAlign w:val="top"/>
          </w:tcPr>
          <w:p w14:paraId="4EA85534">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61939CF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0065F164">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5CA7CC42">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起重臂臂节五</w:t>
            </w:r>
          </w:p>
        </w:tc>
        <w:tc>
          <w:tcPr>
            <w:tcW w:w="2265" w:type="dxa"/>
            <w:noWrap w:val="0"/>
            <w:vAlign w:val="top"/>
          </w:tcPr>
          <w:p w14:paraId="509DF458">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0.57</w:t>
            </w:r>
          </w:p>
        </w:tc>
        <w:tc>
          <w:tcPr>
            <w:tcW w:w="1995" w:type="dxa"/>
            <w:noWrap w:val="0"/>
            <w:vAlign w:val="top"/>
          </w:tcPr>
          <w:p w14:paraId="19718EA5">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171A39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79796177">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09AC9B63">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起重臂臂节六</w:t>
            </w:r>
          </w:p>
        </w:tc>
        <w:tc>
          <w:tcPr>
            <w:tcW w:w="2265" w:type="dxa"/>
            <w:noWrap w:val="0"/>
            <w:vAlign w:val="top"/>
          </w:tcPr>
          <w:p w14:paraId="68FC7CDD">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0.79</w:t>
            </w:r>
          </w:p>
        </w:tc>
        <w:tc>
          <w:tcPr>
            <w:tcW w:w="1995" w:type="dxa"/>
            <w:noWrap w:val="0"/>
            <w:vAlign w:val="top"/>
          </w:tcPr>
          <w:p w14:paraId="3D713F62">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19B0EB6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6B15AA1F">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4C6DECC5">
            <w:pPr>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起重臂臂节八(含臂尖)</w:t>
            </w:r>
          </w:p>
        </w:tc>
        <w:tc>
          <w:tcPr>
            <w:tcW w:w="2265" w:type="dxa"/>
            <w:noWrap w:val="0"/>
            <w:vAlign w:val="top"/>
          </w:tcPr>
          <w:p w14:paraId="7435BADF">
            <w:pPr>
              <w:spacing w:line="360" w:lineRule="auto"/>
              <w:ind w:firstLine="0" w:firstLineChars="0"/>
              <w:jc w:val="center"/>
              <w:rPr>
                <w:rFonts w:hint="default"/>
                <w:color w:val="000000"/>
                <w:sz w:val="24"/>
                <w:szCs w:val="24"/>
                <w:lang w:val="en-US" w:eastAsia="zh-CN"/>
              </w:rPr>
            </w:pPr>
            <w:r>
              <w:rPr>
                <w:rFonts w:hint="eastAsia"/>
                <w:color w:val="000000"/>
                <w:sz w:val="24"/>
                <w:szCs w:val="24"/>
                <w:lang w:val="en-US" w:eastAsia="zh-CN"/>
              </w:rPr>
              <w:t>0.34</w:t>
            </w:r>
          </w:p>
        </w:tc>
        <w:tc>
          <w:tcPr>
            <w:tcW w:w="1995" w:type="dxa"/>
            <w:noWrap w:val="0"/>
            <w:vAlign w:val="top"/>
          </w:tcPr>
          <w:p w14:paraId="38BB6A3B">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26</w:t>
            </w:r>
          </w:p>
        </w:tc>
      </w:tr>
      <w:tr w14:paraId="6233368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16" w:type="dxa"/>
            <w:noWrap w:val="0"/>
            <w:vAlign w:val="center"/>
          </w:tcPr>
          <w:p w14:paraId="564F416E">
            <w:pPr>
              <w:numPr>
                <w:ilvl w:val="0"/>
                <w:numId w:val="5"/>
              </w:numPr>
              <w:tabs>
                <w:tab w:val="clear" w:pos="0"/>
              </w:tabs>
              <w:spacing w:line="360" w:lineRule="auto"/>
              <w:ind w:left="425" w:leftChars="0" w:hanging="425" w:firstLineChars="0"/>
              <w:jc w:val="center"/>
              <w:rPr>
                <w:rFonts w:hint="eastAsia" w:ascii="宋体" w:hAnsi="宋体" w:eastAsia="宋体"/>
                <w:color w:val="000000"/>
                <w:sz w:val="24"/>
                <w:szCs w:val="24"/>
                <w:lang w:val="en-US" w:eastAsia="zh-CN"/>
              </w:rPr>
            </w:pPr>
          </w:p>
        </w:tc>
        <w:tc>
          <w:tcPr>
            <w:tcW w:w="2746" w:type="dxa"/>
            <w:noWrap w:val="0"/>
            <w:vAlign w:val="top"/>
          </w:tcPr>
          <w:p w14:paraId="760AF900">
            <w:pPr>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剩余平衡重</w:t>
            </w:r>
          </w:p>
        </w:tc>
        <w:tc>
          <w:tcPr>
            <w:tcW w:w="2265" w:type="dxa"/>
            <w:noWrap w:val="0"/>
            <w:vAlign w:val="top"/>
          </w:tcPr>
          <w:p w14:paraId="2038F7B4">
            <w:pPr>
              <w:spacing w:line="360" w:lineRule="auto"/>
              <w:ind w:firstLine="0" w:firstLineChars="0"/>
              <w:jc w:val="center"/>
              <w:rPr>
                <w:rFonts w:hint="eastAsia"/>
                <w:color w:val="000000"/>
                <w:sz w:val="24"/>
                <w:szCs w:val="24"/>
                <w:lang w:val="en-US" w:eastAsia="zh-CN"/>
              </w:rPr>
            </w:pPr>
            <w:r>
              <w:rPr>
                <w:rFonts w:hint="eastAsia"/>
                <w:color w:val="000000"/>
                <w:sz w:val="24"/>
                <w:szCs w:val="24"/>
                <w:lang w:val="en-US" w:eastAsia="zh-CN"/>
              </w:rPr>
              <w:t>2</w:t>
            </w:r>
            <w:r>
              <w:rPr>
                <w:rFonts w:hint="default" w:ascii="宋体" w:hAnsi="宋体" w:eastAsia="宋体"/>
                <w:color w:val="000000"/>
                <w:sz w:val="24"/>
                <w:szCs w:val="24"/>
                <w:lang w:val="en-US" w:eastAsia="zh-CN"/>
              </w:rPr>
              <w:t>×</w:t>
            </w:r>
            <w:r>
              <w:rPr>
                <w:rFonts w:hint="eastAsia"/>
                <w:color w:val="000000"/>
                <w:sz w:val="24"/>
                <w:szCs w:val="24"/>
                <w:lang w:val="en-US" w:eastAsia="zh-CN"/>
              </w:rPr>
              <w:t>3.2</w:t>
            </w:r>
            <w:r>
              <w:rPr>
                <w:rFonts w:hint="eastAsia" w:ascii="宋体" w:hAnsi="宋体" w:eastAsia="宋体"/>
                <w:color w:val="000000"/>
                <w:sz w:val="24"/>
                <w:szCs w:val="24"/>
                <w:lang w:val="en-US" w:eastAsia="zh-CN"/>
              </w:rPr>
              <w:t>+</w:t>
            </w:r>
            <w:r>
              <w:rPr>
                <w:rFonts w:hint="eastAsia"/>
                <w:color w:val="000000"/>
                <w:sz w:val="24"/>
                <w:szCs w:val="24"/>
                <w:lang w:val="en-US" w:eastAsia="zh-CN"/>
              </w:rPr>
              <w:t>3</w:t>
            </w:r>
            <w:r>
              <w:rPr>
                <w:rFonts w:hint="default" w:ascii="宋体" w:hAnsi="宋体" w:eastAsia="宋体"/>
                <w:color w:val="000000"/>
                <w:sz w:val="24"/>
                <w:szCs w:val="24"/>
                <w:lang w:val="en-US" w:eastAsia="zh-CN"/>
              </w:rPr>
              <w:t>×</w:t>
            </w:r>
            <w:r>
              <w:rPr>
                <w:rFonts w:hint="eastAsia"/>
                <w:color w:val="000000"/>
                <w:sz w:val="24"/>
                <w:szCs w:val="24"/>
                <w:lang w:val="en-US" w:eastAsia="zh-CN"/>
              </w:rPr>
              <w:t>2</w:t>
            </w:r>
            <w:r>
              <w:rPr>
                <w:rFonts w:hint="eastAsia" w:ascii="宋体" w:hAnsi="宋体" w:eastAsia="宋体"/>
                <w:color w:val="000000"/>
                <w:sz w:val="24"/>
                <w:szCs w:val="24"/>
                <w:lang w:val="en-US" w:eastAsia="zh-CN"/>
              </w:rPr>
              <w:t>.3+1.0</w:t>
            </w:r>
          </w:p>
        </w:tc>
        <w:tc>
          <w:tcPr>
            <w:tcW w:w="1995" w:type="dxa"/>
            <w:noWrap w:val="0"/>
            <w:vAlign w:val="top"/>
          </w:tcPr>
          <w:p w14:paraId="72D93597">
            <w:pPr>
              <w:spacing w:line="36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29</w:t>
            </w:r>
          </w:p>
        </w:tc>
      </w:tr>
    </w:tbl>
    <w:p w14:paraId="4021C95D">
      <w:pPr>
        <w:pStyle w:val="3"/>
        <w:ind w:left="0" w:leftChars="0" w:firstLine="0" w:firstLineChars="0"/>
        <w:rPr>
          <w:rFonts w:hint="eastAsia"/>
          <w:color w:val="auto"/>
        </w:rPr>
      </w:pPr>
      <w:bookmarkStart w:id="127" w:name="_Toc16449"/>
      <w:r>
        <w:rPr>
          <w:rFonts w:hint="eastAsia"/>
          <w:color w:val="auto"/>
        </w:rPr>
        <w:t>5.2 吊机性能参数</w:t>
      </w:r>
      <w:bookmarkEnd w:id="121"/>
      <w:bookmarkEnd w:id="122"/>
      <w:bookmarkEnd w:id="123"/>
      <w:bookmarkEnd w:id="124"/>
      <w:bookmarkEnd w:id="125"/>
      <w:bookmarkEnd w:id="126"/>
      <w:bookmarkEnd w:id="127"/>
    </w:p>
    <w:p w14:paraId="6B36D3DE">
      <w:pPr>
        <w:pStyle w:val="4"/>
        <w:ind w:firstLine="482"/>
        <w:rPr>
          <w:rFonts w:hint="eastAsia"/>
          <w:color w:val="auto"/>
        </w:rPr>
      </w:pPr>
      <w:bookmarkStart w:id="128" w:name="_Toc24151"/>
      <w:r>
        <w:rPr>
          <w:color w:val="auto"/>
        </w:rPr>
        <w:t>5.2.1</w:t>
      </w:r>
      <w:r>
        <w:rPr>
          <w:rFonts w:hint="eastAsia"/>
          <w:color w:val="auto"/>
        </w:rPr>
        <w:t xml:space="preserve"> (</w:t>
      </w:r>
      <w:r>
        <w:rPr>
          <w:rFonts w:hint="eastAsia"/>
          <w:color w:val="auto"/>
          <w:lang w:val="en-US" w:eastAsia="zh-CN"/>
        </w:rPr>
        <w:t>三一</w:t>
      </w:r>
      <w:r>
        <w:rPr>
          <w:rFonts w:hint="eastAsia"/>
          <w:color w:val="auto"/>
        </w:rPr>
        <w:t>25</w:t>
      </w:r>
      <w:r>
        <w:rPr>
          <w:rFonts w:hint="eastAsia"/>
          <w:color w:val="auto"/>
          <w:lang w:val="en-US" w:eastAsia="zh-CN"/>
        </w:rPr>
        <w:t>t</w:t>
      </w:r>
      <w:r>
        <w:rPr>
          <w:rFonts w:hint="eastAsia"/>
          <w:color w:val="auto"/>
        </w:rPr>
        <w:t>)汽车吊基本参数</w:t>
      </w:r>
      <w:bookmarkEnd w:id="128"/>
    </w:p>
    <w:p w14:paraId="316AD8BF">
      <w:pPr>
        <w:ind w:firstLine="0" w:firstLineChars="0"/>
        <w:jc w:val="center"/>
      </w:pPr>
      <w:bookmarkStart w:id="129" w:name="_Toc2505"/>
      <w:bookmarkStart w:id="130" w:name="_Toc2695"/>
      <w:bookmarkStart w:id="131" w:name="_Toc5356"/>
      <w:bookmarkStart w:id="132" w:name="_Toc533610086"/>
      <w:bookmarkStart w:id="133" w:name="_Toc17810"/>
      <w:r>
        <w:drawing>
          <wp:inline distT="0" distB="0" distL="114300" distR="114300">
            <wp:extent cx="5276215" cy="3121025"/>
            <wp:effectExtent l="0" t="0" r="12065" b="317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39"/>
                    <a:srcRect b="36187"/>
                    <a:stretch>
                      <a:fillRect/>
                    </a:stretch>
                  </pic:blipFill>
                  <pic:spPr>
                    <a:xfrm>
                      <a:off x="0" y="0"/>
                      <a:ext cx="5276215" cy="3121025"/>
                    </a:xfrm>
                    <a:prstGeom prst="rect">
                      <a:avLst/>
                    </a:prstGeom>
                    <a:noFill/>
                    <a:ln>
                      <a:noFill/>
                    </a:ln>
                  </pic:spPr>
                </pic:pic>
              </a:graphicData>
            </a:graphic>
          </wp:inline>
        </w:drawing>
      </w:r>
    </w:p>
    <w:p w14:paraId="7CA387B9">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color w:val="auto"/>
        </w:rPr>
        <w:t xml:space="preserve">1  </w:t>
      </w:r>
      <w:r>
        <w:rPr>
          <w:rFonts w:hint="eastAsia"/>
          <w:color w:val="auto"/>
          <w:lang w:val="en-US" w:eastAsia="zh-CN"/>
        </w:rPr>
        <w:t>三一25t汽车吊起重性能参数</w:t>
      </w:r>
    </w:p>
    <w:p w14:paraId="1228566F">
      <w:pPr>
        <w:spacing w:line="240" w:lineRule="auto"/>
        <w:ind w:firstLine="0" w:firstLineChars="0"/>
        <w:jc w:val="center"/>
        <w:rPr>
          <w:rFonts w:hint="eastAsia"/>
          <w:color w:val="auto"/>
        </w:rPr>
      </w:pPr>
      <w:r>
        <w:drawing>
          <wp:inline distT="0" distB="0" distL="114300" distR="114300">
            <wp:extent cx="4234815" cy="4491355"/>
            <wp:effectExtent l="0" t="0" r="190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0"/>
                    <a:stretch>
                      <a:fillRect/>
                    </a:stretch>
                  </pic:blipFill>
                  <pic:spPr>
                    <a:xfrm>
                      <a:off x="0" y="0"/>
                      <a:ext cx="4234815" cy="4491355"/>
                    </a:xfrm>
                    <a:prstGeom prst="rect">
                      <a:avLst/>
                    </a:prstGeom>
                    <a:noFill/>
                    <a:ln>
                      <a:noFill/>
                    </a:ln>
                  </pic:spPr>
                </pic:pic>
              </a:graphicData>
            </a:graphic>
          </wp:inline>
        </w:drawing>
      </w:r>
    </w:p>
    <w:p w14:paraId="30A07D04">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2</w:t>
      </w:r>
      <w:r>
        <w:rPr>
          <w:color w:val="auto"/>
        </w:rPr>
        <w:t xml:space="preserve">  </w:t>
      </w:r>
      <w:r>
        <w:rPr>
          <w:rFonts w:hint="eastAsia"/>
          <w:color w:val="auto"/>
          <w:lang w:val="en-US" w:eastAsia="zh-CN"/>
        </w:rPr>
        <w:t>三一25t汽车吊起升高度曲线</w:t>
      </w:r>
      <w:bookmarkStart w:id="134" w:name="_Toc31115"/>
      <w:bookmarkStart w:id="135" w:name="_Toc28032"/>
      <w:bookmarkStart w:id="136" w:name="_Toc27335"/>
    </w:p>
    <w:p w14:paraId="69512A5A">
      <w:pPr>
        <w:pStyle w:val="4"/>
        <w:ind w:firstLine="482"/>
        <w:rPr>
          <w:rFonts w:hint="eastAsia"/>
          <w:color w:val="auto"/>
        </w:rPr>
      </w:pPr>
      <w:bookmarkStart w:id="137" w:name="_Toc10330"/>
      <w:r>
        <w:rPr>
          <w:color w:val="auto"/>
        </w:rPr>
        <w:t>5.2.2</w:t>
      </w:r>
      <w:r>
        <w:rPr>
          <w:rFonts w:hint="eastAsia"/>
          <w:color w:val="auto"/>
          <w:lang w:eastAsia="zh-CN"/>
        </w:rPr>
        <w:t>（</w:t>
      </w:r>
      <w:r>
        <w:rPr>
          <w:rFonts w:hint="eastAsia"/>
          <w:color w:val="auto"/>
          <w:lang w:val="en-US" w:eastAsia="zh-CN"/>
        </w:rPr>
        <w:t>中联</w:t>
      </w:r>
      <w:r>
        <w:rPr>
          <w:rFonts w:hint="eastAsia"/>
          <w:color w:val="auto"/>
        </w:rPr>
        <w:t>50</w:t>
      </w:r>
      <w:r>
        <w:rPr>
          <w:rFonts w:hint="eastAsia"/>
          <w:color w:val="auto"/>
          <w:lang w:val="en-US" w:eastAsia="zh-CN"/>
        </w:rPr>
        <w:t>t）</w:t>
      </w:r>
      <w:r>
        <w:rPr>
          <w:rFonts w:hint="eastAsia"/>
          <w:color w:val="auto"/>
        </w:rPr>
        <w:t>汽车</w:t>
      </w:r>
      <w:bookmarkEnd w:id="134"/>
      <w:bookmarkEnd w:id="135"/>
      <w:bookmarkEnd w:id="136"/>
      <w:bookmarkStart w:id="138" w:name="_Toc182895401"/>
      <w:r>
        <w:rPr>
          <w:rFonts w:hint="eastAsia"/>
          <w:color w:val="auto"/>
          <w:lang w:val="en-US" w:eastAsia="zh-CN"/>
        </w:rPr>
        <w:t>吊</w:t>
      </w:r>
      <w:r>
        <w:rPr>
          <w:rFonts w:hint="eastAsia"/>
          <w:color w:val="auto"/>
        </w:rPr>
        <w:t>基本参数</w:t>
      </w:r>
      <w:bookmarkEnd w:id="137"/>
    </w:p>
    <w:p w14:paraId="22B515BF">
      <w:pPr>
        <w:bidi w:val="0"/>
      </w:pPr>
      <w:r>
        <w:drawing>
          <wp:inline distT="0" distB="0" distL="114300" distR="114300">
            <wp:extent cx="4359275" cy="3564890"/>
            <wp:effectExtent l="0" t="0" r="146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4359275" cy="3564890"/>
                    </a:xfrm>
                    <a:prstGeom prst="rect">
                      <a:avLst/>
                    </a:prstGeom>
                    <a:noFill/>
                    <a:ln>
                      <a:noFill/>
                    </a:ln>
                  </pic:spPr>
                </pic:pic>
              </a:graphicData>
            </a:graphic>
          </wp:inline>
        </w:drawing>
      </w:r>
    </w:p>
    <w:p w14:paraId="73354824">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3</w:t>
      </w:r>
      <w:r>
        <w:rPr>
          <w:color w:val="auto"/>
        </w:rPr>
        <w:t xml:space="preserve">  </w:t>
      </w:r>
      <w:r>
        <w:rPr>
          <w:rFonts w:hint="eastAsia"/>
          <w:color w:val="auto"/>
          <w:lang w:val="en-US" w:eastAsia="zh-CN"/>
        </w:rPr>
        <w:t>中联50t汽车吊起重性能参数</w:t>
      </w:r>
    </w:p>
    <w:p w14:paraId="172CB78B">
      <w:pPr>
        <w:spacing w:line="240" w:lineRule="auto"/>
        <w:ind w:firstLine="0" w:firstLineChars="0"/>
        <w:jc w:val="center"/>
        <w:rPr>
          <w:rFonts w:hint="eastAsia"/>
          <w:color w:val="auto"/>
        </w:rPr>
      </w:pPr>
      <w:r>
        <w:drawing>
          <wp:inline distT="0" distB="0" distL="114300" distR="114300">
            <wp:extent cx="4492625" cy="4458970"/>
            <wp:effectExtent l="0" t="0" r="3175"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2"/>
                    <a:stretch>
                      <a:fillRect/>
                    </a:stretch>
                  </pic:blipFill>
                  <pic:spPr>
                    <a:xfrm>
                      <a:off x="0" y="0"/>
                      <a:ext cx="4492625" cy="4458970"/>
                    </a:xfrm>
                    <a:prstGeom prst="rect">
                      <a:avLst/>
                    </a:prstGeom>
                    <a:noFill/>
                    <a:ln>
                      <a:noFill/>
                    </a:ln>
                  </pic:spPr>
                </pic:pic>
              </a:graphicData>
            </a:graphic>
          </wp:inline>
        </w:drawing>
      </w:r>
    </w:p>
    <w:p w14:paraId="6151CD03">
      <w:pPr>
        <w:spacing w:line="240" w:lineRule="auto"/>
        <w:ind w:firstLine="0" w:firstLineChars="0"/>
        <w:jc w:val="center"/>
        <w:rPr>
          <w:rFonts w:hint="eastAsia"/>
          <w:color w:val="auto"/>
          <w:lang w:val="en-US" w:eastAsia="zh-CN"/>
        </w:rPr>
      </w:pPr>
      <w:r>
        <w:rPr>
          <w:rFonts w:hint="eastAsia"/>
          <w:color w:val="auto"/>
        </w:rPr>
        <w:t>表</w:t>
      </w:r>
      <w:r>
        <w:rPr>
          <w:color w:val="auto"/>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4</w:t>
      </w:r>
      <w:r>
        <w:rPr>
          <w:color w:val="auto"/>
        </w:rPr>
        <w:t xml:space="preserve">  </w:t>
      </w:r>
      <w:r>
        <w:rPr>
          <w:rFonts w:hint="eastAsia"/>
          <w:color w:val="auto"/>
          <w:lang w:val="en-US" w:eastAsia="zh-CN"/>
        </w:rPr>
        <w:t>中联50t汽车吊起升高度曲线</w:t>
      </w:r>
    </w:p>
    <w:p w14:paraId="58322A1A">
      <w:pPr>
        <w:pStyle w:val="3"/>
        <w:ind w:left="480"/>
        <w:rPr>
          <w:rFonts w:hint="eastAsia"/>
          <w:color w:val="auto"/>
        </w:rPr>
      </w:pPr>
      <w:bookmarkStart w:id="139" w:name="_Toc16689"/>
      <w:r>
        <w:rPr>
          <w:rFonts w:hint="eastAsia"/>
          <w:color w:val="auto"/>
        </w:rPr>
        <w:t>5.3</w:t>
      </w:r>
      <w:r>
        <w:rPr>
          <w:color w:val="auto"/>
        </w:rPr>
        <w:t xml:space="preserve"> </w:t>
      </w:r>
      <w:r>
        <w:rPr>
          <w:rFonts w:hint="eastAsia"/>
          <w:color w:val="auto"/>
        </w:rPr>
        <w:t>起吊能力验算</w:t>
      </w:r>
      <w:bookmarkEnd w:id="129"/>
      <w:bookmarkEnd w:id="130"/>
      <w:bookmarkEnd w:id="131"/>
      <w:bookmarkEnd w:id="132"/>
      <w:bookmarkEnd w:id="133"/>
      <w:bookmarkEnd w:id="138"/>
      <w:bookmarkEnd w:id="139"/>
    </w:p>
    <w:p w14:paraId="1786064F">
      <w:pPr>
        <w:pStyle w:val="4"/>
        <w:ind w:firstLine="482"/>
        <w:rPr>
          <w:rFonts w:hint="eastAsia"/>
          <w:color w:val="auto"/>
        </w:rPr>
      </w:pPr>
      <w:bookmarkStart w:id="140" w:name="_Toc9977"/>
      <w:r>
        <w:rPr>
          <w:rFonts w:hint="eastAsia"/>
          <w:color w:val="auto"/>
        </w:rPr>
        <w:t>5.3</w:t>
      </w:r>
      <w:r>
        <w:rPr>
          <w:color w:val="auto"/>
        </w:rPr>
        <w:t>.</w:t>
      </w:r>
      <w:r>
        <w:rPr>
          <w:rFonts w:hint="eastAsia"/>
          <w:color w:val="auto"/>
        </w:rPr>
        <w:t>1 起重量的验算</w:t>
      </w:r>
      <w:bookmarkEnd w:id="140"/>
    </w:p>
    <w:p w14:paraId="0BACB688">
      <w:pPr>
        <w:ind w:firstLine="480"/>
        <w:rPr>
          <w:rFonts w:hint="eastAsia"/>
          <w:color w:val="auto"/>
        </w:rPr>
      </w:pPr>
      <w:r>
        <w:rPr>
          <w:color w:val="auto"/>
        </w:rPr>
        <w:t>起吊</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总成时：</w:t>
      </w:r>
    </w:p>
    <w:p w14:paraId="7BE32ADD">
      <w:pPr>
        <w:ind w:firstLine="480"/>
        <w:rPr>
          <w:rFonts w:hint="eastAsia"/>
          <w:color w:val="auto"/>
        </w:rPr>
      </w:pPr>
      <w:r>
        <w:rPr>
          <w:color w:val="auto"/>
        </w:rPr>
        <w:t>已知</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r>
        <w:rPr>
          <w:color w:val="auto"/>
        </w:rPr>
        <w:t>重量Q=</w:t>
      </w:r>
      <w:r>
        <w:rPr>
          <w:rFonts w:hint="eastAsia"/>
          <w:color w:val="auto"/>
          <w:lang w:val="en-US" w:eastAsia="zh-CN"/>
        </w:rPr>
        <w:t>5</w:t>
      </w:r>
      <w:r>
        <w:rPr>
          <w:color w:val="auto"/>
        </w:rPr>
        <w:t>.</w:t>
      </w:r>
      <w:r>
        <w:rPr>
          <w:rFonts w:hint="eastAsia"/>
          <w:color w:val="auto"/>
          <w:lang w:val="en-US" w:eastAsia="zh-CN"/>
        </w:rPr>
        <w:t>35</w:t>
      </w:r>
      <w:r>
        <w:rPr>
          <w:rFonts w:hint="eastAsia"/>
          <w:color w:val="auto"/>
        </w:rPr>
        <w:t>t</w:t>
      </w:r>
      <w:r>
        <w:rPr>
          <w:color w:val="auto"/>
        </w:rPr>
        <w:t>，吊装幅度L=</w:t>
      </w:r>
      <w:r>
        <w:rPr>
          <w:rFonts w:hint="eastAsia"/>
          <w:color w:val="auto"/>
          <w:lang w:val="en-US" w:eastAsia="zh-CN"/>
        </w:rPr>
        <w:t>11</w:t>
      </w:r>
      <w:r>
        <w:rPr>
          <w:color w:val="auto"/>
        </w:rPr>
        <w:t>m。</w:t>
      </w:r>
    </w:p>
    <w:p w14:paraId="54F0479C">
      <w:pPr>
        <w:ind w:firstLine="480"/>
        <w:rPr>
          <w:rFonts w:hint="eastAsia"/>
          <w:color w:val="auto"/>
        </w:rPr>
      </w:pPr>
      <w:r>
        <w:rPr>
          <w:color w:val="auto"/>
        </w:rPr>
        <w:t>计算得   Q</w:t>
      </w:r>
      <w:r>
        <w:rPr>
          <w:color w:val="auto"/>
          <w:vertAlign w:val="subscript"/>
        </w:rPr>
        <w:t>计</w:t>
      </w:r>
      <w:r>
        <w:rPr>
          <w:color w:val="auto"/>
        </w:rPr>
        <w:t>＝（Q＋Q</w:t>
      </w:r>
      <w:r>
        <w:rPr>
          <w:color w:val="auto"/>
          <w:vertAlign w:val="subscript"/>
        </w:rPr>
        <w:t>1</w:t>
      </w:r>
      <w:r>
        <w:rPr>
          <w:color w:val="auto"/>
        </w:rPr>
        <w:t>）×1.1＝（</w:t>
      </w:r>
      <w:r>
        <w:rPr>
          <w:rFonts w:hint="eastAsia"/>
          <w:color w:val="auto"/>
          <w:lang w:val="en-US" w:eastAsia="zh-CN"/>
        </w:rPr>
        <w:t>5.35</w:t>
      </w:r>
      <w:r>
        <w:rPr>
          <w:color w:val="auto"/>
        </w:rPr>
        <w:t>+</w:t>
      </w:r>
      <w:r>
        <w:rPr>
          <w:rFonts w:hint="eastAsia"/>
          <w:color w:val="auto"/>
          <w:lang w:val="en-US" w:eastAsia="zh-CN"/>
        </w:rPr>
        <w:t>0.</w:t>
      </w:r>
      <w:r>
        <w:rPr>
          <w:rFonts w:hint="eastAsia"/>
          <w:color w:val="auto"/>
        </w:rPr>
        <w:t>1</w:t>
      </w:r>
      <w:r>
        <w:rPr>
          <w:color w:val="auto"/>
        </w:rPr>
        <w:t>）×1.1＝</w:t>
      </w:r>
      <w:r>
        <w:rPr>
          <w:rFonts w:hint="eastAsia"/>
          <w:color w:val="auto"/>
          <w:lang w:val="en-US" w:eastAsia="zh-CN"/>
        </w:rPr>
        <w:t>6.01</w:t>
      </w:r>
      <w:r>
        <w:rPr>
          <w:color w:val="auto"/>
        </w:rPr>
        <w:t>t</w:t>
      </w:r>
    </w:p>
    <w:p w14:paraId="20F81818">
      <w:pPr>
        <w:ind w:firstLine="480"/>
        <w:rPr>
          <w:rFonts w:hint="eastAsia"/>
          <w:color w:val="auto"/>
        </w:rPr>
      </w:pPr>
      <w:r>
        <w:rPr>
          <w:color w:val="auto"/>
        </w:rPr>
        <w:t>查表得   Q</w:t>
      </w:r>
      <w:r>
        <w:rPr>
          <w:color w:val="auto"/>
          <w:vertAlign w:val="subscript"/>
        </w:rPr>
        <w:t>额</w:t>
      </w:r>
      <w:r>
        <w:rPr>
          <w:color w:val="auto"/>
        </w:rPr>
        <w:t>=</w:t>
      </w:r>
      <w:r>
        <w:rPr>
          <w:rFonts w:hint="eastAsia"/>
          <w:color w:val="auto"/>
          <w:lang w:val="en-US" w:eastAsia="zh-CN"/>
        </w:rPr>
        <w:t>8.2</w:t>
      </w:r>
      <w:r>
        <w:rPr>
          <w:color w:val="auto"/>
        </w:rPr>
        <w:t>t</w:t>
      </w:r>
    </w:p>
    <w:p w14:paraId="68C12430">
      <w:pPr>
        <w:ind w:firstLine="480"/>
        <w:rPr>
          <w:rFonts w:hint="eastAsia"/>
          <w:color w:val="auto"/>
        </w:rPr>
      </w:pPr>
      <w:r>
        <w:rPr>
          <w:color w:val="auto"/>
        </w:rPr>
        <w:t>式中：Q——</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p>
    <w:p w14:paraId="54962C9D">
      <w:pPr>
        <w:ind w:firstLine="1200" w:firstLineChars="500"/>
        <w:rPr>
          <w:rFonts w:hint="eastAsia"/>
          <w:color w:val="auto"/>
        </w:rPr>
      </w:pPr>
      <w:r>
        <w:rPr>
          <w:color w:val="auto"/>
        </w:rPr>
        <w:t>Q</w:t>
      </w:r>
      <w:r>
        <w:rPr>
          <w:color w:val="auto"/>
          <w:vertAlign w:val="subscript"/>
        </w:rPr>
        <w:t>1</w:t>
      </w:r>
      <w:r>
        <w:rPr>
          <w:color w:val="auto"/>
        </w:rPr>
        <w:t>——吊具、索具重量（估算）</w:t>
      </w:r>
    </w:p>
    <w:p w14:paraId="203A6172">
      <w:pPr>
        <w:ind w:firstLine="1200" w:firstLineChars="500"/>
        <w:rPr>
          <w:rFonts w:hint="eastAsia"/>
          <w:color w:val="auto"/>
        </w:rPr>
      </w:pPr>
      <w:r>
        <w:rPr>
          <w:color w:val="auto"/>
        </w:rPr>
        <w:t>Q</w:t>
      </w:r>
      <w:r>
        <w:rPr>
          <w:color w:val="auto"/>
          <w:vertAlign w:val="subscript"/>
        </w:rPr>
        <w:t>计</w:t>
      </w:r>
      <w:r>
        <w:rPr>
          <w:color w:val="auto"/>
        </w:rPr>
        <w:t>——安装</w:t>
      </w:r>
      <w:r>
        <w:rPr>
          <w:rFonts w:hint="eastAsia"/>
          <w:color w:val="auto"/>
          <w:lang w:val="en-US" w:eastAsia="zh-CN"/>
        </w:rPr>
        <w:t>XGT6515-10S</w:t>
      </w:r>
      <w:r>
        <w:rPr>
          <w:color w:val="auto"/>
        </w:rPr>
        <w:t>塔机</w:t>
      </w:r>
      <w:r>
        <w:rPr>
          <w:rFonts w:hint="eastAsia"/>
          <w:color w:val="auto"/>
          <w:lang w:val="en-US" w:eastAsia="zh-CN"/>
        </w:rPr>
        <w:t>爬升架</w:t>
      </w:r>
      <w:r>
        <w:rPr>
          <w:rFonts w:hint="eastAsia"/>
          <w:color w:val="auto"/>
        </w:rPr>
        <w:t>总成</w:t>
      </w:r>
      <w:r>
        <w:rPr>
          <w:color w:val="auto"/>
        </w:rPr>
        <w:t>所需计算起重量</w:t>
      </w:r>
    </w:p>
    <w:p w14:paraId="7AB92728">
      <w:pPr>
        <w:ind w:firstLine="1200" w:firstLineChars="500"/>
        <w:rPr>
          <w:rFonts w:hint="eastAsia"/>
          <w:color w:val="auto"/>
        </w:rPr>
      </w:pPr>
      <w:r>
        <w:rPr>
          <w:color w:val="auto"/>
        </w:rPr>
        <w:t>Q</w:t>
      </w:r>
      <w:r>
        <w:rPr>
          <w:color w:val="auto"/>
          <w:vertAlign w:val="subscript"/>
        </w:rPr>
        <w:t>额</w:t>
      </w:r>
      <w:r>
        <w:rPr>
          <w:color w:val="auto"/>
        </w:rPr>
        <w:t>——</w:t>
      </w:r>
      <w:r>
        <w:rPr>
          <w:rFonts w:hint="eastAsia"/>
          <w:color w:val="auto"/>
        </w:rPr>
        <w:t>汽车吊</w:t>
      </w:r>
      <w:r>
        <w:rPr>
          <w:color w:val="auto"/>
        </w:rPr>
        <w:t>该工况下额定起重量（</w:t>
      </w:r>
      <w:r>
        <w:rPr>
          <w:rFonts w:hint="eastAsia"/>
          <w:color w:val="auto"/>
          <w:lang w:val="en-US" w:eastAsia="zh-CN"/>
        </w:rPr>
        <w:t>35.3</w:t>
      </w:r>
      <w:r>
        <w:rPr>
          <w:color w:val="auto"/>
        </w:rPr>
        <w:t>m臂长，幅度</w:t>
      </w:r>
      <w:r>
        <w:rPr>
          <w:rFonts w:hint="eastAsia"/>
          <w:color w:val="auto"/>
          <w:lang w:val="en-US" w:eastAsia="zh-CN"/>
        </w:rPr>
        <w:t>11</w:t>
      </w:r>
      <w:r>
        <w:rPr>
          <w:color w:val="auto"/>
        </w:rPr>
        <w:t>m）</w:t>
      </w:r>
    </w:p>
    <w:p w14:paraId="2C201415">
      <w:pPr>
        <w:ind w:firstLine="480"/>
        <w:rPr>
          <w:rFonts w:hint="eastAsia"/>
          <w:color w:val="auto"/>
          <w:vertAlign w:val="subscript"/>
        </w:rPr>
      </w:pPr>
      <w:r>
        <w:rPr>
          <w:color w:val="auto"/>
        </w:rPr>
        <w:t>∵Q</w:t>
      </w:r>
      <w:r>
        <w:rPr>
          <w:color w:val="auto"/>
          <w:vertAlign w:val="subscript"/>
        </w:rPr>
        <w:t>计</w:t>
      </w:r>
      <w:r>
        <w:rPr>
          <w:color w:val="auto"/>
        </w:rPr>
        <w:t>＜Q</w:t>
      </w:r>
      <w:r>
        <w:rPr>
          <w:color w:val="auto"/>
          <w:vertAlign w:val="subscript"/>
        </w:rPr>
        <w:t>额</w:t>
      </w:r>
    </w:p>
    <w:p w14:paraId="65AF287E">
      <w:pPr>
        <w:ind w:firstLine="480"/>
        <w:rPr>
          <w:rFonts w:hint="eastAsia"/>
          <w:color w:val="auto"/>
        </w:rPr>
      </w:pPr>
      <w:r>
        <w:rPr>
          <w:color w:val="auto"/>
        </w:rPr>
        <w:t>∴使用25</w:t>
      </w:r>
      <w:r>
        <w:rPr>
          <w:rFonts w:hint="eastAsia"/>
          <w:color w:val="auto"/>
        </w:rPr>
        <w:t>吨汽车吊</w:t>
      </w:r>
      <w:r>
        <w:rPr>
          <w:color w:val="auto"/>
        </w:rPr>
        <w:t>，采用作业半径</w:t>
      </w:r>
      <w:r>
        <w:rPr>
          <w:rFonts w:hint="eastAsia"/>
          <w:color w:val="auto"/>
          <w:lang w:val="en-US" w:eastAsia="zh-CN"/>
        </w:rPr>
        <w:t>11</w:t>
      </w:r>
      <w:r>
        <w:rPr>
          <w:color w:val="auto"/>
        </w:rPr>
        <w:t>米,主臂长</w:t>
      </w:r>
      <w:r>
        <w:rPr>
          <w:rFonts w:hint="eastAsia"/>
          <w:color w:val="auto"/>
          <w:lang w:val="en-US" w:eastAsia="zh-CN"/>
        </w:rPr>
        <w:t>35.3</w:t>
      </w:r>
      <w:r>
        <w:rPr>
          <w:color w:val="auto"/>
        </w:rPr>
        <w:t>米，起重量满足该塔式起重机的安装要求。</w:t>
      </w:r>
    </w:p>
    <w:p w14:paraId="0BB152D4">
      <w:pPr>
        <w:pStyle w:val="4"/>
        <w:ind w:firstLine="482"/>
        <w:rPr>
          <w:rFonts w:hint="eastAsia"/>
          <w:color w:val="auto"/>
        </w:rPr>
      </w:pPr>
      <w:bookmarkStart w:id="141" w:name="_Toc26087"/>
      <w:r>
        <w:rPr>
          <w:rFonts w:hint="eastAsia"/>
          <w:color w:val="auto"/>
        </w:rPr>
        <w:t>5.3</w:t>
      </w:r>
      <w:r>
        <w:rPr>
          <w:color w:val="auto"/>
        </w:rPr>
        <w:t>.2</w:t>
      </w:r>
      <w:r>
        <w:rPr>
          <w:rFonts w:hint="eastAsia"/>
          <w:color w:val="auto"/>
        </w:rPr>
        <w:t xml:space="preserve"> 起升高度的验算</w:t>
      </w:r>
      <w:bookmarkEnd w:id="141"/>
    </w:p>
    <w:p w14:paraId="2CC33575">
      <w:pPr>
        <w:pStyle w:val="82"/>
        <w:ind w:firstLine="480"/>
        <w:rPr>
          <w:rFonts w:hint="eastAsia"/>
          <w:color w:val="auto"/>
        </w:rPr>
      </w:pPr>
      <w:r>
        <w:rPr>
          <w:color w:val="auto"/>
        </w:rPr>
        <w:t>查标准起重工况起升高度表，并计算起升高度进行校核。高度限制条件按安装</w:t>
      </w:r>
      <w:r>
        <w:rPr>
          <w:rFonts w:hint="eastAsia"/>
          <w:color w:val="auto"/>
          <w:lang w:val="en-US" w:eastAsia="zh-CN"/>
        </w:rPr>
        <w:t>XGT6515D-10S塔机平衡重</w:t>
      </w:r>
      <w:r>
        <w:rPr>
          <w:color w:val="auto"/>
        </w:rPr>
        <w:t>验算。已知</w:t>
      </w:r>
      <w:r>
        <w:rPr>
          <w:rFonts w:hint="eastAsia"/>
          <w:color w:val="auto"/>
          <w:lang w:val="en-US" w:eastAsia="zh-CN"/>
        </w:rPr>
        <w:t>平衡重</w:t>
      </w:r>
      <w:r>
        <w:rPr>
          <w:color w:val="auto"/>
        </w:rPr>
        <w:t>安装高度</w:t>
      </w:r>
      <w:r>
        <w:rPr>
          <w:rFonts w:hint="eastAsia"/>
          <w:color w:val="auto"/>
        </w:rPr>
        <w:t>所需高度</w:t>
      </w:r>
      <w:r>
        <w:rPr>
          <w:rFonts w:hint="eastAsia"/>
          <w:color w:val="auto"/>
          <w:lang w:val="en-US" w:eastAsia="zh-CN"/>
        </w:rPr>
        <w:t>34</w:t>
      </w:r>
      <w:r>
        <w:rPr>
          <w:color w:val="auto"/>
        </w:rPr>
        <w:t>m起吊幅度为</w:t>
      </w:r>
      <w:r>
        <w:rPr>
          <w:rFonts w:hint="eastAsia"/>
          <w:color w:val="auto"/>
          <w:lang w:val="en-US" w:eastAsia="zh-CN"/>
        </w:rPr>
        <w:t>10</w:t>
      </w:r>
      <w:r>
        <w:rPr>
          <w:color w:val="auto"/>
        </w:rPr>
        <w:t>m</w:t>
      </w:r>
      <w:r>
        <w:rPr>
          <w:rFonts w:hint="eastAsia"/>
          <w:color w:val="auto"/>
        </w:rPr>
        <w:t>。</w:t>
      </w:r>
    </w:p>
    <w:p w14:paraId="57E683F2">
      <w:pPr>
        <w:pStyle w:val="82"/>
        <w:ind w:firstLine="480"/>
        <w:rPr>
          <w:rFonts w:hint="eastAsia"/>
          <w:color w:val="auto"/>
        </w:rPr>
      </w:pPr>
      <w:r>
        <w:rPr>
          <w:rFonts w:hint="eastAsia"/>
          <w:color w:val="auto"/>
        </w:rPr>
        <w:t>汽车</w:t>
      </w:r>
      <w:r>
        <w:rPr>
          <w:color w:val="auto"/>
        </w:rPr>
        <w:t>吊臂长</w:t>
      </w:r>
      <w:r>
        <w:rPr>
          <w:rFonts w:hint="eastAsia"/>
          <w:color w:val="auto"/>
          <w:lang w:val="en-US" w:eastAsia="zh-CN"/>
        </w:rPr>
        <w:t>41</w:t>
      </w:r>
      <w:r>
        <w:rPr>
          <w:color w:val="auto"/>
        </w:rPr>
        <w:t>m，幅度</w:t>
      </w:r>
      <w:r>
        <w:rPr>
          <w:rFonts w:hint="eastAsia"/>
          <w:color w:val="auto"/>
          <w:lang w:val="en-US" w:eastAsia="zh-CN"/>
        </w:rPr>
        <w:t>10</w:t>
      </w:r>
      <w:r>
        <w:rPr>
          <w:color w:val="auto"/>
        </w:rPr>
        <w:t>m时，吊钩最大起升高度</w:t>
      </w:r>
      <w:r>
        <w:rPr>
          <w:rFonts w:hint="eastAsia"/>
          <w:color w:val="auto"/>
        </w:rPr>
        <w:t>为：</w:t>
      </w:r>
    </w:p>
    <w:p w14:paraId="4160CED4">
      <w:pPr>
        <w:ind w:firstLine="480"/>
        <w:jc w:val="center"/>
        <w:rPr>
          <w:rFonts w:hint="eastAsia"/>
          <w:bCs/>
          <w:color w:val="auto"/>
        </w:rPr>
      </w:pPr>
      <w:r>
        <w:rPr>
          <w:bCs/>
          <w:color w:val="auto"/>
        </w:rPr>
        <w:t>H</w:t>
      </w:r>
      <w:r>
        <w:rPr>
          <w:bCs/>
          <w:color w:val="auto"/>
          <w:vertAlign w:val="subscript"/>
        </w:rPr>
        <w:t>起</w:t>
      </w:r>
      <w:r>
        <w:rPr>
          <w:bCs/>
          <w:color w:val="auto"/>
        </w:rPr>
        <w:t>=</w:t>
      </w:r>
      <w:r>
        <w:rPr>
          <w:rFonts w:hint="eastAsia"/>
          <w:bCs/>
          <w:color w:val="auto"/>
          <w:lang w:val="en-US" w:eastAsia="zh-CN"/>
        </w:rPr>
        <w:t>40</w:t>
      </w:r>
      <w:r>
        <w:rPr>
          <w:bCs/>
          <w:color w:val="auto"/>
        </w:rPr>
        <w:t>m</w:t>
      </w:r>
    </w:p>
    <w:p w14:paraId="39EB74C8">
      <w:pPr>
        <w:ind w:firstLine="480"/>
        <w:rPr>
          <w:rFonts w:hint="eastAsia"/>
          <w:color w:val="auto"/>
        </w:rPr>
      </w:pPr>
      <w:r>
        <w:rPr>
          <w:color w:val="auto"/>
        </w:rPr>
        <w:t>吊装</w:t>
      </w:r>
      <w:r>
        <w:rPr>
          <w:rFonts w:hint="eastAsia"/>
          <w:color w:val="auto"/>
          <w:lang w:val="en-US" w:eastAsia="zh-CN"/>
        </w:rPr>
        <w:t>平衡重</w:t>
      </w:r>
      <w:r>
        <w:rPr>
          <w:color w:val="auto"/>
        </w:rPr>
        <w:t>实际起升高度</w:t>
      </w:r>
    </w:p>
    <w:p w14:paraId="18EBE75D">
      <w:pPr>
        <w:ind w:firstLine="480"/>
        <w:rPr>
          <w:rFonts w:hint="eastAsia"/>
          <w:color w:val="auto"/>
        </w:rPr>
      </w:pPr>
      <w:r>
        <w:rPr>
          <w:rFonts w:hint="eastAsia"/>
          <w:color w:val="auto"/>
        </w:rPr>
        <w:t>H</w:t>
      </w:r>
      <w:r>
        <w:rPr>
          <w:rFonts w:hint="eastAsia"/>
          <w:color w:val="auto"/>
          <w:vertAlign w:val="subscript"/>
        </w:rPr>
        <w:t>实</w:t>
      </w:r>
      <w:r>
        <w:rPr>
          <w:rFonts w:hint="eastAsia"/>
          <w:color w:val="auto"/>
        </w:rPr>
        <w:t>＝h</w:t>
      </w:r>
      <w:r>
        <w:rPr>
          <w:rFonts w:hint="eastAsia"/>
          <w:color w:val="auto"/>
          <w:vertAlign w:val="subscript"/>
        </w:rPr>
        <w:t>1</w:t>
      </w:r>
      <w:r>
        <w:rPr>
          <w:rFonts w:hint="eastAsia"/>
          <w:color w:val="auto"/>
        </w:rPr>
        <w:t>+h</w:t>
      </w:r>
      <w:r>
        <w:rPr>
          <w:rFonts w:hint="eastAsia"/>
          <w:color w:val="auto"/>
          <w:vertAlign w:val="subscript"/>
        </w:rPr>
        <w:t>2</w:t>
      </w:r>
      <w:r>
        <w:rPr>
          <w:rFonts w:hint="eastAsia"/>
          <w:color w:val="auto"/>
        </w:rPr>
        <w:t>+h</w:t>
      </w:r>
      <w:r>
        <w:rPr>
          <w:rFonts w:hint="eastAsia"/>
          <w:color w:val="auto"/>
          <w:vertAlign w:val="subscript"/>
        </w:rPr>
        <w:t>3</w:t>
      </w:r>
      <w:r>
        <w:rPr>
          <w:rFonts w:hint="eastAsia"/>
          <w:color w:val="auto"/>
        </w:rPr>
        <w:t>＝</w:t>
      </w:r>
      <w:r>
        <w:rPr>
          <w:rFonts w:hint="eastAsia"/>
          <w:color w:val="auto"/>
          <w:lang w:val="en-US" w:eastAsia="zh-CN"/>
        </w:rPr>
        <w:t>34</w:t>
      </w:r>
      <w:r>
        <w:rPr>
          <w:rFonts w:hint="eastAsia"/>
          <w:color w:val="auto"/>
        </w:rPr>
        <w:t>＋0.5＋</w:t>
      </w:r>
      <w:r>
        <w:rPr>
          <w:rFonts w:hint="eastAsia"/>
          <w:color w:val="auto"/>
          <w:lang w:val="en-US" w:eastAsia="zh-CN"/>
        </w:rPr>
        <w:t>3</w:t>
      </w:r>
      <w:r>
        <w:rPr>
          <w:rFonts w:hint="eastAsia"/>
          <w:color w:val="auto"/>
        </w:rPr>
        <w:t>＝</w:t>
      </w:r>
      <w:r>
        <w:rPr>
          <w:rFonts w:hint="eastAsia"/>
          <w:color w:val="auto"/>
          <w:lang w:val="en-US" w:eastAsia="zh-CN"/>
        </w:rPr>
        <w:t>37.5</w:t>
      </w:r>
      <w:r>
        <w:rPr>
          <w:rFonts w:hint="eastAsia"/>
          <w:color w:val="auto"/>
        </w:rPr>
        <w:t>m</w:t>
      </w:r>
    </w:p>
    <w:p w14:paraId="2D1791EF">
      <w:pPr>
        <w:ind w:firstLine="480"/>
        <w:rPr>
          <w:rFonts w:hint="eastAsia"/>
          <w:color w:val="auto"/>
        </w:rPr>
      </w:pPr>
      <w:r>
        <w:rPr>
          <w:rFonts w:hint="eastAsia"/>
          <w:color w:val="auto"/>
        </w:rPr>
        <w:t>备注：h</w:t>
      </w:r>
      <w:r>
        <w:rPr>
          <w:rFonts w:hint="eastAsia"/>
          <w:color w:val="auto"/>
          <w:vertAlign w:val="subscript"/>
        </w:rPr>
        <w:t>1</w:t>
      </w:r>
      <w:r>
        <w:rPr>
          <w:rFonts w:hint="eastAsia"/>
          <w:color w:val="auto"/>
        </w:rPr>
        <w:t>——</w:t>
      </w:r>
      <w:r>
        <w:rPr>
          <w:rFonts w:hint="eastAsia"/>
          <w:color w:val="auto"/>
          <w:lang w:val="en-US" w:eastAsia="zh-CN"/>
        </w:rPr>
        <w:t>吊装XGT6515D-10S塔机平衡重</w:t>
      </w:r>
      <w:r>
        <w:rPr>
          <w:rFonts w:hint="eastAsia"/>
          <w:color w:val="auto"/>
        </w:rPr>
        <w:t>高度；</w:t>
      </w:r>
    </w:p>
    <w:p w14:paraId="7C464BAC">
      <w:pPr>
        <w:ind w:firstLine="480"/>
        <w:rPr>
          <w:rFonts w:hint="eastAsia"/>
          <w:color w:val="auto"/>
        </w:rPr>
      </w:pPr>
      <w:r>
        <w:rPr>
          <w:rFonts w:hint="eastAsia"/>
          <w:color w:val="auto"/>
        </w:rPr>
        <w:t xml:space="preserve">      h</w:t>
      </w:r>
      <w:r>
        <w:rPr>
          <w:rFonts w:hint="eastAsia"/>
          <w:color w:val="auto"/>
          <w:vertAlign w:val="subscript"/>
        </w:rPr>
        <w:t>2</w:t>
      </w:r>
      <w:r>
        <w:rPr>
          <w:rFonts w:hint="eastAsia"/>
          <w:color w:val="auto"/>
        </w:rPr>
        <w:t>——吊装安全距离；</w:t>
      </w:r>
    </w:p>
    <w:p w14:paraId="2FD1FB20">
      <w:pPr>
        <w:ind w:firstLine="480"/>
        <w:rPr>
          <w:rFonts w:hint="eastAsia"/>
          <w:color w:val="auto"/>
        </w:rPr>
      </w:pPr>
      <w:r>
        <w:rPr>
          <w:rFonts w:hint="eastAsia"/>
          <w:color w:val="auto"/>
        </w:rPr>
        <w:t xml:space="preserve">      h</w:t>
      </w:r>
      <w:r>
        <w:rPr>
          <w:rFonts w:hint="eastAsia"/>
          <w:color w:val="auto"/>
          <w:vertAlign w:val="subscript"/>
        </w:rPr>
        <w:t>3</w:t>
      </w:r>
      <w:r>
        <w:rPr>
          <w:rFonts w:hint="eastAsia"/>
          <w:color w:val="auto"/>
        </w:rPr>
        <w:t>——吊装</w:t>
      </w:r>
      <w:r>
        <w:rPr>
          <w:rFonts w:hint="eastAsia"/>
          <w:color w:val="auto"/>
          <w:lang w:val="en-US" w:eastAsia="zh-CN"/>
        </w:rPr>
        <w:t>钢丝绳</w:t>
      </w:r>
      <w:r>
        <w:rPr>
          <w:rFonts w:hint="eastAsia"/>
          <w:color w:val="auto"/>
        </w:rPr>
        <w:t>高度</w:t>
      </w:r>
      <w:r>
        <w:rPr>
          <w:color w:val="auto"/>
        </w:rPr>
        <w:t>（</w:t>
      </w:r>
      <w:r>
        <w:rPr>
          <w:rFonts w:hint="default" w:ascii="Times New Roman" w:hAnsi="Times New Roman" w:cs="Times New Roman"/>
          <w:color w:val="auto"/>
        </w:rPr>
        <w:t>Φ</w:t>
      </w:r>
      <w:r>
        <w:rPr>
          <w:rFonts w:hint="default" w:ascii="Times New Roman" w:hAnsi="Times New Roman" w:cs="Times New Roman"/>
          <w:color w:val="auto"/>
          <w:lang w:val="en-US" w:eastAsia="zh-CN"/>
        </w:rPr>
        <w:t>24</w:t>
      </w:r>
      <w:r>
        <w:rPr>
          <w:rFonts w:hint="default" w:ascii="Times New Roman" w:hAnsi="Times New Roman" w:cs="Times New Roman"/>
          <w:color w:val="auto"/>
        </w:rPr>
        <w:t>×6m</w:t>
      </w:r>
      <w:r>
        <w:rPr>
          <w:rFonts w:hint="eastAsia" w:ascii="Times New Roman" w:hAnsi="Times New Roman" w:cs="Times New Roman"/>
          <w:color w:val="auto"/>
          <w:lang w:val="en-US" w:eastAsia="zh-CN"/>
        </w:rPr>
        <w:t>钢丝绳对</w:t>
      </w:r>
      <w:r>
        <w:rPr>
          <w:color w:val="auto"/>
        </w:rPr>
        <w:t>折）；</w:t>
      </w:r>
    </w:p>
    <w:p w14:paraId="617B6138">
      <w:pPr>
        <w:ind w:firstLine="480"/>
        <w:rPr>
          <w:rFonts w:hint="eastAsia"/>
          <w:color w:val="auto"/>
        </w:rPr>
      </w:pPr>
      <w:r>
        <w:rPr>
          <w:color w:val="auto"/>
        </w:rPr>
        <w:t>∴H</w:t>
      </w:r>
      <w:r>
        <w:rPr>
          <w:color w:val="auto"/>
          <w:vertAlign w:val="subscript"/>
        </w:rPr>
        <w:t>起</w:t>
      </w:r>
      <w:r>
        <w:rPr>
          <w:color w:val="auto"/>
        </w:rPr>
        <w:t>=</w:t>
      </w:r>
      <w:r>
        <w:rPr>
          <w:rFonts w:hint="eastAsia"/>
          <w:color w:val="auto"/>
          <w:lang w:val="en-US" w:eastAsia="zh-CN"/>
        </w:rPr>
        <w:t>40</w:t>
      </w:r>
      <w:r>
        <w:rPr>
          <w:color w:val="auto"/>
        </w:rPr>
        <w:t>m＞H</w:t>
      </w:r>
      <w:r>
        <w:rPr>
          <w:color w:val="auto"/>
          <w:vertAlign w:val="subscript"/>
        </w:rPr>
        <w:t>实</w:t>
      </w:r>
      <w:r>
        <w:rPr>
          <w:color w:val="auto"/>
        </w:rPr>
        <w:t xml:space="preserve"> =</w:t>
      </w:r>
      <w:r>
        <w:rPr>
          <w:rFonts w:hint="eastAsia"/>
          <w:color w:val="auto"/>
          <w:lang w:val="en-US" w:eastAsia="zh-CN"/>
        </w:rPr>
        <w:t>37.5</w:t>
      </w:r>
      <w:r>
        <w:rPr>
          <w:color w:val="auto"/>
        </w:rPr>
        <w:t>m</w:t>
      </w:r>
    </w:p>
    <w:p w14:paraId="554D7F3A">
      <w:pPr>
        <w:ind w:firstLine="480"/>
        <w:rPr>
          <w:rFonts w:hint="eastAsia"/>
          <w:bCs/>
          <w:color w:val="auto"/>
        </w:rPr>
      </w:pPr>
      <w:r>
        <w:rPr>
          <w:bCs/>
          <w:color w:val="auto"/>
        </w:rPr>
        <w:t>∴用</w:t>
      </w:r>
      <w:r>
        <w:rPr>
          <w:rFonts w:hint="eastAsia"/>
          <w:bCs/>
          <w:color w:val="auto"/>
          <w:lang w:val="en-US" w:eastAsia="zh-CN"/>
        </w:rPr>
        <w:t>三一</w:t>
      </w:r>
      <w:r>
        <w:rPr>
          <w:rFonts w:hint="eastAsia"/>
          <w:bCs/>
          <w:color w:val="auto"/>
        </w:rPr>
        <w:t>2</w:t>
      </w:r>
      <w:r>
        <w:rPr>
          <w:bCs/>
          <w:color w:val="auto"/>
        </w:rPr>
        <w:t>5</w:t>
      </w:r>
      <w:r>
        <w:rPr>
          <w:rFonts w:hint="eastAsia"/>
          <w:bCs/>
          <w:color w:val="auto"/>
        </w:rPr>
        <w:t>吨汽车吊</w:t>
      </w:r>
      <w:r>
        <w:rPr>
          <w:bCs/>
          <w:color w:val="auto"/>
        </w:rPr>
        <w:t>，采用作业半径</w:t>
      </w:r>
      <w:r>
        <w:rPr>
          <w:rFonts w:hint="eastAsia"/>
          <w:bCs/>
          <w:color w:val="auto"/>
          <w:lang w:val="en-US" w:eastAsia="zh-CN"/>
        </w:rPr>
        <w:t>10</w:t>
      </w:r>
      <w:r>
        <w:rPr>
          <w:bCs/>
          <w:color w:val="auto"/>
        </w:rPr>
        <w:t>米,主臂</w:t>
      </w:r>
      <w:r>
        <w:rPr>
          <w:rFonts w:hint="eastAsia"/>
          <w:bCs/>
          <w:color w:val="auto"/>
          <w:lang w:val="en-US" w:eastAsia="zh-CN"/>
        </w:rPr>
        <w:t>41</w:t>
      </w:r>
      <w:r>
        <w:rPr>
          <w:bCs/>
          <w:color w:val="auto"/>
        </w:rPr>
        <w:t>m，起升高</w:t>
      </w:r>
      <w:r>
        <w:rPr>
          <w:rFonts w:hint="eastAsia"/>
          <w:color w:val="auto"/>
        </w:rPr>
        <w:t>度满足塔式起重机安装要求。</w:t>
      </w:r>
    </w:p>
    <w:p w14:paraId="1916C4C4">
      <w:pPr>
        <w:pStyle w:val="4"/>
        <w:ind w:firstLine="482"/>
        <w:rPr>
          <w:rFonts w:hint="eastAsia"/>
          <w:color w:val="auto"/>
        </w:rPr>
      </w:pPr>
      <w:bookmarkStart w:id="142" w:name="_Toc5310"/>
      <w:r>
        <w:rPr>
          <w:rFonts w:hint="eastAsia"/>
          <w:color w:val="auto"/>
        </w:rPr>
        <w:t>5.3</w:t>
      </w:r>
      <w:r>
        <w:rPr>
          <w:color w:val="auto"/>
        </w:rPr>
        <w:t xml:space="preserve">.3 </w:t>
      </w:r>
      <w:bookmarkStart w:id="143" w:name="_Hlk89091973"/>
      <w:r>
        <w:rPr>
          <w:rFonts w:hint="eastAsia"/>
          <w:color w:val="auto"/>
        </w:rPr>
        <w:t>起重</w:t>
      </w:r>
      <w:r>
        <w:rPr>
          <w:color w:val="auto"/>
        </w:rPr>
        <w:t>吊索验算</w:t>
      </w:r>
      <w:bookmarkEnd w:id="142"/>
      <w:bookmarkEnd w:id="143"/>
      <w:r>
        <w:rPr>
          <w:color w:val="auto"/>
        </w:rPr>
        <w:t xml:space="preserve"> </w:t>
      </w:r>
    </w:p>
    <w:p w14:paraId="19874DE0">
      <w:pPr>
        <w:ind w:firstLine="480"/>
        <w:rPr>
          <w:rFonts w:hint="eastAsia"/>
          <w:color w:val="auto"/>
          <w:szCs w:val="24"/>
        </w:rPr>
      </w:pPr>
      <w:r>
        <w:rPr>
          <w:rFonts w:hint="eastAsia"/>
          <w:color w:val="auto"/>
          <w:lang w:val="en-US" w:eastAsia="zh-CN"/>
        </w:rPr>
        <w:t>XGT6515-10S</w:t>
      </w:r>
      <w:r>
        <w:rPr>
          <w:color w:val="auto"/>
        </w:rPr>
        <w:t>塔机</w:t>
      </w:r>
      <w:r>
        <w:rPr>
          <w:rFonts w:hint="eastAsia"/>
          <w:color w:val="auto"/>
          <w:lang w:val="en-US" w:eastAsia="zh-CN"/>
        </w:rPr>
        <w:t>爬升架</w:t>
      </w:r>
      <w:r>
        <w:rPr>
          <w:color w:val="auto"/>
          <w:szCs w:val="24"/>
        </w:rPr>
        <w:t>采用</w:t>
      </w:r>
      <w:r>
        <w:rPr>
          <w:rFonts w:hint="eastAsia"/>
          <w:color w:val="auto"/>
          <w:szCs w:val="24"/>
          <w:lang w:val="en-US" w:eastAsia="zh-CN"/>
        </w:rPr>
        <w:t>两</w:t>
      </w:r>
      <w:r>
        <w:rPr>
          <w:color w:val="auto"/>
          <w:szCs w:val="24"/>
        </w:rPr>
        <w:t>根</w:t>
      </w:r>
      <w:r>
        <w:rPr>
          <w:color w:val="auto"/>
          <w:kern w:val="0"/>
          <w:szCs w:val="24"/>
        </w:rPr>
        <w:t>Φ</w:t>
      </w:r>
      <w:r>
        <w:rPr>
          <w:rFonts w:hint="eastAsia"/>
          <w:color w:val="auto"/>
          <w:kern w:val="0"/>
          <w:szCs w:val="24"/>
        </w:rPr>
        <w:t>2</w:t>
      </w:r>
      <w:r>
        <w:rPr>
          <w:rFonts w:hint="eastAsia"/>
          <w:color w:val="auto"/>
          <w:kern w:val="0"/>
          <w:szCs w:val="24"/>
          <w:lang w:val="en-US" w:eastAsia="zh-CN"/>
        </w:rPr>
        <w:t>4</w:t>
      </w:r>
      <w:r>
        <w:rPr>
          <w:color w:val="auto"/>
          <w:kern w:val="0"/>
          <w:szCs w:val="24"/>
        </w:rPr>
        <w:t>×</w:t>
      </w:r>
      <w:r>
        <w:rPr>
          <w:rFonts w:hint="eastAsia"/>
          <w:color w:val="auto"/>
          <w:kern w:val="0"/>
          <w:szCs w:val="24"/>
          <w:lang w:val="en-US" w:eastAsia="zh-CN"/>
        </w:rPr>
        <w:t>12</w:t>
      </w:r>
      <w:r>
        <w:rPr>
          <w:color w:val="auto"/>
          <w:kern w:val="0"/>
          <w:szCs w:val="24"/>
        </w:rPr>
        <w:t>m吊装钢丝绳</w:t>
      </w:r>
      <w:r>
        <w:rPr>
          <w:rFonts w:hint="eastAsia"/>
          <w:color w:val="auto"/>
          <w:szCs w:val="24"/>
        </w:rPr>
        <w:t>，</w:t>
      </w:r>
      <w:r>
        <w:rPr>
          <w:rFonts w:hint="eastAsia"/>
          <w:color w:val="auto"/>
          <w:szCs w:val="24"/>
          <w:lang w:val="en-US" w:eastAsia="zh-CN"/>
        </w:rPr>
        <w:t>4</w:t>
      </w:r>
      <w:r>
        <w:rPr>
          <w:color w:val="auto"/>
          <w:szCs w:val="24"/>
        </w:rPr>
        <w:t>只</w:t>
      </w:r>
      <w:r>
        <w:rPr>
          <w:rFonts w:hint="eastAsia"/>
          <w:color w:val="auto"/>
          <w:szCs w:val="24"/>
          <w:lang w:val="en-US" w:eastAsia="zh-CN"/>
        </w:rPr>
        <w:t>6</w:t>
      </w:r>
      <w:r>
        <w:rPr>
          <w:rFonts w:hint="eastAsia"/>
          <w:color w:val="auto"/>
          <w:szCs w:val="24"/>
        </w:rPr>
        <w:t>.5</w:t>
      </w:r>
      <w:r>
        <w:rPr>
          <w:color w:val="auto"/>
          <w:szCs w:val="24"/>
        </w:rPr>
        <w:t>t卸扣</w:t>
      </w:r>
      <w:r>
        <w:rPr>
          <w:rFonts w:hint="eastAsia"/>
          <w:color w:val="auto"/>
          <w:szCs w:val="24"/>
          <w:lang w:eastAsia="zh-CN"/>
        </w:rPr>
        <w:t>，</w:t>
      </w:r>
      <w:r>
        <w:rPr>
          <w:rFonts w:hint="eastAsia"/>
          <w:color w:val="auto"/>
          <w:szCs w:val="24"/>
          <w:lang w:val="en-US" w:eastAsia="zh-CN"/>
        </w:rPr>
        <w:t>钢丝绳对折四吊点</w:t>
      </w:r>
      <w:r>
        <w:rPr>
          <w:color w:val="auto"/>
          <w:kern w:val="0"/>
          <w:szCs w:val="24"/>
        </w:rPr>
        <w:t>吊装</w:t>
      </w:r>
      <w:r>
        <w:rPr>
          <w:rFonts w:hint="eastAsia"/>
          <w:color w:val="auto"/>
          <w:kern w:val="0"/>
          <w:szCs w:val="24"/>
        </w:rPr>
        <w:t>。</w:t>
      </w:r>
    </w:p>
    <w:p w14:paraId="76C34677">
      <w:pPr>
        <w:ind w:firstLine="0" w:firstLineChars="0"/>
        <w:jc w:val="center"/>
        <w:rPr>
          <w:rFonts w:hint="eastAsia"/>
          <w:color w:val="auto"/>
          <w:szCs w:val="24"/>
        </w:rPr>
      </w:pPr>
      <w:r>
        <w:drawing>
          <wp:inline distT="0" distB="0" distL="114300" distR="114300">
            <wp:extent cx="2790825" cy="3789680"/>
            <wp:effectExtent l="0" t="0" r="13335" b="508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3"/>
                    <a:stretch>
                      <a:fillRect/>
                    </a:stretch>
                  </pic:blipFill>
                  <pic:spPr>
                    <a:xfrm>
                      <a:off x="0" y="0"/>
                      <a:ext cx="2790825" cy="3789680"/>
                    </a:xfrm>
                    <a:prstGeom prst="rect">
                      <a:avLst/>
                    </a:prstGeom>
                    <a:noFill/>
                    <a:ln>
                      <a:noFill/>
                    </a:ln>
                  </pic:spPr>
                </pic:pic>
              </a:graphicData>
            </a:graphic>
          </wp:inline>
        </w:drawing>
      </w:r>
    </w:p>
    <w:p w14:paraId="3C7336FF">
      <w:pPr>
        <w:ind w:firstLine="480"/>
        <w:jc w:val="center"/>
        <w:rPr>
          <w:rFonts w:hint="eastAsia"/>
          <w:color w:val="auto"/>
        </w:rPr>
      </w:pPr>
      <w:r>
        <w:rPr>
          <w:color w:val="auto"/>
        </w:rPr>
        <w:t>图</w:t>
      </w:r>
      <w:r>
        <w:rPr>
          <w:rFonts w:hint="eastAsia"/>
          <w:color w:val="auto"/>
        </w:rPr>
        <w:t>5.3-1</w:t>
      </w:r>
      <w:r>
        <w:rPr>
          <w:color w:val="auto"/>
        </w:rPr>
        <w:t xml:space="preserve">  吊起重臂钢丝绳验算图</w:t>
      </w:r>
    </w:p>
    <w:p w14:paraId="2B11A08A">
      <w:pPr>
        <w:ind w:firstLine="480"/>
        <w:rPr>
          <w:rFonts w:hint="eastAsia"/>
          <w:color w:val="auto"/>
          <w:szCs w:val="24"/>
        </w:rPr>
      </w:pPr>
      <w:r>
        <w:rPr>
          <w:color w:val="auto"/>
          <w:szCs w:val="24"/>
        </w:rPr>
        <w:t>G 为</w:t>
      </w:r>
      <w:r>
        <w:rPr>
          <w:rFonts w:hint="eastAsia"/>
          <w:color w:val="auto"/>
          <w:lang w:val="en-US" w:eastAsia="zh-CN"/>
        </w:rPr>
        <w:t>XGT6515-10S</w:t>
      </w:r>
      <w:r>
        <w:rPr>
          <w:color w:val="auto"/>
        </w:rPr>
        <w:t>塔机</w:t>
      </w:r>
      <w:r>
        <w:rPr>
          <w:rFonts w:hint="eastAsia"/>
          <w:color w:val="auto"/>
          <w:lang w:val="en-US" w:eastAsia="zh-CN"/>
        </w:rPr>
        <w:t>爬升架</w:t>
      </w:r>
      <w:r>
        <w:rPr>
          <w:color w:val="auto"/>
          <w:szCs w:val="24"/>
        </w:rPr>
        <w:t>重量，G=</w:t>
      </w:r>
      <w:r>
        <w:rPr>
          <w:rFonts w:hint="eastAsia"/>
          <w:color w:val="auto"/>
          <w:szCs w:val="24"/>
          <w:lang w:val="en-US" w:eastAsia="zh-CN"/>
        </w:rPr>
        <w:t>5.35</w:t>
      </w:r>
      <w:r>
        <w:rPr>
          <w:rFonts w:hint="eastAsia"/>
          <w:color w:val="auto"/>
          <w:szCs w:val="24"/>
        </w:rPr>
        <w:t>t</w:t>
      </w:r>
      <w:r>
        <w:rPr>
          <w:color w:val="auto"/>
          <w:szCs w:val="24"/>
        </w:rPr>
        <w:t>；</w:t>
      </w:r>
    </w:p>
    <w:p w14:paraId="5E48A80C">
      <w:pPr>
        <w:ind w:firstLine="480"/>
        <w:rPr>
          <w:rFonts w:hint="eastAsia"/>
          <w:color w:val="auto"/>
          <w:szCs w:val="24"/>
        </w:rPr>
      </w:pPr>
      <w:r>
        <w:rPr>
          <w:rFonts w:hint="default" w:ascii="Times New Roman" w:hAnsi="Times New Roman" w:cs="Times New Roman"/>
          <w:color w:val="auto"/>
          <w:szCs w:val="24"/>
        </w:rPr>
        <w:t>β</w:t>
      </w:r>
      <w:r>
        <w:rPr>
          <w:color w:val="auto"/>
          <w:szCs w:val="24"/>
        </w:rPr>
        <w:t xml:space="preserve"> 为吊索与垂直线的夹角，经计算，</w:t>
      </w:r>
      <w:r>
        <w:rPr>
          <w:color w:val="auto"/>
          <w:position w:val="-10"/>
          <w:szCs w:val="24"/>
        </w:rPr>
        <w:object>
          <v:shape id="_x0000_i1025" o:spt="75" type="#_x0000_t75" style="height:18pt;width:48.35pt;" o:ole="t" filled="f" o:preferrelative="t" stroked="f" coordsize="21600,21600">
            <v:path/>
            <v:fill on="f" focussize="0,0"/>
            <v:stroke on="f"/>
            <v:imagedata r:id="rId45" o:title=""/>
            <o:lock v:ext="edit" aspectratio="t"/>
            <w10:wrap type="none"/>
            <w10:anchorlock/>
          </v:shape>
          <o:OLEObject Type="Embed" ProgID="Equation.3" ShapeID="_x0000_i1025" DrawAspect="Content" ObjectID="_1468075725" r:id="rId44">
            <o:LockedField>false</o:LockedField>
          </o:OLEObject>
        </w:object>
      </w:r>
      <w:r>
        <w:rPr>
          <w:color w:val="auto"/>
          <w:szCs w:val="24"/>
        </w:rPr>
        <w:t>；</w:t>
      </w:r>
    </w:p>
    <w:p w14:paraId="2463AD00">
      <w:pPr>
        <w:ind w:firstLine="480"/>
        <w:rPr>
          <w:rFonts w:hint="eastAsia"/>
          <w:color w:val="auto"/>
          <w:szCs w:val="24"/>
        </w:rPr>
      </w:pPr>
      <w:r>
        <w:rPr>
          <w:color w:val="auto"/>
          <w:szCs w:val="24"/>
        </w:rPr>
        <w:t>经计算：F为每一根吊索钢丝绳所受的拉力，F=</w:t>
      </w:r>
      <w:r>
        <w:rPr>
          <w:rFonts w:hint="eastAsia"/>
          <w:color w:val="auto"/>
          <w:szCs w:val="24"/>
          <w:lang w:val="en-US" w:eastAsia="zh-CN"/>
        </w:rPr>
        <w:t>1.41</w:t>
      </w:r>
      <w:r>
        <w:rPr>
          <w:color w:val="auto"/>
          <w:szCs w:val="24"/>
        </w:rPr>
        <w:t>t；</w:t>
      </w:r>
    </w:p>
    <w:p w14:paraId="1EF0AE45">
      <w:pPr>
        <w:ind w:firstLine="480"/>
        <w:rPr>
          <w:rFonts w:hint="eastAsia"/>
          <w:color w:val="auto"/>
          <w:szCs w:val="24"/>
        </w:rPr>
      </w:pPr>
      <w:r>
        <w:rPr>
          <w:color w:val="auto"/>
          <w:szCs w:val="24"/>
        </w:rPr>
        <w:t>吊索选取D=</w:t>
      </w:r>
      <w:r>
        <w:rPr>
          <w:rFonts w:hint="eastAsia"/>
          <w:color w:val="auto"/>
          <w:szCs w:val="24"/>
        </w:rPr>
        <w:t>2</w:t>
      </w:r>
      <w:r>
        <w:rPr>
          <w:rFonts w:hint="eastAsia"/>
          <w:color w:val="auto"/>
          <w:szCs w:val="24"/>
          <w:lang w:val="en-US" w:eastAsia="zh-CN"/>
        </w:rPr>
        <w:t>4</w:t>
      </w:r>
      <w:r>
        <w:rPr>
          <w:color w:val="auto"/>
          <w:szCs w:val="24"/>
        </w:rPr>
        <w:t>mm钢丝绳</w:t>
      </w:r>
      <w:r>
        <w:rPr>
          <w:rFonts w:hint="eastAsia"/>
          <w:color w:val="auto"/>
          <w:szCs w:val="24"/>
        </w:rPr>
        <w:t>，型号为6×37(b类)+FC。</w:t>
      </w:r>
    </w:p>
    <w:p w14:paraId="125A5BAB">
      <w:pPr>
        <w:ind w:firstLine="480"/>
        <w:rPr>
          <w:rFonts w:hint="eastAsia"/>
          <w:color w:val="auto"/>
          <w:szCs w:val="24"/>
        </w:rPr>
      </w:pPr>
      <w:r>
        <w:rPr>
          <w:rFonts w:hint="eastAsia"/>
          <w:color w:val="auto"/>
          <w:szCs w:val="24"/>
        </w:rPr>
        <w:t>钢丝绳的容许拉力可按下式计算：</w:t>
      </w:r>
    </w:p>
    <w:p w14:paraId="2F7B775A">
      <w:pPr>
        <w:ind w:firstLine="480"/>
        <w:jc w:val="center"/>
        <w:rPr>
          <w:rFonts w:hint="eastAsia"/>
          <w:color w:val="auto"/>
          <w:szCs w:val="24"/>
        </w:rPr>
      </w:pPr>
      <w:r>
        <w:rPr>
          <w:rFonts w:hint="eastAsia"/>
          <w:color w:val="auto"/>
          <w:position w:val="-24"/>
          <w:szCs w:val="24"/>
        </w:rPr>
        <w:object>
          <v:shape id="_x0000_i1026" o:spt="75" type="#_x0000_t75" style="height:30.5pt;width:54pt;" o:ole="t" filled="f" o:preferrelative="t" stroked="f" coordsize="21600,21600">
            <v:path/>
            <v:fill on="f" focussize="0,0"/>
            <v:stroke on="f" joinstyle="miter"/>
            <v:imagedata r:id="rId47" o:title=""/>
            <o:lock v:ext="edit" aspectratio="t"/>
            <w10:wrap type="none"/>
            <w10:anchorlock/>
          </v:shape>
          <o:OLEObject Type="Embed" ProgID="Equation.3" ShapeID="_x0000_i1026" DrawAspect="Content" ObjectID="_1468075726" r:id="rId46">
            <o:LockedField>false</o:LockedField>
          </o:OLEObject>
        </w:object>
      </w:r>
    </w:p>
    <w:p w14:paraId="2E9E956F">
      <w:pPr>
        <w:ind w:firstLine="480"/>
        <w:rPr>
          <w:rFonts w:hint="eastAsia"/>
          <w:color w:val="auto"/>
          <w:szCs w:val="24"/>
        </w:rPr>
      </w:pPr>
      <w:r>
        <w:rPr>
          <w:rFonts w:hint="eastAsia"/>
          <w:color w:val="auto"/>
          <w:position w:val="-14"/>
          <w:szCs w:val="24"/>
        </w:rPr>
        <w:object>
          <v:shape id="_x0000_i1027" o:spt="75" type="#_x0000_t75" style="height:18.5pt;width:23pt;" o:ole="t" filled="f" o:preferrelative="t" stroked="f" coordsize="21600,21600">
            <v:path/>
            <v:fill on="f" focussize="0,0"/>
            <v:stroke on="f" joinstyle="miter"/>
            <v:imagedata r:id="rId49" o:title=""/>
            <o:lock v:ext="edit" aspectratio="t"/>
            <w10:wrap type="none"/>
            <w10:anchorlock/>
          </v:shape>
          <o:OLEObject Type="Embed" ProgID="Equation.3" ShapeID="_x0000_i1027" DrawAspect="Content" ObjectID="_1468075727" r:id="rId48">
            <o:LockedField>false</o:LockedField>
          </o:OLEObject>
        </w:object>
      </w:r>
      <w:r>
        <w:rPr>
          <w:rFonts w:hint="eastAsia"/>
          <w:color w:val="auto"/>
          <w:szCs w:val="24"/>
        </w:rPr>
        <w:t>-钢丝绳的容许拉力(kN)</w:t>
      </w:r>
    </w:p>
    <w:p w14:paraId="14D77FB8">
      <w:pPr>
        <w:ind w:firstLine="480"/>
        <w:rPr>
          <w:rFonts w:hint="eastAsia"/>
          <w:color w:val="auto"/>
          <w:szCs w:val="24"/>
        </w:rPr>
      </w:pPr>
      <w:r>
        <w:rPr>
          <w:rFonts w:hint="eastAsia"/>
          <w:color w:val="auto"/>
          <w:szCs w:val="24"/>
        </w:rPr>
        <w:t>6*37</w:t>
      </w:r>
      <w:r>
        <w:rPr>
          <w:rFonts w:hint="eastAsia"/>
          <w:color w:val="auto"/>
          <w:szCs w:val="24"/>
          <w:lang w:val="en-US" w:eastAsia="zh-CN"/>
        </w:rPr>
        <w:t>M</w:t>
      </w:r>
      <w:r>
        <w:rPr>
          <w:rFonts w:hint="eastAsia"/>
          <w:color w:val="auto"/>
          <w:szCs w:val="24"/>
        </w:rPr>
        <w:t>公称抗拉强度1</w:t>
      </w:r>
      <w:r>
        <w:rPr>
          <w:rFonts w:hint="eastAsia"/>
          <w:color w:val="auto"/>
          <w:szCs w:val="24"/>
          <w:lang w:val="en-US" w:eastAsia="zh-CN"/>
        </w:rPr>
        <w:t>7</w:t>
      </w:r>
      <w:r>
        <w:rPr>
          <w:rFonts w:hint="eastAsia"/>
          <w:color w:val="auto"/>
          <w:szCs w:val="24"/>
        </w:rPr>
        <w:t xml:space="preserve">70MP  </w:t>
      </w:r>
      <w:r>
        <w:rPr>
          <w:color w:val="auto"/>
          <w:szCs w:val="24"/>
        </w:rPr>
        <w:t>D=</w:t>
      </w:r>
      <w:r>
        <w:rPr>
          <w:rFonts w:hint="eastAsia"/>
          <w:color w:val="auto"/>
          <w:szCs w:val="24"/>
        </w:rPr>
        <w:t>2</w:t>
      </w:r>
      <w:r>
        <w:rPr>
          <w:rFonts w:hint="eastAsia"/>
          <w:color w:val="auto"/>
          <w:szCs w:val="24"/>
          <w:lang w:val="en-US" w:eastAsia="zh-CN"/>
        </w:rPr>
        <w:t>4</w:t>
      </w:r>
      <w:r>
        <w:rPr>
          <w:color w:val="auto"/>
          <w:szCs w:val="24"/>
        </w:rPr>
        <w:t>mm钢丝绳</w:t>
      </w:r>
      <w:r>
        <w:rPr>
          <w:rFonts w:hint="eastAsia"/>
          <w:color w:val="auto"/>
          <w:szCs w:val="24"/>
        </w:rPr>
        <w:t>取3</w:t>
      </w:r>
      <w:r>
        <w:rPr>
          <w:rFonts w:hint="eastAsia"/>
          <w:color w:val="auto"/>
          <w:szCs w:val="24"/>
          <w:lang w:val="en-US" w:eastAsia="zh-CN"/>
        </w:rPr>
        <w:t>01</w:t>
      </w:r>
      <w:r>
        <w:rPr>
          <w:rFonts w:hint="eastAsia"/>
          <w:color w:val="auto"/>
          <w:szCs w:val="24"/>
        </w:rPr>
        <w:t>KN</w:t>
      </w:r>
    </w:p>
    <w:p w14:paraId="2A4B78C2">
      <w:pPr>
        <w:pStyle w:val="20"/>
        <w:ind w:firstLine="480"/>
        <w:rPr>
          <w:rFonts w:hint="eastAsia"/>
          <w:color w:val="auto"/>
          <w:sz w:val="24"/>
          <w:szCs w:val="24"/>
        </w:rPr>
      </w:pPr>
      <w:r>
        <w:rPr>
          <w:rFonts w:hint="eastAsia"/>
          <w:color w:val="auto"/>
          <w:position w:val="-14"/>
          <w:sz w:val="24"/>
          <w:szCs w:val="24"/>
        </w:rPr>
        <w:object>
          <v:shape id="_x0000_i1028" o:spt="75" type="#_x0000_t75" style="height:18.5pt;width:16pt;" o:ole="t" filled="f" o:preferrelative="t" stroked="f" coordsize="21600,21600">
            <v:path/>
            <v:fill on="f" focussize="0,0"/>
            <v:stroke on="f" joinstyle="miter"/>
            <v:imagedata r:id="rId51" o:title=""/>
            <o:lock v:ext="edit" aspectratio="t"/>
            <w10:wrap type="none"/>
            <w10:anchorlock/>
          </v:shape>
          <o:OLEObject Type="Embed" ProgID="Equation.3" ShapeID="_x0000_i1028" DrawAspect="Content" ObjectID="_1468075728" r:id="rId50">
            <o:LockedField>false</o:LockedField>
          </o:OLEObject>
        </w:object>
      </w:r>
      <w:r>
        <w:rPr>
          <w:rFonts w:hint="eastAsia"/>
          <w:color w:val="auto"/>
          <w:sz w:val="24"/>
          <w:szCs w:val="24"/>
        </w:rPr>
        <w:t>-钢丝绳的最小破断拉力(kN)</w:t>
      </w:r>
    </w:p>
    <w:p w14:paraId="2C6465D2">
      <w:pPr>
        <w:ind w:firstLine="480"/>
        <w:rPr>
          <w:rFonts w:hint="eastAsia"/>
          <w:color w:val="auto"/>
          <w:szCs w:val="24"/>
        </w:rPr>
      </w:pPr>
      <w:r>
        <w:rPr>
          <w:rFonts w:hint="eastAsia"/>
          <w:i/>
          <w:iCs/>
          <w:color w:val="auto"/>
          <w:szCs w:val="24"/>
        </w:rPr>
        <w:t>a</w:t>
      </w:r>
      <w:r>
        <w:rPr>
          <w:rFonts w:hint="eastAsia"/>
          <w:color w:val="auto"/>
          <w:szCs w:val="24"/>
        </w:rPr>
        <w:t>=考虑钢丝绳的不均匀系数6*37钢丝绳取0.82</w:t>
      </w:r>
    </w:p>
    <w:p w14:paraId="22A2FDBC">
      <w:pPr>
        <w:numPr>
          <w:ilvl w:val="0"/>
          <w:numId w:val="6"/>
        </w:numPr>
        <w:ind w:firstLine="480"/>
        <w:rPr>
          <w:rFonts w:hint="eastAsia"/>
          <w:color w:val="auto"/>
          <w:szCs w:val="24"/>
        </w:rPr>
      </w:pPr>
      <w:r>
        <w:rPr>
          <w:rFonts w:hint="eastAsia"/>
          <w:color w:val="auto"/>
          <w:szCs w:val="24"/>
        </w:rPr>
        <w:t>钢丝绳的安全系数，这里取6</w:t>
      </w:r>
    </w:p>
    <w:p w14:paraId="61ECE3F8">
      <w:pPr>
        <w:pStyle w:val="20"/>
        <w:ind w:firstLine="480"/>
        <w:rPr>
          <w:rFonts w:hint="eastAsia"/>
          <w:color w:val="auto"/>
          <w:sz w:val="24"/>
          <w:szCs w:val="24"/>
        </w:rPr>
      </w:pPr>
      <w:r>
        <w:rPr>
          <w:rFonts w:hint="eastAsia"/>
          <w:color w:val="auto"/>
          <w:sz w:val="24"/>
          <w:szCs w:val="24"/>
        </w:rPr>
        <w:t>求得</w:t>
      </w:r>
      <w:r>
        <w:rPr>
          <w:rFonts w:hint="eastAsia"/>
          <w:color w:val="auto"/>
          <w:position w:val="-14"/>
          <w:sz w:val="24"/>
          <w:szCs w:val="24"/>
        </w:rPr>
        <w:object>
          <v:shape id="_x0000_i1029" o:spt="75" type="#_x0000_t75" style="height:18.5pt;width:70.85pt;" o:ole="t" filled="f" o:preferrelative="t" stroked="f" coordsize="21600,21600">
            <v:path/>
            <v:fill on="f" focussize="0,0"/>
            <v:stroke on="f"/>
            <v:imagedata r:id="rId53" o:title=""/>
            <o:lock v:ext="edit" aspectratio="t"/>
            <w10:wrap type="none"/>
            <w10:anchorlock/>
          </v:shape>
          <o:OLEObject Type="Embed" ProgID="Equation.3" ShapeID="_x0000_i1029" DrawAspect="Content" ObjectID="_1468075729" r:id="rId52">
            <o:LockedField>false</o:LockedField>
          </o:OLEObject>
        </w:object>
      </w:r>
      <w:r>
        <w:rPr>
          <w:rFonts w:hint="eastAsia"/>
          <w:color w:val="auto"/>
          <w:sz w:val="24"/>
          <w:szCs w:val="24"/>
        </w:rPr>
        <w:t>即</w:t>
      </w:r>
      <w:r>
        <w:rPr>
          <w:rFonts w:hint="eastAsia"/>
          <w:color w:val="auto"/>
          <w:sz w:val="24"/>
          <w:szCs w:val="24"/>
          <w:lang w:val="en-US" w:eastAsia="zh-CN"/>
        </w:rPr>
        <w:t>4.11</w:t>
      </w:r>
      <w:r>
        <w:rPr>
          <w:rFonts w:hint="eastAsia"/>
          <w:color w:val="auto"/>
          <w:sz w:val="24"/>
          <w:szCs w:val="24"/>
        </w:rPr>
        <w:t>t吊装力，大于</w:t>
      </w:r>
      <w:r>
        <w:rPr>
          <w:color w:val="auto"/>
          <w:sz w:val="24"/>
          <w:szCs w:val="24"/>
        </w:rPr>
        <w:t>F=</w:t>
      </w:r>
      <w:r>
        <w:rPr>
          <w:rFonts w:hint="eastAsia"/>
          <w:color w:val="auto"/>
          <w:sz w:val="24"/>
          <w:szCs w:val="24"/>
          <w:lang w:val="en-US" w:eastAsia="zh-CN"/>
        </w:rPr>
        <w:t>1.41</w:t>
      </w:r>
      <w:r>
        <w:rPr>
          <w:color w:val="auto"/>
          <w:sz w:val="24"/>
          <w:szCs w:val="24"/>
        </w:rPr>
        <w:t>t</w:t>
      </w:r>
    </w:p>
    <w:p w14:paraId="57F296A8">
      <w:pPr>
        <w:ind w:firstLine="480"/>
        <w:rPr>
          <w:rFonts w:hint="eastAsia"/>
          <w:color w:val="auto"/>
          <w:szCs w:val="24"/>
        </w:rPr>
      </w:pPr>
      <w:r>
        <w:rPr>
          <w:bCs/>
          <w:color w:val="auto"/>
        </w:rPr>
        <w:t>∴</w:t>
      </w:r>
      <w:r>
        <w:rPr>
          <w:color w:val="auto"/>
          <w:szCs w:val="24"/>
        </w:rPr>
        <w:t>选取D=</w:t>
      </w:r>
      <w:r>
        <w:rPr>
          <w:rFonts w:hint="eastAsia"/>
          <w:color w:val="auto"/>
          <w:szCs w:val="24"/>
          <w:lang w:val="en-US" w:eastAsia="zh-CN"/>
        </w:rPr>
        <w:t>24</w:t>
      </w:r>
      <w:r>
        <w:rPr>
          <w:color w:val="auto"/>
          <w:szCs w:val="24"/>
        </w:rPr>
        <w:t xml:space="preserve">mm </w:t>
      </w:r>
      <w:r>
        <w:rPr>
          <w:rFonts w:hint="eastAsia"/>
          <w:color w:val="auto"/>
          <w:szCs w:val="24"/>
          <w:lang w:val="en-US" w:eastAsia="zh-CN"/>
        </w:rPr>
        <w:t>2</w:t>
      </w:r>
      <w:r>
        <w:rPr>
          <w:color w:val="auto"/>
          <w:szCs w:val="24"/>
        </w:rPr>
        <w:t>根</w:t>
      </w:r>
      <w:r>
        <w:rPr>
          <w:rFonts w:hint="eastAsia"/>
          <w:color w:val="auto"/>
          <w:szCs w:val="24"/>
          <w:lang w:val="en-US" w:eastAsia="zh-CN"/>
        </w:rPr>
        <w:t>12</w:t>
      </w:r>
      <w:r>
        <w:rPr>
          <w:color w:val="auto"/>
          <w:szCs w:val="24"/>
        </w:rPr>
        <w:t>m钢丝绳和</w:t>
      </w:r>
      <w:r>
        <w:rPr>
          <w:rFonts w:hint="eastAsia"/>
          <w:color w:val="auto"/>
          <w:szCs w:val="24"/>
          <w:lang w:val="en-US" w:eastAsia="zh-CN"/>
        </w:rPr>
        <w:t>4</w:t>
      </w:r>
      <w:r>
        <w:rPr>
          <w:color w:val="auto"/>
          <w:szCs w:val="24"/>
        </w:rPr>
        <w:t>只</w:t>
      </w:r>
      <w:r>
        <w:rPr>
          <w:rFonts w:hint="eastAsia"/>
          <w:color w:val="auto"/>
          <w:szCs w:val="24"/>
          <w:lang w:val="en-US" w:eastAsia="zh-CN"/>
        </w:rPr>
        <w:t>6</w:t>
      </w:r>
      <w:r>
        <w:rPr>
          <w:rFonts w:hint="eastAsia"/>
          <w:color w:val="auto"/>
          <w:szCs w:val="24"/>
        </w:rPr>
        <w:t>.</w:t>
      </w:r>
      <w:r>
        <w:rPr>
          <w:color w:val="auto"/>
          <w:szCs w:val="24"/>
        </w:rPr>
        <w:t>5t卸扣能满足本次的吊装任务。</w:t>
      </w:r>
    </w:p>
    <w:p w14:paraId="108A84A6">
      <w:pPr>
        <w:ind w:firstLine="480"/>
        <w:rPr>
          <w:rFonts w:hint="eastAsia"/>
          <w:color w:val="auto"/>
          <w:szCs w:val="24"/>
        </w:rPr>
      </w:pPr>
      <w:r>
        <w:rPr>
          <w:color w:val="auto"/>
          <w:szCs w:val="24"/>
        </w:rPr>
        <w:t>因此该套吊索具可满足起重臂等结构件的吊装。</w:t>
      </w:r>
    </w:p>
    <w:bookmarkEnd w:id="100"/>
    <w:bookmarkEnd w:id="101"/>
    <w:bookmarkEnd w:id="102"/>
    <w:bookmarkEnd w:id="103"/>
    <w:p w14:paraId="2E6A00FC">
      <w:pPr>
        <w:pStyle w:val="2"/>
        <w:rPr>
          <w:rFonts w:hint="default" w:ascii="宋体" w:hAnsi="宋体" w:eastAsia="宋体"/>
          <w:color w:val="auto"/>
          <w:lang w:val="en-US" w:eastAsia="zh-CN"/>
        </w:rPr>
      </w:pPr>
      <w:bookmarkStart w:id="144" w:name="_Toc20482"/>
      <w:bookmarkStart w:id="145" w:name="_Toc17362"/>
      <w:bookmarkStart w:id="146" w:name="_Toc12393"/>
      <w:bookmarkStart w:id="147" w:name="_Toc5855"/>
      <w:bookmarkStart w:id="148" w:name="_Toc525111836"/>
      <w:bookmarkStart w:id="149" w:name="_Toc28236"/>
      <w:bookmarkStart w:id="150" w:name="_Toc26195_WPSOffice_Level1"/>
      <w:bookmarkStart w:id="151" w:name="_Toc10600_WPSOffice_Level1"/>
      <w:r>
        <w:rPr>
          <w:rFonts w:hint="eastAsia" w:ascii="宋体" w:hAnsi="宋体" w:eastAsia="宋体"/>
          <w:color w:val="auto"/>
          <w:lang w:val="en-US" w:eastAsia="zh-CN"/>
        </w:rPr>
        <w:t xml:space="preserve">6 </w:t>
      </w:r>
      <w:r>
        <w:rPr>
          <w:rFonts w:hint="eastAsia" w:ascii="宋体" w:hAnsi="宋体" w:eastAsia="宋体"/>
          <w:color w:val="auto"/>
        </w:rPr>
        <w:t>塔机安装</w:t>
      </w:r>
      <w:bookmarkStart w:id="152" w:name="_Toc3311"/>
      <w:bookmarkStart w:id="153" w:name="_Toc533610093"/>
      <w:bookmarkStart w:id="154" w:name="_Toc326854315"/>
      <w:bookmarkStart w:id="155" w:name="_Toc26359_WPSOffice_Level2"/>
      <w:bookmarkStart w:id="156" w:name="_Toc8605"/>
      <w:r>
        <w:rPr>
          <w:rFonts w:hint="eastAsia" w:ascii="宋体" w:hAnsi="宋体" w:eastAsia="宋体"/>
          <w:color w:val="auto"/>
          <w:lang w:val="en-US" w:eastAsia="zh-CN"/>
        </w:rPr>
        <w:t>施工方案</w:t>
      </w:r>
      <w:bookmarkEnd w:id="144"/>
      <w:bookmarkEnd w:id="145"/>
    </w:p>
    <w:bookmarkEnd w:id="152"/>
    <w:bookmarkEnd w:id="153"/>
    <w:bookmarkEnd w:id="154"/>
    <w:bookmarkEnd w:id="155"/>
    <w:bookmarkEnd w:id="156"/>
    <w:p w14:paraId="1B26EFC4">
      <w:pPr>
        <w:pStyle w:val="3"/>
        <w:numPr>
          <w:ilvl w:val="1"/>
          <w:numId w:val="0"/>
        </w:numPr>
        <w:ind w:left="567" w:leftChars="0" w:hanging="567" w:firstLineChars="0"/>
        <w:outlineLvl w:val="1"/>
        <w:rPr>
          <w:rFonts w:hint="eastAsia"/>
          <w:color w:val="auto"/>
        </w:rPr>
      </w:pPr>
      <w:bookmarkStart w:id="157" w:name="_Toc15734"/>
      <w:bookmarkStart w:id="158" w:name="_Toc126616059"/>
      <w:bookmarkStart w:id="159" w:name="_Toc26320"/>
      <w:bookmarkStart w:id="160" w:name="_Toc525111828"/>
      <w:bookmarkStart w:id="161" w:name="_Toc182895405"/>
      <w:bookmarkStart w:id="162" w:name="_Toc3402"/>
      <w:bookmarkStart w:id="163" w:name="_Toc2298_WPSOffice_Level2"/>
      <w:bookmarkStart w:id="164" w:name="_Toc14104"/>
      <w:bookmarkStart w:id="165" w:name="_Toc26544_WPSOffice_Level2"/>
      <w:bookmarkStart w:id="166" w:name="_Toc8978"/>
      <w:r>
        <w:rPr>
          <w:rFonts w:hint="default" w:ascii="宋体" w:hAnsi="宋体" w:eastAsia="宋体" w:cstheme="majorBidi"/>
          <w:b/>
          <w:bCs/>
          <w:color w:val="auto"/>
          <w:kern w:val="2"/>
          <w:sz w:val="24"/>
          <w:szCs w:val="32"/>
          <w:lang w:val="en-US" w:eastAsia="zh-CN" w:bidi="ar-SA"/>
        </w:rPr>
        <w:t>6.1.</w:t>
      </w:r>
      <w:r>
        <w:rPr>
          <w:rFonts w:hint="eastAsia"/>
          <w:color w:val="auto"/>
        </w:rPr>
        <w:t>施工前的准备</w:t>
      </w:r>
      <w:bookmarkEnd w:id="157"/>
      <w:bookmarkEnd w:id="158"/>
      <w:bookmarkEnd w:id="159"/>
    </w:p>
    <w:p w14:paraId="19A64256">
      <w:pPr>
        <w:ind w:firstLine="480"/>
        <w:rPr>
          <w:rFonts w:hint="eastAsia" w:ascii="宋体" w:hAnsi="宋体" w:eastAsia="宋体"/>
          <w:color w:val="auto"/>
          <w:kern w:val="0"/>
        </w:rPr>
      </w:pPr>
      <w:r>
        <w:rPr>
          <w:rFonts w:hint="eastAsia" w:ascii="宋体" w:hAnsi="宋体" w:eastAsia="宋体"/>
          <w:color w:val="auto"/>
          <w:kern w:val="0"/>
        </w:rPr>
        <w:t>1.由塔机使用单位对施工现场进行清理，将承台周围塔机拼装需要的场地进行平整，现场</w:t>
      </w:r>
      <w:r>
        <w:rPr>
          <w:rFonts w:hint="eastAsia" w:ascii="宋体" w:hAnsi="宋体" w:eastAsia="宋体"/>
          <w:color w:val="auto"/>
          <w:kern w:val="0"/>
          <w:lang w:val="en-US" w:eastAsia="zh-CN"/>
        </w:rPr>
        <w:t>场地</w:t>
      </w:r>
      <w:r>
        <w:rPr>
          <w:rFonts w:hint="eastAsia" w:ascii="宋体" w:hAnsi="宋体" w:eastAsia="宋体"/>
          <w:color w:val="auto"/>
          <w:kern w:val="0"/>
        </w:rPr>
        <w:t>符合吊装工况要求。</w:t>
      </w:r>
    </w:p>
    <w:p w14:paraId="7C2DB3FB">
      <w:pPr>
        <w:ind w:firstLine="480"/>
        <w:rPr>
          <w:rFonts w:hint="eastAsia" w:ascii="宋体" w:hAnsi="宋体" w:eastAsia="宋体"/>
          <w:color w:val="auto"/>
          <w:kern w:val="0"/>
        </w:rPr>
      </w:pPr>
      <w:r>
        <w:rPr>
          <w:rFonts w:hint="eastAsia" w:ascii="宋体" w:hAnsi="宋体" w:eastAsia="宋体"/>
          <w:color w:val="auto"/>
          <w:kern w:val="0"/>
        </w:rPr>
        <w:t>2.由塔机使用单位与塔机安装技术负责人按基础制作的技术要求共同对塔机基础进行验收，具体要求见附件.</w:t>
      </w:r>
    </w:p>
    <w:p w14:paraId="349DDE1C">
      <w:pPr>
        <w:ind w:firstLine="480"/>
        <w:rPr>
          <w:rFonts w:hint="eastAsia" w:ascii="宋体" w:hAnsi="宋体" w:eastAsia="宋体"/>
          <w:color w:val="auto"/>
          <w:kern w:val="0"/>
        </w:rPr>
      </w:pPr>
      <w:r>
        <w:rPr>
          <w:rFonts w:hint="eastAsia" w:ascii="宋体" w:hAnsi="宋体" w:eastAsia="宋体"/>
          <w:color w:val="auto"/>
          <w:kern w:val="0"/>
        </w:rPr>
        <w:t>3.由塔机质检人员对塔机进行检查，检查内容如下：</w:t>
      </w:r>
    </w:p>
    <w:p w14:paraId="1CA5E0F7">
      <w:pPr>
        <w:ind w:firstLine="480"/>
        <w:rPr>
          <w:rFonts w:hint="eastAsia" w:ascii="宋体" w:hAnsi="宋体" w:eastAsia="宋体"/>
          <w:color w:val="auto"/>
          <w:kern w:val="0"/>
        </w:rPr>
      </w:pPr>
      <w:r>
        <w:rPr>
          <w:rFonts w:hint="eastAsia" w:ascii="宋体" w:hAnsi="宋体" w:eastAsia="宋体"/>
          <w:color w:val="auto"/>
          <w:kern w:val="0"/>
        </w:rPr>
        <w:t>（</w:t>
      </w:r>
      <w:r>
        <w:rPr>
          <w:rFonts w:ascii="宋体" w:hAnsi="宋体" w:eastAsia="宋体"/>
          <w:color w:val="auto"/>
          <w:kern w:val="0"/>
        </w:rPr>
        <w:t>1</w:t>
      </w:r>
      <w:r>
        <w:rPr>
          <w:rFonts w:hint="eastAsia" w:ascii="宋体" w:hAnsi="宋体" w:eastAsia="宋体"/>
          <w:color w:val="auto"/>
          <w:kern w:val="0"/>
        </w:rPr>
        <w:t>）钢结构件有无严重锈蚀变形开裂与脱焊；</w:t>
      </w:r>
    </w:p>
    <w:p w14:paraId="73DFF63E">
      <w:pPr>
        <w:ind w:firstLine="480"/>
        <w:rPr>
          <w:rFonts w:hint="eastAsia" w:ascii="宋体" w:hAnsi="宋体" w:eastAsia="宋体"/>
          <w:color w:val="auto"/>
          <w:kern w:val="0"/>
        </w:rPr>
      </w:pPr>
      <w:r>
        <w:rPr>
          <w:rFonts w:hint="eastAsia" w:ascii="宋体" w:hAnsi="宋体" w:eastAsia="宋体"/>
          <w:color w:val="auto"/>
          <w:kern w:val="0"/>
        </w:rPr>
        <w:t>（2）钢丝绳是否牢固可靠，是否合乎要求，绳扎头是否可靠；</w:t>
      </w:r>
    </w:p>
    <w:p w14:paraId="0E0F4A90">
      <w:pPr>
        <w:ind w:firstLine="480"/>
        <w:rPr>
          <w:rFonts w:hint="eastAsia" w:ascii="宋体" w:hAnsi="宋体" w:eastAsia="宋体"/>
          <w:color w:val="auto"/>
          <w:kern w:val="0"/>
        </w:rPr>
      </w:pPr>
      <w:r>
        <w:rPr>
          <w:rFonts w:hint="eastAsia" w:ascii="宋体" w:hAnsi="宋体" w:eastAsia="宋体"/>
          <w:color w:val="auto"/>
          <w:kern w:val="0"/>
        </w:rPr>
        <w:t>（3）各部电路及电气元件是否正常；</w:t>
      </w:r>
    </w:p>
    <w:p w14:paraId="5028D19A">
      <w:pPr>
        <w:ind w:firstLine="480"/>
        <w:rPr>
          <w:rFonts w:hint="eastAsia" w:ascii="宋体" w:hAnsi="宋体" w:eastAsia="宋体"/>
          <w:color w:val="auto"/>
          <w:kern w:val="0"/>
        </w:rPr>
      </w:pPr>
      <w:r>
        <w:rPr>
          <w:rFonts w:hint="eastAsia" w:ascii="宋体" w:hAnsi="宋体" w:eastAsia="宋体"/>
          <w:color w:val="auto"/>
          <w:kern w:val="0"/>
        </w:rPr>
        <w:t>（4）爬升机构导向轮是否转动灵活，与塔机间隙是否合乎要求</w:t>
      </w:r>
    </w:p>
    <w:p w14:paraId="7298237F">
      <w:pPr>
        <w:ind w:firstLine="480"/>
        <w:rPr>
          <w:rFonts w:hint="eastAsia" w:ascii="宋体" w:hAnsi="宋体" w:eastAsia="宋体"/>
          <w:color w:val="auto"/>
          <w:kern w:val="0"/>
        </w:rPr>
      </w:pPr>
      <w:r>
        <w:rPr>
          <w:rFonts w:hint="eastAsia" w:ascii="宋体" w:hAnsi="宋体" w:eastAsia="宋体"/>
          <w:color w:val="auto"/>
          <w:kern w:val="0"/>
        </w:rPr>
        <w:t>（5）顶升液压装置是否正常；</w:t>
      </w:r>
    </w:p>
    <w:p w14:paraId="10607861">
      <w:pPr>
        <w:ind w:firstLine="480"/>
        <w:rPr>
          <w:rFonts w:hint="eastAsia" w:ascii="宋体" w:hAnsi="宋体" w:eastAsia="宋体"/>
          <w:color w:val="auto"/>
          <w:kern w:val="0"/>
        </w:rPr>
      </w:pPr>
      <w:r>
        <w:rPr>
          <w:rFonts w:hint="eastAsia" w:ascii="宋体" w:hAnsi="宋体" w:eastAsia="宋体"/>
          <w:color w:val="auto"/>
          <w:kern w:val="0"/>
        </w:rPr>
        <w:t>（6）塔机安装前应认真进行检修、保养，对变形件及时修复，必要时全机作油漆。</w:t>
      </w:r>
    </w:p>
    <w:p w14:paraId="790E6B6F">
      <w:pPr>
        <w:ind w:firstLine="480"/>
        <w:rPr>
          <w:rFonts w:hint="eastAsia" w:ascii="宋体" w:hAnsi="宋体" w:eastAsia="宋体"/>
          <w:color w:val="auto"/>
          <w:kern w:val="0"/>
        </w:rPr>
      </w:pPr>
      <w:r>
        <w:rPr>
          <w:rFonts w:hint="eastAsia" w:ascii="宋体" w:hAnsi="宋体" w:eastAsia="宋体"/>
          <w:color w:val="auto"/>
          <w:kern w:val="0"/>
        </w:rPr>
        <w:t>4.按要求做好人员的组织工作。</w:t>
      </w:r>
    </w:p>
    <w:p w14:paraId="0F528BB5">
      <w:pPr>
        <w:ind w:firstLine="480"/>
        <w:rPr>
          <w:rFonts w:hint="eastAsia" w:ascii="宋体" w:hAnsi="宋体" w:eastAsia="宋体"/>
          <w:color w:val="auto"/>
          <w:kern w:val="0"/>
        </w:rPr>
      </w:pPr>
      <w:r>
        <w:rPr>
          <w:rFonts w:hint="eastAsia" w:ascii="宋体" w:hAnsi="宋体" w:eastAsia="宋体"/>
          <w:color w:val="auto"/>
          <w:kern w:val="0"/>
        </w:rPr>
        <w:t>5.按要求做好常用工具、索具及材料的配备。</w:t>
      </w:r>
    </w:p>
    <w:p w14:paraId="4AC7D47D">
      <w:pPr>
        <w:ind w:firstLine="480"/>
        <w:rPr>
          <w:rFonts w:hint="eastAsia" w:ascii="宋体" w:hAnsi="宋体" w:eastAsia="宋体"/>
          <w:color w:val="auto"/>
          <w:kern w:val="0"/>
        </w:rPr>
      </w:pPr>
      <w:r>
        <w:rPr>
          <w:rFonts w:hint="eastAsia" w:ascii="宋体" w:hAnsi="宋体" w:eastAsia="宋体"/>
          <w:color w:val="auto"/>
          <w:kern w:val="0"/>
        </w:rPr>
        <w:t>6.由技术负责人对全体作业人员进行技术交底。</w:t>
      </w:r>
    </w:p>
    <w:p w14:paraId="4EA57EF2">
      <w:pPr>
        <w:ind w:firstLine="480"/>
        <w:rPr>
          <w:rFonts w:hint="eastAsia" w:ascii="宋体" w:hAnsi="宋体" w:eastAsia="宋体"/>
          <w:color w:val="auto"/>
          <w:kern w:val="0"/>
        </w:rPr>
      </w:pPr>
      <w:r>
        <w:rPr>
          <w:rFonts w:hint="eastAsia" w:ascii="宋体" w:hAnsi="宋体" w:eastAsia="宋体"/>
          <w:color w:val="auto"/>
          <w:kern w:val="0"/>
        </w:rPr>
        <w:t>7.由安全监护人员对全体作业人员进行安全交底。</w:t>
      </w:r>
    </w:p>
    <w:p w14:paraId="332123D1">
      <w:pPr>
        <w:ind w:firstLine="480"/>
        <w:rPr>
          <w:rFonts w:hint="eastAsia" w:ascii="宋体" w:hAnsi="宋体" w:eastAsia="宋体"/>
          <w:color w:val="auto"/>
          <w:kern w:val="0"/>
        </w:rPr>
      </w:pPr>
      <w:r>
        <w:rPr>
          <w:rFonts w:hint="eastAsia" w:ascii="宋体" w:hAnsi="宋体" w:eastAsia="宋体"/>
          <w:color w:val="auto"/>
          <w:kern w:val="0"/>
          <w:lang w:val="en-US" w:eastAsia="zh-CN"/>
        </w:rPr>
        <w:t>8.明确分工职责，持证上岗，作业过程中做好安全防护。</w:t>
      </w:r>
    </w:p>
    <w:p w14:paraId="6D3A0ACA">
      <w:pPr>
        <w:pStyle w:val="3"/>
        <w:numPr>
          <w:ilvl w:val="1"/>
          <w:numId w:val="0"/>
        </w:numPr>
        <w:ind w:left="567" w:leftChars="0" w:hanging="567" w:firstLineChars="0"/>
        <w:outlineLvl w:val="1"/>
        <w:rPr>
          <w:rFonts w:hint="eastAsia"/>
          <w:color w:val="auto"/>
        </w:rPr>
      </w:pPr>
      <w:bookmarkStart w:id="167" w:name="_Toc17582"/>
      <w:bookmarkStart w:id="168" w:name="_Toc10438"/>
      <w:r>
        <w:rPr>
          <w:rFonts w:hint="default" w:ascii="宋体" w:hAnsi="宋体" w:eastAsia="宋体" w:cstheme="majorBidi"/>
          <w:b/>
          <w:bCs/>
          <w:color w:val="auto"/>
          <w:kern w:val="2"/>
          <w:sz w:val="24"/>
          <w:szCs w:val="32"/>
          <w:lang w:val="en-US" w:eastAsia="zh-CN" w:bidi="ar-SA"/>
        </w:rPr>
        <w:t>6.2.</w:t>
      </w:r>
      <w:r>
        <w:rPr>
          <w:rFonts w:hint="eastAsia"/>
          <w:color w:val="auto"/>
        </w:rPr>
        <w:t>塔机安装</w:t>
      </w:r>
      <w:bookmarkEnd w:id="160"/>
      <w:r>
        <w:rPr>
          <w:rFonts w:hint="eastAsia"/>
          <w:color w:val="auto"/>
        </w:rPr>
        <w:t>流程</w:t>
      </w:r>
      <w:bookmarkEnd w:id="161"/>
      <w:bookmarkEnd w:id="162"/>
      <w:bookmarkEnd w:id="163"/>
      <w:bookmarkEnd w:id="164"/>
      <w:bookmarkEnd w:id="165"/>
      <w:bookmarkEnd w:id="166"/>
      <w:bookmarkEnd w:id="167"/>
      <w:bookmarkEnd w:id="168"/>
    </w:p>
    <w:p w14:paraId="69E0C653">
      <w:pPr>
        <w:ind w:firstLine="480"/>
        <w:rPr>
          <w:rFonts w:hint="default" w:ascii="宋体" w:hAnsi="宋体" w:eastAsia="宋体"/>
          <w:color w:val="auto"/>
          <w:kern w:val="0"/>
          <w:lang w:val="en-US" w:eastAsia="zh-CN"/>
        </w:rPr>
      </w:pPr>
      <w:r>
        <w:rPr>
          <w:rFonts w:hint="eastAsia" w:ascii="宋体" w:hAnsi="宋体" w:eastAsia="宋体"/>
          <w:color w:val="auto"/>
          <w:kern w:val="0"/>
          <w:lang w:val="en-US" w:eastAsia="zh-CN"/>
        </w:rPr>
        <w:t>（1）XGT6015A-8S塔机安装流程：</w:t>
      </w:r>
    </w:p>
    <w:p w14:paraId="1E83584D">
      <w:pPr>
        <w:ind w:firstLine="480"/>
        <w:rPr>
          <w:rFonts w:hint="eastAsia" w:ascii="宋体" w:hAnsi="宋体" w:eastAsia="宋体"/>
          <w:color w:val="auto"/>
          <w:kern w:val="0"/>
          <w:lang w:eastAsia="zh-CN"/>
        </w:rPr>
      </w:pPr>
      <w:r>
        <w:rPr>
          <w:rFonts w:hint="eastAsia" w:ascii="宋体" w:hAnsi="宋体" w:eastAsia="宋体"/>
          <w:color w:val="auto"/>
          <w:kern w:val="0"/>
        </w:rPr>
        <w:t>安装</w:t>
      </w:r>
      <w:r>
        <w:rPr>
          <w:rFonts w:hint="eastAsia" w:ascii="宋体" w:hAnsi="宋体" w:eastAsia="宋体"/>
          <w:color w:val="auto"/>
          <w:kern w:val="0"/>
          <w:lang w:val="en-US" w:eastAsia="zh-CN"/>
        </w:rPr>
        <w:t>一节基础</w:t>
      </w:r>
      <w:r>
        <w:rPr>
          <w:rFonts w:hint="eastAsia" w:ascii="宋体" w:hAnsi="宋体" w:eastAsia="宋体"/>
          <w:color w:val="auto"/>
          <w:kern w:val="0"/>
        </w:rPr>
        <w:t>节→</w:t>
      </w:r>
      <w:r>
        <w:rPr>
          <w:rFonts w:hint="eastAsia" w:ascii="宋体" w:hAnsi="宋体" w:eastAsia="宋体"/>
          <w:color w:val="auto"/>
          <w:kern w:val="0"/>
          <w:lang w:val="en-US" w:eastAsia="zh-CN"/>
        </w:rPr>
        <w:t>安装一节</w:t>
      </w:r>
      <w:r>
        <w:rPr>
          <w:rFonts w:hint="eastAsia" w:ascii="宋体" w:hAnsi="宋体" w:eastAsia="宋体"/>
          <w:color w:val="auto"/>
          <w:kern w:val="0"/>
        </w:rPr>
        <w:t>标准节→安装爬升</w:t>
      </w:r>
      <w:r>
        <w:rPr>
          <w:rFonts w:hint="eastAsia" w:ascii="宋体" w:hAnsi="宋体" w:eastAsia="宋体"/>
          <w:color w:val="auto"/>
          <w:kern w:val="0"/>
          <w:lang w:val="en-US" w:eastAsia="zh-CN"/>
        </w:rPr>
        <w:t>架</w:t>
      </w:r>
      <w:r>
        <w:rPr>
          <w:rFonts w:hint="eastAsia" w:ascii="宋体" w:hAnsi="宋体" w:eastAsia="宋体"/>
          <w:color w:val="auto"/>
          <w:kern w:val="0"/>
        </w:rPr>
        <w:t>→安装</w:t>
      </w:r>
      <w:r>
        <w:rPr>
          <w:rFonts w:hint="eastAsia" w:ascii="宋体" w:hAnsi="宋体" w:eastAsia="宋体"/>
          <w:color w:val="auto"/>
          <w:kern w:val="0"/>
          <w:lang w:val="en-US" w:eastAsia="zh-CN"/>
        </w:rPr>
        <w:t>特殊节</w:t>
      </w:r>
      <w:r>
        <w:rPr>
          <w:rFonts w:hint="eastAsia" w:ascii="宋体" w:hAnsi="宋体" w:eastAsia="宋体"/>
          <w:color w:val="auto"/>
          <w:kern w:val="0"/>
        </w:rPr>
        <w:t>→安装回转总成→安装</w:t>
      </w:r>
      <w:r>
        <w:rPr>
          <w:rFonts w:hint="eastAsia" w:ascii="宋体" w:hAnsi="宋体" w:eastAsia="宋体"/>
          <w:color w:val="auto"/>
          <w:kern w:val="0"/>
          <w:lang w:val="en-US" w:eastAsia="zh-CN"/>
        </w:rPr>
        <w:t>起重臂臂根节</w:t>
      </w:r>
      <w:r>
        <w:rPr>
          <w:rFonts w:hint="eastAsia" w:ascii="宋体" w:hAnsi="宋体" w:eastAsia="宋体"/>
          <w:color w:val="auto"/>
          <w:kern w:val="0"/>
        </w:rPr>
        <w:t>→安装平衡臂→安装</w:t>
      </w:r>
      <w:r>
        <w:rPr>
          <w:rFonts w:hint="eastAsia" w:ascii="宋体" w:hAnsi="宋体" w:eastAsia="宋体"/>
          <w:color w:val="auto"/>
          <w:kern w:val="0"/>
          <w:lang w:val="en-US" w:eastAsia="zh-CN"/>
        </w:rPr>
        <w:t>两</w:t>
      </w:r>
      <w:r>
        <w:rPr>
          <w:rFonts w:hint="eastAsia" w:ascii="宋体" w:hAnsi="宋体" w:eastAsia="宋体"/>
          <w:color w:val="auto"/>
          <w:kern w:val="0"/>
        </w:rPr>
        <w:t>块</w:t>
      </w:r>
      <w:r>
        <w:rPr>
          <w:rFonts w:hint="eastAsia" w:ascii="宋体" w:hAnsi="宋体" w:eastAsia="宋体"/>
          <w:color w:val="auto"/>
          <w:kern w:val="0"/>
          <w:lang w:val="en-US" w:eastAsia="zh-CN"/>
        </w:rPr>
        <w:t>3.2</w:t>
      </w:r>
      <w:r>
        <w:rPr>
          <w:rFonts w:hint="eastAsia" w:ascii="宋体" w:hAnsi="宋体" w:eastAsia="宋体"/>
          <w:color w:val="auto"/>
          <w:kern w:val="0"/>
        </w:rPr>
        <w:t>t平衡重→安装</w:t>
      </w:r>
      <w:r>
        <w:rPr>
          <w:rFonts w:hint="eastAsia" w:ascii="宋体" w:hAnsi="宋体" w:eastAsia="宋体"/>
          <w:color w:val="auto"/>
          <w:kern w:val="0"/>
          <w:lang w:val="en-US" w:eastAsia="zh-CN"/>
        </w:rPr>
        <w:t>50米</w:t>
      </w:r>
      <w:r>
        <w:rPr>
          <w:rFonts w:hint="eastAsia" w:ascii="宋体" w:hAnsi="宋体" w:eastAsia="宋体"/>
          <w:color w:val="auto"/>
          <w:kern w:val="0"/>
        </w:rPr>
        <w:t>起重臂总成→安装剩余平衡重→</w:t>
      </w:r>
      <w:r>
        <w:rPr>
          <w:rFonts w:hint="eastAsia" w:ascii="宋体" w:hAnsi="宋体" w:eastAsia="宋体"/>
          <w:color w:val="auto"/>
          <w:kern w:val="0"/>
          <w:lang w:val="en-US" w:eastAsia="zh-CN"/>
        </w:rPr>
        <w:t>穿好起升钢丝绳及吊钩</w:t>
      </w:r>
      <w:r>
        <w:rPr>
          <w:rFonts w:hint="default" w:ascii="宋体" w:hAnsi="宋体" w:eastAsia="宋体"/>
          <w:color w:val="auto"/>
          <w:kern w:val="0"/>
        </w:rPr>
        <w:t>→顶升</w:t>
      </w:r>
      <w:r>
        <w:rPr>
          <w:rFonts w:hint="eastAsia" w:ascii="宋体" w:hAnsi="宋体" w:eastAsia="宋体"/>
          <w:color w:val="auto"/>
          <w:kern w:val="0"/>
          <w:lang w:val="en-US" w:eastAsia="zh-CN"/>
        </w:rPr>
        <w:t>至一定高度</w:t>
      </w:r>
      <w:r>
        <w:rPr>
          <w:rFonts w:hint="default" w:ascii="宋体" w:hAnsi="宋体" w:eastAsia="宋体"/>
          <w:color w:val="auto"/>
          <w:kern w:val="0"/>
        </w:rPr>
        <w:t>→</w:t>
      </w:r>
      <w:r>
        <w:rPr>
          <w:rFonts w:hint="eastAsia" w:ascii="宋体" w:hAnsi="宋体" w:eastAsia="宋体"/>
          <w:color w:val="auto"/>
          <w:kern w:val="0"/>
          <w:lang w:val="en-US" w:eastAsia="zh-CN"/>
        </w:rPr>
        <w:t>塔机调试，试运转</w:t>
      </w:r>
      <w:r>
        <w:rPr>
          <w:rFonts w:hint="default" w:ascii="宋体" w:hAnsi="宋体" w:eastAsia="宋体"/>
          <w:color w:val="auto"/>
          <w:kern w:val="0"/>
        </w:rPr>
        <w:t>→</w:t>
      </w:r>
      <w:r>
        <w:rPr>
          <w:rFonts w:hint="eastAsia" w:ascii="宋体" w:hAnsi="宋体" w:eastAsia="宋体"/>
          <w:color w:val="auto"/>
          <w:kern w:val="0"/>
          <w:lang w:val="en-US" w:eastAsia="zh-CN"/>
        </w:rPr>
        <w:t>安装完毕</w:t>
      </w:r>
      <w:r>
        <w:rPr>
          <w:rFonts w:hint="eastAsia" w:ascii="宋体" w:hAnsi="宋体" w:eastAsia="宋体"/>
          <w:color w:val="auto"/>
          <w:kern w:val="0"/>
          <w:lang w:eastAsia="zh-CN"/>
        </w:rPr>
        <w:t>。</w:t>
      </w:r>
    </w:p>
    <w:p w14:paraId="20A52D18">
      <w:pPr>
        <w:numPr>
          <w:ilvl w:val="0"/>
          <w:numId w:val="0"/>
        </w:numPr>
        <w:ind w:firstLine="480" w:firstLineChars="200"/>
        <w:rPr>
          <w:rFonts w:hint="eastAsia" w:ascii="宋体" w:hAnsi="宋体" w:eastAsia="宋体"/>
          <w:color w:val="auto"/>
          <w:kern w:val="0"/>
          <w:lang w:val="en-US" w:eastAsia="zh-CN"/>
        </w:rPr>
      </w:pPr>
      <w:r>
        <w:rPr>
          <w:rFonts w:hint="eastAsia" w:ascii="宋体" w:hAnsi="宋体" w:eastAsia="宋体" w:cstheme="minorBidi"/>
          <w:color w:val="auto"/>
          <w:kern w:val="0"/>
          <w:sz w:val="24"/>
          <w:szCs w:val="22"/>
          <w:lang w:val="en-US" w:eastAsia="zh-CN" w:bidi="ar-SA"/>
        </w:rPr>
        <w:t>（2）</w:t>
      </w:r>
      <w:r>
        <w:rPr>
          <w:rFonts w:hint="eastAsia" w:ascii="宋体" w:hAnsi="宋体" w:eastAsia="宋体"/>
          <w:color w:val="auto"/>
          <w:kern w:val="0"/>
          <w:lang w:val="en-US" w:eastAsia="zh-CN"/>
        </w:rPr>
        <w:t>XGT6515D-10S/XGT6515-10S塔机安装流程：</w:t>
      </w:r>
    </w:p>
    <w:p w14:paraId="31E6A578">
      <w:pPr>
        <w:ind w:firstLine="480"/>
        <w:rPr>
          <w:rFonts w:hint="eastAsia" w:ascii="宋体" w:hAnsi="宋体" w:eastAsia="宋体"/>
          <w:color w:val="auto"/>
          <w:kern w:val="0"/>
          <w:lang w:val="en-US" w:eastAsia="zh-CN"/>
        </w:rPr>
      </w:pPr>
      <w:r>
        <w:rPr>
          <w:rFonts w:hint="eastAsia"/>
          <w:color w:val="auto"/>
        </w:rPr>
        <w:t>安装</w:t>
      </w:r>
      <w:r>
        <w:rPr>
          <w:rFonts w:hint="eastAsia"/>
          <w:color w:val="auto"/>
          <w:lang w:val="en-US" w:eastAsia="zh-CN"/>
        </w:rPr>
        <w:t>1节基础</w:t>
      </w:r>
      <w:r>
        <w:rPr>
          <w:rFonts w:hint="eastAsia"/>
          <w:color w:val="auto"/>
        </w:rPr>
        <w:t>节</w:t>
      </w:r>
      <w:r>
        <w:rPr>
          <w:color w:val="auto"/>
        </w:rPr>
        <w:t>→</w:t>
      </w:r>
      <w:r>
        <w:rPr>
          <w:rFonts w:hint="eastAsia"/>
          <w:color w:val="auto"/>
          <w:lang w:val="en-US" w:eastAsia="zh-CN"/>
        </w:rPr>
        <w:t>安装1节</w:t>
      </w:r>
      <w:r>
        <w:rPr>
          <w:rFonts w:hint="eastAsia"/>
          <w:color w:val="auto"/>
        </w:rPr>
        <w:t>标准节</w:t>
      </w:r>
      <w:r>
        <w:rPr>
          <w:color w:val="auto"/>
        </w:rPr>
        <w:t>→安装</w:t>
      </w:r>
      <w:r>
        <w:rPr>
          <w:rFonts w:hint="eastAsia"/>
          <w:color w:val="auto"/>
        </w:rPr>
        <w:t>爬升</w:t>
      </w:r>
      <w:r>
        <w:rPr>
          <w:rFonts w:hint="eastAsia"/>
          <w:color w:val="auto"/>
          <w:lang w:val="en-US" w:eastAsia="zh-CN"/>
        </w:rPr>
        <w:t>架</w:t>
      </w:r>
      <w:r>
        <w:rPr>
          <w:color w:val="auto"/>
        </w:rPr>
        <w:t>→</w:t>
      </w:r>
      <w:r>
        <w:rPr>
          <w:rFonts w:hint="eastAsia"/>
          <w:color w:val="auto"/>
        </w:rPr>
        <w:t>安装</w:t>
      </w:r>
      <w:r>
        <w:rPr>
          <w:rFonts w:hint="eastAsia"/>
          <w:color w:val="auto"/>
          <w:lang w:val="en-US" w:eastAsia="zh-CN"/>
        </w:rPr>
        <w:t>特殊</w:t>
      </w:r>
      <w:r>
        <w:rPr>
          <w:rFonts w:hint="eastAsia"/>
          <w:color w:val="auto"/>
        </w:rPr>
        <w:t>节</w:t>
      </w:r>
      <w:r>
        <w:rPr>
          <w:color w:val="auto"/>
        </w:rPr>
        <w:t>→</w:t>
      </w:r>
      <w:r>
        <w:rPr>
          <w:rFonts w:hint="eastAsia"/>
          <w:color w:val="auto"/>
        </w:rPr>
        <w:t>安装回转总成</w:t>
      </w:r>
      <w:r>
        <w:rPr>
          <w:color w:val="auto"/>
        </w:rPr>
        <w:t>→</w:t>
      </w:r>
      <w:r>
        <w:rPr>
          <w:rFonts w:hint="eastAsia"/>
          <w:color w:val="auto"/>
        </w:rPr>
        <w:t>安装</w:t>
      </w:r>
      <w:r>
        <w:rPr>
          <w:rFonts w:hint="eastAsia"/>
          <w:color w:val="auto"/>
          <w:lang w:val="en-US" w:eastAsia="zh-CN"/>
        </w:rPr>
        <w:t>起重臂臂根节</w:t>
      </w:r>
      <w:r>
        <w:rPr>
          <w:color w:val="auto"/>
        </w:rPr>
        <w:t>→</w:t>
      </w:r>
      <w:r>
        <w:rPr>
          <w:rFonts w:hint="eastAsia"/>
          <w:color w:val="auto"/>
        </w:rPr>
        <w:t>安装平衡臂</w:t>
      </w:r>
      <w:r>
        <w:rPr>
          <w:color w:val="auto"/>
        </w:rPr>
        <w:t>→</w:t>
      </w:r>
      <w:r>
        <w:rPr>
          <w:rFonts w:hint="eastAsia"/>
          <w:color w:val="auto"/>
        </w:rPr>
        <w:t>安装一块</w:t>
      </w:r>
      <w:r>
        <w:rPr>
          <w:rFonts w:hint="eastAsia"/>
          <w:color w:val="auto"/>
          <w:lang w:val="en-US" w:eastAsia="zh-CN"/>
        </w:rPr>
        <w:t>3.2</w:t>
      </w:r>
      <w:r>
        <w:rPr>
          <w:color w:val="auto"/>
        </w:rPr>
        <w:t xml:space="preserve">t </w:t>
      </w:r>
      <w:r>
        <w:rPr>
          <w:rFonts w:hint="eastAsia"/>
          <w:color w:val="auto"/>
        </w:rPr>
        <w:t>平衡重</w:t>
      </w:r>
      <w:r>
        <w:rPr>
          <w:color w:val="auto"/>
        </w:rPr>
        <w:t>→</w:t>
      </w:r>
      <w:r>
        <w:rPr>
          <w:rFonts w:hint="eastAsia"/>
          <w:color w:val="auto"/>
        </w:rPr>
        <w:t>安装</w:t>
      </w:r>
      <w:r>
        <w:rPr>
          <w:rFonts w:hint="eastAsia"/>
          <w:color w:val="auto"/>
          <w:lang w:val="en-US" w:eastAsia="zh-CN"/>
        </w:rPr>
        <w:t>剩余起重臂</w:t>
      </w:r>
      <w:r>
        <w:rPr>
          <w:color w:val="auto"/>
        </w:rPr>
        <w:t>→</w:t>
      </w:r>
      <w:r>
        <w:rPr>
          <w:rFonts w:hint="eastAsia"/>
          <w:color w:val="auto"/>
        </w:rPr>
        <w:t>安装剩余平衡重</w:t>
      </w:r>
      <w:r>
        <w:rPr>
          <w:color w:val="auto"/>
        </w:rPr>
        <w:t>→</w:t>
      </w:r>
      <w:r>
        <w:rPr>
          <w:rFonts w:hint="eastAsia"/>
          <w:color w:val="auto"/>
          <w:lang w:val="en-US" w:eastAsia="zh-CN"/>
        </w:rPr>
        <w:t>穿好</w:t>
      </w:r>
      <w:r>
        <w:rPr>
          <w:rFonts w:hint="eastAsia"/>
          <w:color w:val="auto"/>
        </w:rPr>
        <w:t>起升钢丝绳</w:t>
      </w:r>
      <w:r>
        <w:rPr>
          <w:rFonts w:hint="eastAsia"/>
          <w:color w:val="auto"/>
          <w:lang w:val="en-US" w:eastAsia="zh-CN"/>
        </w:rPr>
        <w:t>及吊钩</w:t>
      </w:r>
      <w:r>
        <w:rPr>
          <w:color w:val="auto"/>
        </w:rPr>
        <w:t>→顶升</w:t>
      </w:r>
      <w:r>
        <w:rPr>
          <w:rFonts w:hint="eastAsia"/>
          <w:color w:val="auto"/>
          <w:lang w:val="en-US" w:eastAsia="zh-CN"/>
        </w:rPr>
        <w:t>至独立高度</w:t>
      </w:r>
      <w:r>
        <w:rPr>
          <w:color w:val="auto"/>
        </w:rPr>
        <w:t>→</w:t>
      </w:r>
      <w:r>
        <w:rPr>
          <w:rFonts w:hint="eastAsia"/>
          <w:color w:val="auto"/>
          <w:lang w:val="en-US" w:eastAsia="zh-CN"/>
        </w:rPr>
        <w:t>塔机调试，试运转</w:t>
      </w:r>
      <w:r>
        <w:rPr>
          <w:color w:val="auto"/>
        </w:rPr>
        <w:t>→</w:t>
      </w:r>
      <w:r>
        <w:rPr>
          <w:rFonts w:hint="eastAsia"/>
          <w:color w:val="auto"/>
          <w:lang w:val="en-US" w:eastAsia="zh-CN"/>
        </w:rPr>
        <w:t>安装完毕</w:t>
      </w:r>
    </w:p>
    <w:p w14:paraId="00A5FEDA">
      <w:pPr>
        <w:pStyle w:val="3"/>
        <w:numPr>
          <w:ilvl w:val="1"/>
          <w:numId w:val="0"/>
        </w:numPr>
        <w:ind w:left="567" w:leftChars="0" w:hanging="567" w:firstLineChars="0"/>
        <w:outlineLvl w:val="1"/>
        <w:rPr>
          <w:rFonts w:hint="default" w:eastAsia="宋体" w:cs="宋体"/>
          <w:color w:val="auto"/>
          <w:lang w:val="en-US" w:eastAsia="zh-CN"/>
        </w:rPr>
      </w:pPr>
      <w:bookmarkStart w:id="169" w:name="_Toc6536"/>
      <w:bookmarkStart w:id="170" w:name="_Toc28466"/>
      <w:r>
        <w:rPr>
          <w:rFonts w:hint="default" w:ascii="宋体" w:hAnsi="宋体" w:eastAsia="宋体" w:cs="宋体"/>
          <w:b/>
          <w:bCs/>
          <w:color w:val="auto"/>
          <w:kern w:val="2"/>
          <w:sz w:val="24"/>
          <w:szCs w:val="32"/>
          <w:lang w:val="en-US" w:eastAsia="zh-CN" w:bidi="ar-SA"/>
        </w:rPr>
        <w:t>6.3.</w:t>
      </w:r>
      <w:r>
        <w:rPr>
          <w:rFonts w:hint="eastAsia" w:ascii="Times New Roman" w:hAnsi="Times New Roman" w:cs="Times New Roman"/>
          <w:color w:val="auto"/>
          <w:szCs w:val="24"/>
          <w:lang w:eastAsia="zh-CN"/>
        </w:rPr>
        <w:t>XGT6015A-8S</w:t>
      </w:r>
      <w:r>
        <w:rPr>
          <w:rFonts w:hint="eastAsia" w:ascii="Times New Roman" w:hAnsi="Times New Roman" w:cs="Times New Roman"/>
          <w:color w:val="auto"/>
          <w:szCs w:val="24"/>
          <w:lang w:val="en-US" w:eastAsia="zh-CN"/>
        </w:rPr>
        <w:t>塔机主机安装过程</w:t>
      </w:r>
      <w:bookmarkEnd w:id="169"/>
      <w:bookmarkEnd w:id="170"/>
    </w:p>
    <w:p w14:paraId="26E4CF6A">
      <w:pPr>
        <w:ind w:firstLine="480"/>
        <w:rPr>
          <w:rFonts w:hint="eastAsia"/>
          <w:color w:val="auto"/>
        </w:rPr>
      </w:pPr>
      <w:r>
        <w:rPr>
          <w:rFonts w:hint="eastAsia"/>
          <w:color w:val="auto"/>
        </w:rPr>
        <w:t>在塔机安装过程中只需要安装</w:t>
      </w:r>
      <w:r>
        <w:rPr>
          <w:rFonts w:hint="eastAsia"/>
          <w:color w:val="auto"/>
          <w:lang w:val="en-US" w:eastAsia="zh-CN"/>
        </w:rPr>
        <w:t>一节基础节、一节标准节</w:t>
      </w:r>
      <w:r>
        <w:rPr>
          <w:rFonts w:hint="eastAsia"/>
          <w:color w:val="auto"/>
        </w:rPr>
        <w:t>即可安装</w:t>
      </w:r>
      <w:r>
        <w:rPr>
          <w:rFonts w:hint="eastAsia"/>
          <w:color w:val="auto"/>
          <w:lang w:val="en-US" w:eastAsia="zh-CN"/>
        </w:rPr>
        <w:t>爬升架</w:t>
      </w:r>
      <w:r>
        <w:rPr>
          <w:rFonts w:hint="eastAsia"/>
          <w:color w:val="auto"/>
        </w:rPr>
        <w:t>和回转总成等部件。在安装平衡臂和大臂时要先接通回转电源，以便于大臂的安装。</w:t>
      </w:r>
    </w:p>
    <w:p w14:paraId="27476B74">
      <w:pPr>
        <w:pStyle w:val="4"/>
        <w:numPr>
          <w:ilvl w:val="2"/>
          <w:numId w:val="0"/>
        </w:numPr>
        <w:ind w:left="709" w:leftChars="0" w:hanging="709" w:firstLineChars="0"/>
        <w:rPr>
          <w:rFonts w:hint="eastAsia"/>
          <w:color w:val="auto"/>
        </w:rPr>
      </w:pPr>
      <w:bookmarkStart w:id="171" w:name="_Toc18087"/>
      <w:bookmarkStart w:id="172" w:name="_Toc22711"/>
      <w:r>
        <w:rPr>
          <w:rFonts w:hint="default" w:ascii="宋体" w:hAnsi="宋体" w:eastAsia="宋体" w:cstheme="minorBidi"/>
          <w:b/>
          <w:bCs/>
          <w:color w:val="auto"/>
          <w:kern w:val="2"/>
          <w:sz w:val="24"/>
          <w:szCs w:val="32"/>
          <w:lang w:val="en-US" w:eastAsia="zh-CN" w:bidi="ar-SA"/>
        </w:rPr>
        <w:t>6.3.1.</w:t>
      </w:r>
      <w:r>
        <w:rPr>
          <w:rFonts w:hint="eastAsia"/>
          <w:color w:val="auto"/>
        </w:rPr>
        <w:t>安装</w:t>
      </w:r>
      <w:r>
        <w:rPr>
          <w:rFonts w:hint="eastAsia"/>
          <w:color w:val="auto"/>
          <w:lang w:val="en-US" w:eastAsia="zh-CN"/>
        </w:rPr>
        <w:t>基础</w:t>
      </w:r>
      <w:r>
        <w:rPr>
          <w:rFonts w:hint="eastAsia"/>
          <w:color w:val="auto"/>
        </w:rPr>
        <w:t>节和标准节</w:t>
      </w:r>
      <w:bookmarkEnd w:id="171"/>
      <w:bookmarkEnd w:id="172"/>
    </w:p>
    <w:p w14:paraId="4E4460B6">
      <w:pPr>
        <w:ind w:firstLine="480"/>
        <w:rPr>
          <w:rFonts w:hint="eastAsia"/>
          <w:color w:val="auto"/>
        </w:rPr>
      </w:pPr>
      <w:r>
        <w:rPr>
          <w:rFonts w:hint="eastAsia"/>
          <w:color w:val="auto"/>
        </w:rPr>
        <w:t>（</w:t>
      </w:r>
      <w:r>
        <w:rPr>
          <w:rFonts w:hint="eastAsia"/>
          <w:color w:val="auto"/>
          <w:lang w:val="en-US" w:eastAsia="zh-CN"/>
        </w:rPr>
        <w:t>1</w:t>
      </w:r>
      <w:r>
        <w:rPr>
          <w:rFonts w:hint="eastAsia"/>
          <w:color w:val="auto"/>
        </w:rPr>
        <w:t>）安装</w:t>
      </w:r>
      <w:r>
        <w:rPr>
          <w:rFonts w:hint="eastAsia"/>
          <w:color w:val="auto"/>
          <w:lang w:val="en-US" w:eastAsia="zh-CN"/>
        </w:rPr>
        <w:t>基础</w:t>
      </w:r>
      <w:r>
        <w:rPr>
          <w:rFonts w:hint="eastAsia"/>
          <w:color w:val="auto"/>
        </w:rPr>
        <w:t>节</w:t>
      </w:r>
    </w:p>
    <w:p w14:paraId="77F5EA7C">
      <w:pPr>
        <w:ind w:firstLine="480"/>
        <w:rPr>
          <w:rFonts w:hint="eastAsia" w:ascii="宋体" w:hAnsi="宋体" w:eastAsia="宋体"/>
          <w:color w:val="auto"/>
          <w:lang w:eastAsia="zh-CN"/>
        </w:rPr>
      </w:pPr>
      <w:r>
        <w:rPr>
          <w:rFonts w:hint="eastAsia" w:ascii="宋体" w:hAnsi="宋体" w:eastAsia="宋体"/>
          <w:color w:val="auto"/>
          <w:lang w:eastAsia="zh-CN"/>
        </w:rPr>
        <w:t>基础节吊装采用四点吊，基础节以顶部四个销轴孔作为吊装孔，采用2根Φ24×12m的钢丝绳配套GB/T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4D6C0F04">
      <w:pPr>
        <w:ind w:firstLine="480"/>
        <w:rPr>
          <w:rFonts w:hint="eastAsia" w:ascii="宋体" w:hAnsi="宋体" w:eastAsia="宋体"/>
          <w:color w:val="auto"/>
          <w:lang w:eastAsia="zh-CN"/>
        </w:rPr>
      </w:pP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w:t>
      </w:r>
      <w:r>
        <w:rPr>
          <w:rFonts w:hint="eastAsia" w:ascii="宋体" w:hAnsi="宋体" w:eastAsia="宋体"/>
          <w:color w:val="auto"/>
          <w:lang w:eastAsia="zh-CN"/>
        </w:rPr>
        <w:t>塔机</w:t>
      </w:r>
      <w:r>
        <w:rPr>
          <w:rFonts w:hint="eastAsia" w:ascii="宋体" w:hAnsi="宋体" w:eastAsia="宋体"/>
          <w:color w:val="auto"/>
        </w:rPr>
        <w:t>支腿上方，吊机缓慢落钩，直至基础节底部</w:t>
      </w:r>
      <w:r>
        <w:rPr>
          <w:rFonts w:hint="eastAsia" w:ascii="宋体" w:hAnsi="宋体" w:eastAsia="宋体"/>
          <w:color w:val="auto"/>
          <w:lang w:val="en-US" w:eastAsia="zh-CN"/>
        </w:rPr>
        <w:t>连接套孔</w:t>
      </w:r>
      <w:r>
        <w:rPr>
          <w:rFonts w:hint="eastAsia" w:ascii="宋体" w:hAnsi="宋体" w:eastAsia="宋体"/>
          <w:color w:val="auto"/>
        </w:rPr>
        <w:t>与支腿</w:t>
      </w:r>
      <w:r>
        <w:rPr>
          <w:rFonts w:hint="eastAsia" w:ascii="宋体" w:hAnsi="宋体" w:eastAsia="宋体"/>
          <w:color w:val="auto"/>
          <w:lang w:val="en-US" w:eastAsia="zh-CN"/>
        </w:rPr>
        <w:t>连接套孔</w:t>
      </w:r>
      <w:r>
        <w:rPr>
          <w:rFonts w:hint="eastAsia" w:ascii="宋体" w:hAnsi="宋体" w:eastAsia="宋体"/>
          <w:color w:val="auto"/>
        </w:rPr>
        <w:t>对齐，作业人员插入与预埋固定支腿的</w:t>
      </w:r>
      <w:r>
        <w:rPr>
          <w:rFonts w:hint="eastAsia" w:ascii="宋体" w:hAnsi="宋体" w:eastAsia="宋体"/>
          <w:color w:val="auto"/>
          <w:lang w:val="en-US" w:eastAsia="zh-CN"/>
        </w:rPr>
        <w:t>螺栓</w:t>
      </w:r>
      <w:r>
        <w:rPr>
          <w:rFonts w:hint="eastAsia" w:ascii="宋体" w:hAnsi="宋体" w:eastAsia="宋体"/>
          <w:color w:val="auto"/>
        </w:rPr>
        <w:t>，完成基础节与支腿的连接。基础节吊装示意如下图所示</w:t>
      </w:r>
      <w:r>
        <w:rPr>
          <w:rFonts w:hint="eastAsia" w:ascii="宋体" w:hAnsi="宋体" w:eastAsia="宋体"/>
          <w:color w:val="auto"/>
          <w:lang w:eastAsia="zh-CN"/>
        </w:rPr>
        <w:t>。</w:t>
      </w:r>
    </w:p>
    <w:p w14:paraId="6EACB259">
      <w:pPr>
        <w:autoSpaceDE w:val="0"/>
        <w:autoSpaceDN w:val="0"/>
        <w:adjustRightInd w:val="0"/>
        <w:ind w:firstLine="0" w:firstLineChars="0"/>
        <w:jc w:val="center"/>
        <w:rPr>
          <w:color w:val="auto"/>
        </w:rPr>
      </w:pPr>
      <w:r>
        <w:drawing>
          <wp:inline distT="0" distB="0" distL="114300" distR="114300">
            <wp:extent cx="2256790" cy="1256665"/>
            <wp:effectExtent l="0" t="0" r="13970" b="825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54"/>
                    <a:stretch>
                      <a:fillRect/>
                    </a:stretch>
                  </pic:blipFill>
                  <pic:spPr>
                    <a:xfrm>
                      <a:off x="0" y="0"/>
                      <a:ext cx="2256790" cy="1256665"/>
                    </a:xfrm>
                    <a:prstGeom prst="rect">
                      <a:avLst/>
                    </a:prstGeom>
                    <a:noFill/>
                    <a:ln>
                      <a:noFill/>
                    </a:ln>
                  </pic:spPr>
                </pic:pic>
              </a:graphicData>
            </a:graphic>
          </wp:inline>
        </w:drawing>
      </w:r>
      <w:r>
        <w:drawing>
          <wp:inline distT="0" distB="0" distL="114300" distR="114300">
            <wp:extent cx="2823845" cy="1711960"/>
            <wp:effectExtent l="0" t="0" r="10795" b="1016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55"/>
                    <a:stretch>
                      <a:fillRect/>
                    </a:stretch>
                  </pic:blipFill>
                  <pic:spPr>
                    <a:xfrm>
                      <a:off x="0" y="0"/>
                      <a:ext cx="2823845" cy="1711960"/>
                    </a:xfrm>
                    <a:prstGeom prst="rect">
                      <a:avLst/>
                    </a:prstGeom>
                    <a:noFill/>
                    <a:ln>
                      <a:noFill/>
                    </a:ln>
                  </pic:spPr>
                </pic:pic>
              </a:graphicData>
            </a:graphic>
          </wp:inline>
        </w:drawing>
      </w:r>
    </w:p>
    <w:p w14:paraId="057ED630">
      <w:pPr>
        <w:ind w:firstLine="48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w:t>
      </w:r>
      <w:r>
        <w:rPr>
          <w:rFonts w:hint="eastAsia" w:ascii="宋体" w:hAnsi="宋体" w:eastAsia="宋体"/>
          <w:color w:val="auto"/>
        </w:rPr>
        <w:fldChar w:fldCharType="end"/>
      </w:r>
      <w:r>
        <w:rPr>
          <w:color w:val="auto"/>
        </w:rPr>
        <w:t xml:space="preserve">  </w:t>
      </w:r>
      <w:r>
        <w:rPr>
          <w:rFonts w:hint="eastAsia"/>
          <w:color w:val="auto"/>
          <w:lang w:val="en-US" w:eastAsia="zh-CN"/>
        </w:rPr>
        <w:t>吊装基础节</w:t>
      </w:r>
    </w:p>
    <w:p w14:paraId="6284E3D1">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作业人员通过基础节爬梯爬至基础节顶部，系挂好安全带，站立在基础节横杆上，吊机放松吊钩，作业人员解除卸扣与基础节的连接，完成基础节的安装。</w:t>
      </w:r>
    </w:p>
    <w:p w14:paraId="2FA17CED">
      <w:pPr>
        <w:pStyle w:val="15"/>
        <w:rPr>
          <w:rFonts w:hint="default"/>
          <w:lang w:val="en-US" w:eastAsia="zh-CN"/>
        </w:rPr>
      </w:pPr>
      <w:r>
        <w:rPr>
          <w:rFonts w:hint="eastAsia" w:ascii="宋体" w:hAnsi="宋体" w:eastAsia="宋体"/>
          <w:color w:val="auto"/>
          <w:lang w:val="en-US" w:eastAsia="zh-CN"/>
        </w:rPr>
        <w:t>采取同样方法安装标准节。</w:t>
      </w:r>
    </w:p>
    <w:p w14:paraId="7D83B74A">
      <w:pPr>
        <w:ind w:firstLine="480"/>
        <w:jc w:val="center"/>
      </w:pPr>
      <w:r>
        <w:drawing>
          <wp:inline distT="0" distB="0" distL="114300" distR="114300">
            <wp:extent cx="4013835" cy="2634615"/>
            <wp:effectExtent l="0" t="0" r="9525" b="1905"/>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56"/>
                    <a:stretch>
                      <a:fillRect/>
                    </a:stretch>
                  </pic:blipFill>
                  <pic:spPr>
                    <a:xfrm>
                      <a:off x="0" y="0"/>
                      <a:ext cx="4013835" cy="2634615"/>
                    </a:xfrm>
                    <a:prstGeom prst="rect">
                      <a:avLst/>
                    </a:prstGeom>
                    <a:noFill/>
                    <a:ln>
                      <a:noFill/>
                    </a:ln>
                  </pic:spPr>
                </pic:pic>
              </a:graphicData>
            </a:graphic>
          </wp:inline>
        </w:drawing>
      </w:r>
    </w:p>
    <w:p w14:paraId="7A27E49E">
      <w:pPr>
        <w:ind w:firstLine="48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2</w:t>
      </w:r>
      <w:r>
        <w:rPr>
          <w:rFonts w:hint="eastAsia" w:ascii="宋体" w:hAnsi="宋体" w:eastAsia="宋体"/>
          <w:color w:val="auto"/>
        </w:rPr>
        <w:fldChar w:fldCharType="end"/>
      </w:r>
      <w:r>
        <w:rPr>
          <w:color w:val="auto"/>
        </w:rPr>
        <w:t xml:space="preserve">  </w:t>
      </w:r>
      <w:r>
        <w:rPr>
          <w:rFonts w:hint="eastAsia"/>
          <w:color w:val="auto"/>
          <w:lang w:val="en-US" w:eastAsia="zh-CN"/>
        </w:rPr>
        <w:t>吊装标准节示意图</w:t>
      </w:r>
    </w:p>
    <w:p w14:paraId="1777FDB0">
      <w:pPr>
        <w:ind w:firstLine="480"/>
        <w:rPr>
          <w:rFonts w:hint="default"/>
          <w:lang w:val="en-US" w:eastAsia="zh-CN"/>
        </w:rPr>
      </w:pPr>
      <w:r>
        <w:rPr>
          <w:rFonts w:hint="eastAsia" w:ascii="宋体" w:hAnsi="宋体" w:eastAsia="宋体"/>
          <w:color w:val="auto"/>
          <w:lang w:val="en-US" w:eastAsia="zh-CN"/>
        </w:rPr>
        <w:t>塔机基础节、标准节安装时设置警戒区，起吊安排专人负责指挥，专人操作，严禁无关人员进入起重作业范围内。</w:t>
      </w:r>
    </w:p>
    <w:p w14:paraId="4CC221F7">
      <w:pPr>
        <w:pStyle w:val="4"/>
        <w:numPr>
          <w:ilvl w:val="2"/>
          <w:numId w:val="0"/>
        </w:numPr>
        <w:ind w:left="709" w:leftChars="0" w:hanging="709" w:firstLineChars="0"/>
        <w:rPr>
          <w:rFonts w:hint="eastAsia" w:eastAsia="宋体"/>
          <w:color w:val="auto"/>
          <w:lang w:eastAsia="zh-CN"/>
        </w:rPr>
      </w:pPr>
      <w:bookmarkStart w:id="173" w:name="_Toc15027"/>
      <w:bookmarkStart w:id="174" w:name="_Toc186"/>
      <w:r>
        <w:rPr>
          <w:rFonts w:hint="default" w:ascii="宋体" w:hAnsi="宋体" w:eastAsia="宋体" w:cstheme="minorBidi"/>
          <w:b/>
          <w:bCs/>
          <w:color w:val="auto"/>
          <w:kern w:val="2"/>
          <w:sz w:val="24"/>
          <w:szCs w:val="32"/>
          <w:lang w:val="en-US" w:eastAsia="zh-CN" w:bidi="ar-SA"/>
        </w:rPr>
        <w:t>6.3.2.</w:t>
      </w:r>
      <w:r>
        <w:rPr>
          <w:rFonts w:hint="eastAsia"/>
          <w:color w:val="auto"/>
        </w:rPr>
        <w:t>安装</w:t>
      </w:r>
      <w:r>
        <w:rPr>
          <w:rFonts w:hint="eastAsia"/>
          <w:color w:val="auto"/>
          <w:lang w:val="en-US" w:eastAsia="zh-CN"/>
        </w:rPr>
        <w:t>爬升架</w:t>
      </w:r>
      <w:bookmarkEnd w:id="173"/>
      <w:bookmarkEnd w:id="174"/>
    </w:p>
    <w:p w14:paraId="6CB06585">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采用吊机配合人工在地面上将爬升架架体、平台、顶升横梁、油缸及液压站等拼装成整体，爬升架吊装采用四点吊，以爬升架顶部四个销轴孔作为吊装孔，采用2根Φ24×12m的钢丝绳配套GB/T 25854-6-DW5卸扣进行吊装。</w:t>
      </w:r>
    </w:p>
    <w:p w14:paraId="28BC855C">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爬升架立杆上栓好2根溜绳。启动吊机，将爬升架缓慢提升，用溜绳控制其摆动。起吊爬升架至标准节上方，吊机缓慢落钩，将爬升架套入标准节，作业人员通过爬梯爬至标准节对应的爬升架爬爪处，将安全带系挂在标准节横杆上，将爬爪放在标准节踏步上，并通过安全销固定。爬升架吊装示意如下图所示。作业人员通过爬梯爬至爬升架顶部，将安全带系挂在爬升架顶部的横杆上，站立在爬升架顶部的平台上，吊机放松吊钩，作业人员解除卸扣与爬升架的连接。</w:t>
      </w:r>
    </w:p>
    <w:p w14:paraId="17242C32">
      <w:pPr>
        <w:autoSpaceDE w:val="0"/>
        <w:autoSpaceDN w:val="0"/>
        <w:adjustRightInd w:val="0"/>
        <w:ind w:firstLine="0" w:firstLineChars="0"/>
        <w:jc w:val="center"/>
        <w:rPr>
          <w:rFonts w:cs="宋体"/>
          <w:color w:val="auto"/>
          <w:kern w:val="0"/>
          <w:szCs w:val="24"/>
        </w:rPr>
      </w:pPr>
      <w:r>
        <w:drawing>
          <wp:inline distT="0" distB="0" distL="114300" distR="114300">
            <wp:extent cx="2172335" cy="3048000"/>
            <wp:effectExtent l="0" t="0" r="6985" b="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pic:cNvPicPr>
                  </pic:nvPicPr>
                  <pic:blipFill>
                    <a:blip r:embed="rId57"/>
                    <a:stretch>
                      <a:fillRect/>
                    </a:stretch>
                  </pic:blipFill>
                  <pic:spPr>
                    <a:xfrm>
                      <a:off x="0" y="0"/>
                      <a:ext cx="2172335" cy="3048000"/>
                    </a:xfrm>
                    <a:prstGeom prst="rect">
                      <a:avLst/>
                    </a:prstGeom>
                    <a:noFill/>
                    <a:ln>
                      <a:noFill/>
                    </a:ln>
                  </pic:spPr>
                </pic:pic>
              </a:graphicData>
            </a:graphic>
          </wp:inline>
        </w:drawing>
      </w:r>
    </w:p>
    <w:p w14:paraId="17CAA7EF">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3</w:t>
      </w:r>
      <w:r>
        <w:rPr>
          <w:rFonts w:hint="eastAsia" w:ascii="宋体" w:hAnsi="宋体" w:eastAsia="宋体"/>
          <w:color w:val="auto"/>
        </w:rPr>
        <w:fldChar w:fldCharType="end"/>
      </w:r>
      <w:r>
        <w:rPr>
          <w:color w:val="auto"/>
        </w:rPr>
        <w:t xml:space="preserve">  </w:t>
      </w:r>
      <w:r>
        <w:rPr>
          <w:rFonts w:hint="eastAsia"/>
          <w:color w:val="auto"/>
          <w:lang w:val="en-US" w:eastAsia="zh-CN"/>
        </w:rPr>
        <w:t>吊装爬升架示意图</w:t>
      </w:r>
    </w:p>
    <w:p w14:paraId="10BEFB23">
      <w:pPr>
        <w:ind w:firstLine="480"/>
        <w:rPr>
          <w:rFonts w:hint="default"/>
          <w:lang w:val="en-US"/>
        </w:rPr>
      </w:pPr>
      <w:r>
        <w:rPr>
          <w:rFonts w:hint="eastAsia" w:ascii="宋体" w:hAnsi="宋体" w:eastAsia="宋体"/>
          <w:color w:val="auto"/>
          <w:lang w:val="en-US" w:eastAsia="zh-CN"/>
        </w:rPr>
        <w:t>塔机爬升架安装时设置警戒区，起吊安排专人负责指挥，专人操作，严禁无关人员进入起重作业范围内。</w:t>
      </w:r>
    </w:p>
    <w:p w14:paraId="3E2D1E13">
      <w:pPr>
        <w:pStyle w:val="4"/>
        <w:numPr>
          <w:ilvl w:val="2"/>
          <w:numId w:val="0"/>
        </w:numPr>
        <w:ind w:left="709" w:leftChars="0" w:hanging="709" w:firstLineChars="0"/>
        <w:rPr>
          <w:rFonts w:hint="eastAsia" w:eastAsia="宋体"/>
          <w:color w:val="auto"/>
          <w:lang w:eastAsia="zh-CN"/>
        </w:rPr>
      </w:pPr>
      <w:bookmarkStart w:id="175" w:name="_Toc12547"/>
      <w:bookmarkStart w:id="176" w:name="_Toc18987"/>
      <w:r>
        <w:rPr>
          <w:rFonts w:hint="default" w:ascii="宋体" w:hAnsi="宋体" w:eastAsia="宋体" w:cstheme="minorBidi"/>
          <w:b/>
          <w:bCs/>
          <w:color w:val="auto"/>
          <w:kern w:val="2"/>
          <w:sz w:val="24"/>
          <w:szCs w:val="32"/>
          <w:lang w:val="en-US" w:eastAsia="zh-CN" w:bidi="ar-SA"/>
        </w:rPr>
        <w:t>6.3.3.</w:t>
      </w:r>
      <w:r>
        <w:rPr>
          <w:rFonts w:hint="eastAsia"/>
          <w:color w:val="auto"/>
        </w:rPr>
        <w:t>安装</w:t>
      </w:r>
      <w:r>
        <w:rPr>
          <w:rFonts w:hint="eastAsia"/>
          <w:color w:val="auto"/>
          <w:lang w:val="en-US" w:eastAsia="zh-CN"/>
        </w:rPr>
        <w:t>特殊节</w:t>
      </w:r>
      <w:bookmarkEnd w:id="175"/>
      <w:bookmarkEnd w:id="176"/>
    </w:p>
    <w:p w14:paraId="04FFD720">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采用吊机配合人工在地面上将特殊节结构、特殊节平台、引进衡量等拼装成特殊节总成，特殊节吊装采用四点吊，以特殊节顶部四个销轴孔作为吊装孔，采用2根Φ24×12m的钢丝绳配套GB/T 25854-6-DW5卸扣进行吊装。</w:t>
      </w:r>
    </w:p>
    <w:p w14:paraId="4C72495E">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特殊节上栓好2根溜绳。启动吊机，将特殊节缓慢提升，用溜绳控制其摆动。起吊特殊节至标准节上方，吊机缓慢落钩，直至特殊节连接套孔与标准节连接套孔对齐，将安全带系挂在标准节顶部的横杆上，站立在标准节顶部的平台上，插入标准节与特殊节的连接螺栓，完成特殊节与标准节的连接。</w:t>
      </w:r>
    </w:p>
    <w:p w14:paraId="7029BB8F">
      <w:pPr>
        <w:ind w:firstLine="480"/>
        <w:rPr>
          <w:rFonts w:hint="eastAsia" w:ascii="宋体" w:hAnsi="宋体" w:eastAsia="宋体"/>
          <w:color w:val="auto"/>
          <w:lang w:val="en-US" w:eastAsia="zh-CN"/>
        </w:rPr>
      </w:pPr>
      <w:r>
        <w:rPr>
          <w:rFonts w:hint="eastAsia" w:ascii="宋体" w:hAnsi="宋体" w:eastAsia="宋体"/>
          <w:color w:val="auto"/>
          <w:lang w:val="en-US" w:eastAsia="zh-CN"/>
        </w:rPr>
        <w:t>操作顶升系统，将油缸伸长，使顶升横梁销轴落入到最上面一个塔身节的踏步圆弧槽内，再将爬升架顶升至与特殊节连接耳板接触，用销轴将爬升架与下支座连接牢固。特殊节的安装示意图如下</w:t>
      </w:r>
    </w:p>
    <w:p w14:paraId="00D95303">
      <w:pPr>
        <w:pStyle w:val="20"/>
        <w:ind w:firstLine="0" w:firstLineChars="0"/>
        <w:jc w:val="center"/>
        <w:rPr>
          <w:color w:val="auto"/>
          <w:sz w:val="24"/>
          <w:szCs w:val="24"/>
        </w:rPr>
      </w:pPr>
      <w:r>
        <w:drawing>
          <wp:inline distT="0" distB="0" distL="114300" distR="114300">
            <wp:extent cx="1232535" cy="2719705"/>
            <wp:effectExtent l="0" t="0" r="1905" b="8255"/>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58"/>
                    <a:stretch>
                      <a:fillRect/>
                    </a:stretch>
                  </pic:blipFill>
                  <pic:spPr>
                    <a:xfrm>
                      <a:off x="0" y="0"/>
                      <a:ext cx="1232535" cy="2719705"/>
                    </a:xfrm>
                    <a:prstGeom prst="rect">
                      <a:avLst/>
                    </a:prstGeom>
                    <a:noFill/>
                    <a:ln>
                      <a:noFill/>
                    </a:ln>
                  </pic:spPr>
                </pic:pic>
              </a:graphicData>
            </a:graphic>
          </wp:inline>
        </w:drawing>
      </w:r>
    </w:p>
    <w:p w14:paraId="01C9C86E">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4</w:t>
      </w:r>
      <w:r>
        <w:rPr>
          <w:rFonts w:hint="eastAsia" w:ascii="宋体" w:hAnsi="宋体" w:eastAsia="宋体"/>
          <w:color w:val="auto"/>
        </w:rPr>
        <w:fldChar w:fldCharType="end"/>
      </w:r>
      <w:r>
        <w:rPr>
          <w:color w:val="auto"/>
        </w:rPr>
        <w:t xml:space="preserve">  </w:t>
      </w:r>
      <w:r>
        <w:rPr>
          <w:rFonts w:hint="eastAsia"/>
          <w:color w:val="auto"/>
          <w:lang w:val="en-US" w:eastAsia="zh-CN"/>
        </w:rPr>
        <w:t>吊装特殊节示意图</w:t>
      </w:r>
    </w:p>
    <w:p w14:paraId="48836A0E">
      <w:pPr>
        <w:pStyle w:val="4"/>
        <w:numPr>
          <w:ilvl w:val="2"/>
          <w:numId w:val="0"/>
        </w:numPr>
        <w:ind w:left="709" w:leftChars="0" w:hanging="709" w:firstLineChars="0"/>
        <w:rPr>
          <w:rFonts w:hint="eastAsia"/>
          <w:color w:val="auto"/>
        </w:rPr>
      </w:pPr>
      <w:bookmarkStart w:id="177" w:name="_Toc18602"/>
      <w:bookmarkStart w:id="178" w:name="_Toc7131"/>
      <w:r>
        <w:rPr>
          <w:rFonts w:hint="default" w:ascii="宋体" w:hAnsi="宋体" w:eastAsia="宋体" w:cstheme="minorBidi"/>
          <w:b/>
          <w:bCs/>
          <w:color w:val="auto"/>
          <w:kern w:val="2"/>
          <w:sz w:val="24"/>
          <w:szCs w:val="32"/>
          <w:lang w:val="en-US" w:eastAsia="zh-CN" w:bidi="ar-SA"/>
        </w:rPr>
        <w:t>6.3.4.</w:t>
      </w:r>
      <w:r>
        <w:rPr>
          <w:rFonts w:hint="eastAsia"/>
          <w:color w:val="auto"/>
        </w:rPr>
        <w:t>安装回转总成</w:t>
      </w:r>
      <w:bookmarkEnd w:id="177"/>
      <w:bookmarkEnd w:id="178"/>
    </w:p>
    <w:p w14:paraId="6E181883">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采用吊机配合人工在地面上将回转支座、回转限位器、司机室和维修平台等拼装成回转总成，回转总成吊装采用四点吊，以回转总成顶部四个销轴孔作为吊装孔，采用2根Φ24×12m的钢丝绳配套GB/T 25854-6-DW5卸扣进行吊装。</w:t>
      </w:r>
    </w:p>
    <w:p w14:paraId="34E27407">
      <w:pPr>
        <w:ind w:firstLine="480"/>
        <w:rPr>
          <w:rFonts w:hint="eastAsia" w:ascii="宋体" w:hAnsi="宋体" w:eastAsia="宋体"/>
          <w:color w:val="auto"/>
        </w:rPr>
      </w:pPr>
      <w:r>
        <w:rPr>
          <w:rFonts w:hint="eastAsia" w:ascii="宋体" w:hAnsi="宋体" w:eastAsia="宋体"/>
          <w:color w:val="auto"/>
          <w:lang w:val="en-US" w:eastAsia="zh-CN"/>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连接套孔与特殊节连接套孔对齐，将安全带系挂在特殊节顶部的横杆上，站立在特殊节顶部的平台上，插入特殊节与回转总成下支座的连接螺栓，完成回转总成与特殊节的连接。回转总成的安装示意图如下。</w:t>
      </w:r>
    </w:p>
    <w:p w14:paraId="47E08B28">
      <w:pPr>
        <w:spacing w:line="240" w:lineRule="auto"/>
        <w:ind w:firstLine="0" w:firstLineChars="0"/>
        <w:jc w:val="center"/>
      </w:pPr>
      <w:r>
        <w:drawing>
          <wp:inline distT="0" distB="0" distL="114300" distR="114300">
            <wp:extent cx="1640205" cy="2456815"/>
            <wp:effectExtent l="0" t="0" r="5715" b="1206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59"/>
                    <a:stretch>
                      <a:fillRect/>
                    </a:stretch>
                  </pic:blipFill>
                  <pic:spPr>
                    <a:xfrm>
                      <a:off x="0" y="0"/>
                      <a:ext cx="1640205" cy="2456815"/>
                    </a:xfrm>
                    <a:prstGeom prst="rect">
                      <a:avLst/>
                    </a:prstGeom>
                    <a:noFill/>
                    <a:ln>
                      <a:noFill/>
                    </a:ln>
                  </pic:spPr>
                </pic:pic>
              </a:graphicData>
            </a:graphic>
          </wp:inline>
        </w:drawing>
      </w:r>
      <w:r>
        <w:drawing>
          <wp:inline distT="0" distB="0" distL="114300" distR="114300">
            <wp:extent cx="4011930" cy="2511425"/>
            <wp:effectExtent l="0" t="0" r="11430" b="3175"/>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0"/>
                    <a:stretch>
                      <a:fillRect/>
                    </a:stretch>
                  </pic:blipFill>
                  <pic:spPr>
                    <a:xfrm>
                      <a:off x="0" y="0"/>
                      <a:ext cx="4011930" cy="2511425"/>
                    </a:xfrm>
                    <a:prstGeom prst="rect">
                      <a:avLst/>
                    </a:prstGeom>
                    <a:noFill/>
                    <a:ln>
                      <a:noFill/>
                    </a:ln>
                  </pic:spPr>
                </pic:pic>
              </a:graphicData>
            </a:graphic>
          </wp:inline>
        </w:drawing>
      </w:r>
    </w:p>
    <w:p w14:paraId="2E914221">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5</w:t>
      </w:r>
      <w:r>
        <w:rPr>
          <w:rFonts w:hint="eastAsia" w:ascii="宋体" w:hAnsi="宋体" w:eastAsia="宋体"/>
          <w:color w:val="auto"/>
        </w:rPr>
        <w:fldChar w:fldCharType="end"/>
      </w:r>
      <w:r>
        <w:rPr>
          <w:color w:val="auto"/>
        </w:rPr>
        <w:t xml:space="preserve">  </w:t>
      </w:r>
      <w:r>
        <w:rPr>
          <w:rFonts w:hint="eastAsia"/>
          <w:color w:val="auto"/>
          <w:lang w:val="en-US" w:eastAsia="zh-CN"/>
        </w:rPr>
        <w:t>吊装回转总成示意图</w:t>
      </w:r>
    </w:p>
    <w:p w14:paraId="1DEAF1DC">
      <w:pPr>
        <w:pStyle w:val="10"/>
        <w:ind w:left="0" w:leftChars="0" w:firstLine="0" w:firstLineChars="0"/>
        <w:jc w:val="center"/>
      </w:pPr>
      <w:r>
        <w:drawing>
          <wp:inline distT="0" distB="0" distL="114300" distR="114300">
            <wp:extent cx="3302000" cy="2784475"/>
            <wp:effectExtent l="0" t="0" r="5080" b="444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61"/>
                    <a:stretch>
                      <a:fillRect/>
                    </a:stretch>
                  </pic:blipFill>
                  <pic:spPr>
                    <a:xfrm>
                      <a:off x="0" y="0"/>
                      <a:ext cx="3302000" cy="2784475"/>
                    </a:xfrm>
                    <a:prstGeom prst="rect">
                      <a:avLst/>
                    </a:prstGeom>
                    <a:noFill/>
                    <a:ln>
                      <a:noFill/>
                    </a:ln>
                  </pic:spPr>
                </pic:pic>
              </a:graphicData>
            </a:graphic>
          </wp:inline>
        </w:drawing>
      </w:r>
    </w:p>
    <w:p w14:paraId="69908A7C">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6</w:t>
      </w:r>
      <w:r>
        <w:rPr>
          <w:rFonts w:hint="eastAsia" w:ascii="宋体" w:hAnsi="宋体" w:eastAsia="宋体"/>
          <w:color w:val="auto"/>
        </w:rPr>
        <w:fldChar w:fldCharType="end"/>
      </w:r>
      <w:r>
        <w:rPr>
          <w:color w:val="auto"/>
        </w:rPr>
        <w:t xml:space="preserve"> </w:t>
      </w:r>
      <w:r>
        <w:rPr>
          <w:rFonts w:hint="eastAsia"/>
          <w:color w:val="auto"/>
          <w:lang w:val="en-US" w:eastAsia="zh-CN"/>
        </w:rPr>
        <w:t>吊装回转总成吊车站位图</w:t>
      </w:r>
    </w:p>
    <w:p w14:paraId="0E996B3D">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作业人员通过爬梯爬至回转总成顶部，将安全带系挂在回转总成顶部的横杆上，站立在回转总成顶部，吊机放松吊钩，作业人员解除卸扣与回转总成的连接。</w:t>
      </w:r>
    </w:p>
    <w:p w14:paraId="651A2499">
      <w:pPr>
        <w:pStyle w:val="15"/>
        <w:rPr>
          <w:rFonts w:hint="default"/>
          <w:lang w:val="en-US"/>
        </w:rPr>
      </w:pPr>
      <w:r>
        <w:rPr>
          <w:rFonts w:hint="eastAsia" w:ascii="宋体" w:hAnsi="宋体" w:eastAsia="宋体"/>
          <w:color w:val="auto"/>
          <w:lang w:val="en-US" w:eastAsia="zh-CN"/>
        </w:rPr>
        <w:t>塔机回转总成安装时设置警戒区，起吊安排专人负责指挥，专人操作，严禁无关人员进入起重作业范围内。</w:t>
      </w:r>
    </w:p>
    <w:p w14:paraId="3962CA55">
      <w:pPr>
        <w:pStyle w:val="4"/>
        <w:numPr>
          <w:ilvl w:val="2"/>
          <w:numId w:val="0"/>
        </w:numPr>
        <w:ind w:left="709" w:leftChars="0" w:hanging="709" w:firstLineChars="0"/>
        <w:rPr>
          <w:rFonts w:hint="eastAsia" w:cstheme="minorBidi"/>
          <w:b/>
          <w:bCs/>
          <w:color w:val="auto"/>
          <w:kern w:val="2"/>
          <w:sz w:val="24"/>
          <w:szCs w:val="32"/>
          <w:lang w:val="en-US" w:eastAsia="zh-CN" w:bidi="ar-SA"/>
        </w:rPr>
      </w:pPr>
      <w:bookmarkStart w:id="179" w:name="_Toc31781"/>
      <w:bookmarkStart w:id="180" w:name="_Toc1396"/>
      <w:r>
        <w:rPr>
          <w:rFonts w:hint="default" w:ascii="宋体" w:hAnsi="宋体" w:eastAsia="宋体" w:cstheme="minorBidi"/>
          <w:b/>
          <w:bCs/>
          <w:color w:val="auto"/>
          <w:kern w:val="2"/>
          <w:sz w:val="24"/>
          <w:szCs w:val="32"/>
          <w:lang w:val="en-US" w:eastAsia="zh-CN" w:bidi="ar-SA"/>
        </w:rPr>
        <w:t>6.3.5.</w:t>
      </w:r>
      <w:r>
        <w:rPr>
          <w:rFonts w:hint="eastAsia" w:cstheme="minorBidi"/>
          <w:b/>
          <w:bCs/>
          <w:color w:val="auto"/>
          <w:kern w:val="2"/>
          <w:sz w:val="24"/>
          <w:szCs w:val="32"/>
          <w:lang w:val="en-US" w:eastAsia="zh-CN" w:bidi="ar-SA"/>
        </w:rPr>
        <w:t>安装起重臂臂根节</w:t>
      </w:r>
      <w:bookmarkEnd w:id="179"/>
      <w:bookmarkEnd w:id="180"/>
    </w:p>
    <w:p w14:paraId="32D27D67">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采用吊机配合人工在地面上将臂根节拼装完成，臂根节吊装采用四点吊，采用2根Φ24×12m的钢丝绳配套GB/T 25854-6-DW5卸扣分别穿过吊耳进行吊装。</w:t>
      </w:r>
    </w:p>
    <w:p w14:paraId="0B9C8523">
      <w:pPr>
        <w:ind w:firstLine="480"/>
        <w:rPr>
          <w:rFonts w:hint="default"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22CBBD1B">
      <w:pPr>
        <w:pStyle w:val="10"/>
        <w:ind w:left="0" w:leftChars="0" w:firstLine="0" w:firstLineChars="0"/>
        <w:jc w:val="center"/>
        <w:rPr>
          <w:rFonts w:ascii="宋体" w:hAnsi="宋体" w:eastAsia="宋体"/>
        </w:rPr>
      </w:pPr>
      <w:r>
        <w:rPr>
          <w:rFonts w:ascii="宋体" w:hAnsi="宋体" w:eastAsia="宋体"/>
        </w:rPr>
        <w:drawing>
          <wp:inline distT="0" distB="0" distL="114300" distR="114300">
            <wp:extent cx="2588895" cy="2938780"/>
            <wp:effectExtent l="0" t="0" r="1905" b="254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62"/>
                    <a:stretch>
                      <a:fillRect/>
                    </a:stretch>
                  </pic:blipFill>
                  <pic:spPr>
                    <a:xfrm>
                      <a:off x="0" y="0"/>
                      <a:ext cx="2588895" cy="2938780"/>
                    </a:xfrm>
                    <a:prstGeom prst="rect">
                      <a:avLst/>
                    </a:prstGeom>
                    <a:noFill/>
                    <a:ln>
                      <a:noFill/>
                    </a:ln>
                  </pic:spPr>
                </pic:pic>
              </a:graphicData>
            </a:graphic>
          </wp:inline>
        </w:drawing>
      </w:r>
    </w:p>
    <w:p w14:paraId="01C80224">
      <w:pPr>
        <w:autoSpaceDE w:val="0"/>
        <w:autoSpaceDN w:val="0"/>
        <w:adjustRightInd w:val="0"/>
        <w:ind w:firstLine="0" w:firstLineChars="0"/>
        <w:jc w:val="center"/>
        <w:rPr>
          <w:rFonts w:hint="default"/>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7</w:t>
      </w:r>
      <w:r>
        <w:rPr>
          <w:rFonts w:hint="eastAsia" w:ascii="宋体" w:hAnsi="宋体" w:eastAsia="宋体"/>
          <w:color w:val="auto"/>
        </w:rPr>
        <w:fldChar w:fldCharType="end"/>
      </w:r>
      <w:r>
        <w:rPr>
          <w:color w:val="auto"/>
        </w:rPr>
        <w:t xml:space="preserve"> </w:t>
      </w:r>
      <w:r>
        <w:rPr>
          <w:rFonts w:hint="eastAsia"/>
          <w:color w:val="auto"/>
          <w:lang w:val="en-US" w:eastAsia="zh-CN"/>
        </w:rPr>
        <w:t>吊装臂根节示意图</w:t>
      </w:r>
    </w:p>
    <w:p w14:paraId="3770D1D0">
      <w:pPr>
        <w:pStyle w:val="4"/>
        <w:numPr>
          <w:ilvl w:val="2"/>
          <w:numId w:val="0"/>
        </w:numPr>
        <w:ind w:left="709" w:leftChars="0" w:hanging="709" w:firstLineChars="0"/>
        <w:rPr>
          <w:rFonts w:hint="eastAsia"/>
          <w:color w:val="auto"/>
        </w:rPr>
      </w:pPr>
      <w:bookmarkStart w:id="181" w:name="_Toc29646"/>
      <w:bookmarkStart w:id="182" w:name="_Toc12957"/>
      <w:r>
        <w:rPr>
          <w:rFonts w:hint="default" w:ascii="宋体" w:hAnsi="宋体" w:eastAsia="宋体" w:cstheme="minorBidi"/>
          <w:b/>
          <w:bCs/>
          <w:color w:val="auto"/>
          <w:kern w:val="2"/>
          <w:sz w:val="24"/>
          <w:szCs w:val="32"/>
          <w:lang w:val="en-US" w:eastAsia="zh-CN" w:bidi="ar-SA"/>
        </w:rPr>
        <w:t>6.3.6.</w:t>
      </w:r>
      <w:r>
        <w:rPr>
          <w:rFonts w:hint="eastAsia"/>
          <w:color w:val="auto"/>
        </w:rPr>
        <w:t>安装平衡臂</w:t>
      </w:r>
      <w:bookmarkEnd w:id="181"/>
      <w:bookmarkEnd w:id="182"/>
    </w:p>
    <w:p w14:paraId="630464F4">
      <w:pPr>
        <w:ind w:firstLine="480"/>
        <w:rPr>
          <w:rFonts w:hint="eastAsia" w:ascii="宋体" w:hAnsi="宋体" w:eastAsia="宋体"/>
          <w:color w:val="auto"/>
          <w:lang w:val="en-US" w:eastAsia="zh-CN"/>
        </w:rPr>
      </w:pPr>
      <w:r>
        <w:rPr>
          <w:rFonts w:hint="eastAsia" w:ascii="宋体" w:hAnsi="宋体" w:eastAsia="宋体"/>
          <w:color w:val="auto"/>
          <w:lang w:val="en-US" w:eastAsia="zh-CN"/>
        </w:rPr>
        <w:t>采用吊机配合人工在地面上将平衡臂分别组装好（含走台及栏杆）平衡臂吊装采用四点吊，以平衡臂臂节上弦杆吊耳作为吊装孔，采用2根Φ24×12m的钢丝绳配套GB/T 25854-6-DW5卸扣进行吊装。</w:t>
      </w:r>
    </w:p>
    <w:p w14:paraId="3FFE447A">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p w14:paraId="12DADD71">
      <w:pPr>
        <w:autoSpaceDE w:val="0"/>
        <w:autoSpaceDN w:val="0"/>
        <w:adjustRightInd w:val="0"/>
        <w:ind w:firstLine="0" w:firstLineChars="0"/>
        <w:jc w:val="center"/>
      </w:pPr>
      <w:r>
        <w:drawing>
          <wp:inline distT="0" distB="0" distL="114300" distR="114300">
            <wp:extent cx="3941445" cy="2536825"/>
            <wp:effectExtent l="0" t="0" r="5715" b="8255"/>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63"/>
                    <a:stretch>
                      <a:fillRect/>
                    </a:stretch>
                  </pic:blipFill>
                  <pic:spPr>
                    <a:xfrm>
                      <a:off x="0" y="0"/>
                      <a:ext cx="3941445" cy="2536825"/>
                    </a:xfrm>
                    <a:prstGeom prst="rect">
                      <a:avLst/>
                    </a:prstGeom>
                    <a:noFill/>
                    <a:ln>
                      <a:noFill/>
                    </a:ln>
                  </pic:spPr>
                </pic:pic>
              </a:graphicData>
            </a:graphic>
          </wp:inline>
        </w:drawing>
      </w:r>
    </w:p>
    <w:p w14:paraId="05DE911F">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8</w:t>
      </w:r>
      <w:r>
        <w:rPr>
          <w:rFonts w:hint="eastAsia" w:ascii="宋体" w:hAnsi="宋体" w:eastAsia="宋体"/>
          <w:color w:val="auto"/>
        </w:rPr>
        <w:fldChar w:fldCharType="end"/>
      </w:r>
      <w:r>
        <w:rPr>
          <w:color w:val="auto"/>
        </w:rPr>
        <w:t xml:space="preserve"> </w:t>
      </w:r>
      <w:r>
        <w:rPr>
          <w:rFonts w:hint="eastAsia"/>
          <w:color w:val="auto"/>
          <w:lang w:val="en-US" w:eastAsia="zh-CN"/>
        </w:rPr>
        <w:t>吊装平衡臂总成</w:t>
      </w:r>
    </w:p>
    <w:p w14:paraId="78131818">
      <w:pPr>
        <w:autoSpaceDE w:val="0"/>
        <w:autoSpaceDN w:val="0"/>
        <w:adjustRightInd w:val="0"/>
        <w:ind w:firstLine="0" w:firstLineChars="0"/>
        <w:jc w:val="center"/>
      </w:pPr>
      <w:r>
        <w:drawing>
          <wp:inline distT="0" distB="0" distL="114300" distR="114300">
            <wp:extent cx="2985770" cy="2840355"/>
            <wp:effectExtent l="0" t="0" r="1270" b="9525"/>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pic:cNvPicPr>
                      <a:picLocks noChangeAspect="1"/>
                    </pic:cNvPicPr>
                  </pic:nvPicPr>
                  <pic:blipFill>
                    <a:blip r:embed="rId64"/>
                    <a:stretch>
                      <a:fillRect/>
                    </a:stretch>
                  </pic:blipFill>
                  <pic:spPr>
                    <a:xfrm>
                      <a:off x="0" y="0"/>
                      <a:ext cx="2985770" cy="2840355"/>
                    </a:xfrm>
                    <a:prstGeom prst="rect">
                      <a:avLst/>
                    </a:prstGeom>
                    <a:noFill/>
                    <a:ln>
                      <a:noFill/>
                    </a:ln>
                  </pic:spPr>
                </pic:pic>
              </a:graphicData>
            </a:graphic>
          </wp:inline>
        </w:drawing>
      </w:r>
    </w:p>
    <w:p w14:paraId="1AC912D3">
      <w:pPr>
        <w:autoSpaceDE w:val="0"/>
        <w:autoSpaceDN w:val="0"/>
        <w:adjustRightInd w:val="0"/>
        <w:ind w:firstLine="0" w:firstLineChars="0"/>
        <w:jc w:val="center"/>
        <w:rPr>
          <w:rFonts w:hint="default" w:cs="宋体"/>
          <w:color w:val="auto"/>
          <w:kern w:val="0"/>
          <w:szCs w:val="24"/>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9</w:t>
      </w:r>
      <w:r>
        <w:rPr>
          <w:rFonts w:hint="eastAsia" w:ascii="宋体" w:hAnsi="宋体" w:eastAsia="宋体"/>
          <w:color w:val="auto"/>
        </w:rPr>
        <w:fldChar w:fldCharType="end"/>
      </w:r>
      <w:r>
        <w:rPr>
          <w:color w:val="auto"/>
        </w:rPr>
        <w:t xml:space="preserve"> </w:t>
      </w:r>
      <w:r>
        <w:rPr>
          <w:rFonts w:hint="eastAsia"/>
          <w:color w:val="auto"/>
          <w:lang w:val="en-US" w:eastAsia="zh-CN"/>
        </w:rPr>
        <w:t>吊装平衡臂总成吊车站位图</w:t>
      </w:r>
    </w:p>
    <w:p w14:paraId="787901E1">
      <w:pPr>
        <w:ind w:firstLine="480"/>
        <w:rPr>
          <w:rFonts w:hint="eastAsia" w:ascii="宋体" w:hAnsi="宋体" w:eastAsia="宋体"/>
          <w:color w:val="auto"/>
          <w:lang w:val="en-US" w:eastAsia="zh-CN"/>
        </w:rPr>
      </w:pPr>
      <w:r>
        <w:rPr>
          <w:rFonts w:hint="eastAsia" w:ascii="宋体" w:hAnsi="宋体" w:eastAsia="宋体"/>
          <w:color w:val="auto"/>
          <w:lang w:val="en-US" w:eastAsia="zh-CN"/>
        </w:rPr>
        <w:t>作业人员通过爬梯爬至臂根节，将安全带交替系挂在平衡臂臂节护栏，沿走道走行至平衡臂臂节吊点位置，吊机放松吊钩，作业人员解除钢丝绳与平衡臂臂节吊点的连接。</w:t>
      </w:r>
    </w:p>
    <w:p w14:paraId="1671DC0A">
      <w:pPr>
        <w:ind w:firstLine="480"/>
        <w:rPr>
          <w:rFonts w:hint="eastAsia"/>
        </w:rPr>
      </w:pPr>
      <w:r>
        <w:rPr>
          <w:rFonts w:hint="eastAsia" w:ascii="宋体" w:hAnsi="宋体" w:eastAsia="宋体"/>
          <w:color w:val="auto"/>
          <w:lang w:val="en-US" w:eastAsia="zh-CN"/>
        </w:rPr>
        <w:t>平衡臂臂节安装时设置警戒区，起吊安排专人负责指挥，专人操作，严禁无关人员进入起重作业范围内。</w:t>
      </w:r>
    </w:p>
    <w:p w14:paraId="29447AA0">
      <w:pPr>
        <w:pStyle w:val="4"/>
        <w:numPr>
          <w:ilvl w:val="2"/>
          <w:numId w:val="0"/>
        </w:numPr>
        <w:ind w:left="709" w:leftChars="0" w:hanging="709" w:firstLineChars="0"/>
        <w:rPr>
          <w:rFonts w:hint="eastAsia"/>
          <w:color w:val="auto"/>
        </w:rPr>
      </w:pPr>
      <w:bookmarkStart w:id="183" w:name="_Toc4659"/>
      <w:bookmarkStart w:id="184" w:name="_Toc7025"/>
      <w:r>
        <w:rPr>
          <w:rFonts w:hint="default" w:ascii="宋体" w:hAnsi="宋体" w:eastAsia="宋体" w:cstheme="minorBidi"/>
          <w:b/>
          <w:bCs/>
          <w:color w:val="auto"/>
          <w:kern w:val="2"/>
          <w:sz w:val="24"/>
          <w:szCs w:val="32"/>
          <w:lang w:val="en-US" w:eastAsia="zh-CN" w:bidi="ar-SA"/>
        </w:rPr>
        <w:t>6.3.7.</w:t>
      </w:r>
      <w:r>
        <w:rPr>
          <w:rFonts w:hint="eastAsia"/>
          <w:color w:val="auto"/>
        </w:rPr>
        <w:t>安装</w:t>
      </w:r>
      <w:r>
        <w:rPr>
          <w:rFonts w:hint="eastAsia"/>
          <w:color w:val="auto"/>
          <w:lang w:val="en-US" w:eastAsia="zh-CN"/>
        </w:rPr>
        <w:t>两</w:t>
      </w:r>
      <w:r>
        <w:rPr>
          <w:rFonts w:hint="eastAsia"/>
          <w:color w:val="auto"/>
        </w:rPr>
        <w:t>块</w:t>
      </w:r>
      <w:r>
        <w:rPr>
          <w:rFonts w:hint="eastAsia"/>
          <w:color w:val="auto"/>
          <w:lang w:val="en-US" w:eastAsia="zh-CN"/>
        </w:rPr>
        <w:t>3.2</w:t>
      </w:r>
      <w:r>
        <w:rPr>
          <w:color w:val="auto"/>
        </w:rPr>
        <w:t>t</w:t>
      </w:r>
      <w:r>
        <w:rPr>
          <w:rFonts w:hint="eastAsia"/>
          <w:color w:val="auto"/>
        </w:rPr>
        <w:t>平衡重</w:t>
      </w:r>
      <w:bookmarkEnd w:id="183"/>
      <w:bookmarkEnd w:id="184"/>
    </w:p>
    <w:p w14:paraId="1674E560">
      <w:pPr>
        <w:ind w:firstLine="480"/>
        <w:rPr>
          <w:rFonts w:hint="eastAsia" w:ascii="宋体" w:hAnsi="宋体" w:eastAsia="宋体"/>
          <w:color w:val="auto"/>
          <w:lang w:val="en-US" w:eastAsia="zh-CN"/>
        </w:rPr>
      </w:pPr>
      <w:r>
        <w:rPr>
          <w:rFonts w:hint="eastAsia" w:ascii="宋体" w:hAnsi="宋体" w:eastAsia="宋体"/>
          <w:color w:val="auto"/>
          <w:lang w:val="en-US" w:eastAsia="zh-CN"/>
        </w:rPr>
        <w:t>平衡重吊装采用两点吊，采用2根20mm6×19W+IWR1870Mpa的钢丝绳配套GB/T 25854-6-DW5卸扣与平衡重吊耳进行连接吊装。</w:t>
      </w:r>
    </w:p>
    <w:p w14:paraId="2E37C5F3">
      <w:pPr>
        <w:ind w:firstLine="480"/>
        <w:rPr>
          <w:rFonts w:hint="eastAsia"/>
        </w:rPr>
      </w:pPr>
      <w:r>
        <w:rPr>
          <w:rFonts w:hint="eastAsia" w:ascii="宋体" w:hAnsi="宋体" w:eastAsia="宋体"/>
          <w:color w:val="auto"/>
          <w:lang w:val="en-US" w:eastAsia="zh-CN"/>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按相同方法安装第二块平衡重，即完成平衡重安装。平衡重安装后，作业人员解除卸扣与平衡重吊耳的连接。平衡重吊装示意如下图所示。</w:t>
      </w:r>
    </w:p>
    <w:p w14:paraId="692E0253">
      <w:pPr>
        <w:autoSpaceDE w:val="0"/>
        <w:autoSpaceDN w:val="0"/>
        <w:adjustRightInd w:val="0"/>
        <w:ind w:firstLine="0" w:firstLineChars="0"/>
        <w:jc w:val="center"/>
      </w:pPr>
      <w:r>
        <w:drawing>
          <wp:inline distT="0" distB="0" distL="114300" distR="114300">
            <wp:extent cx="5039360" cy="2410460"/>
            <wp:effectExtent l="0" t="0" r="5080" b="12700"/>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65"/>
                    <a:stretch>
                      <a:fillRect/>
                    </a:stretch>
                  </pic:blipFill>
                  <pic:spPr>
                    <a:xfrm>
                      <a:off x="0" y="0"/>
                      <a:ext cx="5039360" cy="2410460"/>
                    </a:xfrm>
                    <a:prstGeom prst="rect">
                      <a:avLst/>
                    </a:prstGeom>
                    <a:noFill/>
                    <a:ln>
                      <a:noFill/>
                    </a:ln>
                  </pic:spPr>
                </pic:pic>
              </a:graphicData>
            </a:graphic>
          </wp:inline>
        </w:drawing>
      </w:r>
    </w:p>
    <w:p w14:paraId="650AC295">
      <w:pPr>
        <w:autoSpaceDE w:val="0"/>
        <w:autoSpaceDN w:val="0"/>
        <w:adjustRightInd w:val="0"/>
        <w:ind w:firstLine="0" w:firstLineChars="0"/>
        <w:jc w:val="center"/>
        <w:rPr>
          <w:rFonts w:hint="eastAsia"/>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10</w:t>
      </w:r>
      <w:r>
        <w:rPr>
          <w:rFonts w:hint="eastAsia" w:ascii="宋体" w:hAnsi="宋体" w:eastAsia="宋体"/>
          <w:color w:val="auto"/>
        </w:rPr>
        <w:fldChar w:fldCharType="end"/>
      </w:r>
      <w:r>
        <w:rPr>
          <w:color w:val="auto"/>
        </w:rPr>
        <w:t xml:space="preserve"> </w:t>
      </w:r>
      <w:r>
        <w:rPr>
          <w:rFonts w:hint="eastAsia"/>
          <w:color w:val="auto"/>
          <w:lang w:val="en-US" w:eastAsia="zh-CN"/>
        </w:rPr>
        <w:t>吊装两块3.2t平衡重</w:t>
      </w:r>
    </w:p>
    <w:p w14:paraId="5505A103">
      <w:pPr>
        <w:ind w:firstLine="480"/>
        <w:rPr>
          <w:rFonts w:hint="default"/>
          <w:lang w:val="en-US"/>
        </w:rPr>
      </w:pPr>
      <w:r>
        <w:rPr>
          <w:rFonts w:hint="eastAsia" w:ascii="宋体" w:hAnsi="宋体" w:eastAsia="宋体"/>
          <w:color w:val="auto"/>
          <w:lang w:val="en-US" w:eastAsia="zh-CN"/>
        </w:rPr>
        <w:t>塔机平衡重安装时设置警戒区，起吊安排专人负责指挥，专人操作，严禁无关人员进入起重作业范围内。</w:t>
      </w:r>
    </w:p>
    <w:p w14:paraId="36BB9BFB">
      <w:pPr>
        <w:pStyle w:val="4"/>
        <w:numPr>
          <w:ilvl w:val="2"/>
          <w:numId w:val="0"/>
        </w:numPr>
        <w:ind w:left="709" w:leftChars="0" w:hanging="709" w:firstLineChars="0"/>
        <w:rPr>
          <w:rFonts w:hint="eastAsia"/>
          <w:color w:val="auto"/>
        </w:rPr>
      </w:pPr>
      <w:bookmarkStart w:id="185" w:name="_Toc17787"/>
      <w:bookmarkStart w:id="186" w:name="_Toc13272"/>
      <w:r>
        <w:rPr>
          <w:rFonts w:hint="default" w:ascii="宋体" w:hAnsi="宋体" w:eastAsia="宋体" w:cstheme="minorBidi"/>
          <w:b/>
          <w:bCs/>
          <w:color w:val="auto"/>
          <w:kern w:val="2"/>
          <w:sz w:val="24"/>
          <w:szCs w:val="32"/>
          <w:lang w:val="en-US" w:eastAsia="zh-CN" w:bidi="ar-SA"/>
        </w:rPr>
        <w:t>6.3.8.</w:t>
      </w:r>
      <w:r>
        <w:rPr>
          <w:rFonts w:hint="eastAsia"/>
          <w:color w:val="auto"/>
        </w:rPr>
        <w:t>安装</w:t>
      </w:r>
      <w:r>
        <w:rPr>
          <w:rFonts w:hint="eastAsia"/>
          <w:color w:val="auto"/>
          <w:lang w:val="en-US" w:eastAsia="zh-CN"/>
        </w:rPr>
        <w:t>50米</w:t>
      </w:r>
      <w:r>
        <w:rPr>
          <w:rFonts w:hint="eastAsia"/>
          <w:color w:val="auto"/>
        </w:rPr>
        <w:t>起重臂总成</w:t>
      </w:r>
      <w:bookmarkEnd w:id="185"/>
      <w:bookmarkEnd w:id="186"/>
    </w:p>
    <w:p w14:paraId="0B3CF694">
      <w:pPr>
        <w:autoSpaceDE w:val="0"/>
        <w:autoSpaceDN w:val="0"/>
        <w:adjustRightInd w:val="0"/>
        <w:ind w:firstLine="480"/>
        <w:rPr>
          <w:rFonts w:hint="eastAsia" w:cs="宋体"/>
          <w:color w:val="auto"/>
          <w:kern w:val="0"/>
          <w:szCs w:val="24"/>
        </w:rPr>
      </w:pPr>
      <w:r>
        <w:rPr>
          <w:rFonts w:hint="eastAsia" w:cs="宋体"/>
          <w:color w:val="auto"/>
          <w:kern w:val="0"/>
          <w:szCs w:val="24"/>
        </w:rPr>
        <w:t>起重臂总成是由起重臂结构、变幅机构、载重小车组成。</w:t>
      </w:r>
    </w:p>
    <w:p w14:paraId="5B3A9D46">
      <w:pPr>
        <w:autoSpaceDE w:val="0"/>
        <w:autoSpaceDN w:val="0"/>
        <w:adjustRightInd w:val="0"/>
        <w:ind w:firstLine="480"/>
        <w:rPr>
          <w:rFonts w:hint="eastAsia" w:cs="宋体"/>
          <w:color w:val="auto"/>
          <w:kern w:val="0"/>
          <w:szCs w:val="24"/>
        </w:rPr>
      </w:pPr>
      <w:r>
        <w:rPr>
          <w:rFonts w:hint="eastAsia" w:cs="宋体"/>
          <w:color w:val="auto"/>
          <w:kern w:val="0"/>
          <w:szCs w:val="24"/>
        </w:rPr>
        <w:t>起重臂组装时，必须严格按照每节臂上的序号标记组装，不允许错位或随意组装。根据施工要求将起重臂组装成</w:t>
      </w:r>
      <w:r>
        <w:rPr>
          <w:rFonts w:hint="eastAsia" w:cs="宋体"/>
          <w:color w:val="auto"/>
          <w:kern w:val="0"/>
          <w:szCs w:val="24"/>
          <w:lang w:val="en-US" w:eastAsia="zh-CN"/>
        </w:rPr>
        <w:t>5</w:t>
      </w:r>
      <w:r>
        <w:rPr>
          <w:rFonts w:cs="宋体"/>
          <w:color w:val="auto"/>
          <w:kern w:val="0"/>
          <w:szCs w:val="24"/>
        </w:rPr>
        <w:t>0m</w:t>
      </w:r>
      <w:r>
        <w:rPr>
          <w:rFonts w:hint="eastAsia" w:cs="宋体"/>
          <w:color w:val="auto"/>
          <w:kern w:val="0"/>
          <w:szCs w:val="24"/>
        </w:rPr>
        <w:t>臂长。臂长臂节组合如图所示。</w:t>
      </w:r>
    </w:p>
    <w:p w14:paraId="1D2987A8">
      <w:pPr>
        <w:pStyle w:val="20"/>
        <w:ind w:firstLine="0" w:firstLineChars="0"/>
        <w:jc w:val="center"/>
      </w:pPr>
      <w:r>
        <w:drawing>
          <wp:inline distT="0" distB="0" distL="114300" distR="114300">
            <wp:extent cx="5483225" cy="2764790"/>
            <wp:effectExtent l="0" t="0" r="3175" b="8890"/>
            <wp:docPr id="5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pic:cNvPicPr>
                      <a:picLocks noChangeAspect="1"/>
                    </pic:cNvPicPr>
                  </pic:nvPicPr>
                  <pic:blipFill>
                    <a:blip r:embed="rId66"/>
                    <a:stretch>
                      <a:fillRect/>
                    </a:stretch>
                  </pic:blipFill>
                  <pic:spPr>
                    <a:xfrm>
                      <a:off x="0" y="0"/>
                      <a:ext cx="5483225" cy="2764790"/>
                    </a:xfrm>
                    <a:prstGeom prst="rect">
                      <a:avLst/>
                    </a:prstGeom>
                    <a:noFill/>
                    <a:ln>
                      <a:noFill/>
                    </a:ln>
                  </pic:spPr>
                </pic:pic>
              </a:graphicData>
            </a:graphic>
          </wp:inline>
        </w:drawing>
      </w:r>
    </w:p>
    <w:p w14:paraId="71135671">
      <w:pPr>
        <w:autoSpaceDE w:val="0"/>
        <w:autoSpaceDN w:val="0"/>
        <w:adjustRightInd w:val="0"/>
        <w:ind w:firstLine="0" w:firstLineChars="0"/>
        <w:jc w:val="center"/>
        <w:rPr>
          <w:rFonts w:hint="default"/>
          <w:color w:val="auto"/>
          <w:lang w:val="en-US"/>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11</w:t>
      </w:r>
      <w:r>
        <w:rPr>
          <w:rFonts w:hint="eastAsia" w:ascii="宋体" w:hAnsi="宋体" w:eastAsia="宋体"/>
          <w:color w:val="auto"/>
        </w:rPr>
        <w:fldChar w:fldCharType="end"/>
      </w:r>
      <w:r>
        <w:rPr>
          <w:color w:val="auto"/>
        </w:rPr>
        <w:t xml:space="preserve"> </w:t>
      </w:r>
      <w:r>
        <w:rPr>
          <w:rFonts w:hint="eastAsia"/>
          <w:color w:val="auto"/>
          <w:lang w:val="en-US" w:eastAsia="zh-CN"/>
        </w:rPr>
        <w:t>50米起重臂示意图</w:t>
      </w:r>
    </w:p>
    <w:p w14:paraId="63610159">
      <w:pPr>
        <w:autoSpaceDE w:val="0"/>
        <w:autoSpaceDN w:val="0"/>
        <w:adjustRightInd w:val="0"/>
        <w:ind w:firstLine="480"/>
        <w:rPr>
          <w:rFonts w:hint="eastAsia" w:cs="宋体"/>
          <w:color w:val="auto"/>
          <w:kern w:val="0"/>
          <w:szCs w:val="24"/>
        </w:rPr>
      </w:pPr>
      <w:r>
        <w:rPr>
          <w:rFonts w:hint="eastAsia" w:cs="宋体"/>
          <w:color w:val="auto"/>
          <w:kern w:val="0"/>
          <w:szCs w:val="24"/>
        </w:rPr>
        <w:t>操纵回转机构转动或者使用回转机构摇把，将塔机上部结构回转至方便安装起重臂的方位。</w:t>
      </w:r>
    </w:p>
    <w:p w14:paraId="3C87997C">
      <w:pPr>
        <w:autoSpaceDE w:val="0"/>
        <w:autoSpaceDN w:val="0"/>
        <w:adjustRightInd w:val="0"/>
        <w:ind w:firstLine="480"/>
        <w:rPr>
          <w:rFonts w:hint="default" w:eastAsia="宋体" w:cs="宋体"/>
          <w:color w:val="auto"/>
          <w:kern w:val="0"/>
          <w:szCs w:val="24"/>
          <w:lang w:val="en-US" w:eastAsia="zh-CN"/>
        </w:rPr>
      </w:pPr>
      <w:r>
        <w:rPr>
          <w:rFonts w:hint="eastAsia" w:cs="宋体"/>
          <w:color w:val="auto"/>
          <w:kern w:val="0"/>
          <w:szCs w:val="24"/>
        </w:rPr>
        <w:t>按各种臂长的起重臂总成重心位置进行挂绳，如图和表所示，试吊是否平衡，否则可适当移动挂绳位置，吊装时</w:t>
      </w:r>
      <w:r>
        <w:rPr>
          <w:rFonts w:hint="eastAsia" w:cs="宋体"/>
          <w:color w:val="auto"/>
          <w:kern w:val="0"/>
          <w:szCs w:val="24"/>
          <w:lang w:val="en-US" w:eastAsia="zh-CN"/>
        </w:rPr>
        <w:t>10</w:t>
      </w:r>
      <w:r>
        <w:rPr>
          <w:rFonts w:cs="宋体"/>
          <w:color w:val="auto"/>
          <w:kern w:val="0"/>
          <w:szCs w:val="24"/>
        </w:rPr>
        <w:t>m≤</w:t>
      </w:r>
      <w:r>
        <w:rPr>
          <w:rFonts w:hint="eastAsia" w:cs="宋体"/>
          <w:color w:val="auto"/>
          <w:kern w:val="0"/>
          <w:szCs w:val="24"/>
          <w:lang w:val="en-US" w:eastAsia="zh-CN"/>
        </w:rPr>
        <w:t>L</w:t>
      </w:r>
      <w:r>
        <w:rPr>
          <w:rFonts w:cs="宋体"/>
          <w:color w:val="auto"/>
          <w:kern w:val="0"/>
          <w:szCs w:val="24"/>
        </w:rPr>
        <w:t>≤</w:t>
      </w:r>
      <w:r>
        <w:rPr>
          <w:rFonts w:hint="eastAsia" w:cs="宋体"/>
          <w:color w:val="auto"/>
          <w:kern w:val="0"/>
          <w:szCs w:val="24"/>
          <w:lang w:val="en-US" w:eastAsia="zh-CN"/>
        </w:rPr>
        <w:t>25</w:t>
      </w:r>
      <w:r>
        <w:rPr>
          <w:rFonts w:cs="宋体"/>
          <w:color w:val="auto"/>
          <w:kern w:val="0"/>
          <w:szCs w:val="24"/>
        </w:rPr>
        <w:t>m</w:t>
      </w:r>
      <w:r>
        <w:rPr>
          <w:rFonts w:hint="eastAsia" w:cs="宋体"/>
          <w:color w:val="auto"/>
          <w:kern w:val="0"/>
          <w:szCs w:val="24"/>
        </w:rPr>
        <w:t>。</w:t>
      </w:r>
      <w:r>
        <w:rPr>
          <w:rFonts w:hint="eastAsia" w:cs="宋体"/>
          <w:color w:val="auto"/>
          <w:kern w:val="0"/>
          <w:szCs w:val="24"/>
          <w:lang w:val="en-US" w:eastAsia="zh-CN"/>
        </w:rPr>
        <w:t>记录吊点位置，以便拆除时使用。</w:t>
      </w:r>
    </w:p>
    <w:p w14:paraId="533E3AAF">
      <w:pPr>
        <w:pStyle w:val="20"/>
        <w:ind w:firstLine="0" w:firstLineChars="0"/>
        <w:jc w:val="center"/>
        <w:rPr>
          <w:color w:val="auto"/>
        </w:rPr>
      </w:pPr>
      <w:r>
        <w:drawing>
          <wp:inline distT="0" distB="0" distL="114300" distR="114300">
            <wp:extent cx="5485130" cy="1514475"/>
            <wp:effectExtent l="0" t="0" r="1270" b="9525"/>
            <wp:docPr id="5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4"/>
                    <pic:cNvPicPr>
                      <a:picLocks noChangeAspect="1"/>
                    </pic:cNvPicPr>
                  </pic:nvPicPr>
                  <pic:blipFill>
                    <a:blip r:embed="rId67"/>
                    <a:stretch>
                      <a:fillRect/>
                    </a:stretch>
                  </pic:blipFill>
                  <pic:spPr>
                    <a:xfrm>
                      <a:off x="0" y="0"/>
                      <a:ext cx="5485130" cy="1514475"/>
                    </a:xfrm>
                    <a:prstGeom prst="rect">
                      <a:avLst/>
                    </a:prstGeom>
                    <a:noFill/>
                    <a:ln>
                      <a:noFill/>
                    </a:ln>
                  </pic:spPr>
                </pic:pic>
              </a:graphicData>
            </a:graphic>
          </wp:inline>
        </w:drawing>
      </w:r>
      <w:r>
        <w:drawing>
          <wp:inline distT="0" distB="0" distL="114300" distR="114300">
            <wp:extent cx="5334000" cy="1114425"/>
            <wp:effectExtent l="0" t="0" r="0" b="1333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68"/>
                    <a:stretch>
                      <a:fillRect/>
                    </a:stretch>
                  </pic:blipFill>
                  <pic:spPr>
                    <a:xfrm>
                      <a:off x="0" y="0"/>
                      <a:ext cx="5334000" cy="1114425"/>
                    </a:xfrm>
                    <a:prstGeom prst="rect">
                      <a:avLst/>
                    </a:prstGeom>
                    <a:noFill/>
                    <a:ln>
                      <a:noFill/>
                    </a:ln>
                  </pic:spPr>
                </pic:pic>
              </a:graphicData>
            </a:graphic>
          </wp:inline>
        </w:drawing>
      </w:r>
    </w:p>
    <w:p w14:paraId="12EF842E">
      <w:pPr>
        <w:autoSpaceDE w:val="0"/>
        <w:autoSpaceDN w:val="0"/>
        <w:adjustRightInd w:val="0"/>
        <w:ind w:firstLine="0" w:firstLineChars="0"/>
        <w:jc w:val="center"/>
        <w:rPr>
          <w:rFonts w:hint="eastAsia"/>
          <w:color w:val="auto"/>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12</w:t>
      </w:r>
      <w:r>
        <w:rPr>
          <w:rFonts w:hint="eastAsia" w:ascii="宋体" w:hAnsi="宋体" w:eastAsia="宋体"/>
          <w:color w:val="auto"/>
        </w:rPr>
        <w:fldChar w:fldCharType="end"/>
      </w:r>
      <w:r>
        <w:rPr>
          <w:color w:val="auto"/>
        </w:rPr>
        <w:t xml:space="preserve"> </w:t>
      </w:r>
      <w:r>
        <w:rPr>
          <w:rFonts w:hint="eastAsia"/>
          <w:color w:val="auto"/>
          <w:lang w:val="en-US" w:eastAsia="zh-CN"/>
        </w:rPr>
        <w:t>起重臂中心位置参考图</w:t>
      </w:r>
    </w:p>
    <w:p w14:paraId="6E67A76A">
      <w:pPr>
        <w:ind w:firstLine="480"/>
        <w:rPr>
          <w:rFonts w:hint="eastAsia" w:cs="宋体"/>
          <w:color w:val="auto"/>
          <w:kern w:val="0"/>
          <w:szCs w:val="24"/>
        </w:rPr>
      </w:pPr>
      <w:r>
        <w:rPr>
          <w:rFonts w:hint="eastAsia" w:ascii="宋体" w:hAnsi="宋体" w:eastAsia="宋体"/>
          <w:color w:val="auto"/>
          <w:lang w:val="en-US" w:eastAsia="zh-CN"/>
        </w:rPr>
        <w:t>起重臂的安装采用整体吊装的方式。用2根20mm6×19W+IWR1870Mpa配套GB/T 25854-6-DW5卸扣吊装起重臂总成，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用销轴与臂根节的销孔连接，穿好立销及开口销。缓慢落钩至起重臂下弦与臂根节下弦连接口对正后，缓慢落下起重臂，安装下弦连接专用高强螺栓，完成起重臂的安装。</w:t>
      </w:r>
    </w:p>
    <w:p w14:paraId="25A7A859">
      <w:pPr>
        <w:pStyle w:val="20"/>
        <w:ind w:firstLine="0" w:firstLineChars="0"/>
        <w:jc w:val="center"/>
      </w:pPr>
      <w:r>
        <w:drawing>
          <wp:inline distT="0" distB="0" distL="114300" distR="114300">
            <wp:extent cx="5133340" cy="1595755"/>
            <wp:effectExtent l="0" t="0" r="2540" b="4445"/>
            <wp:docPr id="6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8"/>
                    <pic:cNvPicPr>
                      <a:picLocks noChangeAspect="1"/>
                    </pic:cNvPicPr>
                  </pic:nvPicPr>
                  <pic:blipFill>
                    <a:blip r:embed="rId69"/>
                    <a:stretch>
                      <a:fillRect/>
                    </a:stretch>
                  </pic:blipFill>
                  <pic:spPr>
                    <a:xfrm>
                      <a:off x="0" y="0"/>
                      <a:ext cx="5133340" cy="1595755"/>
                    </a:xfrm>
                    <a:prstGeom prst="rect">
                      <a:avLst/>
                    </a:prstGeom>
                    <a:noFill/>
                    <a:ln>
                      <a:noFill/>
                    </a:ln>
                  </pic:spPr>
                </pic:pic>
              </a:graphicData>
            </a:graphic>
          </wp:inline>
        </w:drawing>
      </w:r>
      <w:r>
        <w:drawing>
          <wp:inline distT="0" distB="0" distL="114300" distR="114300">
            <wp:extent cx="5029835" cy="2677795"/>
            <wp:effectExtent l="0" t="0" r="14605" b="4445"/>
            <wp:docPr id="6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
                    <pic:cNvPicPr>
                      <a:picLocks noChangeAspect="1"/>
                    </pic:cNvPicPr>
                  </pic:nvPicPr>
                  <pic:blipFill>
                    <a:blip r:embed="rId70"/>
                    <a:stretch>
                      <a:fillRect/>
                    </a:stretch>
                  </pic:blipFill>
                  <pic:spPr>
                    <a:xfrm>
                      <a:off x="0" y="0"/>
                      <a:ext cx="5029835" cy="2677795"/>
                    </a:xfrm>
                    <a:prstGeom prst="rect">
                      <a:avLst/>
                    </a:prstGeom>
                    <a:noFill/>
                    <a:ln>
                      <a:noFill/>
                    </a:ln>
                  </pic:spPr>
                </pic:pic>
              </a:graphicData>
            </a:graphic>
          </wp:inline>
        </w:drawing>
      </w:r>
    </w:p>
    <w:p w14:paraId="4D77855E">
      <w:pPr>
        <w:autoSpaceDE w:val="0"/>
        <w:autoSpaceDN w:val="0"/>
        <w:adjustRightInd w:val="0"/>
        <w:ind w:firstLine="0" w:firstLineChars="0"/>
        <w:jc w:val="center"/>
        <w:rPr>
          <w:rFonts w:hint="default" w:eastAsia="宋体"/>
          <w:color w:val="auto"/>
          <w:lang w:val="en-US" w:eastAsia="zh-CN"/>
        </w:rPr>
      </w:pPr>
      <w:r>
        <w:rPr>
          <w:rFonts w:hint="eastAsia" w:ascii="宋体" w:hAnsi="宋体" w:eastAsia="宋体"/>
          <w:color w:val="auto"/>
        </w:rPr>
        <w:t xml:space="preserve">图 </w:t>
      </w:r>
      <w:r>
        <w:rPr>
          <w:rFonts w:hint="eastAsia" w:ascii="宋体" w:hAnsi="宋体" w:eastAsia="宋体"/>
          <w:color w:val="auto"/>
        </w:rPr>
        <w:fldChar w:fldCharType="begin"/>
      </w:r>
      <w:r>
        <w:rPr>
          <w:rFonts w:hint="eastAsia" w:ascii="宋体" w:hAnsi="宋体" w:eastAsia="宋体"/>
          <w:color w:val="auto"/>
        </w:rPr>
        <w:instrText xml:space="preserve"> STYLEREF 2 \s </w:instrText>
      </w:r>
      <w:r>
        <w:rPr>
          <w:rFonts w:hint="eastAsia" w:ascii="宋体" w:hAnsi="宋体" w:eastAsia="宋体"/>
          <w:color w:val="auto"/>
        </w:rPr>
        <w:fldChar w:fldCharType="separate"/>
      </w:r>
      <w:r>
        <w:rPr>
          <w:rFonts w:hint="eastAsia" w:ascii="宋体" w:hAnsi="宋体" w:eastAsia="宋体"/>
          <w:color w:val="auto"/>
        </w:rPr>
        <w:t>6.3</w:t>
      </w:r>
      <w:r>
        <w:rPr>
          <w:rFonts w:hint="eastAsia" w:ascii="宋体" w:hAnsi="宋体" w:eastAsia="宋体"/>
          <w:color w:val="auto"/>
        </w:rPr>
        <w:fldChar w:fldCharType="end"/>
      </w:r>
      <w:r>
        <w:rPr>
          <w:rFonts w:hint="eastAsia" w:ascii="宋体" w:hAnsi="宋体" w:eastAsia="宋体"/>
          <w:color w:val="auto"/>
          <w:lang w:eastAsia="zh-CN"/>
        </w:rPr>
        <w:t>-</w:t>
      </w:r>
      <w:r>
        <w:rPr>
          <w:rFonts w:hint="eastAsia" w:ascii="宋体" w:hAnsi="宋体" w:eastAsia="宋体"/>
          <w:color w:val="auto"/>
        </w:rPr>
        <w:fldChar w:fldCharType="begin"/>
      </w:r>
      <w:r>
        <w:rPr>
          <w:rFonts w:hint="eastAsia" w:ascii="宋体" w:hAnsi="宋体" w:eastAsia="宋体"/>
          <w:color w:val="auto"/>
        </w:rPr>
        <w:instrText xml:space="preserve"> SEQ 图 \* ARABIC \s 2 </w:instrText>
      </w:r>
      <w:r>
        <w:rPr>
          <w:rFonts w:hint="eastAsia" w:ascii="宋体" w:hAnsi="宋体" w:eastAsia="宋体"/>
          <w:color w:val="auto"/>
        </w:rPr>
        <w:fldChar w:fldCharType="separate"/>
      </w:r>
      <w:r>
        <w:rPr>
          <w:rFonts w:hint="eastAsia" w:ascii="宋体" w:hAnsi="宋体" w:eastAsia="宋体"/>
          <w:color w:val="auto"/>
        </w:rPr>
        <w:t>13</w:t>
      </w:r>
      <w:r>
        <w:rPr>
          <w:rFonts w:hint="eastAsia" w:ascii="宋体" w:hAnsi="宋体" w:eastAsia="宋体"/>
          <w:color w:val="auto"/>
        </w:rPr>
        <w:fldChar w:fldCharType="end"/>
      </w:r>
      <w:r>
        <w:rPr>
          <w:color w:val="auto"/>
        </w:rPr>
        <w:t xml:space="preserve"> </w:t>
      </w:r>
      <w:r>
        <w:rPr>
          <w:rFonts w:hint="eastAsia"/>
          <w:color w:val="auto"/>
          <w:lang w:val="en-US" w:eastAsia="zh-CN"/>
        </w:rPr>
        <w:t>吊装起重臂总成吊车站位图</w:t>
      </w:r>
    </w:p>
    <w:p w14:paraId="063064A4">
      <w:pPr>
        <w:pStyle w:val="4"/>
        <w:numPr>
          <w:ilvl w:val="2"/>
          <w:numId w:val="0"/>
        </w:numPr>
        <w:ind w:left="709" w:leftChars="0" w:hanging="709" w:firstLineChars="0"/>
        <w:rPr>
          <w:rFonts w:hint="eastAsia"/>
          <w:color w:val="auto"/>
        </w:rPr>
      </w:pPr>
      <w:bookmarkStart w:id="187" w:name="_Toc29084"/>
      <w:bookmarkStart w:id="188" w:name="_Toc14718"/>
      <w:r>
        <w:rPr>
          <w:rFonts w:hint="default" w:ascii="宋体" w:hAnsi="宋体" w:eastAsia="宋体" w:cstheme="minorBidi"/>
          <w:b/>
          <w:bCs/>
          <w:color w:val="auto"/>
          <w:kern w:val="2"/>
          <w:sz w:val="24"/>
          <w:szCs w:val="32"/>
          <w:lang w:val="en-US" w:eastAsia="zh-CN" w:bidi="ar-SA"/>
        </w:rPr>
        <w:t>6.3.9.</w:t>
      </w:r>
      <w:r>
        <w:rPr>
          <w:rFonts w:hint="eastAsia"/>
          <w:color w:val="auto"/>
        </w:rPr>
        <w:t>安装剩余平衡重</w:t>
      </w:r>
      <w:bookmarkEnd w:id="187"/>
      <w:bookmarkEnd w:id="188"/>
    </w:p>
    <w:p w14:paraId="37144443">
      <w:pPr>
        <w:rPr>
          <w:rFonts w:hint="default" w:eastAsia="宋体"/>
          <w:lang w:val="en-US" w:eastAsia="zh-CN"/>
        </w:rPr>
      </w:pPr>
      <w:r>
        <w:rPr>
          <w:rFonts w:hint="eastAsia"/>
          <w:color w:val="auto"/>
          <w:lang w:val="en-US" w:eastAsia="zh-CN"/>
        </w:rPr>
        <w:t>剩余平衡重安装方法同6.3.7章节。</w:t>
      </w:r>
    </w:p>
    <w:p w14:paraId="64A82840">
      <w:pPr>
        <w:autoSpaceDE w:val="0"/>
        <w:autoSpaceDN w:val="0"/>
        <w:adjustRightInd w:val="0"/>
        <w:ind w:firstLine="0" w:firstLineChars="0"/>
        <w:jc w:val="center"/>
        <w:rPr>
          <w:rFonts w:hint="eastAsia" w:cs="宋体"/>
          <w:color w:val="auto"/>
          <w:kern w:val="0"/>
          <w:sz w:val="28"/>
          <w:szCs w:val="28"/>
        </w:rPr>
      </w:pPr>
      <w:r>
        <w:drawing>
          <wp:inline distT="0" distB="0" distL="114300" distR="114300">
            <wp:extent cx="5484495" cy="2330450"/>
            <wp:effectExtent l="0" t="0" r="1905" b="1270"/>
            <wp:docPr id="6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0"/>
                    <pic:cNvPicPr>
                      <a:picLocks noChangeAspect="1"/>
                    </pic:cNvPicPr>
                  </pic:nvPicPr>
                  <pic:blipFill>
                    <a:blip r:embed="rId71"/>
                    <a:stretch>
                      <a:fillRect/>
                    </a:stretch>
                  </pic:blipFill>
                  <pic:spPr>
                    <a:xfrm>
                      <a:off x="0" y="0"/>
                      <a:ext cx="5484495" cy="2330450"/>
                    </a:xfrm>
                    <a:prstGeom prst="rect">
                      <a:avLst/>
                    </a:prstGeom>
                    <a:noFill/>
                    <a:ln>
                      <a:noFill/>
                    </a:ln>
                  </pic:spPr>
                </pic:pic>
              </a:graphicData>
            </a:graphic>
          </wp:inline>
        </w:drawing>
      </w:r>
    </w:p>
    <w:p w14:paraId="1F25F17A">
      <w:pPr>
        <w:pStyle w:val="4"/>
        <w:numPr>
          <w:ilvl w:val="2"/>
          <w:numId w:val="0"/>
        </w:numPr>
        <w:ind w:left="709" w:leftChars="0" w:hanging="709" w:firstLineChars="0"/>
        <w:rPr>
          <w:rFonts w:hint="eastAsia"/>
          <w:color w:val="auto"/>
        </w:rPr>
      </w:pPr>
      <w:bookmarkStart w:id="189" w:name="_Toc26619"/>
      <w:bookmarkStart w:id="190" w:name="_Toc17578"/>
      <w:r>
        <w:rPr>
          <w:rFonts w:hint="default" w:ascii="宋体" w:hAnsi="宋体" w:eastAsia="宋体" w:cstheme="minorBidi"/>
          <w:b/>
          <w:bCs/>
          <w:color w:val="auto"/>
          <w:kern w:val="2"/>
          <w:sz w:val="24"/>
          <w:szCs w:val="32"/>
          <w:lang w:val="en-US" w:eastAsia="zh-CN" w:bidi="ar-SA"/>
        </w:rPr>
        <w:t>6.3.10.</w:t>
      </w:r>
      <w:r>
        <w:rPr>
          <w:rFonts w:hint="eastAsia"/>
          <w:color w:val="auto"/>
        </w:rPr>
        <w:t>安装</w:t>
      </w:r>
      <w:r>
        <w:rPr>
          <w:rFonts w:hint="eastAsia"/>
          <w:color w:val="auto"/>
          <w:lang w:val="en-US" w:eastAsia="zh-CN"/>
        </w:rPr>
        <w:t>钢丝绳及吊钩</w:t>
      </w:r>
      <w:bookmarkEnd w:id="189"/>
      <w:bookmarkEnd w:id="190"/>
    </w:p>
    <w:p w14:paraId="33A034DA">
      <w:pPr>
        <w:pStyle w:val="5"/>
        <w:numPr>
          <w:ilvl w:val="3"/>
          <w:numId w:val="0"/>
        </w:numPr>
        <w:ind w:left="864" w:leftChars="0" w:hanging="864" w:firstLineChars="0"/>
        <w:rPr>
          <w:rFonts w:hint="eastAsia" w:asciiTheme="minorEastAsia" w:hAnsiTheme="minorEastAsia" w:eastAsiaTheme="minorEastAsia" w:cstheme="minorEastAsia"/>
        </w:rPr>
      </w:pPr>
      <w:r>
        <w:rPr>
          <w:rFonts w:hint="default" w:asciiTheme="minorEastAsia" w:hAnsiTheme="minorEastAsia" w:eastAsiaTheme="minorEastAsia" w:cstheme="minorEastAsia"/>
          <w:b/>
          <w:bCs/>
          <w:kern w:val="2"/>
          <w:sz w:val="24"/>
          <w:szCs w:val="28"/>
          <w:lang w:val="en-US" w:eastAsia="zh-CN" w:bidi="ar-SA"/>
        </w:rPr>
        <w:t>6.3.10.1.</w:t>
      </w:r>
      <w:r>
        <w:rPr>
          <w:rFonts w:hint="eastAsia" w:asciiTheme="minorEastAsia" w:hAnsiTheme="minorEastAsia" w:eastAsiaTheme="minorEastAsia" w:cstheme="minorEastAsia"/>
          <w:lang w:val="en-US" w:eastAsia="zh-CN"/>
        </w:rPr>
        <w:t>安装钢丝绳总体要求</w:t>
      </w:r>
    </w:p>
    <w:p w14:paraId="0B6130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（1）</w:t>
      </w:r>
      <w:r>
        <w:rPr>
          <w:rFonts w:hint="eastAsia" w:ascii="宋体" w:hAnsi="宋体" w:eastAsia="宋体" w:cs="宋体"/>
        </w:rPr>
        <w:t>退绕钢丝绳</w:t>
      </w:r>
    </w:p>
    <w:p w14:paraId="04BE4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在卷轴(1)上穿绕钢丝绳至机构卷筒(2)时，为了避免钢丝绳扭曲，建议按照如下步骤进行：</w:t>
      </w:r>
    </w:p>
    <w:p w14:paraId="5567A75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在缠绕钢丝绳时，确保卷轴(1)和卷筒(2)之间较大的距离；</w:t>
      </w:r>
    </w:p>
    <w:p w14:paraId="37BE040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在缠绕钢丝绳时，确保钢丝绳缠绕在卷筒凹槽正确位置。</w:t>
      </w:r>
    </w:p>
    <w:p w14:paraId="457E8ABD">
      <w:pPr>
        <w:bidi w:val="0"/>
        <w:jc w:val="center"/>
        <w:rPr>
          <w:lang w:val="en-US" w:eastAsia="zh-CN"/>
        </w:rPr>
      </w:pPr>
      <w:r>
        <w:rPr>
          <w:lang w:val="en-US" w:eastAsia="zh-CN"/>
        </w:rPr>
        <w:drawing>
          <wp:inline distT="0" distB="0" distL="0" distR="0">
            <wp:extent cx="4110990" cy="2630170"/>
            <wp:effectExtent l="0" t="0" r="3810" b="6350"/>
            <wp:docPr id="53823" name="图片 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 name="图片 53823"/>
                    <pic:cNvPicPr>
                      <a:picLocks noChangeAspect="1"/>
                    </pic:cNvPicPr>
                  </pic:nvPicPr>
                  <pic:blipFill>
                    <a:blip r:embed="rId72"/>
                    <a:srcRect t="1084"/>
                    <a:stretch>
                      <a:fillRect/>
                    </a:stretch>
                  </pic:blipFill>
                  <pic:spPr>
                    <a:xfrm>
                      <a:off x="0" y="0"/>
                      <a:ext cx="4110990" cy="2630170"/>
                    </a:xfrm>
                    <a:prstGeom prst="rect">
                      <a:avLst/>
                    </a:prstGeom>
                    <a:ln>
                      <a:noFill/>
                    </a:ln>
                  </pic:spPr>
                </pic:pic>
              </a:graphicData>
            </a:graphic>
          </wp:inline>
        </w:drawing>
      </w:r>
    </w:p>
    <w:p w14:paraId="481537A9">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退绕钢丝绳方法</w:t>
      </w:r>
    </w:p>
    <w:p w14:paraId="19D58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rPr>
      </w:pPr>
      <w:r>
        <w:rPr>
          <w:rFonts w:hint="eastAsia" w:ascii="Times New Roman" w:hAnsi="Times New Roman" w:eastAsia="宋体" w:cs="Times New Roman"/>
        </w:rPr>
        <w:t>在穿绕钢丝绳时，同时应检查钢丝绳。</w:t>
      </w:r>
    </w:p>
    <w:p w14:paraId="41BA2F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（2）</w:t>
      </w:r>
      <w:r>
        <w:rPr>
          <w:rFonts w:hint="eastAsia" w:ascii="宋体" w:hAnsi="宋体" w:eastAsia="宋体" w:cs="宋体"/>
        </w:rPr>
        <w:t>安装绳夹</w:t>
      </w:r>
    </w:p>
    <w:p w14:paraId="3C8BB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安装绳夹时，必须确保∪型一端(1)必须在死匝(2)端，而且基座(3)在工作绳(4)端。首个绳夹须尽可能靠近心型套环(5)。遵守两个绳夹之间的距离(A)等于钢丝绳标称直径的6至8倍。</w:t>
      </w:r>
    </w:p>
    <w:p w14:paraId="0B92D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紧固绳夹时须考虑每个绳夹的合理受力，离套环最远处的绳夹不得首先单独紧固。离套环最近的绳夹(第一个绳夹)应尽可能靠近楔套，但仍须保证绳夹的正确拧紧，不得损坏钢丝绳的外层钢丝。</w:t>
      </w:r>
    </w:p>
    <w:p w14:paraId="4ED0C2A2">
      <w:pPr>
        <w:bidi w:val="0"/>
        <w:jc w:val="center"/>
        <w:rPr>
          <w:lang w:val="en-US" w:eastAsia="zh-CN"/>
        </w:rPr>
      </w:pPr>
      <w:r>
        <w:rPr>
          <w:lang w:val="en-US" w:eastAsia="zh-CN"/>
        </w:rPr>
        <w:drawing>
          <wp:inline distT="0" distB="0" distL="0" distR="0">
            <wp:extent cx="2727960" cy="1990725"/>
            <wp:effectExtent l="0" t="0" r="0" b="5715"/>
            <wp:docPr id="53822" name="图片 5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2" name="图片 53822"/>
                    <pic:cNvPicPr>
                      <a:picLocks noChangeAspect="1"/>
                    </pic:cNvPicPr>
                  </pic:nvPicPr>
                  <pic:blipFill>
                    <a:blip r:embed="rId73"/>
                    <a:stretch>
                      <a:fillRect/>
                    </a:stretch>
                  </pic:blipFill>
                  <pic:spPr>
                    <a:xfrm>
                      <a:off x="0" y="0"/>
                      <a:ext cx="2727960" cy="1990725"/>
                    </a:xfrm>
                    <a:prstGeom prst="rect">
                      <a:avLst/>
                    </a:prstGeom>
                  </pic:spPr>
                </pic:pic>
              </a:graphicData>
            </a:graphic>
          </wp:inline>
        </w:drawing>
      </w:r>
    </w:p>
    <w:p w14:paraId="4BA52DA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绳夹安装方法</w:t>
      </w:r>
    </w:p>
    <w:p w14:paraId="64D78971">
      <w:pPr>
        <w:ind w:firstLine="480"/>
        <w:rPr>
          <w:rFonts w:ascii="宋体" w:hAnsi="宋体" w:eastAsia="宋体"/>
          <w:color w:val="auto"/>
        </w:rPr>
      </w:pPr>
      <w:r>
        <w:rPr>
          <w:rFonts w:hint="eastAsia" w:ascii="宋体" w:hAnsi="宋体" w:eastAsia="宋体"/>
          <w:color w:val="auto"/>
        </w:rPr>
        <w:t>根据钢丝绳标称直径，决定绳夹数量，通常在描述使用绳夹的段落给出了数量，必要时，查看下表。</w:t>
      </w:r>
    </w:p>
    <w:p w14:paraId="04E044F9">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钢丝绳直径与绳夹数量</w:t>
      </w:r>
    </w:p>
    <w:tbl>
      <w:tblPr>
        <w:tblStyle w:val="101"/>
        <w:tblW w:w="41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125"/>
        <w:gridCol w:w="4330"/>
      </w:tblGrid>
      <w:tr w14:paraId="7DCE4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04" w:type="pct"/>
            <w:shd w:val="clear" w:color="auto" w:fill="auto"/>
            <w:vAlign w:val="center"/>
          </w:tcPr>
          <w:p w14:paraId="0A288081">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序号</w:t>
            </w:r>
          </w:p>
        </w:tc>
        <w:tc>
          <w:tcPr>
            <w:tcW w:w="1447" w:type="pct"/>
            <w:shd w:val="clear" w:color="auto" w:fill="auto"/>
            <w:vAlign w:val="center"/>
          </w:tcPr>
          <w:p w14:paraId="77E95E7C">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钢丝绳直径d</w:t>
            </w:r>
            <w:r>
              <w:rPr>
                <w:rFonts w:ascii="Times New Roman" w:hAnsi="Times New Roman" w:eastAsia="宋体" w:cs="Times New Roman"/>
                <w:b/>
                <w:kern w:val="2"/>
                <w:sz w:val="21"/>
                <w:szCs w:val="21"/>
                <w:lang w:val="en-US" w:eastAsia="zh-CN" w:bidi="ar-SA"/>
              </w:rPr>
              <w:t>/mm</w:t>
            </w:r>
          </w:p>
        </w:tc>
        <w:tc>
          <w:tcPr>
            <w:tcW w:w="2948" w:type="pct"/>
            <w:shd w:val="clear" w:color="auto" w:fill="auto"/>
            <w:vAlign w:val="center"/>
          </w:tcPr>
          <w:p w14:paraId="4B1FF80F">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钢丝绳绳夹数量（根据DIN</w:t>
            </w:r>
            <w:r>
              <w:rPr>
                <w:rFonts w:ascii="Times New Roman" w:hAnsi="Times New Roman" w:eastAsia="宋体" w:cs="Times New Roman"/>
                <w:b/>
                <w:kern w:val="2"/>
                <w:sz w:val="21"/>
                <w:szCs w:val="21"/>
                <w:lang w:val="en-US" w:eastAsia="zh-CN" w:bidi="ar-SA"/>
              </w:rPr>
              <w:t>1142</w:t>
            </w:r>
            <w:r>
              <w:rPr>
                <w:rFonts w:hint="eastAsia" w:ascii="Times New Roman" w:hAnsi="Times New Roman" w:eastAsia="宋体" w:cs="Times New Roman"/>
                <w:b/>
                <w:kern w:val="2"/>
                <w:sz w:val="21"/>
                <w:szCs w:val="21"/>
                <w:lang w:val="en-US" w:eastAsia="zh-CN" w:bidi="ar-SA"/>
              </w:rPr>
              <w:t>标准）</w:t>
            </w:r>
          </w:p>
        </w:tc>
      </w:tr>
      <w:tr w14:paraId="08208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5EB65E1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4F9EB89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63FC9F4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7BB6D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B629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FC9049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r>
              <w:rPr>
                <w:rFonts w:ascii="Times New Roman" w:hAnsi="Times New Roman" w:eastAsia="宋体" w:cs="Times New Roman"/>
                <w:kern w:val="2"/>
                <w:sz w:val="21"/>
                <w:szCs w:val="21"/>
                <w:lang w:val="en-US" w:eastAsia="zh-CN" w:bidi="ar-SA"/>
              </w:rPr>
              <w:t>.5</w:t>
            </w:r>
          </w:p>
        </w:tc>
        <w:tc>
          <w:tcPr>
            <w:tcW w:w="2948" w:type="pct"/>
            <w:shd w:val="clear" w:color="auto" w:fill="auto"/>
            <w:vAlign w:val="center"/>
          </w:tcPr>
          <w:p w14:paraId="5D9178E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r>
      <w:tr w14:paraId="0C5C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01C543A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447" w:type="pct"/>
            <w:shd w:val="clear" w:color="auto" w:fill="auto"/>
            <w:vAlign w:val="center"/>
          </w:tcPr>
          <w:p w14:paraId="4D981E51">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2948" w:type="pct"/>
            <w:shd w:val="clear" w:color="auto" w:fill="auto"/>
            <w:vAlign w:val="center"/>
          </w:tcPr>
          <w:p w14:paraId="4DB25A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6185A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3C05A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447" w:type="pct"/>
            <w:shd w:val="clear" w:color="auto" w:fill="auto"/>
            <w:vAlign w:val="center"/>
          </w:tcPr>
          <w:p w14:paraId="5493112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3A02550E">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1A03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41D38A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447" w:type="pct"/>
            <w:shd w:val="clear" w:color="auto" w:fill="auto"/>
            <w:vAlign w:val="center"/>
          </w:tcPr>
          <w:p w14:paraId="52B52A8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3</w:t>
            </w:r>
          </w:p>
        </w:tc>
        <w:tc>
          <w:tcPr>
            <w:tcW w:w="2948" w:type="pct"/>
            <w:shd w:val="clear" w:color="auto" w:fill="auto"/>
            <w:vAlign w:val="center"/>
          </w:tcPr>
          <w:p w14:paraId="34940C7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0E6C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6CBD99B2">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447" w:type="pct"/>
            <w:shd w:val="clear" w:color="auto" w:fill="auto"/>
            <w:vAlign w:val="center"/>
          </w:tcPr>
          <w:p w14:paraId="216FFF9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60FB68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91AE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3BAFE0D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447" w:type="pct"/>
            <w:shd w:val="clear" w:color="auto" w:fill="auto"/>
            <w:vAlign w:val="center"/>
          </w:tcPr>
          <w:p w14:paraId="1A6EDE5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9</w:t>
            </w:r>
          </w:p>
        </w:tc>
        <w:tc>
          <w:tcPr>
            <w:tcW w:w="2948" w:type="pct"/>
            <w:shd w:val="clear" w:color="auto" w:fill="auto"/>
            <w:vAlign w:val="center"/>
          </w:tcPr>
          <w:p w14:paraId="78ACDF1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r>
      <w:tr w14:paraId="12C4B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ED517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447" w:type="pct"/>
            <w:shd w:val="clear" w:color="auto" w:fill="auto"/>
            <w:vAlign w:val="center"/>
          </w:tcPr>
          <w:p w14:paraId="706C33D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2</w:t>
            </w:r>
          </w:p>
        </w:tc>
        <w:tc>
          <w:tcPr>
            <w:tcW w:w="2948" w:type="pct"/>
            <w:shd w:val="clear" w:color="auto" w:fill="auto"/>
            <w:vAlign w:val="center"/>
          </w:tcPr>
          <w:p w14:paraId="36F8F9C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71AB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15D1C8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447" w:type="pct"/>
            <w:shd w:val="clear" w:color="auto" w:fill="auto"/>
            <w:vAlign w:val="center"/>
          </w:tcPr>
          <w:p w14:paraId="1EB955C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r>
              <w:rPr>
                <w:rFonts w:ascii="Times New Roman" w:hAnsi="Times New Roman" w:eastAsia="宋体" w:cs="Times New Roman"/>
                <w:kern w:val="2"/>
                <w:sz w:val="21"/>
                <w:szCs w:val="21"/>
                <w:lang w:val="en-US" w:eastAsia="zh-CN" w:bidi="ar-SA"/>
              </w:rPr>
              <w:t>6</w:t>
            </w:r>
          </w:p>
        </w:tc>
        <w:tc>
          <w:tcPr>
            <w:tcW w:w="2948" w:type="pct"/>
            <w:shd w:val="clear" w:color="auto" w:fill="auto"/>
            <w:vAlign w:val="center"/>
          </w:tcPr>
          <w:p w14:paraId="04A337BF">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r>
      <w:tr w14:paraId="2ED88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3870CF9">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0</w:t>
            </w:r>
          </w:p>
        </w:tc>
        <w:tc>
          <w:tcPr>
            <w:tcW w:w="1447" w:type="pct"/>
            <w:shd w:val="clear" w:color="auto" w:fill="auto"/>
            <w:vAlign w:val="center"/>
          </w:tcPr>
          <w:p w14:paraId="29B7EA46">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4220D41D">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7F903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77608A30">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1</w:t>
            </w:r>
          </w:p>
        </w:tc>
        <w:tc>
          <w:tcPr>
            <w:tcW w:w="1447" w:type="pct"/>
            <w:shd w:val="clear" w:color="auto" w:fill="auto"/>
            <w:vAlign w:val="center"/>
          </w:tcPr>
          <w:p w14:paraId="38323994">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t>4</w:t>
            </w:r>
          </w:p>
        </w:tc>
        <w:tc>
          <w:tcPr>
            <w:tcW w:w="2948" w:type="pct"/>
            <w:shd w:val="clear" w:color="auto" w:fill="auto"/>
            <w:vAlign w:val="center"/>
          </w:tcPr>
          <w:p w14:paraId="356FA45A">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14:paraId="1C71D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04" w:type="pct"/>
            <w:shd w:val="clear" w:color="auto" w:fill="auto"/>
            <w:vAlign w:val="center"/>
          </w:tcPr>
          <w:p w14:paraId="224C47C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r>
              <w:rPr>
                <w:rFonts w:ascii="Times New Roman" w:hAnsi="Times New Roman" w:eastAsia="宋体" w:cs="Times New Roman"/>
                <w:kern w:val="2"/>
                <w:sz w:val="21"/>
                <w:szCs w:val="21"/>
                <w:lang w:val="en-US" w:eastAsia="zh-CN" w:bidi="ar-SA"/>
              </w:rPr>
              <w:t>2</w:t>
            </w:r>
          </w:p>
        </w:tc>
        <w:tc>
          <w:tcPr>
            <w:tcW w:w="1447" w:type="pct"/>
            <w:shd w:val="clear" w:color="auto" w:fill="auto"/>
            <w:vAlign w:val="center"/>
          </w:tcPr>
          <w:p w14:paraId="2EDC5BA7">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t>0</w:t>
            </w:r>
          </w:p>
        </w:tc>
        <w:tc>
          <w:tcPr>
            <w:tcW w:w="2948" w:type="pct"/>
            <w:shd w:val="clear" w:color="auto" w:fill="auto"/>
            <w:vAlign w:val="center"/>
          </w:tcPr>
          <w:p w14:paraId="656E04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bl>
    <w:p w14:paraId="586FBC31">
      <w:pPr>
        <w:ind w:firstLine="480"/>
        <w:rPr>
          <w:rFonts w:ascii="宋体" w:hAnsi="宋体" w:eastAsia="宋体"/>
          <w:color w:val="auto"/>
        </w:rPr>
      </w:pPr>
      <w:r>
        <w:rPr>
          <w:rFonts w:hint="eastAsia" w:ascii="宋体" w:hAnsi="宋体" w:eastAsia="宋体"/>
          <w:color w:val="auto"/>
        </w:rPr>
        <w:t>为防止损坏绳夹头螺纹，不要过力拧紧螺母。首次吊载时再次拧紧绳夹，定期检查。</w:t>
      </w:r>
    </w:p>
    <w:p w14:paraId="79FBE8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rPr>
      </w:pPr>
      <w:r>
        <w:rPr>
          <w:rFonts w:hint="default" w:ascii="Times New Roman" w:hAnsi="Times New Roman" w:eastAsia="宋体" w:cs="宋体"/>
          <w:b w:val="0"/>
          <w:i w:val="0"/>
          <w:kern w:val="2"/>
          <w:sz w:val="24"/>
          <w:szCs w:val="22"/>
          <w:lang w:val="en-US" w:eastAsia="zh-CN" w:bidi="ar-SA"/>
        </w:rPr>
        <w:t>（3）</w:t>
      </w:r>
      <w:r>
        <w:rPr>
          <w:rFonts w:hint="eastAsia" w:ascii="宋体" w:hAnsi="宋体" w:eastAsia="宋体" w:cs="宋体"/>
        </w:rPr>
        <w:t>安装钢丝绳楔套</w:t>
      </w:r>
    </w:p>
    <w:p w14:paraId="7B3A1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如所示，用楔块锁住钢丝绳至楔套，并把钢丝绳尾部用细钢丝捆住，按图示方式用绳夹将钢丝绳末端固定，绳夹尾部钢丝绳用细钢丝捆住，长度大于等于钢丝绳直径1.5倍。</w:t>
      </w:r>
    </w:p>
    <w:p w14:paraId="40B1C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rPr>
        <w:t>安装绳夹时须保证绳夹的正确拧紧，不得损坏钢丝绳的外层钢丝。绳夹安装后，可用细铁丝(1)将钢丝绳绑扎固定。</w:t>
      </w:r>
    </w:p>
    <w:p w14:paraId="7B01F8B2">
      <w:pPr>
        <w:bidi w:val="0"/>
        <w:jc w:val="center"/>
        <w:rPr>
          <w:lang w:val="en-US" w:eastAsia="zh-CN"/>
        </w:rPr>
      </w:pPr>
      <w:r>
        <w:rPr>
          <w:lang w:val="en-US" w:eastAsia="zh-CN"/>
        </w:rPr>
        <w:drawing>
          <wp:inline distT="0" distB="0" distL="0" distR="0">
            <wp:extent cx="3493135" cy="899795"/>
            <wp:effectExtent l="0" t="0" r="12065" b="14605"/>
            <wp:docPr id="53821" name="图片 5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1" name="图片 53821"/>
                    <pic:cNvPicPr>
                      <a:picLocks noChangeAspect="1"/>
                    </pic:cNvPicPr>
                  </pic:nvPicPr>
                  <pic:blipFill>
                    <a:blip r:embed="rId74"/>
                    <a:stretch>
                      <a:fillRect/>
                    </a:stretch>
                  </pic:blipFill>
                  <pic:spPr>
                    <a:xfrm>
                      <a:off x="0" y="0"/>
                      <a:ext cx="3493178" cy="900000"/>
                    </a:xfrm>
                    <a:prstGeom prst="rect">
                      <a:avLst/>
                    </a:prstGeom>
                  </pic:spPr>
                </pic:pic>
              </a:graphicData>
            </a:graphic>
          </wp:inline>
        </w:drawing>
      </w:r>
    </w:p>
    <w:p w14:paraId="3DC2906C">
      <w:pPr>
        <w:numPr>
          <w:ilvl w:val="0"/>
          <w:numId w:val="0"/>
        </w:numPr>
        <w:ind w:leftChars="200"/>
        <w:jc w:val="cente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钢丝绳楔套安装方法</w:t>
      </w:r>
    </w:p>
    <w:p w14:paraId="08D4E5FB">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6.3.10.2.</w:t>
      </w:r>
      <w:r>
        <w:rPr>
          <w:rFonts w:hint="eastAsia" w:ascii="宋体" w:hAnsi="宋体" w:eastAsia="宋体" w:cs="宋体"/>
          <w:b/>
          <w:bCs/>
          <w:kern w:val="2"/>
          <w:sz w:val="24"/>
          <w:szCs w:val="28"/>
          <w:lang w:val="en-US" w:eastAsia="zh-CN" w:bidi="ar-SA"/>
        </w:rPr>
        <w:t>穿绕后变幅钢丝绳</w:t>
      </w:r>
    </w:p>
    <w:p w14:paraId="52DF548C">
      <w:pPr>
        <w:ind w:firstLine="480"/>
        <w:rPr>
          <w:rFonts w:ascii="宋体" w:hAnsi="宋体" w:eastAsia="宋体"/>
          <w:color w:val="auto"/>
        </w:rPr>
      </w:pPr>
      <w:r>
        <w:rPr>
          <w:rFonts w:hint="eastAsia" w:ascii="宋体" w:hAnsi="宋体" w:eastAsia="宋体"/>
          <w:color w:val="auto"/>
        </w:rPr>
        <w:t>根据实际使用的起重臂长度确定所需的变幅钢丝绳长度。穿绕变幅钢丝绳之前检查变幅小车是否锁定。</w:t>
      </w:r>
    </w:p>
    <w:p w14:paraId="19C0C25B">
      <w:pPr>
        <w:ind w:firstLine="480"/>
        <w:rPr>
          <w:rFonts w:ascii="宋体" w:hAnsi="宋体" w:eastAsia="宋体"/>
          <w:color w:val="auto"/>
        </w:rPr>
      </w:pPr>
      <w:r>
        <w:rPr>
          <w:rFonts w:hint="eastAsia" w:ascii="宋体" w:hAnsi="宋体" w:eastAsia="宋体"/>
          <w:color w:val="auto"/>
        </w:rPr>
        <w:t>操作步骤：钢丝绳从变幅卷筒(1)出发，穿过起重臂根部滑轮(2)，使用销轴(3)和开口销(4)将楔形接头(5)固定在小车上。</w:t>
      </w:r>
    </w:p>
    <w:p w14:paraId="73B90086">
      <w:pPr>
        <w:bidi w:val="0"/>
        <w:jc w:val="center"/>
      </w:pPr>
      <w:r>
        <w:drawing>
          <wp:inline distT="0" distB="0" distL="114300" distR="114300">
            <wp:extent cx="4744720" cy="2484120"/>
            <wp:effectExtent l="0" t="0" r="10160" b="0"/>
            <wp:docPr id="1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3"/>
                    <pic:cNvPicPr>
                      <a:picLocks noChangeAspect="1"/>
                    </pic:cNvPicPr>
                  </pic:nvPicPr>
                  <pic:blipFill>
                    <a:blip r:embed="rId75"/>
                    <a:stretch>
                      <a:fillRect/>
                    </a:stretch>
                  </pic:blipFill>
                  <pic:spPr>
                    <a:xfrm>
                      <a:off x="0" y="0"/>
                      <a:ext cx="4744720" cy="2484120"/>
                    </a:xfrm>
                    <a:prstGeom prst="rect">
                      <a:avLst/>
                    </a:prstGeom>
                    <a:noFill/>
                    <a:ln>
                      <a:noFill/>
                    </a:ln>
                  </pic:spPr>
                </pic:pic>
              </a:graphicData>
            </a:graphic>
          </wp:inline>
        </w:drawing>
      </w:r>
    </w:p>
    <w:p w14:paraId="38A4EFBC">
      <w:pPr>
        <w:numPr>
          <w:ilvl w:val="0"/>
          <w:numId w:val="0"/>
        </w:numPr>
        <w:ind w:leftChars="200"/>
        <w:jc w:val="center"/>
        <w:rPr>
          <w:rFonts w:hint="eastAsia"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后</w:t>
      </w:r>
      <w:r>
        <w:rPr>
          <w:rFonts w:ascii="宋体" w:hAnsi="宋体" w:eastAsia="宋体"/>
          <w:lang w:val="en-US" w:eastAsia="zh-CN"/>
        </w:rPr>
        <w:t>变幅钢丝绳</w:t>
      </w:r>
      <w:r>
        <w:rPr>
          <w:rFonts w:hint="eastAsia" w:ascii="宋体" w:hAnsi="宋体" w:eastAsia="宋体"/>
          <w:lang w:val="en-US" w:eastAsia="zh-CN"/>
        </w:rPr>
        <w:t>穿绕方法</w:t>
      </w:r>
    </w:p>
    <w:p w14:paraId="4F346793">
      <w:pPr>
        <w:ind w:firstLine="480"/>
        <w:rPr>
          <w:rFonts w:hint="eastAsia" w:ascii="宋体" w:hAnsi="宋体" w:eastAsia="宋体"/>
          <w:color w:val="auto"/>
        </w:rPr>
      </w:pPr>
      <w:r>
        <w:rPr>
          <w:rFonts w:hint="eastAsia" w:ascii="宋体" w:hAnsi="宋体" w:eastAsia="宋体"/>
          <w:color w:val="auto"/>
        </w:rPr>
        <w:t>张紧变幅钢丝绳，并缓慢将其卷绕在变幅机构。</w:t>
      </w:r>
    </w:p>
    <w:p w14:paraId="3BE14D0D">
      <w:pPr>
        <w:bidi w:val="0"/>
        <w:jc w:val="center"/>
        <w:rPr>
          <w:lang w:val="en-US" w:eastAsia="zh-CN"/>
        </w:rPr>
      </w:pPr>
      <w:r>
        <w:rPr>
          <w:lang w:val="en-US" w:eastAsia="zh-CN"/>
        </w:rPr>
        <w:drawing>
          <wp:inline distT="0" distB="0" distL="0" distR="0">
            <wp:extent cx="3652520" cy="2159635"/>
            <wp:effectExtent l="0" t="0" r="5080" b="4445"/>
            <wp:docPr id="53812" name="图片 5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 name="图片 53812"/>
                    <pic:cNvPicPr>
                      <a:picLocks noChangeAspect="1"/>
                    </pic:cNvPicPr>
                  </pic:nvPicPr>
                  <pic:blipFill>
                    <a:blip r:embed="rId76"/>
                    <a:stretch>
                      <a:fillRect/>
                    </a:stretch>
                  </pic:blipFill>
                  <pic:spPr>
                    <a:xfrm>
                      <a:off x="0" y="0"/>
                      <a:ext cx="3653053" cy="2160000"/>
                    </a:xfrm>
                    <a:prstGeom prst="rect">
                      <a:avLst/>
                    </a:prstGeom>
                  </pic:spPr>
                </pic:pic>
              </a:graphicData>
            </a:graphic>
          </wp:inline>
        </w:drawing>
      </w:r>
    </w:p>
    <w:p w14:paraId="0CA2D078">
      <w:pPr>
        <w:numPr>
          <w:ilvl w:val="0"/>
          <w:numId w:val="0"/>
        </w:numPr>
        <w:ind w:leftChars="200"/>
        <w:jc w:val="center"/>
        <w:rPr>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后变幅钢丝绳卷绕方向</w:t>
      </w:r>
    </w:p>
    <w:p w14:paraId="3797E25E">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6.3.10.3.</w:t>
      </w:r>
      <w:r>
        <w:rPr>
          <w:rFonts w:hint="eastAsia" w:ascii="宋体" w:hAnsi="宋体" w:eastAsia="宋体" w:cs="宋体"/>
          <w:b/>
          <w:bCs/>
          <w:kern w:val="2"/>
          <w:sz w:val="24"/>
          <w:szCs w:val="28"/>
          <w:lang w:val="en-US" w:eastAsia="zh-CN" w:bidi="ar-SA"/>
        </w:rPr>
        <w:t>穿绕前变幅钢丝绳</w:t>
      </w:r>
    </w:p>
    <w:p w14:paraId="3D41ADF3">
      <w:pPr>
        <w:ind w:firstLine="480"/>
        <w:rPr>
          <w:rFonts w:ascii="宋体" w:hAnsi="宋体" w:eastAsia="宋体"/>
          <w:color w:val="auto"/>
        </w:rPr>
      </w:pPr>
      <w:r>
        <w:rPr>
          <w:rFonts w:hint="eastAsia" w:ascii="宋体" w:hAnsi="宋体" w:eastAsia="宋体"/>
          <w:color w:val="auto"/>
        </w:rPr>
        <w:t>从卷轴上退下钢丝绳。</w:t>
      </w:r>
    </w:p>
    <w:p w14:paraId="3F88612C">
      <w:pPr>
        <w:bidi w:val="0"/>
        <w:jc w:val="center"/>
        <w:rPr>
          <w:lang w:val="en-US" w:eastAsia="zh-CN"/>
        </w:rPr>
      </w:pPr>
      <w:r>
        <w:rPr>
          <w:lang w:val="en-US" w:eastAsia="zh-CN"/>
        </w:rPr>
        <w:drawing>
          <wp:inline distT="0" distB="0" distL="0" distR="0">
            <wp:extent cx="2155825" cy="1063625"/>
            <wp:effectExtent l="0" t="0" r="8255" b="3175"/>
            <wp:docPr id="53813" name="图片 5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 name="图片 53813"/>
                    <pic:cNvPicPr>
                      <a:picLocks noChangeAspect="1"/>
                    </pic:cNvPicPr>
                  </pic:nvPicPr>
                  <pic:blipFill>
                    <a:blip r:embed="rId77"/>
                    <a:stretch>
                      <a:fillRect/>
                    </a:stretch>
                  </pic:blipFill>
                  <pic:spPr>
                    <a:xfrm>
                      <a:off x="0" y="0"/>
                      <a:ext cx="2155825" cy="1063625"/>
                    </a:xfrm>
                    <a:prstGeom prst="rect">
                      <a:avLst/>
                    </a:prstGeom>
                  </pic:spPr>
                </pic:pic>
              </a:graphicData>
            </a:graphic>
          </wp:inline>
        </w:drawing>
      </w:r>
    </w:p>
    <w:p w14:paraId="5C27DC6D">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前变幅钢丝绳退下方向</w:t>
      </w:r>
    </w:p>
    <w:p w14:paraId="03CD007D">
      <w:pPr>
        <w:ind w:firstLine="480"/>
        <w:rPr>
          <w:rFonts w:hint="eastAsia" w:ascii="宋体" w:hAnsi="宋体" w:eastAsia="宋体"/>
          <w:color w:val="auto"/>
        </w:rPr>
      </w:pPr>
      <w:r>
        <w:rPr>
          <w:rFonts w:hint="eastAsia" w:ascii="宋体" w:hAnsi="宋体" w:eastAsia="宋体"/>
          <w:color w:val="auto"/>
        </w:rPr>
        <w:t>钢丝绳一端穿过起重臂端部滑轮。从卷筒下方缠绕钢丝绳，确保至少3圈留在卷筒。</w:t>
      </w:r>
    </w:p>
    <w:p w14:paraId="3FB97067">
      <w:pPr>
        <w:bidi w:val="0"/>
        <w:jc w:val="center"/>
        <w:rPr>
          <w:lang w:val="en-US" w:eastAsia="zh-CN"/>
        </w:rPr>
      </w:pPr>
      <w:r>
        <w:rPr>
          <w:lang w:val="en-US" w:eastAsia="zh-CN"/>
        </w:rPr>
        <w:drawing>
          <wp:inline distT="0" distB="0" distL="0" distR="0">
            <wp:extent cx="3709670" cy="1439545"/>
            <wp:effectExtent l="0" t="0" r="8890"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8"/>
                    <a:stretch>
                      <a:fillRect/>
                    </a:stretch>
                  </pic:blipFill>
                  <pic:spPr>
                    <a:xfrm>
                      <a:off x="0" y="0"/>
                      <a:ext cx="3709875" cy="1440000"/>
                    </a:xfrm>
                    <a:prstGeom prst="rect">
                      <a:avLst/>
                    </a:prstGeom>
                  </pic:spPr>
                </pic:pic>
              </a:graphicData>
            </a:graphic>
          </wp:inline>
        </w:drawing>
      </w:r>
    </w:p>
    <w:p w14:paraId="78D63246">
      <w:pPr>
        <w:numPr>
          <w:ilvl w:val="0"/>
          <w:numId w:val="0"/>
        </w:numPr>
        <w:ind w:leftChars="200"/>
        <w:jc w:val="center"/>
        <w:rPr>
          <w:rFonts w:hint="default"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前变幅钢丝绳穿绕方向</w:t>
      </w:r>
    </w:p>
    <w:p w14:paraId="401EA125">
      <w:pPr>
        <w:ind w:firstLine="480"/>
        <w:rPr>
          <w:rFonts w:hint="eastAsia" w:ascii="宋体" w:hAnsi="宋体" w:eastAsia="宋体"/>
          <w:color w:val="auto"/>
        </w:rPr>
      </w:pPr>
      <w:r>
        <w:rPr>
          <w:rFonts w:hint="eastAsia" w:ascii="宋体" w:hAnsi="宋体" w:eastAsia="宋体"/>
          <w:color w:val="auto"/>
        </w:rPr>
        <w:t>用螺栓(3)和压板(4)将钢丝绳固定至变幅卷筒侧面。</w:t>
      </w:r>
    </w:p>
    <w:p w14:paraId="6F99E6B4">
      <w:pPr>
        <w:bidi w:val="0"/>
        <w:jc w:val="center"/>
        <w:rPr>
          <w:lang w:val="en-US" w:eastAsia="zh-CN"/>
        </w:rPr>
      </w:pPr>
      <w:r>
        <w:rPr>
          <w:lang w:val="en-US" w:eastAsia="zh-CN"/>
        </w:rPr>
        <w:drawing>
          <wp:inline distT="0" distB="0" distL="0" distR="0">
            <wp:extent cx="2213610" cy="1439545"/>
            <wp:effectExtent l="0" t="0" r="11430" b="8255"/>
            <wp:docPr id="53815" name="图片 5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5" name="图片 53815"/>
                    <pic:cNvPicPr>
                      <a:picLocks noChangeAspect="1"/>
                    </pic:cNvPicPr>
                  </pic:nvPicPr>
                  <pic:blipFill>
                    <a:blip r:embed="rId79"/>
                    <a:stretch>
                      <a:fillRect/>
                    </a:stretch>
                  </pic:blipFill>
                  <pic:spPr>
                    <a:xfrm>
                      <a:off x="0" y="0"/>
                      <a:ext cx="2214105" cy="1440000"/>
                    </a:xfrm>
                    <a:prstGeom prst="rect">
                      <a:avLst/>
                    </a:prstGeom>
                  </pic:spPr>
                </pic:pic>
              </a:graphicData>
            </a:graphic>
          </wp:inline>
        </w:drawing>
      </w:r>
    </w:p>
    <w:p w14:paraId="5ACF68F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前变幅钢丝绳在变幅卷筒固定方法</w:t>
      </w:r>
    </w:p>
    <w:p w14:paraId="068059D4">
      <w:pPr>
        <w:ind w:firstLine="480"/>
        <w:rPr>
          <w:rFonts w:ascii="宋体" w:hAnsi="宋体" w:eastAsia="宋体"/>
          <w:color w:val="auto"/>
        </w:rPr>
      </w:pPr>
      <w:r>
        <w:rPr>
          <w:rFonts w:hint="eastAsia" w:ascii="宋体" w:hAnsi="宋体" w:eastAsia="宋体"/>
          <w:color w:val="auto"/>
        </w:rPr>
        <w:t>钢丝绳一端(1)穿过防断绳装置(3)的导环(2)。从下向上缠绕钢丝绳至张紧卷筒(4)，并且确保3圈留在卷筒。钢丝绳穿过张紧卷筒的孔(5)，并用楔块(7)和楔套(6)固定钢丝绳。用手柄(8)张紧钢丝绳。</w:t>
      </w:r>
    </w:p>
    <w:p w14:paraId="264FCF5E">
      <w:pPr>
        <w:bidi w:val="0"/>
        <w:jc w:val="center"/>
        <w:rPr>
          <w:lang w:val="en-US" w:eastAsia="zh-CN"/>
        </w:rPr>
      </w:pPr>
      <w:r>
        <w:rPr>
          <w:lang w:val="en-US" w:eastAsia="zh-CN"/>
        </w:rPr>
        <w:drawing>
          <wp:inline distT="0" distB="0" distL="0" distR="0">
            <wp:extent cx="2818130" cy="2679700"/>
            <wp:effectExtent l="0" t="0" r="1270" b="2540"/>
            <wp:docPr id="53816" name="图片 5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 name="图片 53816"/>
                    <pic:cNvPicPr>
                      <a:picLocks noChangeAspect="1"/>
                    </pic:cNvPicPr>
                  </pic:nvPicPr>
                  <pic:blipFill>
                    <a:blip r:embed="rId80"/>
                    <a:stretch>
                      <a:fillRect/>
                    </a:stretch>
                  </pic:blipFill>
                  <pic:spPr>
                    <a:xfrm>
                      <a:off x="0" y="0"/>
                      <a:ext cx="2818130" cy="2679700"/>
                    </a:xfrm>
                    <a:prstGeom prst="rect">
                      <a:avLst/>
                    </a:prstGeom>
                  </pic:spPr>
                </pic:pic>
              </a:graphicData>
            </a:graphic>
          </wp:inline>
        </w:drawing>
      </w:r>
    </w:p>
    <w:p w14:paraId="56C646D7">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前变幅钢丝绳在张紧卷筒固定方法</w:t>
      </w:r>
    </w:p>
    <w:p w14:paraId="1648A3A6">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6.3.10.4.</w:t>
      </w:r>
      <w:r>
        <w:rPr>
          <w:rFonts w:hint="eastAsia" w:ascii="宋体" w:hAnsi="宋体" w:eastAsia="宋体" w:cs="宋体"/>
          <w:b/>
          <w:bCs/>
          <w:kern w:val="2"/>
          <w:sz w:val="24"/>
          <w:szCs w:val="28"/>
          <w:lang w:val="en-US" w:eastAsia="zh-CN" w:bidi="ar-SA"/>
        </w:rPr>
        <w:t>穿绕起升钢丝绳</w:t>
      </w:r>
    </w:p>
    <w:p w14:paraId="55505CA6">
      <w:pPr>
        <w:ind w:firstLine="480"/>
        <w:rPr>
          <w:rFonts w:hint="eastAsia" w:ascii="宋体" w:hAnsi="宋体" w:eastAsia="宋体"/>
          <w:color w:val="auto"/>
        </w:rPr>
      </w:pPr>
      <w:r>
        <w:rPr>
          <w:rFonts w:hint="eastAsia" w:ascii="宋体" w:hAnsi="宋体" w:eastAsia="宋体"/>
          <w:color w:val="auto"/>
        </w:rPr>
        <w:t>钢丝绳从起升机构(1)卷筒上端出绳，穿过平衡臂臂根节上托绳轮(2)，再穿过臂根节上起重量限制器滑轮(3)，再穿过起重臂臂根部滑轮(4)，然后钢丝绳伸出连接小车。</w:t>
      </w:r>
    </w:p>
    <w:p w14:paraId="799B92E1">
      <w:pPr>
        <w:bidi w:val="0"/>
        <w:ind w:left="0" w:leftChars="0" w:firstLine="0" w:firstLineChars="0"/>
        <w:jc w:val="center"/>
      </w:pPr>
      <w:r>
        <w:drawing>
          <wp:inline distT="0" distB="0" distL="114300" distR="114300">
            <wp:extent cx="5757545" cy="3303270"/>
            <wp:effectExtent l="0" t="0" r="3175" b="3810"/>
            <wp:docPr id="1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1"/>
                    <pic:cNvPicPr>
                      <a:picLocks noChangeAspect="1"/>
                    </pic:cNvPicPr>
                  </pic:nvPicPr>
                  <pic:blipFill>
                    <a:blip r:embed="rId81"/>
                    <a:stretch>
                      <a:fillRect/>
                    </a:stretch>
                  </pic:blipFill>
                  <pic:spPr>
                    <a:xfrm>
                      <a:off x="0" y="0"/>
                      <a:ext cx="5757545" cy="3303270"/>
                    </a:xfrm>
                    <a:prstGeom prst="rect">
                      <a:avLst/>
                    </a:prstGeom>
                    <a:noFill/>
                    <a:ln>
                      <a:noFill/>
                    </a:ln>
                  </pic:spPr>
                </pic:pic>
              </a:graphicData>
            </a:graphic>
          </wp:inline>
        </w:drawing>
      </w:r>
    </w:p>
    <w:p w14:paraId="7DF2233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起升钢丝绳穿绕方向</w:t>
      </w:r>
    </w:p>
    <w:p w14:paraId="222D0927">
      <w:pPr>
        <w:ind w:firstLine="480"/>
        <w:rPr>
          <w:rFonts w:hint="eastAsia" w:ascii="宋体" w:hAnsi="宋体" w:eastAsia="宋体"/>
          <w:color w:val="auto"/>
        </w:rPr>
      </w:pPr>
      <w:r>
        <w:rPr>
          <w:rFonts w:hint="eastAsia" w:ascii="宋体" w:hAnsi="宋体" w:eastAsia="宋体"/>
          <w:color w:val="auto"/>
        </w:rPr>
        <w:t>穿绕变幅小车上起升钢丝绳。由于本小车和吊钩为自动变倍率方式，变倍率时通过吊钩上上下滑轮组自动断开方式实现，因此起升钢丝绳的绕绳方式不变。</w:t>
      </w:r>
    </w:p>
    <w:p w14:paraId="7617B4B4">
      <w:pPr>
        <w:bidi w:val="0"/>
        <w:ind w:left="0" w:leftChars="0" w:firstLine="0" w:firstLineChars="0"/>
        <w:jc w:val="center"/>
      </w:pPr>
      <w:r>
        <w:drawing>
          <wp:inline distT="0" distB="0" distL="114300" distR="114300">
            <wp:extent cx="4443730" cy="2339975"/>
            <wp:effectExtent l="0" t="0" r="6350" b="6985"/>
            <wp:docPr id="18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5"/>
                    <pic:cNvPicPr>
                      <a:picLocks noChangeAspect="1"/>
                    </pic:cNvPicPr>
                  </pic:nvPicPr>
                  <pic:blipFill>
                    <a:blip r:embed="rId82"/>
                    <a:stretch>
                      <a:fillRect/>
                    </a:stretch>
                  </pic:blipFill>
                  <pic:spPr>
                    <a:xfrm>
                      <a:off x="0" y="0"/>
                      <a:ext cx="4443730" cy="2339975"/>
                    </a:xfrm>
                    <a:prstGeom prst="rect">
                      <a:avLst/>
                    </a:prstGeom>
                    <a:noFill/>
                    <a:ln>
                      <a:noFill/>
                    </a:ln>
                  </pic:spPr>
                </pic:pic>
              </a:graphicData>
            </a:graphic>
          </wp:inline>
        </w:drawing>
      </w:r>
    </w:p>
    <w:p w14:paraId="64D5929F">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起升钢丝绳穿绕顺序</w:t>
      </w:r>
    </w:p>
    <w:p w14:paraId="3C25025E">
      <w:pPr>
        <w:ind w:firstLine="480"/>
        <w:rPr>
          <w:rFonts w:hint="eastAsia" w:ascii="宋体" w:hAnsi="宋体" w:eastAsia="宋体"/>
          <w:color w:val="auto"/>
        </w:rPr>
      </w:pPr>
      <w:r>
        <w:rPr>
          <w:rFonts w:hint="eastAsia" w:ascii="宋体" w:hAnsi="宋体" w:eastAsia="宋体"/>
          <w:color w:val="auto"/>
        </w:rPr>
        <w:t>起升钢丝绳从小车绕出之后进入起重臂臂头防扭装置进行连接。用楔块(3)锁住钢丝绳(1)至楔套(2)，并在钢丝绳末端装上一个绳夹(4)。用销轴(6)和开口销(7)安装楔套(2)至钢丝绳防扭器(5)。安装完毕后检查防扭器是否旋转自如。</w:t>
      </w:r>
    </w:p>
    <w:p w14:paraId="5DD8F6DE">
      <w:pPr>
        <w:bidi w:val="0"/>
        <w:ind w:left="0" w:leftChars="0" w:firstLine="0" w:firstLineChars="0"/>
        <w:jc w:val="center"/>
      </w:pPr>
      <w:r>
        <w:drawing>
          <wp:inline distT="0" distB="0" distL="114300" distR="114300">
            <wp:extent cx="5759450" cy="2406015"/>
            <wp:effectExtent l="0" t="0" r="1270" b="1905"/>
            <wp:docPr id="13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2"/>
                    <pic:cNvPicPr>
                      <a:picLocks noChangeAspect="1"/>
                    </pic:cNvPicPr>
                  </pic:nvPicPr>
                  <pic:blipFill>
                    <a:blip r:embed="rId83"/>
                    <a:stretch>
                      <a:fillRect/>
                    </a:stretch>
                  </pic:blipFill>
                  <pic:spPr>
                    <a:xfrm>
                      <a:off x="0" y="0"/>
                      <a:ext cx="5759450" cy="2406015"/>
                    </a:xfrm>
                    <a:prstGeom prst="rect">
                      <a:avLst/>
                    </a:prstGeom>
                    <a:noFill/>
                    <a:ln>
                      <a:noFill/>
                    </a:ln>
                  </pic:spPr>
                </pic:pic>
              </a:graphicData>
            </a:graphic>
          </wp:inline>
        </w:drawing>
      </w:r>
    </w:p>
    <w:p w14:paraId="6C0D15D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起升钢丝绳在臂头连接方法</w:t>
      </w:r>
    </w:p>
    <w:p w14:paraId="41A75C2B">
      <w:pPr>
        <w:ind w:firstLine="480"/>
        <w:rPr>
          <w:rFonts w:hint="eastAsia" w:ascii="宋体" w:hAnsi="宋体" w:eastAsia="宋体"/>
          <w:color w:val="auto"/>
        </w:rPr>
      </w:pPr>
      <w:r>
        <w:rPr>
          <w:rFonts w:hint="eastAsia" w:ascii="宋体" w:hAnsi="宋体" w:eastAsia="宋体"/>
          <w:color w:val="auto"/>
        </w:rPr>
        <w:t>楔套、楔块及绳夹的配合见</w:t>
      </w:r>
      <w:r>
        <w:rPr>
          <w:rFonts w:hint="eastAsia" w:ascii="宋体" w:hAnsi="宋体" w:eastAsia="宋体"/>
          <w:color w:val="auto"/>
          <w:lang w:val="en-US" w:eastAsia="zh-CN"/>
        </w:rPr>
        <w:t>下图</w:t>
      </w:r>
      <w:r>
        <w:rPr>
          <w:rFonts w:hint="eastAsia" w:ascii="宋体" w:hAnsi="宋体" w:eastAsia="宋体"/>
          <w:color w:val="auto"/>
        </w:rPr>
        <w:t>所示，同时为了防止钢丝绳散股，可以绳端使用细铁丝缠绕。</w:t>
      </w:r>
    </w:p>
    <w:p w14:paraId="0FA44D56">
      <w:pPr>
        <w:bidi w:val="0"/>
        <w:jc w:val="center"/>
        <w:rPr>
          <w:lang w:val="en-US" w:eastAsia="zh-CN"/>
        </w:rPr>
      </w:pPr>
      <w:r>
        <w:rPr>
          <w:lang w:val="en-US" w:eastAsia="zh-CN"/>
        </w:rPr>
        <w:drawing>
          <wp:inline distT="0" distB="0" distL="0" distR="0">
            <wp:extent cx="2977515" cy="2386965"/>
            <wp:effectExtent l="0" t="0" r="9525" b="5715"/>
            <wp:docPr id="53820" name="图片 5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 name="图片 53820"/>
                    <pic:cNvPicPr>
                      <a:picLocks noChangeAspect="1"/>
                    </pic:cNvPicPr>
                  </pic:nvPicPr>
                  <pic:blipFill>
                    <a:blip r:embed="rId84"/>
                    <a:stretch>
                      <a:fillRect/>
                    </a:stretch>
                  </pic:blipFill>
                  <pic:spPr>
                    <a:xfrm>
                      <a:off x="0" y="0"/>
                      <a:ext cx="2977515" cy="2386965"/>
                    </a:xfrm>
                    <a:prstGeom prst="rect">
                      <a:avLst/>
                    </a:prstGeom>
                  </pic:spPr>
                </pic:pic>
              </a:graphicData>
            </a:graphic>
          </wp:inline>
        </w:drawing>
      </w:r>
    </w:p>
    <w:p w14:paraId="3DC0A45E">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6.3.10.4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楔套、楔块及绳夹的配合方式</w:t>
      </w:r>
    </w:p>
    <w:p w14:paraId="338BE43E">
      <w:pPr>
        <w:pStyle w:val="5"/>
        <w:numPr>
          <w:ilvl w:val="3"/>
          <w:numId w:val="0"/>
        </w:numPr>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6.3.10.5.</w:t>
      </w:r>
      <w:r>
        <w:rPr>
          <w:rFonts w:hint="eastAsia" w:ascii="宋体" w:hAnsi="宋体" w:eastAsia="宋体" w:cs="宋体"/>
          <w:b/>
          <w:bCs/>
          <w:kern w:val="2"/>
          <w:sz w:val="24"/>
          <w:szCs w:val="28"/>
          <w:lang w:val="en-US" w:eastAsia="zh-CN" w:bidi="ar-SA"/>
        </w:rPr>
        <w:t>吊钩安装</w:t>
      </w:r>
    </w:p>
    <w:p w14:paraId="06403044">
      <w:pPr>
        <w:ind w:firstLine="480"/>
        <w:rPr>
          <w:rFonts w:hint="eastAsia"/>
          <w:color w:val="auto"/>
          <w:sz w:val="24"/>
          <w:szCs w:val="24"/>
        </w:rPr>
      </w:pPr>
      <w:r>
        <w:rPr>
          <w:rFonts w:hint="eastAsia" w:ascii="宋体" w:hAnsi="宋体" w:eastAsia="宋体"/>
          <w:color w:val="auto"/>
        </w:rPr>
        <w:t>吊钩总成的安装同起升钢丝绳的缠绕为同一步骤。</w:t>
      </w:r>
    </w:p>
    <w:p w14:paraId="374A9EE8">
      <w:pPr>
        <w:pStyle w:val="4"/>
        <w:numPr>
          <w:ilvl w:val="2"/>
          <w:numId w:val="0"/>
        </w:numPr>
        <w:ind w:left="709" w:leftChars="0" w:hanging="709" w:firstLineChars="0"/>
        <w:rPr>
          <w:rFonts w:hint="eastAsia"/>
          <w:color w:val="auto"/>
        </w:rPr>
      </w:pPr>
      <w:bookmarkStart w:id="191" w:name="_Toc23076"/>
      <w:bookmarkStart w:id="192" w:name="_Toc2340"/>
      <w:r>
        <w:rPr>
          <w:rFonts w:hint="default" w:ascii="宋体" w:hAnsi="宋体" w:eastAsia="宋体" w:cstheme="minorBidi"/>
          <w:b/>
          <w:bCs/>
          <w:color w:val="auto"/>
          <w:kern w:val="2"/>
          <w:sz w:val="24"/>
          <w:szCs w:val="32"/>
          <w:lang w:val="en-US" w:eastAsia="zh-CN" w:bidi="ar-SA"/>
        </w:rPr>
        <w:t>6.3.11.</w:t>
      </w:r>
      <w:r>
        <w:rPr>
          <w:rFonts w:hint="eastAsia" w:ascii="黑体" w:hAnsi="黑体" w:cs="黑体"/>
          <w:bCs/>
          <w:color w:val="000000"/>
          <w:lang w:val="en-US" w:eastAsia="zh-CN"/>
        </w:rPr>
        <w:t>安全装置调试</w:t>
      </w:r>
      <w:bookmarkEnd w:id="191"/>
      <w:bookmarkEnd w:id="192"/>
    </w:p>
    <w:p w14:paraId="12621786">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6.3.11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64F52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19529AA5">
            <w:pPr>
              <w:pStyle w:val="75"/>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5270784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0A74225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2BC4C3D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1BDE4F0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26975C00">
            <w:pPr>
              <w:pStyle w:val="75"/>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52B5F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070B798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1FF8D4B2">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0F793951">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w:t>
            </w:r>
            <w:r>
              <w:rPr>
                <w:rFonts w:hint="eastAsia" w:ascii="宋体" w:hAnsi="宋体" w:eastAsia="宋体" w:cs="宋体"/>
                <w:b w:val="0"/>
                <w:i w:val="0"/>
                <w:sz w:val="21"/>
                <w:szCs w:val="21"/>
                <w:lang w:eastAsia="zh-CN"/>
              </w:rPr>
              <w:t>塔机</w:t>
            </w:r>
            <w:r>
              <w:rPr>
                <w:rFonts w:hint="eastAsia" w:ascii="宋体" w:hAnsi="宋体" w:eastAsia="宋体" w:cs="宋体"/>
                <w:b w:val="0"/>
                <w:i w:val="0"/>
                <w:sz w:val="21"/>
                <w:szCs w:val="21"/>
              </w:rPr>
              <w:t>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2158867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80C6D0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03BB525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5635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110DD65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2DC5964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38C15064">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35CE1365">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1B0398F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3882144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4E71A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2E5E1F21">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352A068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1599B0A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449A8FA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0ACD36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116F2964">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3A930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2AF15F4D">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30ECB628">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49D6C61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55F87ED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0AF3E96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5E1BAD5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7FF7A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1903D99A">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610898B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5B8BDCD9">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19555A4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5F50B57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19BDC96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68140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6B37CD6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25F6984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06B7D9BB">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00CF957D">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719F4C59">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127BC99E">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533F1D06">
      <w:pPr>
        <w:spacing w:line="240" w:lineRule="auto"/>
        <w:ind w:left="0" w:leftChars="0" w:firstLine="0" w:firstLineChars="0"/>
        <w:rPr>
          <w:rFonts w:hint="eastAsia"/>
          <w:lang w:val="en-US" w:eastAsia="zh-CN"/>
        </w:rPr>
      </w:pPr>
    </w:p>
    <w:p w14:paraId="6A2C12A6">
      <w:pPr>
        <w:pStyle w:val="5"/>
        <w:numPr>
          <w:ilvl w:val="3"/>
          <w:numId w:val="0"/>
        </w:numPr>
        <w:bidi w:val="0"/>
        <w:ind w:left="864" w:leftChars="0" w:hanging="864" w:firstLineChars="0"/>
        <w:rPr>
          <w:rFonts w:hint="eastAsia" w:ascii="宋体" w:hAnsi="宋体" w:eastAsia="宋体" w:cs="宋体"/>
        </w:rPr>
      </w:pPr>
      <w:r>
        <w:rPr>
          <w:rFonts w:hint="default" w:ascii="宋体" w:hAnsi="宋体" w:eastAsia="宋体" w:cs="宋体"/>
          <w:b/>
          <w:bCs/>
          <w:kern w:val="2"/>
          <w:sz w:val="24"/>
          <w:szCs w:val="28"/>
          <w:lang w:val="en-US" w:eastAsia="zh-CN" w:bidi="ar-SA"/>
        </w:rPr>
        <w:t>6.3.11.1.</w:t>
      </w:r>
      <w:r>
        <w:rPr>
          <w:rFonts w:hint="eastAsia" w:ascii="宋体" w:hAnsi="宋体" w:eastAsia="宋体" w:cs="宋体"/>
          <w:lang w:val="en-US" w:eastAsia="zh-CN"/>
        </w:rPr>
        <w:t>起升高度限位器调试</w:t>
      </w:r>
    </w:p>
    <w:p w14:paraId="73C284DA">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2935FC99">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8890"/>
            <wp:docPr id="1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8"/>
                    <pic:cNvPicPr>
                      <a:picLocks noChangeAspect="1"/>
                    </pic:cNvPicPr>
                  </pic:nvPicPr>
                  <pic:blipFill>
                    <a:blip r:embed="rId85"/>
                    <a:stretch>
                      <a:fillRect/>
                    </a:stretch>
                  </pic:blipFill>
                  <pic:spPr>
                    <a:xfrm>
                      <a:off x="0" y="0"/>
                      <a:ext cx="2052955" cy="2109470"/>
                    </a:xfrm>
                    <a:prstGeom prst="rect">
                      <a:avLst/>
                    </a:prstGeom>
                    <a:noFill/>
                    <a:ln w="9525">
                      <a:noFill/>
                    </a:ln>
                  </pic:spPr>
                </pic:pic>
              </a:graphicData>
            </a:graphic>
          </wp:inline>
        </w:drawing>
      </w:r>
    </w:p>
    <w:p w14:paraId="753D6AE6">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537E0B92">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6.3.11.2.</w:t>
      </w:r>
      <w:r>
        <w:rPr>
          <w:rFonts w:hint="eastAsia" w:ascii="宋体" w:hAnsi="宋体" w:eastAsia="宋体" w:cs="宋体"/>
          <w:b/>
          <w:bCs/>
          <w:kern w:val="2"/>
          <w:sz w:val="24"/>
          <w:szCs w:val="28"/>
          <w:lang w:val="en-US" w:eastAsia="zh-CN" w:bidi="ar-SA"/>
        </w:rPr>
        <w:t>幅度限位器调试</w:t>
      </w:r>
    </w:p>
    <w:p w14:paraId="3EE97151">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16EE6F65">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0F7032F8">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3E6182D6">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6.3.11.3.</w:t>
      </w:r>
      <w:r>
        <w:rPr>
          <w:rFonts w:hint="eastAsia" w:ascii="宋体" w:hAnsi="宋体" w:eastAsia="宋体" w:cs="宋体"/>
          <w:b/>
          <w:bCs/>
          <w:kern w:val="2"/>
          <w:sz w:val="24"/>
          <w:szCs w:val="28"/>
          <w:lang w:val="en-US" w:eastAsia="zh-CN" w:bidi="ar-SA"/>
        </w:rPr>
        <w:t>回转限位器调试</w:t>
      </w:r>
    </w:p>
    <w:p w14:paraId="48353792">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8255" b="1905"/>
            <wp:docPr id="133"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9" descr="1561885424(1)"/>
                    <pic:cNvPicPr>
                      <a:picLocks noChangeAspect="1"/>
                    </pic:cNvPicPr>
                  </pic:nvPicPr>
                  <pic:blipFill>
                    <a:blip r:embed="rId86"/>
                    <a:srcRect t="5453"/>
                    <a:stretch>
                      <a:fillRect/>
                    </a:stretch>
                  </pic:blipFill>
                  <pic:spPr>
                    <a:xfrm>
                      <a:off x="0" y="0"/>
                      <a:ext cx="3057606" cy="2849915"/>
                    </a:xfrm>
                    <a:prstGeom prst="rect">
                      <a:avLst/>
                    </a:prstGeom>
                  </pic:spPr>
                </pic:pic>
              </a:graphicData>
            </a:graphic>
          </wp:inline>
        </w:drawing>
      </w:r>
    </w:p>
    <w:p w14:paraId="10CBEFE2">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5F1CF147">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0BFD111D">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6.3.11.4.</w:t>
      </w:r>
      <w:r>
        <w:rPr>
          <w:rFonts w:hint="eastAsia" w:ascii="宋体" w:hAnsi="宋体" w:eastAsia="宋体" w:cs="宋体"/>
          <w:b/>
          <w:bCs/>
          <w:kern w:val="2"/>
          <w:sz w:val="24"/>
          <w:szCs w:val="28"/>
          <w:lang w:val="en-US" w:eastAsia="zh-CN" w:bidi="ar-SA"/>
        </w:rPr>
        <w:t>力矩限制器调试</w:t>
      </w:r>
    </w:p>
    <w:p w14:paraId="07C05013">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2F66071E">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75B34532">
      <w:pPr>
        <w:ind w:firstLine="480"/>
        <w:rPr>
          <w:rFonts w:hint="eastAsia" w:ascii="宋体" w:hAnsi="宋体" w:eastAsia="宋体"/>
          <w:color w:val="auto"/>
        </w:rPr>
      </w:pPr>
      <w:r>
        <w:rPr>
          <w:rFonts w:hint="eastAsia" w:ascii="宋体" w:hAnsi="宋体" w:eastAsia="宋体"/>
          <w:color w:val="auto"/>
        </w:rPr>
        <w:t>力矩限制器的校核（四倍率）：</w:t>
      </w:r>
    </w:p>
    <w:p w14:paraId="79A375C8">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329EDDFB">
      <w:pPr>
        <w:pStyle w:val="11"/>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3810" b="7620"/>
            <wp:docPr id="13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3"/>
                    <pic:cNvPicPr>
                      <a:picLocks noChangeAspect="1"/>
                    </pic:cNvPicPr>
                  </pic:nvPicPr>
                  <pic:blipFill>
                    <a:blip r:embed="rId87"/>
                    <a:stretch>
                      <a:fillRect/>
                    </a:stretch>
                  </pic:blipFill>
                  <pic:spPr>
                    <a:xfrm>
                      <a:off x="0" y="0"/>
                      <a:ext cx="4751070" cy="2994660"/>
                    </a:xfrm>
                    <a:prstGeom prst="rect">
                      <a:avLst/>
                    </a:prstGeom>
                    <a:noFill/>
                    <a:ln>
                      <a:noFill/>
                    </a:ln>
                  </pic:spPr>
                </pic:pic>
              </a:graphicData>
            </a:graphic>
          </wp:inline>
        </w:drawing>
      </w:r>
    </w:p>
    <w:p w14:paraId="41F4242F">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ascii="宋体" w:hAnsi="宋体" w:eastAsia="宋体"/>
        </w:rPr>
        <w:t>6.3.11.4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4381286A">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宋体"/>
          <w:b/>
          <w:bCs/>
          <w:kern w:val="2"/>
          <w:sz w:val="24"/>
          <w:szCs w:val="28"/>
          <w:lang w:val="en-US" w:eastAsia="zh-CN" w:bidi="ar-SA"/>
        </w:rPr>
        <w:t>6.3.11.5.</w:t>
      </w:r>
      <w:r>
        <w:rPr>
          <w:rFonts w:hint="eastAsia" w:ascii="宋体" w:hAnsi="宋体" w:eastAsia="宋体" w:cs="宋体"/>
          <w:b/>
          <w:bCs/>
          <w:kern w:val="2"/>
          <w:sz w:val="24"/>
          <w:szCs w:val="28"/>
          <w:lang w:val="en-US" w:eastAsia="zh-CN" w:bidi="ar-SA"/>
        </w:rPr>
        <w:t>起重量限制器调试</w:t>
      </w:r>
    </w:p>
    <w:p w14:paraId="57A4F03E">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40478D71">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0964BAF2">
      <w:pPr>
        <w:pStyle w:val="4"/>
        <w:numPr>
          <w:ilvl w:val="2"/>
          <w:numId w:val="0"/>
        </w:numPr>
        <w:ind w:left="709" w:leftChars="0" w:hanging="709" w:firstLineChars="0"/>
        <w:rPr>
          <w:rFonts w:hint="eastAsia"/>
          <w:color w:val="auto"/>
        </w:rPr>
      </w:pPr>
      <w:bookmarkStart w:id="193" w:name="_Toc29499"/>
      <w:bookmarkStart w:id="194" w:name="_Toc6838"/>
      <w:r>
        <w:rPr>
          <w:rFonts w:hint="default" w:ascii="宋体" w:hAnsi="宋体" w:eastAsia="宋体" w:cstheme="minorBidi"/>
          <w:b/>
          <w:bCs/>
          <w:color w:val="auto"/>
          <w:kern w:val="2"/>
          <w:sz w:val="24"/>
          <w:szCs w:val="32"/>
          <w:lang w:val="en-US" w:eastAsia="zh-CN" w:bidi="ar-SA"/>
        </w:rPr>
        <w:t>6.3.12.</w:t>
      </w:r>
      <w:r>
        <w:rPr>
          <w:rFonts w:hint="eastAsia"/>
          <w:color w:val="auto"/>
        </w:rPr>
        <w:t>顶升</w:t>
      </w:r>
      <w:bookmarkEnd w:id="193"/>
      <w:bookmarkEnd w:id="194"/>
    </w:p>
    <w:p w14:paraId="2A3D6424">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184070EC">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0AD4208E">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603A52B3">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7F2542DC">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2C54670C">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32AFD43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塔机最高处风速大于12m/s时，不得进行顶升作业；</w:t>
      </w:r>
    </w:p>
    <w:p w14:paraId="42C0BC78">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塔机的爬升机构，其爬升作业时应确保爬升架上支承在塔身上的受力部位与塔身顶升支承部位应可靠定位和结合。并应及时查看顶升支承部位焊缝情况，若有异常情况应排除后才能继续进行爬升作业；</w:t>
      </w:r>
    </w:p>
    <w:p w14:paraId="405F16DA">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顶升过程中必须保证起重臂与引入标准节方向一致，并利用回转机构制动器将起重臂制动住，载重小车必须停靠在顶升配平位置；</w:t>
      </w:r>
    </w:p>
    <w:p w14:paraId="5007D43F">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若要连续加高几节标准节，则每加完一节后，用塔机自身起吊下一节标准节前，塔身4个主弦杆和特殊节必须有12个的螺栓连接，唯有在这种情况下，允许这12根螺栓每根只用一个螺母；</w:t>
      </w:r>
    </w:p>
    <w:p w14:paraId="6705BE0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所加标准节上的踏步，必须与己有塔身节对正；</w:t>
      </w:r>
    </w:p>
    <w:p w14:paraId="0D6435A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在特殊节与塔身没有用螺栓连接好之前，严禁起重臂回转、载重小车变幅和吊装作业；</w:t>
      </w:r>
    </w:p>
    <w:p w14:paraId="176274BC">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在顶升过程中，若液压顶升系统出现异常，应立即停止顶升，收回油缸，将下支座落在塔身顶部，并用12件高强度螺栓将特殊节与塔身连接牢后，再排除液压系统的故障；</w:t>
      </w:r>
    </w:p>
    <w:p w14:paraId="3CE3057C">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cs="宋体"/>
          <w:color w:val="auto"/>
          <w:kern w:val="0"/>
          <w:szCs w:val="24"/>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BED6289">
      <w:pPr>
        <w:ind w:firstLine="480"/>
        <w:rPr>
          <w:rFonts w:hint="eastAsia"/>
          <w:color w:val="auto"/>
        </w:rPr>
      </w:pPr>
      <w:r>
        <w:rPr>
          <w:rFonts w:hint="eastAsia"/>
          <w:color w:val="auto"/>
        </w:rPr>
        <w:t>（3）顶升配平</w:t>
      </w:r>
    </w:p>
    <w:p w14:paraId="2B1CEEC8">
      <w:pPr>
        <w:autoSpaceDE w:val="0"/>
        <w:autoSpaceDN w:val="0"/>
        <w:adjustRightInd w:val="0"/>
        <w:ind w:firstLine="480"/>
        <w:rPr>
          <w:rFonts w:hint="eastAsia" w:cs="宋体"/>
          <w:color w:val="auto"/>
          <w:kern w:val="0"/>
          <w:szCs w:val="24"/>
        </w:rPr>
      </w:pPr>
      <w:r>
        <w:rPr>
          <w:rFonts w:cs="宋体"/>
          <w:color w:val="auto"/>
          <w:kern w:val="0"/>
          <w:szCs w:val="24"/>
        </w:rPr>
        <w:t>1</w:t>
      </w:r>
      <w:r>
        <w:rPr>
          <w:rFonts w:hint="eastAsia" w:cs="宋体"/>
          <w:color w:val="auto"/>
          <w:kern w:val="0"/>
          <w:szCs w:val="24"/>
        </w:rPr>
        <w:t>）塔机配平前，必须先吊一节标准节放在引进平台上，再将载重小车运行到配平参考位置，并吊起一节标准节或其它重物，然后拆除</w:t>
      </w:r>
      <w:r>
        <w:rPr>
          <w:rFonts w:hint="eastAsia" w:cs="宋体"/>
          <w:color w:val="auto"/>
          <w:kern w:val="0"/>
          <w:szCs w:val="24"/>
          <w:lang w:eastAsia="zh-CN"/>
        </w:rPr>
        <w:t>特殊节</w:t>
      </w:r>
      <w:r>
        <w:rPr>
          <w:rFonts w:cs="宋体"/>
          <w:color w:val="auto"/>
          <w:kern w:val="0"/>
          <w:szCs w:val="24"/>
        </w:rPr>
        <w:t>4</w:t>
      </w:r>
      <w:r>
        <w:rPr>
          <w:rFonts w:hint="eastAsia" w:cs="宋体"/>
          <w:color w:val="auto"/>
          <w:kern w:val="0"/>
          <w:szCs w:val="24"/>
        </w:rPr>
        <w:t>个支脚与标准节的连接销轴，如图所示；</w:t>
      </w:r>
    </w:p>
    <w:p w14:paraId="1E574414">
      <w:pPr>
        <w:pStyle w:val="83"/>
        <w:rPr>
          <w:rFonts w:hint="eastAsia"/>
          <w:color w:val="auto"/>
        </w:rPr>
      </w:pPr>
      <w:r>
        <w:drawing>
          <wp:inline distT="0" distB="0" distL="114300" distR="114300">
            <wp:extent cx="5483225" cy="1548130"/>
            <wp:effectExtent l="0" t="0" r="3175" b="6350"/>
            <wp:docPr id="6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1"/>
                    <pic:cNvPicPr>
                      <a:picLocks noChangeAspect="1"/>
                    </pic:cNvPicPr>
                  </pic:nvPicPr>
                  <pic:blipFill>
                    <a:blip r:embed="rId88"/>
                    <a:stretch>
                      <a:fillRect/>
                    </a:stretch>
                  </pic:blipFill>
                  <pic:spPr>
                    <a:xfrm>
                      <a:off x="0" y="0"/>
                      <a:ext cx="5483225" cy="1548130"/>
                    </a:xfrm>
                    <a:prstGeom prst="rect">
                      <a:avLst/>
                    </a:prstGeom>
                    <a:noFill/>
                    <a:ln>
                      <a:noFill/>
                    </a:ln>
                  </pic:spPr>
                </pic:pic>
              </a:graphicData>
            </a:graphic>
          </wp:inline>
        </w:drawing>
      </w:r>
    </w:p>
    <w:p w14:paraId="56CDE710">
      <w:pPr>
        <w:pStyle w:val="83"/>
      </w:pPr>
      <w:r>
        <w:drawing>
          <wp:inline distT="0" distB="0" distL="114300" distR="114300">
            <wp:extent cx="5485765" cy="2260600"/>
            <wp:effectExtent l="0" t="0" r="635" b="10160"/>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9"/>
                    <a:stretch>
                      <a:fillRect/>
                    </a:stretch>
                  </pic:blipFill>
                  <pic:spPr>
                    <a:xfrm>
                      <a:off x="0" y="0"/>
                      <a:ext cx="5485765" cy="2260600"/>
                    </a:xfrm>
                    <a:prstGeom prst="rect">
                      <a:avLst/>
                    </a:prstGeom>
                    <a:noFill/>
                    <a:ln>
                      <a:noFill/>
                    </a:ln>
                  </pic:spPr>
                </pic:pic>
              </a:graphicData>
            </a:graphic>
          </wp:inline>
        </w:drawing>
      </w:r>
    </w:p>
    <w:p w14:paraId="70AB993A">
      <w:pPr>
        <w:pStyle w:val="83"/>
        <w:rPr>
          <w:rFonts w:hint="default" w:eastAsia="宋体"/>
          <w:b w:val="0"/>
          <w:bCs/>
          <w:lang w:val="en-US" w:eastAsia="zh-CN"/>
        </w:rPr>
      </w:pPr>
      <w:r>
        <w:rPr>
          <w:rFonts w:hint="eastAsia" w:ascii="宋体" w:hAnsi="宋体" w:eastAsia="宋体"/>
          <w:b w:val="0"/>
          <w:bCs/>
          <w:color w:val="auto"/>
        </w:rPr>
        <w:t xml:space="preserve">图 </w:t>
      </w:r>
      <w:r>
        <w:rPr>
          <w:rFonts w:hint="eastAsia" w:ascii="宋体" w:hAnsi="宋体" w:eastAsia="宋体"/>
          <w:b w:val="0"/>
          <w:bCs/>
          <w:color w:val="auto"/>
        </w:rPr>
        <w:fldChar w:fldCharType="begin"/>
      </w:r>
      <w:r>
        <w:rPr>
          <w:rFonts w:hint="eastAsia" w:ascii="宋体" w:hAnsi="宋体" w:eastAsia="宋体"/>
          <w:b w:val="0"/>
          <w:bCs/>
          <w:color w:val="auto"/>
        </w:rPr>
        <w:instrText xml:space="preserve"> STYLEREF 2 \s </w:instrText>
      </w:r>
      <w:r>
        <w:rPr>
          <w:rFonts w:hint="eastAsia" w:ascii="宋体" w:hAnsi="宋体" w:eastAsia="宋体"/>
          <w:b w:val="0"/>
          <w:bCs/>
          <w:color w:val="auto"/>
        </w:rPr>
        <w:fldChar w:fldCharType="separate"/>
      </w:r>
      <w:r>
        <w:rPr>
          <w:rFonts w:hint="eastAsia" w:ascii="宋体" w:hAnsi="宋体" w:eastAsia="宋体"/>
          <w:b w:val="0"/>
          <w:bCs/>
          <w:color w:val="auto"/>
        </w:rPr>
        <w:t>6.3</w:t>
      </w:r>
      <w:r>
        <w:rPr>
          <w:rFonts w:hint="eastAsia" w:ascii="宋体" w:hAnsi="宋体" w:eastAsia="宋体"/>
          <w:b w:val="0"/>
          <w:bCs/>
          <w:color w:val="auto"/>
        </w:rPr>
        <w:fldChar w:fldCharType="end"/>
      </w:r>
      <w:r>
        <w:rPr>
          <w:rFonts w:hint="eastAsia" w:ascii="宋体" w:hAnsi="宋体" w:eastAsia="宋体"/>
          <w:b w:val="0"/>
          <w:bCs/>
          <w:color w:val="auto"/>
          <w:lang w:eastAsia="zh-CN"/>
        </w:rPr>
        <w:t>-</w:t>
      </w:r>
      <w:r>
        <w:rPr>
          <w:rFonts w:hint="eastAsia" w:ascii="宋体" w:hAnsi="宋体" w:eastAsia="宋体"/>
          <w:b w:val="0"/>
          <w:bCs/>
          <w:color w:val="auto"/>
        </w:rPr>
        <w:fldChar w:fldCharType="begin"/>
      </w:r>
      <w:r>
        <w:rPr>
          <w:rFonts w:hint="eastAsia" w:ascii="宋体" w:hAnsi="宋体" w:eastAsia="宋体"/>
          <w:b w:val="0"/>
          <w:bCs/>
          <w:color w:val="auto"/>
        </w:rPr>
        <w:instrText xml:space="preserve"> SEQ 图 \* ARABIC \s 2 </w:instrText>
      </w:r>
      <w:r>
        <w:rPr>
          <w:rFonts w:hint="eastAsia" w:ascii="宋体" w:hAnsi="宋体" w:eastAsia="宋体"/>
          <w:b w:val="0"/>
          <w:bCs/>
          <w:color w:val="auto"/>
        </w:rPr>
        <w:fldChar w:fldCharType="separate"/>
      </w:r>
      <w:r>
        <w:rPr>
          <w:rFonts w:hint="eastAsia" w:ascii="宋体" w:hAnsi="宋体" w:eastAsia="宋体"/>
          <w:b w:val="0"/>
          <w:bCs/>
          <w:color w:val="auto"/>
        </w:rPr>
        <w:t>30</w:t>
      </w:r>
      <w:r>
        <w:rPr>
          <w:rFonts w:hint="eastAsia" w:ascii="宋体" w:hAnsi="宋体" w:eastAsia="宋体"/>
          <w:b w:val="0"/>
          <w:bCs/>
          <w:color w:val="auto"/>
        </w:rPr>
        <w:fldChar w:fldCharType="end"/>
      </w:r>
      <w:r>
        <w:rPr>
          <w:rFonts w:hint="eastAsia" w:ascii="宋体" w:hAnsi="宋体" w:eastAsia="宋体"/>
          <w:b w:val="0"/>
          <w:bCs/>
          <w:color w:val="auto"/>
          <w:lang w:val="en-US" w:eastAsia="zh-CN"/>
        </w:rPr>
        <w:t xml:space="preserve"> 顶升时配平示意图</w:t>
      </w:r>
    </w:p>
    <w:p w14:paraId="378EC1AF">
      <w:pPr>
        <w:autoSpaceDE w:val="0"/>
        <w:autoSpaceDN w:val="0"/>
        <w:adjustRightInd w:val="0"/>
        <w:ind w:firstLine="480"/>
        <w:rPr>
          <w:rFonts w:hint="eastAsia" w:cs="宋体"/>
          <w:color w:val="auto"/>
          <w:kern w:val="0"/>
          <w:szCs w:val="24"/>
        </w:rPr>
      </w:pPr>
      <w:r>
        <w:rPr>
          <w:rFonts w:cs="宋体"/>
          <w:color w:val="auto"/>
          <w:kern w:val="0"/>
          <w:szCs w:val="24"/>
        </w:rPr>
        <w:t>2</w:t>
      </w:r>
      <w:r>
        <w:rPr>
          <w:rFonts w:hint="eastAsia" w:cs="宋体"/>
          <w:color w:val="auto"/>
          <w:kern w:val="0"/>
          <w:szCs w:val="24"/>
        </w:rPr>
        <w:t>）将液压顶升系统操纵杆推至</w:t>
      </w:r>
      <w:r>
        <w:rPr>
          <w:rFonts w:cs="宋体"/>
          <w:color w:val="auto"/>
          <w:kern w:val="0"/>
          <w:szCs w:val="24"/>
        </w:rPr>
        <w:t>“</w:t>
      </w:r>
      <w:r>
        <w:rPr>
          <w:rFonts w:hint="eastAsia" w:cs="宋体"/>
          <w:color w:val="auto"/>
          <w:kern w:val="0"/>
          <w:szCs w:val="24"/>
        </w:rPr>
        <w:t>顶升</w:t>
      </w:r>
      <w:r>
        <w:rPr>
          <w:rFonts w:cs="宋体"/>
          <w:color w:val="auto"/>
          <w:kern w:val="0"/>
          <w:szCs w:val="24"/>
        </w:rPr>
        <w:t>”</w:t>
      </w:r>
      <w:r>
        <w:rPr>
          <w:rFonts w:hint="eastAsia" w:cs="宋体"/>
          <w:color w:val="auto"/>
          <w:kern w:val="0"/>
          <w:szCs w:val="24"/>
        </w:rPr>
        <w:t>方向，使爬升架顶升至</w:t>
      </w:r>
      <w:r>
        <w:rPr>
          <w:rFonts w:hint="eastAsia" w:cs="宋体"/>
          <w:color w:val="auto"/>
          <w:kern w:val="0"/>
          <w:szCs w:val="24"/>
          <w:lang w:eastAsia="zh-CN"/>
        </w:rPr>
        <w:t>特殊节</w:t>
      </w:r>
      <w:r>
        <w:rPr>
          <w:rFonts w:hint="eastAsia" w:cs="宋体"/>
          <w:color w:val="auto"/>
          <w:kern w:val="0"/>
          <w:szCs w:val="24"/>
        </w:rPr>
        <w:t>支腿刚刚脱离塔身的主弦杆的位置。</w:t>
      </w:r>
    </w:p>
    <w:p w14:paraId="6557DD51">
      <w:pPr>
        <w:autoSpaceDE w:val="0"/>
        <w:autoSpaceDN w:val="0"/>
        <w:adjustRightInd w:val="0"/>
        <w:ind w:firstLine="480"/>
        <w:rPr>
          <w:rFonts w:hint="eastAsia" w:cs="宋体"/>
          <w:color w:val="auto"/>
          <w:kern w:val="0"/>
          <w:szCs w:val="24"/>
        </w:rPr>
      </w:pPr>
      <w:r>
        <w:rPr>
          <w:rFonts w:cs="宋体"/>
          <w:color w:val="auto"/>
          <w:kern w:val="0"/>
          <w:szCs w:val="24"/>
        </w:rPr>
        <w:t>3</w:t>
      </w:r>
      <w:r>
        <w:rPr>
          <w:rFonts w:hint="eastAsia" w:cs="宋体"/>
          <w:color w:val="auto"/>
          <w:kern w:val="0"/>
          <w:szCs w:val="24"/>
        </w:rPr>
        <w:t>）通过检验</w:t>
      </w:r>
      <w:r>
        <w:rPr>
          <w:rFonts w:hint="eastAsia" w:cs="宋体"/>
          <w:color w:val="auto"/>
          <w:kern w:val="0"/>
          <w:szCs w:val="24"/>
          <w:lang w:eastAsia="zh-CN"/>
        </w:rPr>
        <w:t>特殊节</w:t>
      </w:r>
      <w:r>
        <w:rPr>
          <w:rFonts w:hint="eastAsia" w:cs="宋体"/>
          <w:color w:val="auto"/>
          <w:kern w:val="0"/>
          <w:szCs w:val="24"/>
        </w:rPr>
        <w:t>支腿与塔身主弦杆是否在一条垂直线上，并观察爬升架</w:t>
      </w:r>
      <w:r>
        <w:rPr>
          <w:rFonts w:cs="宋体"/>
          <w:color w:val="auto"/>
          <w:kern w:val="0"/>
          <w:szCs w:val="24"/>
        </w:rPr>
        <w:t>8</w:t>
      </w:r>
      <w:r>
        <w:rPr>
          <w:rFonts w:hint="eastAsia" w:cs="宋体"/>
          <w:color w:val="auto"/>
          <w:kern w:val="0"/>
          <w:szCs w:val="24"/>
        </w:rPr>
        <w:t>个导轮与塔身主弦杆间隙是否基本相同来检查塔机是否平衡。若不平衡，略微调整载重小车的配平位置，直至平衡。使得塔机上部重心落在顶升油缸梁的位置上，这时塔机处于顶升平衡状态；</w:t>
      </w:r>
    </w:p>
    <w:p w14:paraId="5525C92B">
      <w:pPr>
        <w:autoSpaceDE w:val="0"/>
        <w:autoSpaceDN w:val="0"/>
        <w:adjustRightInd w:val="0"/>
        <w:ind w:firstLine="480"/>
        <w:rPr>
          <w:rFonts w:hint="eastAsia" w:cs="宋体"/>
          <w:color w:val="auto"/>
          <w:kern w:val="0"/>
          <w:szCs w:val="24"/>
        </w:rPr>
      </w:pPr>
      <w:r>
        <w:rPr>
          <w:rFonts w:cs="宋体"/>
          <w:color w:val="auto"/>
          <w:kern w:val="0"/>
          <w:szCs w:val="24"/>
        </w:rPr>
        <w:t>4</w:t>
      </w:r>
      <w:r>
        <w:rPr>
          <w:rFonts w:hint="eastAsia" w:cs="宋体"/>
          <w:color w:val="auto"/>
          <w:kern w:val="0"/>
          <w:szCs w:val="24"/>
        </w:rPr>
        <w:t>）记录载重小车的配平位置。注意：该位置随起重臂长度不同而改变；</w:t>
      </w:r>
    </w:p>
    <w:p w14:paraId="3F993607">
      <w:pPr>
        <w:autoSpaceDE w:val="0"/>
        <w:autoSpaceDN w:val="0"/>
        <w:adjustRightInd w:val="0"/>
        <w:ind w:firstLine="480"/>
        <w:rPr>
          <w:rFonts w:hint="eastAsia" w:cs="宋体"/>
          <w:color w:val="auto"/>
          <w:kern w:val="0"/>
          <w:szCs w:val="24"/>
        </w:rPr>
      </w:pPr>
      <w:r>
        <w:rPr>
          <w:rFonts w:cs="宋体"/>
          <w:color w:val="auto"/>
          <w:kern w:val="0"/>
          <w:szCs w:val="24"/>
        </w:rPr>
        <w:t>5</w:t>
      </w:r>
      <w:r>
        <w:rPr>
          <w:rFonts w:hint="eastAsia" w:cs="宋体"/>
          <w:color w:val="auto"/>
          <w:kern w:val="0"/>
          <w:szCs w:val="24"/>
        </w:rPr>
        <w:t>）操纵液压系统使爬升架下降，连接好过渡梁和塔身标准节之间的连接销轴。</w:t>
      </w:r>
    </w:p>
    <w:p w14:paraId="34348194">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（4）顶升加节</w:t>
      </w:r>
    </w:p>
    <w:p w14:paraId="1F7C1B55">
      <w:pPr>
        <w:autoSpaceDE w:val="0"/>
        <w:autoSpaceDN w:val="0"/>
        <w:adjustRightInd w:val="0"/>
        <w:ind w:firstLine="480"/>
        <w:rPr>
          <w:rFonts w:hint="eastAsia" w:cs="宋体"/>
          <w:color w:val="auto"/>
          <w:kern w:val="0"/>
          <w:szCs w:val="24"/>
        </w:rPr>
      </w:pPr>
      <w:r>
        <w:rPr>
          <w:rFonts w:cs="宋体"/>
          <w:color w:val="auto"/>
          <w:kern w:val="0"/>
          <w:szCs w:val="24"/>
        </w:rPr>
        <w:t>1</w:t>
      </w:r>
      <w:r>
        <w:rPr>
          <w:rFonts w:hint="eastAsia" w:cs="宋体"/>
          <w:color w:val="auto"/>
          <w:kern w:val="0"/>
          <w:szCs w:val="24"/>
        </w:rPr>
        <w:t>）将一节标准节吊至爬升架的引进平台的正上方，在标准节下端装上四只引进滚轮，缓慢落下吊钩，使装在标准节上的引进滚轮比较合适地落在引进横梁上，然后摘下吊钩。</w:t>
      </w:r>
    </w:p>
    <w:p w14:paraId="3AE19C50">
      <w:pPr>
        <w:autoSpaceDE w:val="0"/>
        <w:autoSpaceDN w:val="0"/>
        <w:adjustRightInd w:val="0"/>
        <w:ind w:firstLine="480"/>
        <w:rPr>
          <w:rFonts w:hint="eastAsia" w:cs="宋体"/>
          <w:color w:val="auto"/>
          <w:kern w:val="0"/>
          <w:szCs w:val="24"/>
        </w:rPr>
      </w:pPr>
      <w:r>
        <w:rPr>
          <w:rFonts w:cs="宋体"/>
          <w:color w:val="auto"/>
          <w:kern w:val="0"/>
          <w:szCs w:val="24"/>
        </w:rPr>
        <w:t>2</w:t>
      </w:r>
      <w:r>
        <w:rPr>
          <w:rFonts w:hint="eastAsia" w:cs="宋体"/>
          <w:color w:val="auto"/>
          <w:kern w:val="0"/>
          <w:szCs w:val="24"/>
        </w:rPr>
        <w:t>）使用回转机构上的回转制动器，将塔机上部机构处于回转制动状态，不允许有回转运动。卸下塔身顶部与</w:t>
      </w:r>
      <w:r>
        <w:rPr>
          <w:rFonts w:hint="eastAsia" w:cs="宋体"/>
          <w:color w:val="auto"/>
          <w:kern w:val="0"/>
          <w:szCs w:val="24"/>
          <w:lang w:eastAsia="zh-CN"/>
        </w:rPr>
        <w:t>特殊节</w:t>
      </w:r>
      <w:r>
        <w:rPr>
          <w:rFonts w:hint="eastAsia" w:cs="宋体"/>
          <w:color w:val="auto"/>
          <w:kern w:val="0"/>
          <w:szCs w:val="24"/>
        </w:rPr>
        <w:t>连接的</w:t>
      </w:r>
      <w:r>
        <w:rPr>
          <w:rFonts w:cs="宋体"/>
          <w:color w:val="auto"/>
          <w:kern w:val="0"/>
          <w:szCs w:val="24"/>
        </w:rPr>
        <w:t>8</w:t>
      </w:r>
      <w:r>
        <w:rPr>
          <w:rFonts w:hint="eastAsia" w:cs="宋体"/>
          <w:color w:val="auto"/>
          <w:kern w:val="0"/>
          <w:szCs w:val="24"/>
          <w:lang w:val="en-US" w:eastAsia="zh-CN"/>
        </w:rPr>
        <w:t>个</w:t>
      </w:r>
      <w:r>
        <w:rPr>
          <w:rFonts w:hint="eastAsia" w:cs="宋体"/>
          <w:color w:val="auto"/>
          <w:kern w:val="0"/>
          <w:szCs w:val="24"/>
        </w:rPr>
        <w:t>高强螺栓。</w:t>
      </w:r>
    </w:p>
    <w:p w14:paraId="011E702B">
      <w:pPr>
        <w:autoSpaceDE w:val="0"/>
        <w:autoSpaceDN w:val="0"/>
        <w:adjustRightInd w:val="0"/>
        <w:ind w:firstLine="480"/>
        <w:rPr>
          <w:rFonts w:hint="eastAsia" w:cs="宋体"/>
          <w:color w:val="auto"/>
          <w:kern w:val="0"/>
          <w:szCs w:val="24"/>
        </w:rPr>
      </w:pPr>
      <w:r>
        <w:rPr>
          <w:rFonts w:cs="宋体"/>
          <w:color w:val="auto"/>
          <w:kern w:val="0"/>
          <w:szCs w:val="24"/>
        </w:rPr>
        <w:t>3</w:t>
      </w:r>
      <w:r>
        <w:rPr>
          <w:rFonts w:hint="eastAsia" w:cs="宋体"/>
          <w:color w:val="auto"/>
          <w:kern w:val="0"/>
          <w:szCs w:val="24"/>
        </w:rPr>
        <w:t>）将将顶升横梁两端的销轴放入距顶升横梁最近的塔身节踏步的圆弧槽内并顶紧（见图），确认无误后，开动液压系统，使活塞杆伸出，将爬升架及其以上部分顶起</w:t>
      </w:r>
      <w:r>
        <w:rPr>
          <w:rFonts w:cs="宋体"/>
          <w:color w:val="auto"/>
          <w:kern w:val="0"/>
          <w:szCs w:val="24"/>
        </w:rPr>
        <w:t>10</w:t>
      </w:r>
      <w:r>
        <w:rPr>
          <w:rFonts w:hint="eastAsia" w:cs="宋体"/>
          <w:color w:val="auto"/>
          <w:kern w:val="0"/>
          <w:szCs w:val="24"/>
        </w:rPr>
        <w:t>～</w:t>
      </w:r>
      <w:r>
        <w:rPr>
          <w:rFonts w:cs="宋体"/>
          <w:color w:val="auto"/>
          <w:kern w:val="0"/>
          <w:szCs w:val="24"/>
        </w:rPr>
        <w:t xml:space="preserve">50mm </w:t>
      </w:r>
      <w:r>
        <w:rPr>
          <w:rFonts w:hint="eastAsia" w:cs="宋体"/>
          <w:color w:val="auto"/>
          <w:kern w:val="0"/>
          <w:szCs w:val="24"/>
        </w:rPr>
        <w:t>时停止，检查顶升挂板、爬升架等传力部件是否有异响、变形，油缸活塞杆是否有自动回缩等异常现象，确认正常后，继续顶升。</w:t>
      </w:r>
    </w:p>
    <w:p w14:paraId="4ADD82E7">
      <w:pPr>
        <w:pStyle w:val="83"/>
        <w:rPr>
          <w:rFonts w:hint="eastAsia"/>
          <w:color w:val="auto"/>
        </w:rPr>
      </w:pPr>
      <w:r>
        <w:drawing>
          <wp:inline distT="0" distB="0" distL="114300" distR="114300">
            <wp:extent cx="5061585" cy="2487930"/>
            <wp:effectExtent l="0" t="0" r="13335" b="11430"/>
            <wp:docPr id="6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
                    <pic:cNvPicPr>
                      <a:picLocks noChangeAspect="1"/>
                    </pic:cNvPicPr>
                  </pic:nvPicPr>
                  <pic:blipFill>
                    <a:blip r:embed="rId90"/>
                    <a:stretch>
                      <a:fillRect/>
                    </a:stretch>
                  </pic:blipFill>
                  <pic:spPr>
                    <a:xfrm>
                      <a:off x="0" y="0"/>
                      <a:ext cx="5061585" cy="2487930"/>
                    </a:xfrm>
                    <a:prstGeom prst="rect">
                      <a:avLst/>
                    </a:prstGeom>
                    <a:noFill/>
                    <a:ln>
                      <a:noFill/>
                    </a:ln>
                  </pic:spPr>
                </pic:pic>
              </a:graphicData>
            </a:graphic>
          </wp:inline>
        </w:drawing>
      </w:r>
      <w:r>
        <w:drawing>
          <wp:inline distT="0" distB="0" distL="114300" distR="114300">
            <wp:extent cx="2412365" cy="2397760"/>
            <wp:effectExtent l="0" t="0" r="10795" b="10160"/>
            <wp:docPr id="6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4"/>
                    <pic:cNvPicPr>
                      <a:picLocks noChangeAspect="1"/>
                    </pic:cNvPicPr>
                  </pic:nvPicPr>
                  <pic:blipFill>
                    <a:blip r:embed="rId91"/>
                    <a:stretch>
                      <a:fillRect/>
                    </a:stretch>
                  </pic:blipFill>
                  <pic:spPr>
                    <a:xfrm>
                      <a:off x="0" y="0"/>
                      <a:ext cx="2412365" cy="2397760"/>
                    </a:xfrm>
                    <a:prstGeom prst="rect">
                      <a:avLst/>
                    </a:prstGeom>
                    <a:noFill/>
                    <a:ln>
                      <a:noFill/>
                    </a:ln>
                  </pic:spPr>
                </pic:pic>
              </a:graphicData>
            </a:graphic>
          </wp:inline>
        </w:drawing>
      </w:r>
    </w:p>
    <w:p w14:paraId="3703B72F">
      <w:pPr>
        <w:autoSpaceDE w:val="0"/>
        <w:autoSpaceDN w:val="0"/>
        <w:adjustRightInd w:val="0"/>
        <w:ind w:firstLine="480"/>
        <w:rPr>
          <w:rFonts w:hint="eastAsia" w:cs="宋体"/>
          <w:color w:val="auto"/>
          <w:kern w:val="0"/>
          <w:szCs w:val="24"/>
        </w:rPr>
      </w:pPr>
      <w:r>
        <w:rPr>
          <w:rFonts w:cs="宋体"/>
          <w:color w:val="auto"/>
          <w:kern w:val="0"/>
          <w:szCs w:val="24"/>
        </w:rPr>
        <w:t>4</w:t>
      </w:r>
      <w:r>
        <w:rPr>
          <w:rFonts w:hint="eastAsia" w:cs="宋体"/>
          <w:color w:val="auto"/>
          <w:kern w:val="0"/>
          <w:szCs w:val="24"/>
        </w:rPr>
        <w:t>）顶起略超过半个塔身节高度并使爬升架上的活动爬爪滑过一对踏步并自动复位后，停止顶升，并回缩油缸，使活动爬爪搁在顶升横梁所顶踏步的上一对踏步上。</w:t>
      </w:r>
    </w:p>
    <w:p w14:paraId="0F5A6BFA">
      <w:pPr>
        <w:autoSpaceDE w:val="0"/>
        <w:autoSpaceDN w:val="0"/>
        <w:adjustRightInd w:val="0"/>
        <w:ind w:firstLine="480"/>
        <w:rPr>
          <w:rFonts w:hint="eastAsia" w:cs="宋体"/>
          <w:color w:val="auto"/>
          <w:kern w:val="0"/>
          <w:szCs w:val="24"/>
        </w:rPr>
      </w:pPr>
      <w:r>
        <w:rPr>
          <w:rFonts w:cs="宋体"/>
          <w:color w:val="auto"/>
          <w:kern w:val="0"/>
          <w:szCs w:val="24"/>
        </w:rPr>
        <w:t>5</w:t>
      </w:r>
      <w:r>
        <w:rPr>
          <w:rFonts w:hint="eastAsia" w:cs="宋体"/>
          <w:color w:val="auto"/>
          <w:kern w:val="0"/>
          <w:szCs w:val="24"/>
        </w:rPr>
        <w:t>）确认两个活动爬爪全部准确地压在踏步顶端并承受住爬升架及其以上部分的重量，且无局部变形、异响等异常情况后，将油缸活塞全部缩回，提起顶升横梁，重新使顶升横梁顶在爬爪所搁的踏步的圆弧槽内</w:t>
      </w:r>
    </w:p>
    <w:p w14:paraId="4A20EA21">
      <w:pPr>
        <w:autoSpaceDE w:val="0"/>
        <w:autoSpaceDN w:val="0"/>
        <w:adjustRightInd w:val="0"/>
        <w:ind w:firstLine="480"/>
        <w:rPr>
          <w:rFonts w:hint="eastAsia" w:cs="宋体"/>
          <w:color w:val="auto"/>
          <w:kern w:val="0"/>
          <w:szCs w:val="24"/>
        </w:rPr>
      </w:pPr>
      <w:r>
        <w:rPr>
          <w:rFonts w:cs="宋体"/>
          <w:color w:val="auto"/>
          <w:kern w:val="0"/>
          <w:szCs w:val="24"/>
        </w:rPr>
        <w:t>6</w:t>
      </w:r>
      <w:r>
        <w:rPr>
          <w:rFonts w:hint="eastAsia" w:cs="宋体"/>
          <w:color w:val="auto"/>
          <w:kern w:val="0"/>
          <w:szCs w:val="24"/>
        </w:rPr>
        <w:t>）再次伸出油缸，将塔机上部结构再顶起略超过半个塔身节高度，此时塔身上方恰好有能装入一个塔身节的空间，将爬升架引进平台上的标准节拉进至塔身正上方，稍微缩回油缸，将新引进的标准节落在塔身顶部并对正，卸下引进滚轮，用</w:t>
      </w:r>
      <w:r>
        <w:rPr>
          <w:rFonts w:cs="宋体"/>
          <w:color w:val="auto"/>
          <w:kern w:val="0"/>
          <w:szCs w:val="24"/>
        </w:rPr>
        <w:t>8</w:t>
      </w:r>
      <w:r>
        <w:rPr>
          <w:rFonts w:hint="eastAsia" w:cs="宋体"/>
          <w:color w:val="auto"/>
          <w:kern w:val="0"/>
          <w:szCs w:val="24"/>
        </w:rPr>
        <w:t>件高强度螺栓</w:t>
      </w:r>
      <w:r>
        <w:rPr>
          <w:rFonts w:cs="宋体"/>
          <w:color w:val="auto"/>
          <w:kern w:val="0"/>
          <w:szCs w:val="24"/>
        </w:rPr>
        <w:t>(</w:t>
      </w:r>
      <w:r>
        <w:rPr>
          <w:rFonts w:hint="eastAsia" w:cs="宋体"/>
          <w:color w:val="auto"/>
          <w:kern w:val="0"/>
          <w:szCs w:val="24"/>
        </w:rPr>
        <w:t>每根高强螺栓必须有两个螺母</w:t>
      </w:r>
      <w:r>
        <w:rPr>
          <w:rFonts w:cs="宋体"/>
          <w:color w:val="auto"/>
          <w:kern w:val="0"/>
          <w:szCs w:val="24"/>
        </w:rPr>
        <w:t>)</w:t>
      </w:r>
      <w:r>
        <w:rPr>
          <w:rFonts w:hint="eastAsia" w:cs="宋体"/>
          <w:color w:val="auto"/>
          <w:kern w:val="0"/>
          <w:szCs w:val="24"/>
        </w:rPr>
        <w:t>将上、下标准节连接牢靠</w:t>
      </w:r>
      <w:r>
        <w:rPr>
          <w:rFonts w:cs="宋体"/>
          <w:color w:val="auto"/>
          <w:kern w:val="0"/>
          <w:szCs w:val="24"/>
        </w:rPr>
        <w:t>(</w:t>
      </w:r>
      <w:r>
        <w:rPr>
          <w:rFonts w:hint="eastAsia" w:cs="宋体"/>
          <w:color w:val="auto"/>
          <w:kern w:val="0"/>
          <w:szCs w:val="24"/>
        </w:rPr>
        <w:t>预紧力矩</w:t>
      </w:r>
      <w:r>
        <w:rPr>
          <w:rFonts w:cs="宋体"/>
          <w:color w:val="auto"/>
          <w:kern w:val="0"/>
          <w:szCs w:val="24"/>
        </w:rPr>
        <w:t>1400kN</w:t>
      </w:r>
      <w:r>
        <w:rPr>
          <w:rFonts w:hint="eastAsia" w:cs="宋体"/>
          <w:color w:val="auto"/>
          <w:kern w:val="0"/>
          <w:szCs w:val="24"/>
        </w:rPr>
        <w:t>·</w:t>
      </w:r>
      <w:r>
        <w:rPr>
          <w:rFonts w:cs="宋体"/>
          <w:color w:val="auto"/>
          <w:kern w:val="0"/>
          <w:szCs w:val="24"/>
        </w:rPr>
        <w:t>m)</w:t>
      </w:r>
      <w:r>
        <w:rPr>
          <w:rFonts w:hint="eastAsia" w:cs="宋体"/>
          <w:color w:val="auto"/>
          <w:kern w:val="0"/>
          <w:szCs w:val="24"/>
        </w:rPr>
        <w:t>。</w:t>
      </w:r>
    </w:p>
    <w:p w14:paraId="40912645">
      <w:pPr>
        <w:autoSpaceDE w:val="0"/>
        <w:autoSpaceDN w:val="0"/>
        <w:adjustRightInd w:val="0"/>
        <w:ind w:firstLine="480"/>
        <w:rPr>
          <w:rFonts w:hint="eastAsia" w:cs="宋体"/>
          <w:color w:val="auto"/>
          <w:kern w:val="0"/>
          <w:szCs w:val="24"/>
        </w:rPr>
      </w:pPr>
      <w:r>
        <w:rPr>
          <w:rFonts w:cs="宋体"/>
          <w:color w:val="auto"/>
          <w:kern w:val="0"/>
          <w:szCs w:val="24"/>
        </w:rPr>
        <w:t>7</w:t>
      </w:r>
      <w:r>
        <w:rPr>
          <w:rFonts w:hint="eastAsia" w:cs="宋体"/>
          <w:color w:val="auto"/>
          <w:kern w:val="0"/>
          <w:szCs w:val="24"/>
        </w:rPr>
        <w:t>）再次缩回油缸，将</w:t>
      </w:r>
      <w:r>
        <w:rPr>
          <w:rFonts w:hint="eastAsia" w:cs="宋体"/>
          <w:color w:val="auto"/>
          <w:kern w:val="0"/>
          <w:szCs w:val="24"/>
          <w:lang w:eastAsia="zh-CN"/>
        </w:rPr>
        <w:t>特殊节</w:t>
      </w:r>
      <w:r>
        <w:rPr>
          <w:rFonts w:hint="eastAsia" w:cs="宋体"/>
          <w:color w:val="auto"/>
          <w:kern w:val="0"/>
          <w:szCs w:val="24"/>
        </w:rPr>
        <w:t>落在新的塔身顶部上，并对正，用</w:t>
      </w:r>
      <w:r>
        <w:rPr>
          <w:rFonts w:cs="宋体"/>
          <w:color w:val="auto"/>
          <w:kern w:val="0"/>
          <w:szCs w:val="24"/>
        </w:rPr>
        <w:t>8</w:t>
      </w:r>
      <w:r>
        <w:rPr>
          <w:rFonts w:hint="eastAsia" w:cs="宋体"/>
          <w:color w:val="auto"/>
          <w:kern w:val="0"/>
          <w:szCs w:val="24"/>
        </w:rPr>
        <w:t>件高强螺栓将</w:t>
      </w:r>
      <w:r>
        <w:rPr>
          <w:rFonts w:hint="eastAsia" w:cs="宋体"/>
          <w:color w:val="auto"/>
          <w:kern w:val="0"/>
          <w:szCs w:val="24"/>
          <w:lang w:eastAsia="zh-CN"/>
        </w:rPr>
        <w:t>特殊节</w:t>
      </w:r>
      <w:r>
        <w:rPr>
          <w:rFonts w:hint="eastAsia" w:cs="宋体"/>
          <w:color w:val="auto"/>
          <w:kern w:val="0"/>
          <w:szCs w:val="24"/>
        </w:rPr>
        <w:t>与塔身连接牢靠</w:t>
      </w:r>
      <w:r>
        <w:rPr>
          <w:rFonts w:cs="宋体"/>
          <w:color w:val="auto"/>
          <w:kern w:val="0"/>
          <w:szCs w:val="24"/>
        </w:rPr>
        <w:t>(</w:t>
      </w:r>
      <w:r>
        <w:rPr>
          <w:rFonts w:hint="eastAsia" w:cs="宋体"/>
          <w:color w:val="auto"/>
          <w:kern w:val="0"/>
          <w:szCs w:val="24"/>
        </w:rPr>
        <w:t>每根高强螺栓必须有两个螺母</w:t>
      </w:r>
      <w:r>
        <w:rPr>
          <w:rFonts w:cs="宋体"/>
          <w:color w:val="auto"/>
          <w:kern w:val="0"/>
          <w:szCs w:val="24"/>
        </w:rPr>
        <w:t>)</w:t>
      </w:r>
      <w:r>
        <w:rPr>
          <w:rFonts w:hint="eastAsia" w:cs="宋体"/>
          <w:color w:val="auto"/>
          <w:kern w:val="0"/>
          <w:szCs w:val="24"/>
        </w:rPr>
        <w:t>，即完成一节标准节的加节工作。若连续加几节标准节，则可按照以上步骤重复几次即可。为使</w:t>
      </w:r>
      <w:r>
        <w:rPr>
          <w:rFonts w:hint="eastAsia" w:cs="宋体"/>
          <w:color w:val="auto"/>
          <w:kern w:val="0"/>
          <w:szCs w:val="24"/>
          <w:lang w:eastAsia="zh-CN"/>
        </w:rPr>
        <w:t>特殊节</w:t>
      </w:r>
      <w:r>
        <w:rPr>
          <w:rFonts w:hint="eastAsia" w:cs="宋体"/>
          <w:color w:val="auto"/>
          <w:kern w:val="0"/>
          <w:szCs w:val="24"/>
        </w:rPr>
        <w:t>顺利地落在塔身顶部并对准连接螺栓孔，在缩回油缸之前，可在</w:t>
      </w:r>
      <w:r>
        <w:rPr>
          <w:rFonts w:hint="eastAsia" w:cs="宋体"/>
          <w:color w:val="auto"/>
          <w:kern w:val="0"/>
          <w:szCs w:val="24"/>
          <w:lang w:eastAsia="zh-CN"/>
        </w:rPr>
        <w:t>特殊节</w:t>
      </w:r>
      <w:r>
        <w:rPr>
          <w:rFonts w:hint="eastAsia" w:cs="宋体"/>
          <w:color w:val="auto"/>
          <w:kern w:val="0"/>
          <w:szCs w:val="24"/>
        </w:rPr>
        <w:t>四角的螺栓孔内从上往下插入四根</w:t>
      </w:r>
      <w:r>
        <w:rPr>
          <w:rFonts w:cs="宋体"/>
          <w:color w:val="auto"/>
          <w:kern w:val="0"/>
          <w:szCs w:val="24"/>
        </w:rPr>
        <w:t>(</w:t>
      </w:r>
      <w:r>
        <w:rPr>
          <w:rFonts w:hint="eastAsia" w:cs="宋体"/>
          <w:color w:val="auto"/>
          <w:kern w:val="0"/>
          <w:szCs w:val="24"/>
        </w:rPr>
        <w:t>每角一根</w:t>
      </w:r>
      <w:r>
        <w:rPr>
          <w:rFonts w:cs="宋体"/>
          <w:color w:val="auto"/>
          <w:kern w:val="0"/>
          <w:szCs w:val="24"/>
        </w:rPr>
        <w:t>)</w:t>
      </w:r>
      <w:r>
        <w:rPr>
          <w:rFonts w:hint="eastAsia" w:cs="宋体"/>
          <w:color w:val="auto"/>
          <w:kern w:val="0"/>
          <w:szCs w:val="24"/>
        </w:rPr>
        <w:t>导向杆，然后再缩回油缸，将</w:t>
      </w:r>
      <w:r>
        <w:rPr>
          <w:rFonts w:hint="eastAsia" w:cs="宋体"/>
          <w:color w:val="auto"/>
          <w:kern w:val="0"/>
          <w:szCs w:val="24"/>
          <w:lang w:eastAsia="zh-CN"/>
        </w:rPr>
        <w:t>特殊节</w:t>
      </w:r>
      <w:r>
        <w:rPr>
          <w:rFonts w:hint="eastAsia" w:cs="宋体"/>
          <w:color w:val="auto"/>
          <w:kern w:val="0"/>
          <w:szCs w:val="24"/>
        </w:rPr>
        <w:t>落下。</w:t>
      </w:r>
    </w:p>
    <w:p w14:paraId="4D176593">
      <w:pPr>
        <w:autoSpaceDE w:val="0"/>
        <w:autoSpaceDN w:val="0"/>
        <w:adjustRightInd w:val="0"/>
        <w:ind w:firstLine="480"/>
        <w:rPr>
          <w:rFonts w:hint="eastAsia" w:cs="宋体"/>
          <w:color w:val="auto"/>
          <w:kern w:val="0"/>
          <w:szCs w:val="24"/>
        </w:rPr>
      </w:pPr>
      <w:r>
        <w:rPr>
          <w:rFonts w:cs="宋体"/>
          <w:color w:val="auto"/>
          <w:kern w:val="0"/>
          <w:szCs w:val="24"/>
        </w:rPr>
        <w:t>8</w:t>
      </w:r>
      <w:r>
        <w:rPr>
          <w:rFonts w:hint="eastAsia" w:cs="宋体"/>
          <w:color w:val="auto"/>
          <w:kern w:val="0"/>
          <w:szCs w:val="24"/>
        </w:rPr>
        <w:t>）至此完成一节标准节的加节工作，若连续加几节标准节，则可按以上步骤重复几次即可。</w:t>
      </w:r>
    </w:p>
    <w:p w14:paraId="0D7BEEEF">
      <w:pPr>
        <w:autoSpaceDE w:val="0"/>
        <w:autoSpaceDN w:val="0"/>
        <w:adjustRightInd w:val="0"/>
        <w:ind w:firstLine="480"/>
        <w:rPr>
          <w:rFonts w:hint="eastAsia" w:cs="宋体"/>
          <w:color w:val="auto"/>
          <w:kern w:val="0"/>
          <w:szCs w:val="24"/>
        </w:rPr>
      </w:pPr>
      <w:r>
        <w:rPr>
          <w:rFonts w:cs="宋体"/>
          <w:color w:val="auto"/>
          <w:kern w:val="0"/>
          <w:szCs w:val="24"/>
        </w:rPr>
        <w:t>9</w:t>
      </w:r>
      <w:r>
        <w:rPr>
          <w:rFonts w:hint="eastAsia" w:cs="宋体"/>
          <w:color w:val="auto"/>
          <w:kern w:val="0"/>
          <w:szCs w:val="24"/>
        </w:rPr>
        <w:t>）后一节标准节应是：一端与塔身固定，另一端与</w:t>
      </w:r>
      <w:r>
        <w:rPr>
          <w:rFonts w:hint="eastAsia" w:cs="宋体"/>
          <w:color w:val="auto"/>
          <w:kern w:val="0"/>
          <w:szCs w:val="24"/>
          <w:lang w:eastAsia="zh-CN"/>
        </w:rPr>
        <w:t>特殊节</w:t>
      </w:r>
      <w:r>
        <w:rPr>
          <w:rFonts w:hint="eastAsia" w:cs="宋体"/>
          <w:color w:val="auto"/>
          <w:kern w:val="0"/>
          <w:szCs w:val="24"/>
        </w:rPr>
        <w:t>固定。</w:t>
      </w:r>
    </w:p>
    <w:p w14:paraId="54651A9A">
      <w:pPr>
        <w:pStyle w:val="4"/>
        <w:numPr>
          <w:ilvl w:val="2"/>
          <w:numId w:val="0"/>
        </w:numPr>
        <w:ind w:left="709" w:leftChars="0" w:hanging="709" w:firstLineChars="0"/>
        <w:rPr>
          <w:rFonts w:hint="eastAsia"/>
          <w:color w:val="auto"/>
        </w:rPr>
      </w:pPr>
      <w:bookmarkStart w:id="195" w:name="_Toc16688"/>
      <w:bookmarkStart w:id="196" w:name="_Toc24561"/>
      <w:r>
        <w:rPr>
          <w:rFonts w:hint="default" w:ascii="宋体" w:hAnsi="宋体" w:eastAsia="宋体" w:cstheme="minorBidi"/>
          <w:b/>
          <w:bCs/>
          <w:color w:val="auto"/>
          <w:kern w:val="2"/>
          <w:sz w:val="24"/>
          <w:szCs w:val="32"/>
          <w:lang w:val="en-US" w:eastAsia="zh-CN" w:bidi="ar-SA"/>
        </w:rPr>
        <w:t>6.3.13.</w:t>
      </w:r>
      <w:r>
        <w:rPr>
          <w:rFonts w:hint="eastAsia"/>
          <w:color w:val="auto"/>
        </w:rPr>
        <w:t>塔机防雷与接地</w:t>
      </w:r>
      <w:bookmarkEnd w:id="195"/>
      <w:bookmarkEnd w:id="196"/>
    </w:p>
    <w:p w14:paraId="02730716">
      <w:pPr>
        <w:autoSpaceDE w:val="0"/>
        <w:autoSpaceDN w:val="0"/>
        <w:adjustRightInd w:val="0"/>
        <w:ind w:firstLine="480"/>
        <w:rPr>
          <w:rFonts w:hint="eastAsia" w:asciiTheme="minorEastAsia" w:hAnsiTheme="minorEastAsia" w:eastAsiaTheme="minorEastAsia"/>
          <w:color w:val="auto"/>
        </w:rPr>
      </w:pP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lang w:val="en-US" w:eastAsia="zh-CN"/>
        </w:rPr>
        <w:t>1</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依照现行国家标准《塔式起重机》GB</w:t>
      </w:r>
      <w:r>
        <w:rPr>
          <w:rFonts w:asciiTheme="minorEastAsia" w:hAnsiTheme="minorEastAsia" w:eastAsiaTheme="minorEastAsia"/>
          <w:color w:val="auto"/>
        </w:rPr>
        <w:t xml:space="preserve"> </w:t>
      </w:r>
      <w:r>
        <w:rPr>
          <w:rFonts w:hint="eastAsia" w:asciiTheme="minorEastAsia" w:hAnsiTheme="minorEastAsia" w:eastAsiaTheme="minorEastAsia"/>
          <w:color w:val="auto"/>
        </w:rPr>
        <w:t>5144-2006的要求，塔机主体机构、电动机基座和所有电气设备金属外壳均应可靠接地。依据《施工现场临时用电安全技术规范》JGJ</w:t>
      </w:r>
      <w:r>
        <w:rPr>
          <w:rFonts w:asciiTheme="minorEastAsia" w:hAnsiTheme="minorEastAsia" w:eastAsiaTheme="minorEastAsia"/>
          <w:color w:val="auto"/>
        </w:rPr>
        <w:t xml:space="preserve"> </w:t>
      </w:r>
      <w:r>
        <w:rPr>
          <w:rFonts w:hint="eastAsia" w:asciiTheme="minorEastAsia" w:hAnsiTheme="minorEastAsia" w:eastAsiaTheme="minorEastAsia"/>
          <w:color w:val="auto"/>
        </w:rPr>
        <w:t>46-2005中防雷要求，塔机可不另设避雷针（接闪器），防雷引下线可利用设备金属结构体，并保证电气连接。</w:t>
      </w:r>
    </w:p>
    <w:p w14:paraId="6833EB13">
      <w:pPr>
        <w:autoSpaceDE w:val="0"/>
        <w:autoSpaceDN w:val="0"/>
        <w:adjustRightInd w:val="0"/>
        <w:ind w:firstLine="480"/>
        <w:rPr>
          <w:rFonts w:eastAsiaTheme="minorEastAsia"/>
          <w:color w:val="auto"/>
        </w:rPr>
      </w:pPr>
      <w:r>
        <w:rPr>
          <w:rFonts w:hint="eastAsia" w:eastAsiaTheme="minorEastAsia"/>
          <w:color w:val="auto"/>
          <w:lang w:eastAsia="zh-CN"/>
        </w:rPr>
        <w:t>（</w:t>
      </w:r>
      <w:r>
        <w:rPr>
          <w:rFonts w:hint="eastAsia" w:eastAsiaTheme="minorEastAsia"/>
          <w:color w:val="auto"/>
          <w:lang w:val="en-US" w:eastAsia="zh-CN"/>
        </w:rPr>
        <w:t>2</w:t>
      </w:r>
      <w:r>
        <w:rPr>
          <w:rFonts w:hint="eastAsia" w:eastAsiaTheme="minorEastAsia"/>
          <w:color w:val="auto"/>
          <w:lang w:eastAsia="zh-CN"/>
        </w:rPr>
        <w:t>）</w:t>
      </w:r>
      <w:r>
        <w:rPr>
          <w:rFonts w:eastAsiaTheme="minorEastAsia"/>
          <w:color w:val="auto"/>
        </w:rPr>
        <w:t>为了更好地形成雷电通路，塔机电气重复节点应单独接多股铜线，防雷的多股铜线的截面积必须大于25mm</w:t>
      </w:r>
      <w:r>
        <w:rPr>
          <w:rFonts w:eastAsiaTheme="minorEastAsia"/>
          <w:color w:val="auto"/>
          <w:vertAlign w:val="superscript"/>
        </w:rPr>
        <w:t>2</w:t>
      </w:r>
      <w:r>
        <w:rPr>
          <w:rFonts w:eastAsiaTheme="minorEastAsia"/>
          <w:color w:val="auto"/>
        </w:rPr>
        <w:t>。塔机主体结构、电机机座和所有电气设备的金属外壳、导线的金属保护管均应可靠接地，其接地电阻应不大于不大于4Ω。采用多处重复接地时，其接地电阻应不大于10Ω。</w:t>
      </w:r>
    </w:p>
    <w:p w14:paraId="6951A697">
      <w:pPr>
        <w:bidi w:val="0"/>
        <w:rPr>
          <w:color w:val="auto"/>
        </w:rPr>
      </w:pPr>
      <w:r>
        <w:rPr>
          <w:rFonts w:hint="eastAsia"/>
          <w:color w:val="auto"/>
        </w:rPr>
        <w:t>（3）防雷接地具体内容：</w:t>
      </w:r>
    </w:p>
    <w:p w14:paraId="3483D3DB">
      <w:pPr>
        <w:bidi w:val="0"/>
        <w:rPr>
          <w:color w:val="auto"/>
        </w:rPr>
      </w:pPr>
      <w:r>
        <w:rPr>
          <w:rFonts w:hint="eastAsia"/>
          <w:color w:val="auto"/>
        </w:rPr>
        <w:t>1）</w:t>
      </w:r>
      <w:r>
        <w:rPr>
          <w:color w:val="auto"/>
        </w:rPr>
        <w:t>防雷接地装置由接闪器、引下线、接地装置组成。</w:t>
      </w:r>
    </w:p>
    <w:p w14:paraId="784B45D1">
      <w:pPr>
        <w:bidi w:val="0"/>
        <w:rPr>
          <w:color w:val="auto"/>
        </w:rPr>
      </w:pPr>
      <w:r>
        <w:rPr>
          <w:rFonts w:hint="eastAsia"/>
          <w:color w:val="auto"/>
        </w:rPr>
        <w:t>2）</w:t>
      </w:r>
      <w:r>
        <w:rPr>
          <w:color w:val="auto"/>
        </w:rPr>
        <w:t>设备、构架等主要金属物和栏杆以及金属物体必须接地。</w:t>
      </w:r>
    </w:p>
    <w:p w14:paraId="58791685">
      <w:pPr>
        <w:bidi w:val="0"/>
        <w:rPr>
          <w:rFonts w:hint="eastAsia" w:eastAsia="宋体"/>
          <w:color w:val="auto"/>
          <w:lang w:eastAsia="zh-CN"/>
        </w:rPr>
      </w:pPr>
      <w:r>
        <w:rPr>
          <w:rFonts w:hint="eastAsia"/>
          <w:color w:val="auto"/>
        </w:rPr>
        <w:t>3）</w:t>
      </w:r>
      <w:r>
        <w:rPr>
          <w:color w:val="auto"/>
        </w:rPr>
        <w:t>防雷接地体应采取焊接方法</w:t>
      </w:r>
      <w:r>
        <w:rPr>
          <w:rFonts w:hint="eastAsia"/>
          <w:color w:val="auto"/>
          <w:lang w:eastAsia="zh-CN"/>
        </w:rPr>
        <w:t>；</w:t>
      </w:r>
    </w:p>
    <w:p w14:paraId="0B3622A0">
      <w:pPr>
        <w:bidi w:val="0"/>
        <w:rPr>
          <w:color w:val="auto"/>
        </w:rPr>
      </w:pPr>
      <w:r>
        <w:rPr>
          <w:rFonts w:hint="eastAsia"/>
          <w:color w:val="auto"/>
        </w:rPr>
        <w:t>4）</w:t>
      </w:r>
      <w:r>
        <w:rPr>
          <w:color w:val="auto"/>
        </w:rPr>
        <w:t>使用金属管作接地体时应在其串接部位焊接角形金属跨接线；</w:t>
      </w:r>
    </w:p>
    <w:p w14:paraId="5DC2FF3D">
      <w:pPr>
        <w:bidi w:val="0"/>
        <w:rPr>
          <w:rFonts w:hint="eastAsia" w:asciiTheme="minorEastAsia" w:hAnsiTheme="minorEastAsia" w:eastAsiaTheme="minorEastAsia"/>
          <w:color w:val="auto"/>
        </w:rPr>
      </w:pPr>
      <w:r>
        <w:rPr>
          <w:rFonts w:hint="eastAsia"/>
          <w:color w:val="auto"/>
        </w:rPr>
        <w:t>5）</w:t>
      </w:r>
      <w:r>
        <w:rPr>
          <w:rFonts w:hint="eastAsia"/>
          <w:color w:val="auto"/>
          <w:lang w:val="en-US" w:eastAsia="zh-CN"/>
        </w:rPr>
        <w:t>接地体</w:t>
      </w:r>
      <w:r>
        <w:rPr>
          <w:color w:val="auto"/>
        </w:rPr>
        <w:t>交叉</w:t>
      </w:r>
      <w:r>
        <w:rPr>
          <w:rFonts w:hint="eastAsia"/>
          <w:color w:val="auto"/>
          <w:lang w:val="en-US" w:eastAsia="zh-CN"/>
        </w:rPr>
        <w:t>处</w:t>
      </w:r>
      <w:r>
        <w:rPr>
          <w:color w:val="auto"/>
        </w:rPr>
        <w:t>要用一条短圆钢进行跨接焊接，焊接长度不小于圆钢直径的6倍；</w:t>
      </w:r>
    </w:p>
    <w:p w14:paraId="6D4F417E">
      <w:pPr>
        <w:bidi w:val="0"/>
        <w:rPr>
          <w:rFonts w:hint="eastAsia"/>
          <w:color w:val="auto"/>
          <w:lang w:val="en-US" w:eastAsia="zh-CN"/>
        </w:rPr>
      </w:pPr>
      <w:r>
        <w:rPr>
          <w:rFonts w:hint="eastAsia"/>
          <w:color w:val="auto"/>
          <w:lang w:val="en-US" w:eastAsia="zh-CN"/>
        </w:rPr>
        <w:t>6）在塔顶安装风速仪，对塔机最高处的风速进行监测。</w:t>
      </w:r>
    </w:p>
    <w:p w14:paraId="45ED5BE9">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197" w:name="_Toc7633"/>
      <w:bookmarkStart w:id="198" w:name="_Toc29712"/>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14.荷载试验</w:t>
      </w:r>
      <w:bookmarkEnd w:id="197"/>
      <w:bookmarkEnd w:id="198"/>
    </w:p>
    <w:p w14:paraId="587D0DB2">
      <w:pPr>
        <w:ind w:firstLine="480"/>
        <w:rPr>
          <w:rFonts w:hint="eastAsia"/>
          <w:color w:val="auto"/>
        </w:rPr>
      </w:pPr>
      <w:r>
        <w:rPr>
          <w:rFonts w:hint="eastAsia"/>
          <w:color w:val="auto"/>
        </w:rPr>
        <w:t>试验前检查</w:t>
      </w:r>
    </w:p>
    <w:p w14:paraId="15068624">
      <w:pPr>
        <w:ind w:firstLine="560"/>
      </w:pPr>
      <w:bookmarkStart w:id="199" w:name="_Toc19602"/>
      <w:bookmarkStart w:id="200" w:name="_Toc32364"/>
      <w:bookmarkStart w:id="201" w:name="_Toc21977"/>
      <w:bookmarkStart w:id="202" w:name="_Toc381431121"/>
      <w:bookmarkStart w:id="203" w:name="_Toc381282554"/>
      <w:r>
        <w:t>试吊前按人员分工进行全面检查：</w:t>
      </w:r>
    </w:p>
    <w:p w14:paraId="33E00210">
      <w:pPr>
        <w:numPr>
          <w:ilvl w:val="0"/>
          <w:numId w:val="10"/>
        </w:numPr>
        <w:ind w:firstLine="560"/>
      </w:pPr>
      <w:r>
        <w:t>对塔机基础和主体结构焊缝质量、油漆质量等外观质量进行目测检查；</w:t>
      </w:r>
    </w:p>
    <w:p w14:paraId="78B72922">
      <w:pPr>
        <w:numPr>
          <w:ilvl w:val="0"/>
          <w:numId w:val="10"/>
        </w:numPr>
        <w:ind w:firstLine="560"/>
      </w:pPr>
      <w:r>
        <w:t>对电气系统、操作室进行检查；</w:t>
      </w:r>
    </w:p>
    <w:p w14:paraId="6AC6A91D">
      <w:pPr>
        <w:numPr>
          <w:ilvl w:val="0"/>
          <w:numId w:val="10"/>
        </w:numPr>
        <w:ind w:firstLine="560"/>
      </w:pPr>
      <w:r>
        <w:t>对起升、回转、变幅等机构进行检查；</w:t>
      </w:r>
    </w:p>
    <w:p w14:paraId="0FA2181D">
      <w:pPr>
        <w:numPr>
          <w:ilvl w:val="0"/>
          <w:numId w:val="10"/>
        </w:numPr>
        <w:ind w:firstLine="560"/>
      </w:pPr>
      <w:r>
        <w:t>对吊索、吊具、试吊物进行全面检查；</w:t>
      </w:r>
    </w:p>
    <w:p w14:paraId="3AE493BF">
      <w:pPr>
        <w:numPr>
          <w:ilvl w:val="0"/>
          <w:numId w:val="10"/>
        </w:numPr>
        <w:ind w:firstLine="560"/>
      </w:pPr>
      <w:r>
        <w:t>测量组顺着起重臂方向测量塔身垂直度，需东西向与南北向测量两次</w:t>
      </w:r>
      <w:r>
        <w:rPr>
          <w:rFonts w:hint="eastAsia"/>
        </w:rPr>
        <w:t>.</w:t>
      </w:r>
    </w:p>
    <w:p w14:paraId="35805054">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04" w:name="_Toc7781"/>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14.1</w:t>
      </w:r>
      <w:r>
        <w:rPr>
          <w:rFonts w:hint="eastAsia" w:ascii="宋体" w:hAnsi="宋体" w:eastAsia="宋体" w:cs="宋体"/>
          <w:b/>
          <w:bCs/>
          <w:kern w:val="2"/>
          <w:sz w:val="24"/>
          <w:szCs w:val="28"/>
          <w:lang w:val="en-US" w:eastAsia="zh-CN" w:bidi="ar-SA"/>
        </w:rPr>
        <w:t>空载试验</w:t>
      </w:r>
      <w:bookmarkEnd w:id="199"/>
      <w:bookmarkEnd w:id="200"/>
      <w:bookmarkEnd w:id="201"/>
      <w:bookmarkEnd w:id="202"/>
      <w:bookmarkEnd w:id="203"/>
      <w:bookmarkEnd w:id="204"/>
    </w:p>
    <w:p w14:paraId="7E8C5C72">
      <w:pPr>
        <w:ind w:firstLine="480"/>
        <w:rPr>
          <w:rFonts w:hint="eastAsia"/>
          <w:color w:val="auto"/>
        </w:rPr>
      </w:pPr>
      <w:r>
        <w:rPr>
          <w:rFonts w:hint="eastAsia"/>
          <w:color w:val="auto"/>
        </w:rPr>
        <w:t>一般技术检验完成以后，方可进行空载试验，塔机空载状态下，起升、回转、变幅、运行各动作的操作试验。检查：</w:t>
      </w:r>
    </w:p>
    <w:p w14:paraId="5036B8EC">
      <w:pPr>
        <w:ind w:firstLine="480"/>
        <w:rPr>
          <w:rFonts w:hint="eastAsia"/>
          <w:color w:val="auto"/>
        </w:rPr>
      </w:pPr>
      <w:r>
        <w:rPr>
          <w:rFonts w:hint="eastAsia"/>
          <w:color w:val="auto"/>
        </w:rPr>
        <w:t>（1）操作系统、控制系统、联锁装置动作的准确性和灵活性；</w:t>
      </w:r>
    </w:p>
    <w:p w14:paraId="2990745C">
      <w:pPr>
        <w:ind w:firstLine="480"/>
        <w:rPr>
          <w:rFonts w:hint="eastAsia"/>
          <w:color w:val="auto"/>
        </w:rPr>
      </w:pPr>
      <w:r>
        <w:rPr>
          <w:rFonts w:hint="eastAsia"/>
          <w:color w:val="auto"/>
        </w:rPr>
        <w:t>（2）各行程限位器的动作准确性和可靠性；</w:t>
      </w:r>
    </w:p>
    <w:p w14:paraId="03DFA73E">
      <w:pPr>
        <w:ind w:firstLine="480"/>
        <w:rPr>
          <w:rFonts w:hint="eastAsia"/>
          <w:color w:val="auto"/>
        </w:rPr>
      </w:pPr>
      <w:r>
        <w:rPr>
          <w:rFonts w:hint="eastAsia"/>
          <w:color w:val="auto"/>
        </w:rPr>
        <w:t>（3）各机构中无相对运动部位是否有漏油现象，有相对运动部位的渗漏情况，各机构运动的平稳性，是否有爬行、振颤、冲击、过热、异常噪声等现象。</w:t>
      </w:r>
    </w:p>
    <w:p w14:paraId="1606E9BB">
      <w:pPr>
        <w:ind w:firstLine="480"/>
        <w:rPr>
          <w:rFonts w:hint="eastAsia"/>
          <w:color w:val="auto"/>
        </w:rPr>
      </w:pPr>
      <w:r>
        <w:rPr>
          <w:rFonts w:hint="eastAsia"/>
          <w:color w:val="auto"/>
        </w:rPr>
        <w:t>（4）测量起升、回转、变幅的最大速度是否满足要求。具有多档变速的起升机构，应测量每档工作速度是否满足要求。</w:t>
      </w:r>
    </w:p>
    <w:p w14:paraId="3B55E7B1">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05" w:name="_Toc24155"/>
      <w:bookmarkStart w:id="206" w:name="_Toc17220"/>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14.2</w:t>
      </w:r>
      <w:r>
        <w:rPr>
          <w:rFonts w:hint="eastAsia" w:ascii="宋体" w:hAnsi="宋体" w:eastAsia="宋体" w:cs="宋体"/>
          <w:b/>
          <w:bCs/>
          <w:kern w:val="2"/>
          <w:sz w:val="24"/>
          <w:szCs w:val="28"/>
          <w:lang w:val="en-US" w:eastAsia="zh-CN" w:bidi="ar-SA"/>
        </w:rPr>
        <w:t>额定荷载试验</w:t>
      </w:r>
      <w:bookmarkEnd w:id="205"/>
      <w:bookmarkEnd w:id="206"/>
    </w:p>
    <w:p w14:paraId="1E30C46A">
      <w:pPr>
        <w:ind w:firstLine="480"/>
        <w:rPr>
          <w:rFonts w:hint="eastAsia" w:ascii="宋体" w:hAnsi="宋体" w:eastAsia="宋体"/>
          <w:color w:val="auto"/>
        </w:rPr>
      </w:pPr>
      <w:r>
        <w:rPr>
          <w:rFonts w:hint="eastAsia" w:ascii="宋体" w:hAnsi="宋体" w:eastAsia="宋体"/>
          <w:color w:val="auto"/>
        </w:rPr>
        <w:t>根据设计的额定载荷，按照GB/T5031规定的工况、试验方法和要求，进行起升、变幅、回转试验，每一工况的试验次数不得少于3次。还应当检查以下内容是否符合要求：</w:t>
      </w:r>
    </w:p>
    <w:p w14:paraId="7FD19D86">
      <w:pPr>
        <w:ind w:firstLine="480"/>
        <w:rPr>
          <w:rFonts w:hint="eastAsia" w:ascii="宋体" w:hAnsi="宋体" w:eastAsia="宋体"/>
          <w:color w:val="auto"/>
        </w:rPr>
      </w:pPr>
      <w:r>
        <w:rPr>
          <w:rFonts w:hint="eastAsia" w:ascii="宋体" w:hAnsi="宋体" w:eastAsia="宋体"/>
          <w:color w:val="auto"/>
        </w:rPr>
        <w:t>（1）起升、回转、变幅的额定速度在允差范围内。</w:t>
      </w:r>
    </w:p>
    <w:p w14:paraId="0DAFA36D">
      <w:pPr>
        <w:ind w:firstLine="480"/>
        <w:rPr>
          <w:rFonts w:hint="eastAsia" w:ascii="宋体" w:hAnsi="宋体" w:eastAsia="宋体"/>
          <w:color w:val="auto"/>
        </w:rPr>
      </w:pPr>
      <w:r>
        <w:rPr>
          <w:rFonts w:hint="eastAsia" w:ascii="宋体" w:hAnsi="宋体" w:eastAsia="宋体"/>
          <w:color w:val="auto"/>
        </w:rPr>
        <w:t>（2）起重量限制器、起重力矩限制器信号显示、报警精度在允许范围内。</w:t>
      </w:r>
    </w:p>
    <w:p w14:paraId="7EC45E7B">
      <w:pPr>
        <w:autoSpaceDE w:val="0"/>
        <w:autoSpaceDN w:val="0"/>
        <w:adjustRightInd w:val="0"/>
        <w:ind w:firstLine="0" w:firstLineChars="0"/>
        <w:jc w:val="center"/>
        <w:rPr>
          <w:rFonts w:hint="eastAsia" w:ascii="宋体" w:hAnsi="宋体" w:eastAsia="宋体"/>
          <w:color w:val="auto"/>
          <w:lang w:val="en-US" w:eastAsia="zh-CN"/>
        </w:rPr>
      </w:pPr>
      <w:bookmarkStart w:id="207" w:name="_Toc381282555"/>
      <w:bookmarkStart w:id="208" w:name="_Toc2503"/>
      <w:bookmarkStart w:id="209" w:name="_Toc381431122"/>
      <w:bookmarkStart w:id="210" w:name="_Toc5448"/>
      <w:bookmarkStart w:id="211" w:name="_Toc6115"/>
      <w:r>
        <w:rPr>
          <w:rFonts w:hint="eastAsia" w:ascii="宋体" w:hAnsi="宋体" w:eastAsia="宋体"/>
          <w:color w:val="auto"/>
          <w:lang w:val="en-US" w:eastAsia="zh-CN"/>
        </w:rPr>
        <w:t>表6.3.14-1 额定载荷试验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0F5B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24DDD555">
            <w:pPr>
              <w:adjustRightInd w:val="0"/>
              <w:snapToGrid w:val="0"/>
              <w:spacing w:line="240" w:lineRule="auto"/>
              <w:ind w:left="0" w:leftChars="0" w:firstLine="0" w:firstLineChars="0"/>
              <w:jc w:val="center"/>
              <w:rPr>
                <w:sz w:val="21"/>
              </w:rPr>
            </w:pPr>
            <w:r>
              <w:rPr>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71A1B130">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59449288">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试验目的</w:t>
            </w:r>
          </w:p>
        </w:tc>
      </w:tr>
      <w:tr w14:paraId="0141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6D565879">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75A9EC70">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0BC97976">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1EED177E">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491BCCAC">
            <w:pPr>
              <w:adjustRightInd w:val="0"/>
              <w:snapToGrid w:val="0"/>
              <w:spacing w:line="240" w:lineRule="auto"/>
              <w:ind w:left="0" w:leftChars="0" w:firstLine="0" w:firstLineChars="0"/>
              <w:jc w:val="center"/>
              <w:rPr>
                <w:rFonts w:ascii="宋体" w:hAnsi="宋体" w:eastAsia="宋体"/>
                <w:sz w:val="21"/>
              </w:rPr>
            </w:pPr>
          </w:p>
        </w:tc>
      </w:tr>
      <w:tr w14:paraId="44CD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1D110348">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2642DFD6">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3A891433">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65CF6632">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1D07E2C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测量各机构的运动速度；机构及司机室噪声；力矩限制器、起重量限制器精度</w:t>
            </w:r>
          </w:p>
        </w:tc>
      </w:tr>
      <w:tr w14:paraId="1EF4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58D0607D">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50E3B89F">
            <w:pPr>
              <w:adjustRightInd w:val="0"/>
              <w:snapToGrid w:val="0"/>
              <w:spacing w:line="240" w:lineRule="auto"/>
              <w:ind w:left="0" w:leftChars="0" w:firstLine="0" w:firstLineChars="0"/>
              <w:jc w:val="center"/>
              <w:rPr>
                <w:rFonts w:ascii="宋体" w:hAnsi="宋体" w:eastAsia="宋体"/>
                <w:sz w:val="21"/>
                <w:szCs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7D8A88BF">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3BAE2A74">
            <w:pPr>
              <w:adjustRightInd w:val="0"/>
              <w:snapToGrid w:val="0"/>
              <w:spacing w:line="240" w:lineRule="auto"/>
              <w:ind w:left="0" w:leftChars="0" w:firstLine="0" w:firstLineChars="0"/>
              <w:jc w:val="center"/>
              <w:rPr>
                <w:rFonts w:ascii="宋体" w:hAnsi="宋体" w:eastAsia="宋体"/>
                <w:sz w:val="21"/>
                <w:szCs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12D69938">
            <w:pPr>
              <w:adjustRightInd w:val="0"/>
              <w:snapToGrid w:val="0"/>
              <w:spacing w:line="240" w:lineRule="auto"/>
              <w:ind w:left="0" w:leftChars="0" w:firstLine="0" w:firstLineChars="0"/>
              <w:jc w:val="center"/>
              <w:rPr>
                <w:rFonts w:ascii="宋体" w:hAnsi="宋体" w:eastAsia="宋体"/>
                <w:sz w:val="21"/>
                <w:szCs w:val="21"/>
              </w:rPr>
            </w:pPr>
          </w:p>
        </w:tc>
      </w:tr>
    </w:tbl>
    <w:p w14:paraId="083E84DF">
      <w:pPr>
        <w:ind w:firstLine="480"/>
        <w:rPr>
          <w:rFonts w:hint="eastAsia"/>
          <w:color w:val="auto"/>
        </w:rPr>
      </w:pPr>
      <w:r>
        <w:rPr>
          <w:color w:val="auto"/>
        </w:rPr>
        <w:t>具体过程如下：</w:t>
      </w:r>
    </w:p>
    <w:p w14:paraId="3793EE60">
      <w:pPr>
        <w:ind w:firstLine="480"/>
        <w:rPr>
          <w:rFonts w:hint="eastAsia"/>
          <w:color w:val="auto"/>
        </w:rPr>
      </w:pPr>
      <w:r>
        <w:rPr>
          <w:rFonts w:hint="eastAsia"/>
          <w:color w:val="auto"/>
        </w:rPr>
        <w:t>1.</w:t>
      </w:r>
      <w:r>
        <w:rPr>
          <w:color w:val="auto"/>
        </w:rPr>
        <w:t>吊重</w:t>
      </w:r>
      <w:r>
        <w:rPr>
          <w:rFonts w:hint="eastAsia"/>
          <w:color w:val="auto"/>
          <w:lang w:val="en-US" w:eastAsia="zh-CN"/>
        </w:rPr>
        <w:t>8</w:t>
      </w:r>
      <w:r>
        <w:rPr>
          <w:color w:val="auto"/>
        </w:rPr>
        <w:t>t，载重小车以慢速由</w:t>
      </w:r>
      <w:r>
        <w:rPr>
          <w:rFonts w:hint="eastAsia"/>
          <w:color w:val="auto"/>
          <w:lang w:val="en-US" w:eastAsia="zh-CN"/>
        </w:rPr>
        <w:t>16.4</w:t>
      </w:r>
      <w:r>
        <w:rPr>
          <w:color w:val="auto"/>
        </w:rPr>
        <w:t>m幅度开始向内变幅，使小车在</w:t>
      </w:r>
      <w:r>
        <w:rPr>
          <w:rFonts w:hint="eastAsia"/>
          <w:color w:val="auto"/>
          <w:lang w:val="en-US" w:eastAsia="zh-CN"/>
        </w:rPr>
        <w:t>16.4</w:t>
      </w:r>
      <w:r>
        <w:rPr>
          <w:color w:val="auto"/>
        </w:rPr>
        <w:t>m-</w:t>
      </w:r>
      <w:r>
        <w:rPr>
          <w:rFonts w:hint="eastAsia"/>
          <w:color w:val="auto"/>
          <w:lang w:val="en-US" w:eastAsia="zh-CN"/>
        </w:rPr>
        <w:t>2.5</w:t>
      </w:r>
      <w:r>
        <w:rPr>
          <w:color w:val="auto"/>
        </w:rPr>
        <w:t>m</w:t>
      </w:r>
      <w:r>
        <w:rPr>
          <w:rFonts w:hint="eastAsia"/>
          <w:color w:val="auto"/>
        </w:rPr>
        <w:t>区间往返运行、主吊可以起升下降操作；回转操作均正常。</w:t>
      </w:r>
    </w:p>
    <w:p w14:paraId="36F6713E">
      <w:pPr>
        <w:ind w:firstLine="480"/>
        <w:rPr>
          <w:rFonts w:hint="eastAsia"/>
          <w:color w:val="auto"/>
        </w:rPr>
      </w:pPr>
      <w:r>
        <w:rPr>
          <w:color w:val="auto"/>
        </w:rPr>
        <w:t>2.</w:t>
      </w:r>
      <w:r>
        <w:rPr>
          <w:rFonts w:hint="eastAsia"/>
          <w:color w:val="auto"/>
        </w:rPr>
        <w:t>操作变幅手柄</w:t>
      </w:r>
      <w:r>
        <w:rPr>
          <w:color w:val="auto"/>
        </w:rPr>
        <w:t>，使</w:t>
      </w:r>
      <w:r>
        <w:rPr>
          <w:rFonts w:hint="eastAsia"/>
          <w:color w:val="auto"/>
        </w:rPr>
        <w:t>小车变幅大于</w:t>
      </w:r>
      <w:r>
        <w:rPr>
          <w:rFonts w:hint="eastAsia"/>
          <w:color w:val="auto"/>
          <w:lang w:val="en-US" w:eastAsia="zh-CN"/>
        </w:rPr>
        <w:t>16.4</w:t>
      </w:r>
      <w:r>
        <w:rPr>
          <w:rFonts w:hint="eastAsia"/>
          <w:color w:val="auto"/>
        </w:rPr>
        <w:t>m</w:t>
      </w:r>
      <w:r>
        <w:rPr>
          <w:color w:val="auto"/>
        </w:rPr>
        <w:t>处</w:t>
      </w:r>
      <w:r>
        <w:rPr>
          <w:rFonts w:hint="eastAsia"/>
          <w:color w:val="auto"/>
        </w:rPr>
        <w:t>操作</w:t>
      </w:r>
      <w:r>
        <w:rPr>
          <w:color w:val="auto"/>
        </w:rPr>
        <w:t>，起升向上、变幅向外断电，同时发出</w:t>
      </w:r>
      <w:r>
        <w:rPr>
          <w:rFonts w:hint="eastAsia"/>
          <w:color w:val="auto"/>
        </w:rPr>
        <w:t>超力矩、超限位</w:t>
      </w:r>
      <w:r>
        <w:rPr>
          <w:color w:val="auto"/>
        </w:rPr>
        <w:t>警报。</w:t>
      </w:r>
    </w:p>
    <w:p w14:paraId="11B03E58">
      <w:pPr>
        <w:ind w:firstLine="480"/>
        <w:rPr>
          <w:rFonts w:hint="eastAsia"/>
          <w:color w:val="auto"/>
        </w:rPr>
      </w:pPr>
      <w:r>
        <w:rPr>
          <w:color w:val="auto"/>
        </w:rPr>
        <w:t>3.在</w:t>
      </w:r>
      <w:r>
        <w:rPr>
          <w:rFonts w:hint="eastAsia"/>
          <w:color w:val="auto"/>
          <w:lang w:val="en-US" w:eastAsia="zh-CN"/>
        </w:rPr>
        <w:t>5</w:t>
      </w:r>
      <w:r>
        <w:rPr>
          <w:rFonts w:hint="eastAsia"/>
          <w:color w:val="auto"/>
        </w:rPr>
        <w:t>0</w:t>
      </w:r>
      <w:r>
        <w:rPr>
          <w:color w:val="auto"/>
        </w:rPr>
        <w:t>m处吊重</w:t>
      </w:r>
      <w:r>
        <w:rPr>
          <w:rFonts w:hint="eastAsia"/>
          <w:color w:val="auto"/>
          <w:lang w:val="en-US" w:eastAsia="zh-CN"/>
        </w:rPr>
        <w:t>2.17</w:t>
      </w:r>
      <w:r>
        <w:rPr>
          <w:color w:val="auto"/>
        </w:rPr>
        <w:t>t，</w:t>
      </w:r>
      <w:r>
        <w:rPr>
          <w:rFonts w:hint="eastAsia"/>
          <w:color w:val="auto"/>
        </w:rPr>
        <w:t>载重小车以慢速</w:t>
      </w:r>
      <w:r>
        <w:rPr>
          <w:rFonts w:hint="eastAsia"/>
          <w:color w:val="auto"/>
          <w:lang w:val="en-US" w:eastAsia="zh-CN"/>
        </w:rPr>
        <w:t>50</w:t>
      </w:r>
      <w:r>
        <w:rPr>
          <w:rFonts w:hint="eastAsia"/>
          <w:color w:val="auto"/>
        </w:rPr>
        <w:t>m-</w:t>
      </w:r>
      <w:r>
        <w:rPr>
          <w:rFonts w:hint="eastAsia"/>
          <w:color w:val="auto"/>
          <w:lang w:val="en-US" w:eastAsia="zh-CN"/>
        </w:rPr>
        <w:t>2.5</w:t>
      </w:r>
      <w:r>
        <w:rPr>
          <w:rFonts w:hint="eastAsia"/>
          <w:color w:val="auto"/>
        </w:rPr>
        <w:t>m区间行走。</w:t>
      </w:r>
      <w:r>
        <w:rPr>
          <w:color w:val="auto"/>
        </w:rPr>
        <w:t>起升机构应能</w:t>
      </w:r>
      <w:r>
        <w:rPr>
          <w:rFonts w:hint="eastAsia"/>
          <w:color w:val="auto"/>
        </w:rPr>
        <w:t>起升下降运行</w:t>
      </w:r>
      <w:r>
        <w:rPr>
          <w:color w:val="auto"/>
        </w:rPr>
        <w:t>，</w:t>
      </w:r>
      <w:r>
        <w:rPr>
          <w:rFonts w:hint="eastAsia"/>
          <w:color w:val="auto"/>
        </w:rPr>
        <w:t>当操作变幅手柄往大于</w:t>
      </w:r>
      <w:r>
        <w:rPr>
          <w:rFonts w:hint="eastAsia"/>
          <w:color w:val="auto"/>
          <w:lang w:val="en-US" w:eastAsia="zh-CN"/>
        </w:rPr>
        <w:t>5</w:t>
      </w:r>
      <w:r>
        <w:rPr>
          <w:rFonts w:hint="eastAsia"/>
          <w:color w:val="auto"/>
        </w:rPr>
        <w:t>0m操作超力矩保护，跳机。此时主吊起升操作，变幅向外均无动作。</w:t>
      </w:r>
    </w:p>
    <w:p w14:paraId="55A883A6">
      <w:pPr>
        <w:ind w:firstLine="480"/>
        <w:rPr>
          <w:rFonts w:hint="eastAsia"/>
          <w:color w:val="auto"/>
        </w:rPr>
      </w:pPr>
      <w:r>
        <w:rPr>
          <w:rFonts w:hint="eastAsia"/>
          <w:color w:val="auto"/>
        </w:rPr>
        <w:t>4</w:t>
      </w:r>
      <w:r>
        <w:rPr>
          <w:color w:val="auto"/>
        </w:rPr>
        <w:t>.上述动作重复三次，保持功能稳定。</w:t>
      </w:r>
    </w:p>
    <w:p w14:paraId="73F437BC">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bookmarkStart w:id="212" w:name="_Toc15439"/>
      <w:bookmarkStart w:id="213" w:name="_Toc22146"/>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3</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14.3</w:t>
      </w:r>
      <w:r>
        <w:rPr>
          <w:rFonts w:hint="eastAsia" w:ascii="宋体" w:hAnsi="宋体" w:eastAsia="宋体" w:cs="宋体"/>
          <w:b/>
          <w:bCs/>
          <w:kern w:val="2"/>
          <w:sz w:val="24"/>
          <w:szCs w:val="28"/>
          <w:lang w:val="en-US" w:eastAsia="zh-CN" w:bidi="ar-SA"/>
        </w:rPr>
        <w:t>动载试验（110%额定载荷试验）</w:t>
      </w:r>
      <w:bookmarkEnd w:id="212"/>
      <w:bookmarkEnd w:id="213"/>
    </w:p>
    <w:p w14:paraId="72474D60">
      <w:pPr>
        <w:ind w:firstLine="480"/>
        <w:rPr>
          <w:rFonts w:hint="eastAsia"/>
          <w:color w:val="auto"/>
        </w:rPr>
      </w:pPr>
      <w:r>
        <w:rPr>
          <w:rFonts w:hint="eastAsia"/>
          <w:color w:val="auto"/>
        </w:rPr>
        <w:t>动载荷试验按照下表进行，每一工况试验不少于3 次。每一次的动作停稳后再进行下一次启动。（此工况试验时，超载限位保护均解除，该工况试验结束后及时将超载限位保护恢复）</w:t>
      </w:r>
    </w:p>
    <w:p w14:paraId="43E6E1F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表6.3.14-2  110％额定载荷动载试验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0520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21C7D336">
            <w:pPr>
              <w:adjustRightInd w:val="0"/>
              <w:snapToGrid w:val="0"/>
              <w:spacing w:line="240" w:lineRule="auto"/>
              <w:ind w:firstLine="0" w:firstLineChars="0"/>
              <w:jc w:val="center"/>
              <w:rPr>
                <w:sz w:val="21"/>
              </w:rPr>
            </w:pPr>
            <w:r>
              <w:rPr>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7D9A7D48">
            <w:pPr>
              <w:adjustRightInd w:val="0"/>
              <w:snapToGrid w:val="0"/>
              <w:spacing w:line="240" w:lineRule="auto"/>
              <w:ind w:firstLine="0" w:firstLineChars="0"/>
              <w:jc w:val="center"/>
              <w:rPr>
                <w:sz w:val="21"/>
              </w:rPr>
            </w:pPr>
            <w:r>
              <w:rPr>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1D98FDDB">
            <w:pPr>
              <w:adjustRightInd w:val="0"/>
              <w:snapToGrid w:val="0"/>
              <w:spacing w:line="240" w:lineRule="auto"/>
              <w:ind w:firstLine="0" w:firstLineChars="0"/>
              <w:jc w:val="center"/>
              <w:rPr>
                <w:sz w:val="21"/>
              </w:rPr>
            </w:pPr>
            <w:r>
              <w:rPr>
                <w:sz w:val="21"/>
              </w:rPr>
              <w:t>试验目的</w:t>
            </w:r>
          </w:p>
        </w:tc>
      </w:tr>
      <w:tr w14:paraId="0999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7E1CEA49">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6D3C7ABC">
            <w:pPr>
              <w:autoSpaceDE w:val="0"/>
              <w:autoSpaceDN w:val="0"/>
              <w:adjustRightInd w:val="0"/>
              <w:snapToGrid w:val="0"/>
              <w:ind w:firstLine="0" w:firstLineChars="0"/>
              <w:jc w:val="center"/>
              <w:rPr>
                <w:sz w:val="21"/>
              </w:rPr>
            </w:pPr>
            <w:r>
              <w:rPr>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02885DE7">
            <w:pPr>
              <w:autoSpaceDE w:val="0"/>
              <w:autoSpaceDN w:val="0"/>
              <w:adjustRightInd w:val="0"/>
              <w:snapToGrid w:val="0"/>
              <w:ind w:firstLine="0" w:firstLineChars="0"/>
              <w:jc w:val="center"/>
              <w:rPr>
                <w:sz w:val="21"/>
              </w:rPr>
            </w:pPr>
            <w:r>
              <w:rPr>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7EEA4380">
            <w:pPr>
              <w:autoSpaceDE w:val="0"/>
              <w:autoSpaceDN w:val="0"/>
              <w:adjustRightInd w:val="0"/>
              <w:snapToGrid w:val="0"/>
              <w:ind w:firstLine="0" w:firstLineChars="0"/>
              <w:jc w:val="center"/>
              <w:rPr>
                <w:sz w:val="21"/>
              </w:rPr>
            </w:pPr>
            <w:r>
              <w:rPr>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4DB6AAC0">
            <w:pPr>
              <w:adjustRightInd w:val="0"/>
              <w:snapToGrid w:val="0"/>
              <w:spacing w:line="240" w:lineRule="auto"/>
              <w:ind w:firstLine="0" w:firstLineChars="0"/>
              <w:jc w:val="center"/>
              <w:rPr>
                <w:sz w:val="21"/>
              </w:rPr>
            </w:pPr>
          </w:p>
        </w:tc>
      </w:tr>
      <w:tr w14:paraId="0133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FDCE06F">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33975659">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774E433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3D224B47">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4ACD555F">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7F05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F03780A">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0B1BC6C8">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7142670E">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418A0F4B">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517F6207">
            <w:pPr>
              <w:adjustRightInd w:val="0"/>
              <w:snapToGrid w:val="0"/>
              <w:spacing w:line="240" w:lineRule="auto"/>
              <w:ind w:firstLine="0" w:firstLineChars="0"/>
              <w:jc w:val="center"/>
              <w:rPr>
                <w:sz w:val="21"/>
              </w:rPr>
            </w:pPr>
          </w:p>
        </w:tc>
      </w:tr>
      <w:tr w14:paraId="2AE6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25C1DB8">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2058D5B2">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1273B41B">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7F97047C">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46CE0E42">
            <w:pPr>
              <w:adjustRightInd w:val="0"/>
              <w:snapToGrid w:val="0"/>
              <w:spacing w:line="240" w:lineRule="auto"/>
              <w:ind w:firstLine="0" w:firstLineChars="0"/>
              <w:jc w:val="center"/>
              <w:rPr>
                <w:sz w:val="21"/>
              </w:rPr>
            </w:pPr>
          </w:p>
        </w:tc>
      </w:tr>
      <w:bookmarkEnd w:id="207"/>
      <w:bookmarkEnd w:id="208"/>
      <w:bookmarkEnd w:id="209"/>
      <w:bookmarkEnd w:id="210"/>
      <w:bookmarkEnd w:id="211"/>
    </w:tbl>
    <w:p w14:paraId="508C36D5">
      <w:pPr>
        <w:ind w:firstLine="480"/>
        <w:rPr>
          <w:rFonts w:hint="eastAsia"/>
          <w:color w:val="auto"/>
        </w:rPr>
      </w:pPr>
      <w:r>
        <w:rPr>
          <w:rFonts w:hint="eastAsia"/>
          <w:color w:val="auto"/>
        </w:rPr>
        <w:t>要求：制动可靠，各部结构无永久变形，回转部分与支承滚轮间不应有脱开现象，无裂纹、油漆剥落，联接松动情况。</w:t>
      </w:r>
    </w:p>
    <w:p w14:paraId="77EC6A2B">
      <w:pPr>
        <w:pStyle w:val="3"/>
        <w:numPr>
          <w:ilvl w:val="1"/>
          <w:numId w:val="0"/>
        </w:numPr>
        <w:ind w:left="567" w:leftChars="0" w:hanging="567" w:firstLineChars="0"/>
        <w:outlineLvl w:val="1"/>
        <w:rPr>
          <w:rFonts w:hint="eastAsia" w:ascii="宋体" w:hAnsi="宋体" w:eastAsia="宋体" w:cs="宋体"/>
          <w:b/>
          <w:bCs/>
          <w:color w:val="auto"/>
          <w:kern w:val="2"/>
          <w:sz w:val="24"/>
          <w:szCs w:val="32"/>
          <w:lang w:val="en-US" w:eastAsia="zh-CN" w:bidi="ar-SA"/>
        </w:rPr>
      </w:pPr>
      <w:bookmarkStart w:id="214" w:name="_Toc5212"/>
      <w:r>
        <w:rPr>
          <w:rFonts w:hint="default" w:ascii="宋体" w:hAnsi="宋体" w:eastAsia="宋体" w:cs="宋体"/>
          <w:b/>
          <w:bCs/>
          <w:color w:val="auto"/>
          <w:kern w:val="2"/>
          <w:sz w:val="24"/>
          <w:szCs w:val="32"/>
          <w:lang w:val="en-US" w:eastAsia="zh-CN" w:bidi="ar-SA"/>
        </w:rPr>
        <w:t>6.4.</w:t>
      </w:r>
      <w:r>
        <w:rPr>
          <w:rFonts w:hint="eastAsia" w:ascii="宋体" w:hAnsi="宋体" w:eastAsia="宋体" w:cs="宋体"/>
          <w:b/>
          <w:bCs/>
          <w:color w:val="auto"/>
          <w:kern w:val="2"/>
          <w:sz w:val="24"/>
          <w:szCs w:val="32"/>
          <w:lang w:val="en-US" w:eastAsia="zh-CN" w:bidi="ar-SA"/>
        </w:rPr>
        <w:t>XGT6515D-10S/XGT6515-10S塔机安装工序（以XGT6515-10S塔机为例）</w:t>
      </w:r>
      <w:bookmarkEnd w:id="214"/>
    </w:p>
    <w:p w14:paraId="1EC6F02C">
      <w:pPr>
        <w:pStyle w:val="4"/>
        <w:ind w:firstLine="482"/>
        <w:rPr>
          <w:rFonts w:hint="eastAsia" w:ascii="宋体" w:hAnsi="宋体" w:eastAsia="宋体"/>
          <w:color w:val="auto"/>
          <w:lang w:val="en-US" w:eastAsia="zh-CN"/>
        </w:rPr>
      </w:pPr>
      <w:bookmarkStart w:id="215" w:name="_Toc11176"/>
      <w:r>
        <w:rPr>
          <w:rFonts w:hint="eastAsia" w:ascii="宋体" w:hAnsi="宋体" w:eastAsia="宋体"/>
          <w:color w:val="auto"/>
          <w:lang w:val="en-US" w:eastAsia="zh-CN"/>
        </w:rPr>
        <w:t>6.4</w:t>
      </w:r>
      <w:r>
        <w:rPr>
          <w:rFonts w:hint="default" w:ascii="宋体" w:hAnsi="宋体" w:eastAsia="宋体"/>
          <w:color w:val="auto"/>
          <w:lang w:val="en-US" w:eastAsia="zh-CN"/>
        </w:rPr>
        <w:t>.1.</w:t>
      </w:r>
      <w:bookmarkStart w:id="216" w:name="_Toc23568"/>
      <w:r>
        <w:rPr>
          <w:rFonts w:hint="eastAsia" w:ascii="宋体" w:hAnsi="宋体" w:eastAsia="宋体"/>
          <w:color w:val="auto"/>
          <w:lang w:val="en-US" w:eastAsia="zh-CN"/>
        </w:rPr>
        <w:t>安装基础节和标准节</w:t>
      </w:r>
      <w:bookmarkEnd w:id="215"/>
      <w:bookmarkEnd w:id="216"/>
    </w:p>
    <w:p w14:paraId="2801EE45">
      <w:pPr>
        <w:ind w:firstLine="480"/>
        <w:rPr>
          <w:rFonts w:hint="eastAsia" w:ascii="宋体" w:hAnsi="宋体" w:eastAsia="宋体"/>
          <w:color w:val="auto"/>
          <w:lang w:eastAsia="zh-CN"/>
        </w:rPr>
      </w:pPr>
      <w:r>
        <w:rPr>
          <w:rFonts w:hint="eastAsia" w:ascii="宋体" w:hAnsi="宋体" w:eastAsia="宋体"/>
          <w:color w:val="auto"/>
          <w:lang w:val="en-US" w:eastAsia="zh-CN"/>
        </w:rPr>
        <w:t>（1）</w:t>
      </w:r>
      <w:r>
        <w:rPr>
          <w:rFonts w:hint="eastAsia" w:ascii="宋体" w:hAnsi="宋体" w:eastAsia="宋体"/>
          <w:color w:val="auto"/>
          <w:lang w:eastAsia="zh-CN"/>
        </w:rPr>
        <w:t>基础节吊装采用四点吊，基础节以顶部四个销轴孔作为吊装孔，采用4根</w:t>
      </w:r>
      <w:r>
        <w:rPr>
          <w:rFonts w:hint="eastAsia" w:ascii="宋体" w:hAnsi="宋体" w:eastAsia="宋体"/>
          <w:color w:val="auto"/>
          <w:lang w:val="en-US" w:eastAsia="zh-CN"/>
        </w:rPr>
        <w:t>18mm6×19W+IWR1870Mpa</w:t>
      </w:r>
      <w:r>
        <w:rPr>
          <w:rFonts w:hint="eastAsia" w:ascii="宋体" w:hAnsi="宋体" w:eastAsia="宋体"/>
          <w:color w:val="auto"/>
          <w:lang w:eastAsia="zh-CN"/>
        </w:rPr>
        <w:t>的钢丝绳配套GB/T 25854-6-DW</w:t>
      </w:r>
      <w:r>
        <w:rPr>
          <w:rFonts w:hint="eastAsia" w:ascii="宋体" w:hAnsi="宋体" w:eastAsia="宋体"/>
          <w:color w:val="auto"/>
          <w:lang w:val="en-US" w:eastAsia="zh-CN"/>
        </w:rPr>
        <w:t>5</w:t>
      </w:r>
      <w:r>
        <w:rPr>
          <w:rFonts w:hint="eastAsia" w:ascii="宋体" w:hAnsi="宋体" w:eastAsia="宋体"/>
          <w:color w:val="auto"/>
          <w:lang w:eastAsia="zh-CN"/>
        </w:rPr>
        <w:t>卸扣进行吊装。</w:t>
      </w:r>
    </w:p>
    <w:p w14:paraId="04C85C83">
      <w:pPr>
        <w:ind w:firstLine="480"/>
        <w:rPr>
          <w:rFonts w:hint="eastAsia" w:ascii="宋体" w:hAnsi="宋体" w:eastAsia="宋体"/>
          <w:color w:val="auto"/>
          <w:lang w:eastAsia="zh-CN"/>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hint="eastAsia" w:ascii="宋体" w:hAnsi="宋体" w:eastAsia="宋体"/>
          <w:color w:val="auto"/>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基础节吊装示意如下图所示</w:t>
      </w:r>
      <w:r>
        <w:rPr>
          <w:rFonts w:hint="eastAsia" w:ascii="宋体" w:hAnsi="宋体" w:eastAsia="宋体"/>
          <w:color w:val="auto"/>
          <w:lang w:eastAsia="zh-CN"/>
        </w:rPr>
        <w:t>。</w:t>
      </w:r>
    </w:p>
    <w:p w14:paraId="4E18E77A">
      <w:pPr>
        <w:ind w:left="0" w:leftChars="0" w:firstLine="0" w:firstLineChars="0"/>
        <w:jc w:val="center"/>
      </w:pPr>
      <w:r>
        <w:drawing>
          <wp:inline distT="0" distB="0" distL="114300" distR="114300">
            <wp:extent cx="3672205" cy="2416175"/>
            <wp:effectExtent l="0" t="0" r="635" b="6985"/>
            <wp:docPr id="2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
                    <pic:cNvPicPr>
                      <a:picLocks noChangeAspect="1"/>
                    </pic:cNvPicPr>
                  </pic:nvPicPr>
                  <pic:blipFill>
                    <a:blip r:embed="rId92"/>
                    <a:stretch>
                      <a:fillRect/>
                    </a:stretch>
                  </pic:blipFill>
                  <pic:spPr>
                    <a:xfrm>
                      <a:off x="0" y="0"/>
                      <a:ext cx="3672205" cy="2416175"/>
                    </a:xfrm>
                    <a:prstGeom prst="rect">
                      <a:avLst/>
                    </a:prstGeom>
                    <a:noFill/>
                    <a:ln>
                      <a:noFill/>
                    </a:ln>
                  </pic:spPr>
                </pic:pic>
              </a:graphicData>
            </a:graphic>
          </wp:inline>
        </w:drawing>
      </w:r>
    </w:p>
    <w:p w14:paraId="43E8C6C8">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安装基础节及标准节平面图</w:t>
      </w:r>
    </w:p>
    <w:p w14:paraId="1BD88657">
      <w:pPr>
        <w:pStyle w:val="15"/>
        <w:ind w:left="0" w:leftChars="0" w:firstLine="0" w:firstLineChars="0"/>
        <w:jc w:val="center"/>
      </w:pPr>
      <w:r>
        <w:drawing>
          <wp:inline distT="0" distB="0" distL="114300" distR="114300">
            <wp:extent cx="2237105" cy="2574925"/>
            <wp:effectExtent l="0" t="0" r="3175" b="635"/>
            <wp:docPr id="20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1"/>
                    <pic:cNvPicPr>
                      <a:picLocks noChangeAspect="1"/>
                    </pic:cNvPicPr>
                  </pic:nvPicPr>
                  <pic:blipFill>
                    <a:blip r:embed="rId93"/>
                    <a:stretch>
                      <a:fillRect/>
                    </a:stretch>
                  </pic:blipFill>
                  <pic:spPr>
                    <a:xfrm>
                      <a:off x="0" y="0"/>
                      <a:ext cx="2237105" cy="25749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5030" cy="2492375"/>
            <wp:effectExtent l="0" t="0" r="3810" b="6985"/>
            <wp:docPr id="20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2"/>
                    <pic:cNvPicPr>
                      <a:picLocks noChangeAspect="1"/>
                    </pic:cNvPicPr>
                  </pic:nvPicPr>
                  <pic:blipFill>
                    <a:blip r:embed="rId94"/>
                    <a:stretch>
                      <a:fillRect/>
                    </a:stretch>
                  </pic:blipFill>
                  <pic:spPr>
                    <a:xfrm>
                      <a:off x="0" y="0"/>
                      <a:ext cx="2145030" cy="2492375"/>
                    </a:xfrm>
                    <a:prstGeom prst="rect">
                      <a:avLst/>
                    </a:prstGeom>
                    <a:noFill/>
                    <a:ln>
                      <a:noFill/>
                    </a:ln>
                  </pic:spPr>
                </pic:pic>
              </a:graphicData>
            </a:graphic>
          </wp:inline>
        </w:drawing>
      </w:r>
    </w:p>
    <w:p w14:paraId="79B0A63D">
      <w:pPr>
        <w:ind w:firstLine="720" w:firstLineChars="300"/>
        <w:jc w:val="both"/>
        <w:rPr>
          <w:rFonts w:hint="default"/>
          <w:lang w:val="en-US" w:eastAsia="zh-CN"/>
        </w:rPr>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rPr>
          <w:rFonts w:hint="eastAsia"/>
        </w:rPr>
        <w:t>6.3</w:t>
      </w:r>
      <w:r>
        <w:rPr>
          <w:rFonts w:hint="eastAsia"/>
        </w:rPr>
        <w:fldChar w:fldCharType="end"/>
      </w:r>
      <w:r>
        <w:rPr>
          <w:rFonts w:hint="eastAsia"/>
          <w:lang w:eastAsia="zh-CN"/>
        </w:rPr>
        <w:t>-</w:t>
      </w:r>
      <w:r>
        <w:rPr>
          <w:rFonts w:hint="eastAsia"/>
        </w:rPr>
        <w:fldChar w:fldCharType="begin"/>
      </w:r>
      <w:r>
        <w:rPr>
          <w:rFonts w:hint="eastAsia"/>
        </w:rPr>
        <w:instrText xml:space="preserve"> SEQ 图 \* ARABIC \s 2 </w:instrText>
      </w:r>
      <w:r>
        <w:rPr>
          <w:rFonts w:hint="eastAsia"/>
        </w:rPr>
        <w:fldChar w:fldCharType="separate"/>
      </w:r>
      <w:r>
        <w:rPr>
          <w:rFonts w:hint="eastAsia"/>
        </w:rPr>
        <w:t>2</w:t>
      </w:r>
      <w:r>
        <w:rPr>
          <w:rFonts w:hint="eastAsia"/>
        </w:rPr>
        <w:fldChar w:fldCharType="end"/>
      </w:r>
      <w:r>
        <w:rPr>
          <w:rFonts w:hint="eastAsia"/>
          <w:lang w:val="en-US" w:eastAsia="zh-CN"/>
        </w:rPr>
        <w:t xml:space="preserve">安装基础节立面图            </w:t>
      </w: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安装标准节立面图</w:t>
      </w:r>
    </w:p>
    <w:p w14:paraId="1E6FFC7D">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（3）作业人员通过基础节爬梯爬至基础节顶部，系挂好安全带，站立在基础节横杆上，吊机放松吊钩，作业人员解除卸扣与基础节的连接，完成基础节的安装。采用同样步骤完成一节标准节安装。</w:t>
      </w:r>
    </w:p>
    <w:p w14:paraId="70671CE7">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（4）塔吊基础节、标准节安装时设置警戒区，起吊安排专人负责指挥，专人操作，严禁无关人员进入起重作业范围内。基础节吊装后</w:t>
      </w:r>
      <w:r>
        <w:rPr>
          <w:rFonts w:hint="eastAsia"/>
          <w:color w:val="auto"/>
          <w:lang w:val="en-US" w:eastAsia="zh-CN"/>
        </w:rPr>
        <w:t>使用经纬仪测量其</w:t>
      </w:r>
      <w:r>
        <w:rPr>
          <w:rFonts w:hint="eastAsia" w:ascii="宋体" w:hAnsi="宋体" w:eastAsia="宋体"/>
          <w:color w:val="auto"/>
          <w:lang w:val="en-US" w:eastAsia="zh-CN"/>
        </w:rPr>
        <w:t>垂直度，主弦杆四个侧面的垂直度误差应不大于1.5/1000。</w:t>
      </w:r>
    </w:p>
    <w:p w14:paraId="105ACED1">
      <w:pPr>
        <w:pStyle w:val="4"/>
        <w:ind w:firstLine="482"/>
        <w:rPr>
          <w:rFonts w:hint="eastAsia" w:ascii="宋体" w:hAnsi="宋体" w:eastAsia="宋体"/>
          <w:color w:val="auto"/>
          <w:lang w:val="en-US" w:eastAsia="zh-CN"/>
        </w:rPr>
      </w:pPr>
      <w:bookmarkStart w:id="217" w:name="_Toc21732"/>
      <w:bookmarkStart w:id="218" w:name="_Toc4785"/>
      <w:r>
        <w:rPr>
          <w:rFonts w:hint="eastAsia" w:ascii="宋体" w:hAnsi="宋体" w:eastAsia="宋体"/>
          <w:color w:val="auto"/>
          <w:lang w:val="en-US" w:eastAsia="zh-CN"/>
        </w:rPr>
        <w:t>6.4.</w:t>
      </w:r>
      <w:r>
        <w:rPr>
          <w:rFonts w:hint="default" w:ascii="宋体" w:hAnsi="宋体" w:eastAsia="宋体"/>
          <w:color w:val="auto"/>
          <w:lang w:val="en-US" w:eastAsia="zh-CN"/>
        </w:rPr>
        <w:t>2.</w:t>
      </w:r>
      <w:r>
        <w:rPr>
          <w:rFonts w:hint="eastAsia" w:ascii="宋体" w:hAnsi="宋体" w:eastAsia="宋体"/>
          <w:color w:val="auto"/>
          <w:lang w:val="en-US" w:eastAsia="zh-CN"/>
        </w:rPr>
        <w:t>安装爬升架</w:t>
      </w:r>
      <w:bookmarkEnd w:id="217"/>
      <w:bookmarkEnd w:id="218"/>
    </w:p>
    <w:p w14:paraId="69670967">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（1）采用吊机配合人工在地面上将套架架体、平台、顶升横梁、油缸及液压站等拼装成整体，套架吊装采用四点吊，以套架顶部四个销轴孔作为吊装孔，采用4根18mm6×19W+IWR1870Mpa的钢丝绳配套GB/T 25854-6-DW5卸扣进行吊装。</w:t>
      </w:r>
    </w:p>
    <w:p w14:paraId="33072608">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套架吊装示意如下图所示。</w:t>
      </w:r>
    </w:p>
    <w:p w14:paraId="3C7C0D31">
      <w:pPr>
        <w:autoSpaceDE w:val="0"/>
        <w:autoSpaceDN w:val="0"/>
        <w:adjustRightInd w:val="0"/>
        <w:spacing w:line="240" w:lineRule="auto"/>
        <w:ind w:firstLine="0" w:firstLineChars="0"/>
        <w:jc w:val="center"/>
      </w:pPr>
      <w:r>
        <w:drawing>
          <wp:inline distT="0" distB="0" distL="114300" distR="114300">
            <wp:extent cx="3745230" cy="2464435"/>
            <wp:effectExtent l="0" t="0" r="3810" b="4445"/>
            <wp:docPr id="2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
                    <pic:cNvPicPr>
                      <a:picLocks noChangeAspect="1"/>
                    </pic:cNvPicPr>
                  </pic:nvPicPr>
                  <pic:blipFill>
                    <a:blip r:embed="rId92"/>
                    <a:stretch>
                      <a:fillRect/>
                    </a:stretch>
                  </pic:blipFill>
                  <pic:spPr>
                    <a:xfrm>
                      <a:off x="0" y="0"/>
                      <a:ext cx="3745230" cy="2464435"/>
                    </a:xfrm>
                    <a:prstGeom prst="rect">
                      <a:avLst/>
                    </a:prstGeom>
                    <a:noFill/>
                    <a:ln>
                      <a:noFill/>
                    </a:ln>
                  </pic:spPr>
                </pic:pic>
              </a:graphicData>
            </a:graphic>
          </wp:inline>
        </w:drawing>
      </w:r>
    </w:p>
    <w:p w14:paraId="61DAF5B5">
      <w:pPr>
        <w:spacing w:line="240" w:lineRule="auto"/>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安装爬升架平面图</w:t>
      </w:r>
    </w:p>
    <w:p w14:paraId="084D241E">
      <w:pPr>
        <w:autoSpaceDE w:val="0"/>
        <w:autoSpaceDN w:val="0"/>
        <w:adjustRightInd w:val="0"/>
        <w:spacing w:line="240" w:lineRule="auto"/>
        <w:ind w:firstLine="0" w:firstLineChars="0"/>
        <w:jc w:val="center"/>
      </w:pPr>
      <w:r>
        <w:drawing>
          <wp:inline distT="0" distB="0" distL="114300" distR="114300">
            <wp:extent cx="3232150" cy="3166110"/>
            <wp:effectExtent l="0" t="0" r="13970" b="3810"/>
            <wp:docPr id="2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3"/>
                    <pic:cNvPicPr>
                      <a:picLocks noChangeAspect="1"/>
                    </pic:cNvPicPr>
                  </pic:nvPicPr>
                  <pic:blipFill>
                    <a:blip r:embed="rId95"/>
                    <a:stretch>
                      <a:fillRect/>
                    </a:stretch>
                  </pic:blipFill>
                  <pic:spPr>
                    <a:xfrm>
                      <a:off x="0" y="0"/>
                      <a:ext cx="3232150" cy="3166110"/>
                    </a:xfrm>
                    <a:prstGeom prst="rect">
                      <a:avLst/>
                    </a:prstGeom>
                    <a:noFill/>
                    <a:ln>
                      <a:noFill/>
                    </a:ln>
                  </pic:spPr>
                </pic:pic>
              </a:graphicData>
            </a:graphic>
          </wp:inline>
        </w:drawing>
      </w:r>
    </w:p>
    <w:p w14:paraId="5439815F">
      <w:pPr>
        <w:spacing w:line="240" w:lineRule="auto"/>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安装爬升架立面图</w:t>
      </w:r>
    </w:p>
    <w:p w14:paraId="1ED0CA76">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（3）作业人员通过爬梯爬至套架顶部，将安全带系挂在套架顶部的横杆上，站立在套架顶部的平台上，吊机放松吊钩，作业人员解除卸扣与套架的连接。</w:t>
      </w:r>
    </w:p>
    <w:p w14:paraId="123BEDC1">
      <w:pPr>
        <w:ind w:firstLine="480"/>
        <w:rPr>
          <w:rFonts w:hint="default" w:ascii="宋体" w:hAnsi="宋体" w:eastAsia="宋体"/>
          <w:color w:val="auto"/>
          <w:lang w:val="en-US" w:eastAsia="zh-CN"/>
        </w:rPr>
      </w:pPr>
      <w:r>
        <w:rPr>
          <w:rFonts w:hint="eastAsia" w:ascii="宋体" w:hAnsi="宋体" w:eastAsia="宋体"/>
          <w:color w:val="auto"/>
          <w:lang w:val="en-US" w:eastAsia="zh-CN"/>
        </w:rPr>
        <w:t>（4）塔吊套架安装时设置警戒区，起吊安排专人负责指挥，专人操作，严禁无关人员进入起重作业范围内。</w:t>
      </w:r>
    </w:p>
    <w:p w14:paraId="77232AE4">
      <w:pPr>
        <w:pStyle w:val="4"/>
        <w:ind w:firstLine="482"/>
        <w:rPr>
          <w:rFonts w:hint="eastAsia" w:ascii="宋体" w:hAnsi="宋体" w:eastAsia="宋体"/>
          <w:color w:val="auto"/>
          <w:lang w:val="en-US" w:eastAsia="zh-CN"/>
        </w:rPr>
      </w:pPr>
      <w:bookmarkStart w:id="219" w:name="_Toc20177"/>
      <w:bookmarkStart w:id="220" w:name="_Toc15807"/>
      <w:r>
        <w:rPr>
          <w:rFonts w:hint="eastAsia" w:ascii="宋体" w:hAnsi="宋体" w:eastAsia="宋体"/>
          <w:color w:val="auto"/>
          <w:lang w:val="en-US" w:eastAsia="zh-CN"/>
        </w:rPr>
        <w:t>6.4.</w:t>
      </w:r>
      <w:r>
        <w:rPr>
          <w:rFonts w:hint="default" w:ascii="宋体" w:hAnsi="宋体" w:eastAsia="宋体"/>
          <w:color w:val="auto"/>
          <w:lang w:val="en-US" w:eastAsia="zh-CN"/>
        </w:rPr>
        <w:t>3.</w:t>
      </w:r>
      <w:r>
        <w:rPr>
          <w:rFonts w:hint="eastAsia" w:ascii="宋体" w:hAnsi="宋体" w:eastAsia="宋体"/>
          <w:color w:val="auto"/>
          <w:lang w:val="en-US" w:eastAsia="zh-CN"/>
        </w:rPr>
        <w:t>安装特殊节</w:t>
      </w:r>
      <w:bookmarkEnd w:id="219"/>
      <w:bookmarkEnd w:id="220"/>
    </w:p>
    <w:p w14:paraId="74173278">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027EA447">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1DDEDBFB">
      <w:pPr>
        <w:ind w:firstLine="480"/>
        <w:rPr>
          <w:rFonts w:hint="eastAsia" w:ascii="宋体" w:hAnsi="宋体" w:eastAsia="宋体"/>
          <w:color w:val="auto"/>
          <w:lang w:val="en-US" w:eastAsia="zh-CN"/>
        </w:rPr>
      </w:pPr>
      <w:r>
        <w:rPr>
          <w:rFonts w:hint="eastAsia" w:ascii="宋体" w:hAnsi="宋体" w:eastAsia="宋体"/>
          <w:color w:val="auto"/>
          <w:lang w:val="en-US" w:eastAsia="zh-CN"/>
        </w:rPr>
        <w:t>（3）操作顶升系统，将油缸伸长，使顶升横梁销轴落入到最上面一个塔身节的踏步圆弧槽内，再将套架顶升至与特殊节连接耳板接触，用销轴将套架与下支座连接牢固。特殊节的安装示意图如下</w:t>
      </w:r>
    </w:p>
    <w:p w14:paraId="6997D641">
      <w:pPr>
        <w:pStyle w:val="16"/>
        <w:spacing w:after="0"/>
        <w:ind w:left="0" w:leftChars="0" w:right="0" w:rightChars="0" w:firstLine="0" w:firstLineChars="0"/>
        <w:jc w:val="center"/>
      </w:pPr>
      <w:r>
        <w:drawing>
          <wp:inline distT="0" distB="0" distL="114300" distR="114300">
            <wp:extent cx="4008755" cy="2637790"/>
            <wp:effectExtent l="0" t="0" r="14605" b="13970"/>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92"/>
                    <a:stretch>
                      <a:fillRect/>
                    </a:stretch>
                  </pic:blipFill>
                  <pic:spPr>
                    <a:xfrm>
                      <a:off x="0" y="0"/>
                      <a:ext cx="4008755" cy="2637790"/>
                    </a:xfrm>
                    <a:prstGeom prst="rect">
                      <a:avLst/>
                    </a:prstGeom>
                    <a:noFill/>
                    <a:ln>
                      <a:noFill/>
                    </a:ln>
                  </pic:spPr>
                </pic:pic>
              </a:graphicData>
            </a:graphic>
          </wp:inline>
        </w:drawing>
      </w:r>
    </w:p>
    <w:p w14:paraId="26A0AB2C">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安装特殊节平面图</w:t>
      </w:r>
    </w:p>
    <w:p w14:paraId="5A8B247E">
      <w:pPr>
        <w:pStyle w:val="20"/>
        <w:ind w:firstLine="0" w:firstLineChars="0"/>
        <w:jc w:val="center"/>
      </w:pPr>
      <w:r>
        <w:drawing>
          <wp:inline distT="0" distB="0" distL="114300" distR="114300">
            <wp:extent cx="3103880" cy="3304540"/>
            <wp:effectExtent l="0" t="0" r="5080" b="254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96"/>
                    <a:stretch>
                      <a:fillRect/>
                    </a:stretch>
                  </pic:blipFill>
                  <pic:spPr>
                    <a:xfrm>
                      <a:off x="0" y="0"/>
                      <a:ext cx="3103880" cy="3304540"/>
                    </a:xfrm>
                    <a:prstGeom prst="rect">
                      <a:avLst/>
                    </a:prstGeom>
                    <a:noFill/>
                    <a:ln>
                      <a:noFill/>
                    </a:ln>
                  </pic:spPr>
                </pic:pic>
              </a:graphicData>
            </a:graphic>
          </wp:inline>
        </w:drawing>
      </w:r>
    </w:p>
    <w:p w14:paraId="10BED03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安装特殊节立面图</w:t>
      </w:r>
    </w:p>
    <w:p w14:paraId="397460A2">
      <w:pPr>
        <w:pStyle w:val="4"/>
        <w:ind w:firstLine="482"/>
        <w:rPr>
          <w:rFonts w:hint="eastAsia" w:ascii="宋体" w:hAnsi="宋体" w:eastAsia="宋体"/>
          <w:color w:val="auto"/>
          <w:lang w:val="en-US" w:eastAsia="zh-CN"/>
        </w:rPr>
      </w:pPr>
      <w:bookmarkStart w:id="221" w:name="_Toc14141"/>
      <w:bookmarkStart w:id="222" w:name="_Toc10057"/>
      <w:r>
        <w:rPr>
          <w:rFonts w:hint="eastAsia" w:ascii="宋体" w:hAnsi="宋体" w:eastAsia="宋体"/>
          <w:color w:val="auto"/>
          <w:lang w:val="en-US" w:eastAsia="zh-CN"/>
        </w:rPr>
        <w:t>6.4.</w:t>
      </w:r>
      <w:r>
        <w:rPr>
          <w:rFonts w:hint="default" w:ascii="宋体" w:hAnsi="宋体" w:eastAsia="宋体"/>
          <w:color w:val="auto"/>
          <w:lang w:val="en-US" w:eastAsia="zh-CN"/>
        </w:rPr>
        <w:t>4.</w:t>
      </w:r>
      <w:r>
        <w:rPr>
          <w:rFonts w:hint="eastAsia" w:ascii="宋体" w:hAnsi="宋体" w:eastAsia="宋体"/>
          <w:color w:val="auto"/>
          <w:lang w:val="en-US" w:eastAsia="zh-CN"/>
        </w:rPr>
        <w:t>安装回转总成</w:t>
      </w:r>
      <w:bookmarkEnd w:id="221"/>
      <w:bookmarkEnd w:id="222"/>
    </w:p>
    <w:p w14:paraId="4DC80266">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536D208B">
      <w:pPr>
        <w:ind w:firstLine="480"/>
        <w:rPr>
          <w:rFonts w:hint="eastAsia" w:ascii="宋体" w:hAnsi="宋体" w:eastAsia="宋体"/>
          <w:color w:val="auto"/>
        </w:rPr>
      </w:pPr>
      <w:r>
        <w:rPr>
          <w:rFonts w:hint="eastAsia" w:ascii="宋体" w:hAnsi="宋体" w:eastAsia="宋体"/>
          <w:color w:val="auto"/>
          <w:lang w:val="en-US" w:eastAsia="zh-CN"/>
        </w:rPr>
        <w:t>（2）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回转总成的安装示意图如下。</w:t>
      </w:r>
    </w:p>
    <w:p w14:paraId="1A34505B">
      <w:pPr>
        <w:spacing w:line="240" w:lineRule="auto"/>
        <w:ind w:firstLine="0" w:firstLineChars="0"/>
        <w:jc w:val="center"/>
      </w:pPr>
      <w:r>
        <w:drawing>
          <wp:inline distT="0" distB="0" distL="114300" distR="114300">
            <wp:extent cx="3817620" cy="2512695"/>
            <wp:effectExtent l="0" t="0" r="7620" b="1905"/>
            <wp:docPr id="2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
                    <pic:cNvPicPr>
                      <a:picLocks noChangeAspect="1"/>
                    </pic:cNvPicPr>
                  </pic:nvPicPr>
                  <pic:blipFill>
                    <a:blip r:embed="rId92"/>
                    <a:stretch>
                      <a:fillRect/>
                    </a:stretch>
                  </pic:blipFill>
                  <pic:spPr>
                    <a:xfrm>
                      <a:off x="0" y="0"/>
                      <a:ext cx="3817620" cy="2512695"/>
                    </a:xfrm>
                    <a:prstGeom prst="rect">
                      <a:avLst/>
                    </a:prstGeom>
                    <a:noFill/>
                    <a:ln>
                      <a:noFill/>
                    </a:ln>
                  </pic:spPr>
                </pic:pic>
              </a:graphicData>
            </a:graphic>
          </wp:inline>
        </w:drawing>
      </w:r>
    </w:p>
    <w:p w14:paraId="0CDC2772">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安装回转总成平面图</w:t>
      </w:r>
    </w:p>
    <w:p w14:paraId="1602F459">
      <w:pPr>
        <w:spacing w:line="240" w:lineRule="auto"/>
        <w:ind w:firstLine="0" w:firstLineChars="0"/>
        <w:jc w:val="center"/>
      </w:pPr>
      <w:r>
        <w:drawing>
          <wp:inline distT="0" distB="0" distL="114300" distR="114300">
            <wp:extent cx="2201545" cy="2472055"/>
            <wp:effectExtent l="0" t="0" r="8255" b="12065"/>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pic:cNvPicPr>
                      <a:picLocks noChangeAspect="1"/>
                    </pic:cNvPicPr>
                  </pic:nvPicPr>
                  <pic:blipFill>
                    <a:blip r:embed="rId97"/>
                    <a:stretch>
                      <a:fillRect/>
                    </a:stretch>
                  </pic:blipFill>
                  <pic:spPr>
                    <a:xfrm>
                      <a:off x="0" y="0"/>
                      <a:ext cx="2201545" cy="2472055"/>
                    </a:xfrm>
                    <a:prstGeom prst="rect">
                      <a:avLst/>
                    </a:prstGeom>
                    <a:noFill/>
                    <a:ln>
                      <a:noFill/>
                    </a:ln>
                  </pic:spPr>
                </pic:pic>
              </a:graphicData>
            </a:graphic>
          </wp:inline>
        </w:drawing>
      </w:r>
    </w:p>
    <w:p w14:paraId="1A27D7B0">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安装回转总成立面图</w:t>
      </w:r>
    </w:p>
    <w:p w14:paraId="79978241">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（3）作业人员通过爬梯爬至回转总成顶部，将安全带系挂在回转总成顶部的横杆上，站立在回转总成顶部，吊机放松吊钩，作业人员解除卸扣与回转总成的连接。</w:t>
      </w:r>
    </w:p>
    <w:p w14:paraId="57E456E5">
      <w:pPr>
        <w:ind w:firstLine="480"/>
        <w:rPr>
          <w:rFonts w:hint="eastAsia" w:ascii="宋体" w:hAnsi="宋体" w:eastAsia="宋体"/>
          <w:color w:val="auto"/>
          <w:lang w:val="en-US" w:eastAsia="zh-CN"/>
        </w:rPr>
      </w:pPr>
      <w:r>
        <w:rPr>
          <w:rFonts w:hint="eastAsia" w:ascii="宋体" w:hAnsi="宋体" w:eastAsia="宋体"/>
          <w:color w:val="auto"/>
          <w:lang w:val="en-US" w:eastAsia="zh-CN"/>
        </w:rPr>
        <w:t>（4）塔吊回转总成安装时设置警戒区，起吊安排专人负责指挥，专人操作，严禁无关人员进入起重作业范围内。</w:t>
      </w:r>
    </w:p>
    <w:p w14:paraId="2C51162F">
      <w:pPr>
        <w:pStyle w:val="4"/>
        <w:ind w:firstLine="482"/>
        <w:rPr>
          <w:rFonts w:hint="eastAsia" w:ascii="宋体" w:hAnsi="宋体" w:eastAsia="宋体"/>
          <w:color w:val="auto"/>
          <w:lang w:val="en-US" w:eastAsia="zh-CN"/>
        </w:rPr>
      </w:pPr>
      <w:bookmarkStart w:id="223" w:name="_Toc12564"/>
      <w:bookmarkStart w:id="224" w:name="_Toc18683"/>
      <w:r>
        <w:rPr>
          <w:rFonts w:hint="eastAsia" w:ascii="宋体" w:hAnsi="宋体" w:eastAsia="宋体"/>
          <w:color w:val="auto"/>
          <w:lang w:val="en-US" w:eastAsia="zh-CN"/>
        </w:rPr>
        <w:t>6.4.</w:t>
      </w:r>
      <w:r>
        <w:rPr>
          <w:rFonts w:hint="default" w:ascii="宋体" w:hAnsi="宋体" w:eastAsia="宋体"/>
          <w:color w:val="auto"/>
          <w:lang w:val="en-US" w:eastAsia="zh-CN"/>
        </w:rPr>
        <w:t>5.</w:t>
      </w:r>
      <w:r>
        <w:rPr>
          <w:rFonts w:hint="eastAsia" w:ascii="宋体" w:hAnsi="宋体" w:eastAsia="宋体"/>
          <w:color w:val="auto"/>
          <w:lang w:val="en-US" w:eastAsia="zh-CN"/>
        </w:rPr>
        <w:t>安装起重臂臂根节</w:t>
      </w:r>
      <w:bookmarkEnd w:id="223"/>
      <w:bookmarkEnd w:id="224"/>
    </w:p>
    <w:p w14:paraId="3C8E9CE1">
      <w:pPr>
        <w:ind w:firstLine="480"/>
        <w:rPr>
          <w:rFonts w:hint="eastAsia" w:ascii="宋体" w:hAnsi="宋体" w:eastAsia="宋体"/>
          <w:color w:val="auto"/>
          <w:lang w:val="en-US" w:eastAsia="zh-CN"/>
        </w:rPr>
      </w:pPr>
      <w:r>
        <w:rPr>
          <w:rFonts w:hint="eastAsia" w:ascii="宋体" w:hAnsi="宋体" w:eastAsia="宋体"/>
          <w:color w:val="auto"/>
          <w:lang w:val="en-US" w:eastAsia="zh-CN"/>
        </w:rPr>
        <w:t>（1）在地面将小车安装在臂根节靠塔身引进侧根部，打入防脱销轴以固定。</w:t>
      </w:r>
    </w:p>
    <w:p w14:paraId="699F22E7">
      <w:pPr>
        <w:ind w:firstLine="480"/>
        <w:rPr>
          <w:rFonts w:hint="eastAsia" w:ascii="宋体" w:hAnsi="宋体" w:eastAsia="宋体"/>
          <w:color w:val="auto"/>
          <w:lang w:val="en-US" w:eastAsia="zh-CN"/>
        </w:rPr>
      </w:pPr>
      <w:r>
        <w:rPr>
          <w:rFonts w:hint="eastAsia" w:ascii="宋体" w:hAnsi="宋体" w:eastAsia="宋体"/>
          <w:color w:val="auto"/>
          <w:lang w:val="en-US" w:eastAsia="zh-CN"/>
        </w:rPr>
        <w:t>（2）采用吊机配合人工在地面上将臂根节拼装完成，臂根节吊装采用四点吊，以臂根节顶部四个销轴孔作为吊装孔，采用4根18mm6×19W+IWR1870Mpa的钢丝绳配套GB/T 25854-6-DW5卸扣进行吊装。</w:t>
      </w:r>
    </w:p>
    <w:p w14:paraId="368C56A8">
      <w:pPr>
        <w:ind w:firstLine="480"/>
        <w:rPr>
          <w:rFonts w:hint="default" w:ascii="宋体" w:hAnsi="宋体" w:eastAsia="宋体"/>
          <w:color w:val="auto"/>
          <w:lang w:val="en-US" w:eastAsia="zh-CN"/>
        </w:rPr>
      </w:pPr>
      <w:r>
        <w:rPr>
          <w:rFonts w:hint="eastAsia" w:ascii="宋体" w:hAnsi="宋体" w:eastAsia="宋体"/>
          <w:color w:val="auto"/>
          <w:lang w:val="en-US" w:eastAsia="zh-CN"/>
        </w:rPr>
        <w:t>（3）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1575655F">
      <w:pPr>
        <w:ind w:firstLine="0" w:firstLineChars="0"/>
        <w:jc w:val="center"/>
      </w:pPr>
      <w:r>
        <w:drawing>
          <wp:inline distT="0" distB="0" distL="114300" distR="114300">
            <wp:extent cx="3486150" cy="2122170"/>
            <wp:effectExtent l="0" t="0" r="3810" b="11430"/>
            <wp:docPr id="2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
                    <pic:cNvPicPr>
                      <a:picLocks noChangeAspect="1"/>
                    </pic:cNvPicPr>
                  </pic:nvPicPr>
                  <pic:blipFill>
                    <a:blip r:embed="rId98"/>
                    <a:stretch>
                      <a:fillRect/>
                    </a:stretch>
                  </pic:blipFill>
                  <pic:spPr>
                    <a:xfrm>
                      <a:off x="0" y="0"/>
                      <a:ext cx="3486150" cy="2122170"/>
                    </a:xfrm>
                    <a:prstGeom prst="rect">
                      <a:avLst/>
                    </a:prstGeom>
                    <a:noFill/>
                    <a:ln>
                      <a:noFill/>
                    </a:ln>
                  </pic:spPr>
                </pic:pic>
              </a:graphicData>
            </a:graphic>
          </wp:inline>
        </w:drawing>
      </w:r>
    </w:p>
    <w:p w14:paraId="3A473630">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安装起重臂臂根节平面图</w:t>
      </w:r>
    </w:p>
    <w:p w14:paraId="43CA0DB9">
      <w:pPr>
        <w:pStyle w:val="20"/>
        <w:ind w:firstLine="0" w:firstLineChars="0"/>
        <w:jc w:val="center"/>
      </w:pPr>
      <w:r>
        <w:drawing>
          <wp:inline distT="0" distB="0" distL="114300" distR="114300">
            <wp:extent cx="2750185" cy="2632075"/>
            <wp:effectExtent l="0" t="0" r="8255" b="4445"/>
            <wp:docPr id="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
                    <pic:cNvPicPr>
                      <a:picLocks noChangeAspect="1"/>
                    </pic:cNvPicPr>
                  </pic:nvPicPr>
                  <pic:blipFill>
                    <a:blip r:embed="rId99"/>
                    <a:stretch>
                      <a:fillRect/>
                    </a:stretch>
                  </pic:blipFill>
                  <pic:spPr>
                    <a:xfrm>
                      <a:off x="0" y="0"/>
                      <a:ext cx="2750185" cy="2632075"/>
                    </a:xfrm>
                    <a:prstGeom prst="rect">
                      <a:avLst/>
                    </a:prstGeom>
                    <a:noFill/>
                    <a:ln>
                      <a:noFill/>
                    </a:ln>
                  </pic:spPr>
                </pic:pic>
              </a:graphicData>
            </a:graphic>
          </wp:inline>
        </w:drawing>
      </w:r>
    </w:p>
    <w:p w14:paraId="45E715E3">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安装起重臂臂根节立面图</w:t>
      </w:r>
    </w:p>
    <w:p w14:paraId="4B385C67">
      <w:pPr>
        <w:pStyle w:val="4"/>
        <w:ind w:firstLine="482"/>
        <w:rPr>
          <w:rFonts w:hint="eastAsia" w:ascii="宋体" w:hAnsi="宋体" w:eastAsia="宋体"/>
          <w:color w:val="auto"/>
          <w:lang w:val="en-US" w:eastAsia="zh-CN"/>
        </w:rPr>
      </w:pPr>
      <w:bookmarkStart w:id="225" w:name="_Toc18732"/>
      <w:bookmarkStart w:id="226" w:name="_Toc11682"/>
      <w:r>
        <w:rPr>
          <w:rFonts w:hint="eastAsia" w:ascii="宋体" w:hAnsi="宋体" w:eastAsia="宋体"/>
          <w:color w:val="auto"/>
          <w:lang w:val="en-US" w:eastAsia="zh-CN"/>
        </w:rPr>
        <w:t>6.4.</w:t>
      </w:r>
      <w:r>
        <w:rPr>
          <w:rFonts w:hint="default" w:ascii="宋体" w:hAnsi="宋体" w:eastAsia="宋体"/>
          <w:color w:val="auto"/>
          <w:lang w:val="en-US" w:eastAsia="zh-CN"/>
        </w:rPr>
        <w:t>6.</w:t>
      </w:r>
      <w:r>
        <w:rPr>
          <w:rFonts w:hint="eastAsia" w:ascii="宋体" w:hAnsi="宋体" w:eastAsia="宋体"/>
          <w:color w:val="auto"/>
          <w:lang w:val="en-US" w:eastAsia="zh-CN"/>
        </w:rPr>
        <w:t>安装平衡臂</w:t>
      </w:r>
      <w:bookmarkEnd w:id="225"/>
      <w:bookmarkEnd w:id="226"/>
    </w:p>
    <w:p w14:paraId="78C86376">
      <w:pPr>
        <w:ind w:firstLine="480"/>
        <w:rPr>
          <w:rFonts w:hint="eastAsia" w:ascii="宋体" w:hAnsi="宋体" w:eastAsia="宋体"/>
          <w:color w:val="auto"/>
          <w:lang w:val="en-US" w:eastAsia="zh-CN"/>
        </w:rPr>
      </w:pPr>
      <w:r>
        <w:rPr>
          <w:rFonts w:hint="eastAsia" w:ascii="宋体" w:hAnsi="宋体" w:eastAsia="宋体"/>
          <w:color w:val="auto"/>
          <w:lang w:val="en-US" w:eastAsia="zh-CN"/>
        </w:rPr>
        <w:t>（1）采用吊机配合人工在地面上将平衡臂分别组装好（含走台及栏杆）平衡臂吊装采用四点吊，以平衡臂臂节上弦杆吊耳作为吊装孔，采用4根18mm6×19W+IWR1870Mpa的钢丝绳配套GB/T 25854-6-DW5卸扣进行吊装。</w:t>
      </w:r>
    </w:p>
    <w:p w14:paraId="0CC517D5">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p w14:paraId="06EAA131">
      <w:pPr>
        <w:autoSpaceDE w:val="0"/>
        <w:autoSpaceDN w:val="0"/>
        <w:adjustRightInd w:val="0"/>
        <w:ind w:firstLine="0" w:firstLineChars="0"/>
        <w:jc w:val="center"/>
      </w:pPr>
      <w:r>
        <w:drawing>
          <wp:inline distT="0" distB="0" distL="114300" distR="114300">
            <wp:extent cx="4178300" cy="2517775"/>
            <wp:effectExtent l="0" t="0" r="12700" b="12065"/>
            <wp:docPr id="2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4"/>
                    <pic:cNvPicPr>
                      <a:picLocks noChangeAspect="1"/>
                    </pic:cNvPicPr>
                  </pic:nvPicPr>
                  <pic:blipFill>
                    <a:blip r:embed="rId100"/>
                    <a:stretch>
                      <a:fillRect/>
                    </a:stretch>
                  </pic:blipFill>
                  <pic:spPr>
                    <a:xfrm>
                      <a:off x="0" y="0"/>
                      <a:ext cx="4178300" cy="2517775"/>
                    </a:xfrm>
                    <a:prstGeom prst="rect">
                      <a:avLst/>
                    </a:prstGeom>
                    <a:noFill/>
                    <a:ln>
                      <a:noFill/>
                    </a:ln>
                  </pic:spPr>
                </pic:pic>
              </a:graphicData>
            </a:graphic>
          </wp:inline>
        </w:drawing>
      </w:r>
    </w:p>
    <w:p w14:paraId="1BDBEC8C">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安装平衡臂平面图</w:t>
      </w:r>
    </w:p>
    <w:p w14:paraId="7F64B2BF">
      <w:pPr>
        <w:autoSpaceDE w:val="0"/>
        <w:autoSpaceDN w:val="0"/>
        <w:adjustRightInd w:val="0"/>
        <w:ind w:firstLine="0" w:firstLineChars="0"/>
        <w:jc w:val="center"/>
      </w:pPr>
      <w:r>
        <w:rPr>
          <w:rFonts w:hint="eastAsia" w:ascii="宋体" w:hAnsi="宋体" w:eastAsia="宋体" w:cs="宋体"/>
          <w:b/>
          <w:bCs/>
        </w:rPr>
        <w:drawing>
          <wp:inline distT="0" distB="0" distL="114300" distR="114300">
            <wp:extent cx="3228340" cy="3116580"/>
            <wp:effectExtent l="0" t="0" r="2540" b="7620"/>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101"/>
                    <a:stretch>
                      <a:fillRect/>
                    </a:stretch>
                  </pic:blipFill>
                  <pic:spPr>
                    <a:xfrm>
                      <a:off x="0" y="0"/>
                      <a:ext cx="3228340" cy="3116580"/>
                    </a:xfrm>
                    <a:prstGeom prst="rect">
                      <a:avLst/>
                    </a:prstGeom>
                    <a:noFill/>
                    <a:ln>
                      <a:noFill/>
                    </a:ln>
                  </pic:spPr>
                </pic:pic>
              </a:graphicData>
            </a:graphic>
          </wp:inline>
        </w:drawing>
      </w:r>
    </w:p>
    <w:p w14:paraId="47C8D45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安装平衡臂立面图</w:t>
      </w:r>
    </w:p>
    <w:p w14:paraId="62B07A60">
      <w:pPr>
        <w:ind w:firstLine="480"/>
        <w:rPr>
          <w:rFonts w:hint="eastAsia" w:ascii="宋体" w:hAnsi="宋体" w:eastAsia="宋体"/>
          <w:color w:val="auto"/>
          <w:lang w:val="en-US" w:eastAsia="zh-CN"/>
        </w:rPr>
      </w:pPr>
      <w:r>
        <w:rPr>
          <w:rFonts w:hint="eastAsia" w:ascii="宋体" w:hAnsi="宋体" w:eastAsia="宋体"/>
          <w:color w:val="auto"/>
          <w:lang w:val="en-US" w:eastAsia="zh-CN"/>
        </w:rPr>
        <w:t>（3）作业人员通过爬梯爬至臂根节，将安全带交替系挂在平衡臂臂节护栏，沿走道走行至平衡臂臂节吊点位置，吊机放松吊钩，作业人员解除钢丝绳与平衡臂臂节吊点的连接。</w:t>
      </w:r>
    </w:p>
    <w:p w14:paraId="5023349A">
      <w:pPr>
        <w:ind w:firstLine="480"/>
        <w:rPr>
          <w:rFonts w:hint="eastAsia" w:ascii="宋体" w:hAnsi="宋体" w:eastAsia="宋体"/>
          <w:color w:val="auto"/>
          <w:lang w:val="en-US" w:eastAsia="zh-CN"/>
        </w:rPr>
      </w:pPr>
      <w:r>
        <w:rPr>
          <w:rFonts w:hint="eastAsia" w:ascii="宋体" w:hAnsi="宋体" w:eastAsia="宋体"/>
          <w:color w:val="auto"/>
          <w:lang w:val="en-US" w:eastAsia="zh-CN"/>
        </w:rPr>
        <w:t>（4）平衡臂臂节安装时设置警戒区，起吊安排专人负责指挥，专人操作，严禁无关人员进入起重作业范围内。</w:t>
      </w:r>
    </w:p>
    <w:p w14:paraId="4A01FA54">
      <w:pPr>
        <w:pStyle w:val="4"/>
        <w:ind w:firstLine="482"/>
        <w:rPr>
          <w:rFonts w:hint="eastAsia" w:ascii="宋体" w:hAnsi="宋体" w:eastAsia="宋体"/>
          <w:color w:val="auto"/>
          <w:lang w:val="en-US" w:eastAsia="zh-CN"/>
        </w:rPr>
      </w:pPr>
      <w:bookmarkStart w:id="227" w:name="_Toc21305"/>
      <w:bookmarkStart w:id="228" w:name="_Toc13416"/>
      <w:r>
        <w:rPr>
          <w:rFonts w:hint="eastAsia" w:ascii="宋体" w:hAnsi="宋体" w:eastAsia="宋体"/>
          <w:color w:val="auto"/>
          <w:lang w:val="en-US" w:eastAsia="zh-CN"/>
        </w:rPr>
        <w:t>6.4.</w:t>
      </w:r>
      <w:r>
        <w:rPr>
          <w:rFonts w:hint="default" w:ascii="宋体" w:hAnsi="宋体" w:eastAsia="宋体"/>
          <w:color w:val="auto"/>
          <w:lang w:val="en-US" w:eastAsia="zh-CN"/>
        </w:rPr>
        <w:t>7.</w:t>
      </w:r>
      <w:r>
        <w:rPr>
          <w:rFonts w:hint="eastAsia" w:ascii="宋体" w:hAnsi="宋体" w:eastAsia="宋体"/>
          <w:color w:val="auto"/>
          <w:lang w:val="en-US" w:eastAsia="zh-CN"/>
        </w:rPr>
        <w:t>安装一块3.2t平衡重</w:t>
      </w:r>
      <w:bookmarkEnd w:id="227"/>
      <w:bookmarkEnd w:id="228"/>
    </w:p>
    <w:p w14:paraId="6D4BF1AF">
      <w:pPr>
        <w:ind w:firstLine="480"/>
        <w:rPr>
          <w:rFonts w:hint="eastAsia" w:ascii="宋体" w:hAnsi="宋体" w:eastAsia="宋体"/>
          <w:color w:val="auto"/>
          <w:lang w:val="en-US" w:eastAsia="zh-CN"/>
        </w:rPr>
      </w:pPr>
      <w:r>
        <w:rPr>
          <w:rFonts w:hint="eastAsia" w:ascii="宋体" w:hAnsi="宋体" w:eastAsia="宋体"/>
          <w:color w:val="auto"/>
          <w:lang w:val="en-US" w:eastAsia="zh-CN"/>
        </w:rPr>
        <w:t>（1）平衡重吊装采用两点吊，采用2根16mm6×19W+IWR1870Mpa的钢丝绳配套GB/T 25854-6-DW5卸扣与平衡重吊耳进行连接吊装。</w:t>
      </w:r>
    </w:p>
    <w:p w14:paraId="290369F5">
      <w:pPr>
        <w:ind w:firstLine="480"/>
        <w:rPr>
          <w:rFonts w:hint="eastAsia" w:ascii="宋体" w:hAnsi="宋体" w:eastAsia="宋体"/>
          <w:color w:val="auto"/>
          <w:lang w:val="en-US" w:eastAsia="zh-CN"/>
        </w:rPr>
      </w:pPr>
      <w:r>
        <w:rPr>
          <w:rFonts w:hint="eastAsia" w:ascii="宋体" w:hAnsi="宋体" w:eastAsia="宋体"/>
          <w:color w:val="auto"/>
          <w:lang w:val="en-US" w:eastAsia="zh-CN"/>
        </w:rPr>
        <w:t>（2）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p w14:paraId="489F3130">
      <w:pPr>
        <w:jc w:val="center"/>
      </w:pPr>
      <w:r>
        <w:drawing>
          <wp:inline distT="0" distB="0" distL="114300" distR="114300">
            <wp:extent cx="4487545" cy="2703830"/>
            <wp:effectExtent l="0" t="0" r="8255" b="8890"/>
            <wp:docPr id="2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
                    <pic:cNvPicPr>
                      <a:picLocks noChangeAspect="1"/>
                    </pic:cNvPicPr>
                  </pic:nvPicPr>
                  <pic:blipFill>
                    <a:blip r:embed="rId100"/>
                    <a:stretch>
                      <a:fillRect/>
                    </a:stretch>
                  </pic:blipFill>
                  <pic:spPr>
                    <a:xfrm>
                      <a:off x="0" y="0"/>
                      <a:ext cx="4487545" cy="2703830"/>
                    </a:xfrm>
                    <a:prstGeom prst="rect">
                      <a:avLst/>
                    </a:prstGeom>
                    <a:noFill/>
                    <a:ln>
                      <a:noFill/>
                    </a:ln>
                  </pic:spPr>
                </pic:pic>
              </a:graphicData>
            </a:graphic>
          </wp:inline>
        </w:drawing>
      </w:r>
    </w:p>
    <w:p w14:paraId="3C21A478">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安装平衡重平面图</w:t>
      </w:r>
    </w:p>
    <w:p w14:paraId="66646C79">
      <w:pPr>
        <w:ind w:left="0" w:leftChars="0" w:firstLine="0" w:firstLineChars="0"/>
        <w:jc w:val="center"/>
      </w:pPr>
      <w:r>
        <w:rPr>
          <w:rFonts w:hint="eastAsia" w:ascii="宋体" w:hAnsi="宋体" w:eastAsia="宋体" w:cs="宋体"/>
          <w:b/>
          <w:bCs/>
        </w:rPr>
        <w:drawing>
          <wp:inline distT="0" distB="0" distL="114300" distR="114300">
            <wp:extent cx="2853055" cy="2602865"/>
            <wp:effectExtent l="0" t="0" r="12065" b="3175"/>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102"/>
                    <a:stretch>
                      <a:fillRect/>
                    </a:stretch>
                  </pic:blipFill>
                  <pic:spPr>
                    <a:xfrm>
                      <a:off x="0" y="0"/>
                      <a:ext cx="2853055" cy="2602865"/>
                    </a:xfrm>
                    <a:prstGeom prst="rect">
                      <a:avLst/>
                    </a:prstGeom>
                    <a:noFill/>
                    <a:ln>
                      <a:noFill/>
                    </a:ln>
                  </pic:spPr>
                </pic:pic>
              </a:graphicData>
            </a:graphic>
          </wp:inline>
        </w:drawing>
      </w:r>
    </w:p>
    <w:p w14:paraId="58B6623D">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安装平衡重立面图</w:t>
      </w:r>
    </w:p>
    <w:p w14:paraId="2A915695">
      <w:pPr>
        <w:ind w:firstLine="480"/>
        <w:rPr>
          <w:rFonts w:hint="default"/>
          <w:lang w:val="en-US" w:eastAsia="zh-CN"/>
        </w:rPr>
      </w:pPr>
      <w:r>
        <w:rPr>
          <w:rFonts w:hint="eastAsia" w:ascii="宋体" w:hAnsi="宋体" w:eastAsia="宋体"/>
          <w:color w:val="auto"/>
          <w:lang w:val="en-US" w:eastAsia="zh-CN"/>
        </w:rPr>
        <w:t>（3）塔吊平衡重安装时设置警戒区，起吊安排专人负责指挥，专人操作，严禁无关人员进入起重作业范围内。</w:t>
      </w:r>
    </w:p>
    <w:p w14:paraId="164A0556">
      <w:pPr>
        <w:pStyle w:val="4"/>
        <w:ind w:firstLine="482"/>
        <w:rPr>
          <w:rFonts w:hint="eastAsia" w:ascii="宋体" w:hAnsi="宋体" w:eastAsia="宋体"/>
          <w:color w:val="auto"/>
          <w:lang w:val="en-US" w:eastAsia="zh-CN"/>
        </w:rPr>
      </w:pPr>
      <w:bookmarkStart w:id="229" w:name="_Toc21642"/>
      <w:bookmarkStart w:id="230" w:name="_Toc3088"/>
      <w:r>
        <w:rPr>
          <w:rFonts w:hint="eastAsia" w:ascii="宋体" w:hAnsi="宋体" w:eastAsia="宋体"/>
          <w:color w:val="auto"/>
          <w:lang w:val="en-US" w:eastAsia="zh-CN"/>
        </w:rPr>
        <w:t>6.4.</w:t>
      </w:r>
      <w:r>
        <w:rPr>
          <w:rFonts w:hint="default" w:ascii="宋体" w:hAnsi="宋体" w:eastAsia="宋体"/>
          <w:color w:val="auto"/>
          <w:lang w:val="en-US" w:eastAsia="zh-CN"/>
        </w:rPr>
        <w:t>8.</w:t>
      </w:r>
      <w:r>
        <w:rPr>
          <w:rFonts w:hint="eastAsia" w:ascii="宋体" w:hAnsi="宋体" w:eastAsia="宋体"/>
          <w:color w:val="auto"/>
          <w:lang w:val="en-US" w:eastAsia="zh-CN"/>
        </w:rPr>
        <w:t>安装剩余起重臂</w:t>
      </w:r>
      <w:bookmarkEnd w:id="229"/>
      <w:bookmarkEnd w:id="230"/>
    </w:p>
    <w:p w14:paraId="04B0A3AC">
      <w:pPr>
        <w:ind w:firstLine="480"/>
        <w:rPr>
          <w:rFonts w:hint="default" w:ascii="宋体" w:hAnsi="宋体" w:eastAsia="宋体"/>
          <w:color w:val="auto"/>
          <w:lang w:val="en-US" w:eastAsia="zh-CN"/>
        </w:rPr>
      </w:pPr>
      <w:r>
        <w:rPr>
          <w:rFonts w:hint="eastAsia" w:ascii="宋体" w:hAnsi="宋体" w:eastAsia="宋体"/>
          <w:color w:val="auto"/>
          <w:lang w:val="en-US" w:eastAsia="zh-CN"/>
        </w:rPr>
        <w:t>（1）依次安装臂节二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w:t>
      </w:r>
      <w:r>
        <w:rPr>
          <w:rFonts w:hint="eastAsia"/>
          <w:color w:val="auto"/>
          <w:lang w:val="en-US" w:eastAsia="zh-CN"/>
        </w:rPr>
        <w:t>八</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w:t>
      </w:r>
    </w:p>
    <w:p w14:paraId="5B14A040">
      <w:pPr>
        <w:ind w:firstLine="480"/>
        <w:rPr>
          <w:rFonts w:hint="eastAsia" w:ascii="宋体" w:hAnsi="宋体" w:eastAsia="宋体"/>
          <w:color w:val="auto"/>
          <w:lang w:val="en-GB" w:eastAsia="zh-CN"/>
        </w:rPr>
      </w:pPr>
      <w:r>
        <w:rPr>
          <w:rFonts w:hint="eastAsia" w:ascii="宋体" w:hAnsi="宋体" w:eastAsia="宋体"/>
          <w:color w:val="auto"/>
          <w:lang w:val="en-US" w:eastAsia="zh-CN"/>
        </w:rPr>
        <w:t>（2）起重臂的安装采用分节吊装的方式。用2根16mm6×19W+IWR1870Mpa配套GB/T 25854-6-DW5卸扣按顺序吊装起重臂臂节，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547C9C6F">
      <w:pPr>
        <w:ind w:firstLine="480"/>
        <w:rPr>
          <w:rFonts w:hint="eastAsia" w:ascii="宋体" w:hAnsi="宋体" w:eastAsia="宋体"/>
          <w:color w:val="auto"/>
          <w:lang w:val="en-US" w:eastAsia="zh-CN"/>
        </w:rPr>
      </w:pPr>
      <w:r>
        <w:rPr>
          <w:rFonts w:hint="eastAsia" w:ascii="宋体" w:hAnsi="宋体" w:eastAsia="宋体"/>
          <w:color w:val="auto"/>
          <w:lang w:val="en-US" w:eastAsia="zh-CN"/>
        </w:rPr>
        <w:t>（3）各个起重臂节的在空中拼装方式都相同。如下图所示。</w:t>
      </w:r>
    </w:p>
    <w:p w14:paraId="017B8FA2">
      <w:pPr>
        <w:autoSpaceDE w:val="0"/>
        <w:autoSpaceDN w:val="0"/>
        <w:adjustRightInd w:val="0"/>
        <w:ind w:left="0" w:leftChars="0" w:firstLine="0" w:firstLineChars="0"/>
        <w:jc w:val="center"/>
      </w:pPr>
      <w:r>
        <w:drawing>
          <wp:inline distT="0" distB="0" distL="114300" distR="114300">
            <wp:extent cx="4572635" cy="2258695"/>
            <wp:effectExtent l="0" t="0" r="14605" b="12065"/>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pic:cNvPicPr>
                  </pic:nvPicPr>
                  <pic:blipFill>
                    <a:blip r:embed="rId103"/>
                    <a:stretch>
                      <a:fillRect/>
                    </a:stretch>
                  </pic:blipFill>
                  <pic:spPr>
                    <a:xfrm>
                      <a:off x="0" y="0"/>
                      <a:ext cx="4572635" cy="2258695"/>
                    </a:xfrm>
                    <a:prstGeom prst="rect">
                      <a:avLst/>
                    </a:prstGeom>
                    <a:noFill/>
                    <a:ln>
                      <a:noFill/>
                    </a:ln>
                  </pic:spPr>
                </pic:pic>
              </a:graphicData>
            </a:graphic>
          </wp:inline>
        </w:drawing>
      </w:r>
    </w:p>
    <w:p w14:paraId="26973AA1">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起重臂臂长组合</w:t>
      </w:r>
    </w:p>
    <w:p w14:paraId="627C175A">
      <w:pPr>
        <w:ind w:firstLine="0" w:firstLineChars="0"/>
        <w:jc w:val="center"/>
      </w:pPr>
      <w:r>
        <w:drawing>
          <wp:inline distT="0" distB="0" distL="114300" distR="114300">
            <wp:extent cx="3629660" cy="2787650"/>
            <wp:effectExtent l="0" t="0" r="12700" b="1270"/>
            <wp:docPr id="2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
                    <pic:cNvPicPr>
                      <a:picLocks noChangeAspect="1"/>
                    </pic:cNvPicPr>
                  </pic:nvPicPr>
                  <pic:blipFill>
                    <a:blip r:embed="rId104"/>
                    <a:stretch>
                      <a:fillRect/>
                    </a:stretch>
                  </pic:blipFill>
                  <pic:spPr>
                    <a:xfrm>
                      <a:off x="0" y="0"/>
                      <a:ext cx="3629660" cy="2787650"/>
                    </a:xfrm>
                    <a:prstGeom prst="rect">
                      <a:avLst/>
                    </a:prstGeom>
                    <a:noFill/>
                    <a:ln>
                      <a:noFill/>
                    </a:ln>
                  </pic:spPr>
                </pic:pic>
              </a:graphicData>
            </a:graphic>
          </wp:inline>
        </w:drawing>
      </w:r>
    </w:p>
    <w:p w14:paraId="2E8FCC7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安装起重臂臂节2平面图</w:t>
      </w:r>
    </w:p>
    <w:p w14:paraId="0B25D519">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2541270" cy="2677795"/>
            <wp:effectExtent l="0" t="0" r="3810" b="4445"/>
            <wp:docPr id="9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
                    <pic:cNvPicPr>
                      <a:picLocks noChangeAspect="1"/>
                    </pic:cNvPicPr>
                  </pic:nvPicPr>
                  <pic:blipFill>
                    <a:blip r:embed="rId105"/>
                    <a:stretch>
                      <a:fillRect/>
                    </a:stretch>
                  </pic:blipFill>
                  <pic:spPr>
                    <a:xfrm>
                      <a:off x="0" y="0"/>
                      <a:ext cx="2541270" cy="2677795"/>
                    </a:xfrm>
                    <a:prstGeom prst="rect">
                      <a:avLst/>
                    </a:prstGeom>
                    <a:noFill/>
                    <a:ln>
                      <a:noFill/>
                    </a:ln>
                  </pic:spPr>
                </pic:pic>
              </a:graphicData>
            </a:graphic>
          </wp:inline>
        </w:drawing>
      </w:r>
    </w:p>
    <w:p w14:paraId="0F6D5B8F">
      <w:pPr>
        <w:ind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安装起重臂臂节2立面图</w:t>
      </w:r>
    </w:p>
    <w:p w14:paraId="1BDCF6CD">
      <w:pPr>
        <w:autoSpaceDE w:val="0"/>
        <w:autoSpaceDN w:val="0"/>
        <w:adjustRightInd w:val="0"/>
        <w:ind w:left="0" w:leftChars="0" w:firstLine="0" w:firstLineChars="0"/>
        <w:jc w:val="center"/>
      </w:pPr>
      <w:r>
        <w:drawing>
          <wp:inline distT="0" distB="0" distL="114300" distR="114300">
            <wp:extent cx="3830320" cy="3039745"/>
            <wp:effectExtent l="0" t="0" r="10160" b="8255"/>
            <wp:docPr id="2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
                    <pic:cNvPicPr>
                      <a:picLocks noChangeAspect="1"/>
                    </pic:cNvPicPr>
                  </pic:nvPicPr>
                  <pic:blipFill>
                    <a:blip r:embed="rId106"/>
                    <a:stretch>
                      <a:fillRect/>
                    </a:stretch>
                  </pic:blipFill>
                  <pic:spPr>
                    <a:xfrm>
                      <a:off x="0" y="0"/>
                      <a:ext cx="3830320" cy="3039745"/>
                    </a:xfrm>
                    <a:prstGeom prst="rect">
                      <a:avLst/>
                    </a:prstGeom>
                    <a:noFill/>
                    <a:ln>
                      <a:noFill/>
                    </a:ln>
                  </pic:spPr>
                </pic:pic>
              </a:graphicData>
            </a:graphic>
          </wp:inline>
        </w:drawing>
      </w:r>
    </w:p>
    <w:p w14:paraId="505407AE">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安装起重臂臂节3平面图</w:t>
      </w:r>
    </w:p>
    <w:p w14:paraId="71B77B5D">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2775585" cy="2654300"/>
            <wp:effectExtent l="0" t="0" r="13335" b="12700"/>
            <wp:docPr id="2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1"/>
                    <pic:cNvPicPr>
                      <a:picLocks noChangeAspect="1"/>
                    </pic:cNvPicPr>
                  </pic:nvPicPr>
                  <pic:blipFill>
                    <a:blip r:embed="rId107"/>
                    <a:stretch>
                      <a:fillRect/>
                    </a:stretch>
                  </pic:blipFill>
                  <pic:spPr>
                    <a:xfrm>
                      <a:off x="0" y="0"/>
                      <a:ext cx="2775585" cy="2654300"/>
                    </a:xfrm>
                    <a:prstGeom prst="rect">
                      <a:avLst/>
                    </a:prstGeom>
                    <a:noFill/>
                    <a:ln>
                      <a:noFill/>
                    </a:ln>
                  </pic:spPr>
                </pic:pic>
              </a:graphicData>
            </a:graphic>
          </wp:inline>
        </w:drawing>
      </w:r>
    </w:p>
    <w:p w14:paraId="044BF2DF">
      <w:pPr>
        <w:ind w:firstLine="0" w:firstLineChars="0"/>
        <w:jc w:val="center"/>
        <w:rPr>
          <w:rFonts w:hint="default"/>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安装起重臂臂节3立面图</w:t>
      </w:r>
    </w:p>
    <w:p w14:paraId="0D85669C">
      <w:pPr>
        <w:autoSpaceDE w:val="0"/>
        <w:autoSpaceDN w:val="0"/>
        <w:adjustRightInd w:val="0"/>
        <w:ind w:left="0" w:leftChars="0" w:firstLine="0" w:firstLineChars="0"/>
        <w:jc w:val="center"/>
      </w:pPr>
      <w:r>
        <w:drawing>
          <wp:inline distT="0" distB="0" distL="114300" distR="114300">
            <wp:extent cx="2695575" cy="3705860"/>
            <wp:effectExtent l="0" t="0" r="1905" b="12700"/>
            <wp:docPr id="2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
                    <pic:cNvPicPr>
                      <a:picLocks noChangeAspect="1"/>
                    </pic:cNvPicPr>
                  </pic:nvPicPr>
                  <pic:blipFill>
                    <a:blip r:embed="rId108"/>
                    <a:stretch>
                      <a:fillRect/>
                    </a:stretch>
                  </pic:blipFill>
                  <pic:spPr>
                    <a:xfrm>
                      <a:off x="0" y="0"/>
                      <a:ext cx="2695575" cy="3705860"/>
                    </a:xfrm>
                    <a:prstGeom prst="rect">
                      <a:avLst/>
                    </a:prstGeom>
                    <a:noFill/>
                    <a:ln>
                      <a:noFill/>
                    </a:ln>
                  </pic:spPr>
                </pic:pic>
              </a:graphicData>
            </a:graphic>
          </wp:inline>
        </w:drawing>
      </w:r>
    </w:p>
    <w:p w14:paraId="66DEA686">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安装起重臂臂节4平面图</w:t>
      </w:r>
    </w:p>
    <w:p w14:paraId="7F23F5D4">
      <w:pPr>
        <w:autoSpaceDE w:val="0"/>
        <w:autoSpaceDN w:val="0"/>
        <w:adjustRightInd w:val="0"/>
        <w:ind w:left="0" w:leftChars="0" w:firstLine="0" w:firstLineChars="0"/>
        <w:jc w:val="center"/>
      </w:pPr>
      <w:r>
        <w:rPr>
          <w:rFonts w:hint="eastAsia" w:ascii="宋体" w:hAnsi="宋体" w:eastAsia="宋体" w:cs="宋体"/>
          <w:b/>
          <w:bCs/>
        </w:rPr>
        <w:drawing>
          <wp:inline distT="0" distB="0" distL="114300" distR="114300">
            <wp:extent cx="3208655" cy="2571115"/>
            <wp:effectExtent l="0" t="0" r="6985" b="4445"/>
            <wp:docPr id="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pic:cNvPicPr>
                      <a:picLocks noChangeAspect="1"/>
                    </pic:cNvPicPr>
                  </pic:nvPicPr>
                  <pic:blipFill>
                    <a:blip r:embed="rId109"/>
                    <a:stretch>
                      <a:fillRect/>
                    </a:stretch>
                  </pic:blipFill>
                  <pic:spPr>
                    <a:xfrm>
                      <a:off x="0" y="0"/>
                      <a:ext cx="3208655" cy="2571115"/>
                    </a:xfrm>
                    <a:prstGeom prst="rect">
                      <a:avLst/>
                    </a:prstGeom>
                    <a:noFill/>
                    <a:ln>
                      <a:noFill/>
                    </a:ln>
                  </pic:spPr>
                </pic:pic>
              </a:graphicData>
            </a:graphic>
          </wp:inline>
        </w:drawing>
      </w:r>
    </w:p>
    <w:p w14:paraId="2F4E11C8">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安装起重臂臂节4立面图</w:t>
      </w:r>
    </w:p>
    <w:p w14:paraId="42274EB0">
      <w:pPr>
        <w:autoSpaceDE w:val="0"/>
        <w:autoSpaceDN w:val="0"/>
        <w:adjustRightInd w:val="0"/>
        <w:ind w:left="0" w:leftChars="0" w:firstLine="0" w:firstLineChars="0"/>
        <w:jc w:val="center"/>
      </w:pPr>
      <w:r>
        <w:drawing>
          <wp:inline distT="0" distB="0" distL="114300" distR="114300">
            <wp:extent cx="3224530" cy="4072890"/>
            <wp:effectExtent l="0" t="0" r="6350" b="11430"/>
            <wp:docPr id="2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8"/>
                    <pic:cNvPicPr>
                      <a:picLocks noChangeAspect="1"/>
                    </pic:cNvPicPr>
                  </pic:nvPicPr>
                  <pic:blipFill>
                    <a:blip r:embed="rId110"/>
                    <a:stretch>
                      <a:fillRect/>
                    </a:stretch>
                  </pic:blipFill>
                  <pic:spPr>
                    <a:xfrm>
                      <a:off x="0" y="0"/>
                      <a:ext cx="3224530" cy="4072890"/>
                    </a:xfrm>
                    <a:prstGeom prst="rect">
                      <a:avLst/>
                    </a:prstGeom>
                    <a:noFill/>
                    <a:ln>
                      <a:noFill/>
                    </a:ln>
                  </pic:spPr>
                </pic:pic>
              </a:graphicData>
            </a:graphic>
          </wp:inline>
        </w:drawing>
      </w:r>
    </w:p>
    <w:p w14:paraId="7502A937">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安装起重臂臂节5平面图</w:t>
      </w:r>
    </w:p>
    <w:p w14:paraId="73099D90">
      <w:pPr>
        <w:autoSpaceDE w:val="0"/>
        <w:autoSpaceDN w:val="0"/>
        <w:adjustRightInd w:val="0"/>
        <w:ind w:left="0" w:leftChars="0" w:firstLine="0" w:firstLineChars="0"/>
        <w:jc w:val="center"/>
        <w:rPr>
          <w:rFonts w:hint="eastAsia"/>
          <w:lang w:val="en-US" w:eastAsia="zh-CN"/>
        </w:rPr>
      </w:pPr>
      <w:r>
        <w:drawing>
          <wp:inline distT="0" distB="0" distL="114300" distR="114300">
            <wp:extent cx="3691890" cy="2693035"/>
            <wp:effectExtent l="0" t="0" r="11430" b="4445"/>
            <wp:docPr id="9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4"/>
                    <pic:cNvPicPr>
                      <a:picLocks noChangeAspect="1"/>
                    </pic:cNvPicPr>
                  </pic:nvPicPr>
                  <pic:blipFill>
                    <a:blip r:embed="rId111"/>
                    <a:stretch>
                      <a:fillRect/>
                    </a:stretch>
                  </pic:blipFill>
                  <pic:spPr>
                    <a:xfrm>
                      <a:off x="0" y="0"/>
                      <a:ext cx="3691890" cy="2693035"/>
                    </a:xfrm>
                    <a:prstGeom prst="rect">
                      <a:avLst/>
                    </a:prstGeom>
                    <a:noFill/>
                    <a:ln>
                      <a:noFill/>
                    </a:ln>
                  </pic:spPr>
                </pic:pic>
              </a:graphicData>
            </a:graphic>
          </wp:inline>
        </w:drawing>
      </w:r>
    </w:p>
    <w:p w14:paraId="28FA8C5E">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安装起重臂臂节5立面图</w:t>
      </w:r>
    </w:p>
    <w:p w14:paraId="26AC6913">
      <w:pPr>
        <w:autoSpaceDE w:val="0"/>
        <w:autoSpaceDN w:val="0"/>
        <w:adjustRightInd w:val="0"/>
        <w:ind w:left="0" w:leftChars="0" w:firstLine="0" w:firstLineChars="0"/>
        <w:jc w:val="center"/>
      </w:pPr>
      <w:r>
        <w:drawing>
          <wp:inline distT="0" distB="0" distL="114300" distR="114300">
            <wp:extent cx="2917190" cy="3740785"/>
            <wp:effectExtent l="0" t="0" r="8890" b="8255"/>
            <wp:docPr id="2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
                    <pic:cNvPicPr>
                      <a:picLocks noChangeAspect="1"/>
                    </pic:cNvPicPr>
                  </pic:nvPicPr>
                  <pic:blipFill>
                    <a:blip r:embed="rId112"/>
                    <a:stretch>
                      <a:fillRect/>
                    </a:stretch>
                  </pic:blipFill>
                  <pic:spPr>
                    <a:xfrm>
                      <a:off x="0" y="0"/>
                      <a:ext cx="2917190" cy="3740785"/>
                    </a:xfrm>
                    <a:prstGeom prst="rect">
                      <a:avLst/>
                    </a:prstGeom>
                    <a:noFill/>
                    <a:ln>
                      <a:noFill/>
                    </a:ln>
                  </pic:spPr>
                </pic:pic>
              </a:graphicData>
            </a:graphic>
          </wp:inline>
        </w:drawing>
      </w:r>
    </w:p>
    <w:p w14:paraId="32877B86">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安装起重臂臂节6平面图</w:t>
      </w:r>
    </w:p>
    <w:p w14:paraId="10800975">
      <w:pPr>
        <w:autoSpaceDE w:val="0"/>
        <w:autoSpaceDN w:val="0"/>
        <w:adjustRightInd w:val="0"/>
        <w:ind w:left="0" w:leftChars="0" w:firstLine="0" w:firstLineChars="0"/>
        <w:jc w:val="center"/>
        <w:rPr>
          <w:rFonts w:hint="eastAsia"/>
          <w:lang w:val="en-US" w:eastAsia="zh-CN"/>
        </w:rPr>
      </w:pPr>
      <w:r>
        <w:drawing>
          <wp:inline distT="0" distB="0" distL="114300" distR="114300">
            <wp:extent cx="3892550" cy="2579370"/>
            <wp:effectExtent l="0" t="0" r="8890" b="1143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pic:cNvPicPr>
                  </pic:nvPicPr>
                  <pic:blipFill>
                    <a:blip r:embed="rId113"/>
                    <a:stretch>
                      <a:fillRect/>
                    </a:stretch>
                  </pic:blipFill>
                  <pic:spPr>
                    <a:xfrm>
                      <a:off x="0" y="0"/>
                      <a:ext cx="3892550" cy="2579370"/>
                    </a:xfrm>
                    <a:prstGeom prst="rect">
                      <a:avLst/>
                    </a:prstGeom>
                    <a:noFill/>
                    <a:ln>
                      <a:noFill/>
                    </a:ln>
                  </pic:spPr>
                </pic:pic>
              </a:graphicData>
            </a:graphic>
          </wp:inline>
        </w:drawing>
      </w:r>
    </w:p>
    <w:p w14:paraId="11730FF0">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安装起重臂臂节6立面图</w:t>
      </w:r>
    </w:p>
    <w:p w14:paraId="6958D8C8">
      <w:pPr>
        <w:autoSpaceDE w:val="0"/>
        <w:autoSpaceDN w:val="0"/>
        <w:adjustRightInd w:val="0"/>
        <w:ind w:left="0" w:leftChars="0" w:firstLine="0" w:firstLineChars="0"/>
        <w:jc w:val="center"/>
      </w:pPr>
      <w:r>
        <w:drawing>
          <wp:inline distT="0" distB="0" distL="114300" distR="114300">
            <wp:extent cx="3066415" cy="3948430"/>
            <wp:effectExtent l="0" t="0" r="12065" b="13970"/>
            <wp:docPr id="2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
                    <pic:cNvPicPr>
                      <a:picLocks noChangeAspect="1"/>
                    </pic:cNvPicPr>
                  </pic:nvPicPr>
                  <pic:blipFill>
                    <a:blip r:embed="rId114"/>
                    <a:stretch>
                      <a:fillRect/>
                    </a:stretch>
                  </pic:blipFill>
                  <pic:spPr>
                    <a:xfrm>
                      <a:off x="0" y="0"/>
                      <a:ext cx="3066415" cy="3948430"/>
                    </a:xfrm>
                    <a:prstGeom prst="rect">
                      <a:avLst/>
                    </a:prstGeom>
                    <a:noFill/>
                    <a:ln>
                      <a:noFill/>
                    </a:ln>
                  </pic:spPr>
                </pic:pic>
              </a:graphicData>
            </a:graphic>
          </wp:inline>
        </w:drawing>
      </w:r>
    </w:p>
    <w:p w14:paraId="6CE9C8C9">
      <w:pPr>
        <w:autoSpaceDE w:val="0"/>
        <w:autoSpaceDN w:val="0"/>
        <w:adjustRightInd w:val="0"/>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安装起重臂臂节7及臂头平面图</w:t>
      </w:r>
    </w:p>
    <w:p w14:paraId="6FE7C46F">
      <w:pPr>
        <w:autoSpaceDE w:val="0"/>
        <w:autoSpaceDN w:val="0"/>
        <w:adjustRightInd w:val="0"/>
        <w:ind w:left="0" w:leftChars="0" w:firstLine="0" w:firstLineChars="0"/>
        <w:jc w:val="center"/>
        <w:rPr>
          <w:rFonts w:hint="eastAsia"/>
          <w:lang w:val="en-US" w:eastAsia="zh-CN"/>
        </w:rPr>
      </w:pPr>
      <w:r>
        <w:rPr>
          <w:rFonts w:hint="eastAsia" w:ascii="宋体" w:hAnsi="宋体" w:eastAsia="宋体" w:cs="宋体"/>
          <w:b/>
          <w:bCs/>
        </w:rPr>
        <w:drawing>
          <wp:inline distT="0" distB="0" distL="114300" distR="114300">
            <wp:extent cx="3876675" cy="2449195"/>
            <wp:effectExtent l="0" t="0" r="9525" b="4445"/>
            <wp:docPr id="10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6"/>
                    <pic:cNvPicPr>
                      <a:picLocks noChangeAspect="1"/>
                    </pic:cNvPicPr>
                  </pic:nvPicPr>
                  <pic:blipFill>
                    <a:blip r:embed="rId115"/>
                    <a:stretch>
                      <a:fillRect/>
                    </a:stretch>
                  </pic:blipFill>
                  <pic:spPr>
                    <a:xfrm>
                      <a:off x="0" y="0"/>
                      <a:ext cx="3876675" cy="2449195"/>
                    </a:xfrm>
                    <a:prstGeom prst="rect">
                      <a:avLst/>
                    </a:prstGeom>
                    <a:noFill/>
                    <a:ln>
                      <a:noFill/>
                    </a:ln>
                  </pic:spPr>
                </pic:pic>
              </a:graphicData>
            </a:graphic>
          </wp:inline>
        </w:drawing>
      </w:r>
    </w:p>
    <w:p w14:paraId="198806F9">
      <w:pPr>
        <w:autoSpaceDE w:val="0"/>
        <w:autoSpaceDN w:val="0"/>
        <w:adjustRightInd w:val="0"/>
        <w:ind w:left="0" w:leftChars="0" w:firstLine="0" w:firstLineChars="0"/>
        <w:jc w:val="cente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28</w:t>
      </w:r>
      <w:r>
        <w:fldChar w:fldCharType="end"/>
      </w:r>
      <w:r>
        <w:rPr>
          <w:rFonts w:hint="eastAsia"/>
          <w:lang w:val="en-US" w:eastAsia="zh-CN"/>
        </w:rPr>
        <w:t>安装起重臂臂节7及臂头立面图</w:t>
      </w:r>
    </w:p>
    <w:p w14:paraId="7C746B8B">
      <w:pPr>
        <w:ind w:firstLine="480"/>
        <w:rPr>
          <w:rFonts w:hint="eastAsia" w:ascii="宋体" w:hAnsi="宋体" w:eastAsia="宋体"/>
          <w:color w:val="auto"/>
        </w:rPr>
      </w:pPr>
      <w:r>
        <w:rPr>
          <w:rFonts w:hint="eastAsia" w:ascii="宋体" w:hAnsi="宋体" w:eastAsia="宋体"/>
          <w:color w:val="auto"/>
          <w:lang w:val="en-US" w:eastAsia="zh-CN"/>
        </w:rPr>
        <w:t>（4）塔吊起重臂总成安装时设置警戒区，起吊安排专人负责指挥，专人操作，严禁无关人员进入起重作业范围内。</w:t>
      </w:r>
    </w:p>
    <w:p w14:paraId="032FD413">
      <w:pPr>
        <w:pStyle w:val="4"/>
        <w:ind w:firstLine="482"/>
        <w:rPr>
          <w:rFonts w:hint="eastAsia" w:ascii="宋体" w:hAnsi="宋体" w:eastAsia="宋体"/>
          <w:color w:val="auto"/>
          <w:lang w:val="en-US" w:eastAsia="zh-CN"/>
        </w:rPr>
      </w:pPr>
      <w:bookmarkStart w:id="231" w:name="_Toc25245"/>
      <w:bookmarkStart w:id="232" w:name="_Toc28384"/>
      <w:r>
        <w:rPr>
          <w:rFonts w:hint="eastAsia" w:ascii="宋体" w:hAnsi="宋体" w:eastAsia="宋体"/>
          <w:color w:val="auto"/>
          <w:lang w:val="en-US" w:eastAsia="zh-CN"/>
        </w:rPr>
        <w:t>6.4.</w:t>
      </w:r>
      <w:r>
        <w:rPr>
          <w:rFonts w:hint="default" w:ascii="宋体" w:hAnsi="宋体" w:eastAsia="宋体"/>
          <w:color w:val="auto"/>
          <w:lang w:val="en-US" w:eastAsia="zh-CN"/>
        </w:rPr>
        <w:t>9.</w:t>
      </w:r>
      <w:r>
        <w:rPr>
          <w:rFonts w:hint="eastAsia" w:ascii="宋体" w:hAnsi="宋体" w:eastAsia="宋体"/>
          <w:color w:val="auto"/>
          <w:lang w:val="en-US" w:eastAsia="zh-CN"/>
        </w:rPr>
        <w:t>安装剩余平衡重</w:t>
      </w:r>
      <w:bookmarkEnd w:id="231"/>
      <w:bookmarkEnd w:id="232"/>
    </w:p>
    <w:p w14:paraId="6E4F4F77">
      <w:pPr>
        <w:ind w:firstLine="480"/>
        <w:rPr>
          <w:rFonts w:hint="eastAsia" w:ascii="宋体" w:hAnsi="宋体" w:eastAsia="宋体"/>
          <w:color w:val="auto"/>
        </w:rPr>
      </w:pPr>
      <w:r>
        <w:rPr>
          <w:rFonts w:hint="eastAsia" w:ascii="宋体" w:hAnsi="宋体" w:eastAsia="宋体"/>
          <w:color w:val="auto"/>
          <w:lang w:val="en-US" w:eastAsia="zh-CN"/>
        </w:rPr>
        <w:t>（1）剩余平衡重吊装方法同安装第1块平衡重。吊装完成后检查并确认相邻平衡重块的整个表面是否贴紧。</w:t>
      </w:r>
    </w:p>
    <w:p w14:paraId="157FD9B1">
      <w:pPr>
        <w:autoSpaceDE w:val="0"/>
        <w:autoSpaceDN w:val="0"/>
        <w:adjustRightInd w:val="0"/>
        <w:ind w:left="0" w:leftChars="0" w:firstLine="0" w:firstLineChars="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2 \s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2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平衡重配置表</w:t>
      </w:r>
    </w:p>
    <w:p w14:paraId="1B715017">
      <w:pPr>
        <w:autoSpaceDE w:val="0"/>
        <w:autoSpaceDN w:val="0"/>
        <w:adjustRightInd w:val="0"/>
        <w:ind w:firstLine="0" w:firstLineChars="0"/>
        <w:jc w:val="center"/>
      </w:pPr>
      <w:r>
        <w:drawing>
          <wp:inline distT="0" distB="0" distL="114300" distR="114300">
            <wp:extent cx="4725035" cy="2641600"/>
            <wp:effectExtent l="0" t="0" r="14605" b="10160"/>
            <wp:docPr id="1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8"/>
                    <pic:cNvPicPr>
                      <a:picLocks noChangeAspect="1"/>
                    </pic:cNvPicPr>
                  </pic:nvPicPr>
                  <pic:blipFill>
                    <a:blip r:embed="rId116"/>
                    <a:stretch>
                      <a:fillRect/>
                    </a:stretch>
                  </pic:blipFill>
                  <pic:spPr>
                    <a:xfrm>
                      <a:off x="0" y="0"/>
                      <a:ext cx="4725035" cy="2641600"/>
                    </a:xfrm>
                    <a:prstGeom prst="rect">
                      <a:avLst/>
                    </a:prstGeom>
                    <a:noFill/>
                    <a:ln>
                      <a:noFill/>
                    </a:ln>
                  </pic:spPr>
                </pic:pic>
              </a:graphicData>
            </a:graphic>
          </wp:inline>
        </w:drawing>
      </w:r>
    </w:p>
    <w:p w14:paraId="411B99CF">
      <w:pPr>
        <w:ind w:firstLine="480"/>
        <w:rPr>
          <w:rFonts w:hint="eastAsia" w:ascii="宋体" w:hAnsi="宋体" w:eastAsia="宋体"/>
          <w:color w:val="auto"/>
          <w:lang w:val="en-US" w:eastAsia="zh-CN"/>
        </w:rPr>
      </w:pPr>
      <w:r>
        <w:rPr>
          <w:rFonts w:hint="eastAsia" w:ascii="宋体" w:hAnsi="宋体" w:eastAsia="宋体"/>
          <w:color w:val="auto"/>
          <w:lang w:val="en-US" w:eastAsia="zh-CN"/>
        </w:rPr>
        <w:t>（2）按从起升机构侧向远离塔身侧依次吊装平衡重。</w:t>
      </w:r>
    </w:p>
    <w:p w14:paraId="4659E21F">
      <w:pPr>
        <w:numPr>
          <w:ilvl w:val="0"/>
          <w:numId w:val="0"/>
        </w:numPr>
        <w:ind w:leftChars="200"/>
        <w:jc w:val="center"/>
      </w:pPr>
      <w:r>
        <w:drawing>
          <wp:inline distT="0" distB="0" distL="114300" distR="114300">
            <wp:extent cx="3544570" cy="4306570"/>
            <wp:effectExtent l="0" t="0" r="6350" b="6350"/>
            <wp:docPr id="2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
                    <pic:cNvPicPr>
                      <a:picLocks noChangeAspect="1"/>
                    </pic:cNvPicPr>
                  </pic:nvPicPr>
                  <pic:blipFill>
                    <a:blip r:embed="rId117"/>
                    <a:stretch>
                      <a:fillRect/>
                    </a:stretch>
                  </pic:blipFill>
                  <pic:spPr>
                    <a:xfrm>
                      <a:off x="0" y="0"/>
                      <a:ext cx="3544570" cy="4306570"/>
                    </a:xfrm>
                    <a:prstGeom prst="rect">
                      <a:avLst/>
                    </a:prstGeom>
                    <a:noFill/>
                    <a:ln>
                      <a:noFill/>
                    </a:ln>
                  </pic:spPr>
                </pic:pic>
              </a:graphicData>
            </a:graphic>
          </wp:inline>
        </w:drawing>
      </w:r>
    </w:p>
    <w:p w14:paraId="0C7EB15E">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29</w:t>
      </w:r>
      <w:r>
        <w:fldChar w:fldCharType="end"/>
      </w:r>
      <w:r>
        <w:rPr>
          <w:rFonts w:hint="eastAsia"/>
          <w:lang w:val="en-US" w:eastAsia="zh-CN"/>
        </w:rPr>
        <w:t>安装剩余平衡重平面图</w:t>
      </w:r>
    </w:p>
    <w:p w14:paraId="454FAA9D">
      <w:pPr>
        <w:numPr>
          <w:ilvl w:val="0"/>
          <w:numId w:val="0"/>
        </w:numPr>
        <w:jc w:val="center"/>
      </w:pPr>
      <w:r>
        <w:drawing>
          <wp:inline distT="0" distB="0" distL="114300" distR="114300">
            <wp:extent cx="5486400" cy="2689860"/>
            <wp:effectExtent l="0" t="0" r="0" b="7620"/>
            <wp:docPr id="2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5"/>
                    <pic:cNvPicPr>
                      <a:picLocks noChangeAspect="1"/>
                    </pic:cNvPicPr>
                  </pic:nvPicPr>
                  <pic:blipFill>
                    <a:blip r:embed="rId118"/>
                    <a:stretch>
                      <a:fillRect/>
                    </a:stretch>
                  </pic:blipFill>
                  <pic:spPr>
                    <a:xfrm>
                      <a:off x="0" y="0"/>
                      <a:ext cx="5486400" cy="2689860"/>
                    </a:xfrm>
                    <a:prstGeom prst="rect">
                      <a:avLst/>
                    </a:prstGeom>
                    <a:noFill/>
                    <a:ln>
                      <a:noFill/>
                    </a:ln>
                  </pic:spPr>
                </pic:pic>
              </a:graphicData>
            </a:graphic>
          </wp:inline>
        </w:drawing>
      </w:r>
    </w:p>
    <w:p w14:paraId="5F9DB8D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6.3</w:t>
      </w:r>
      <w:r>
        <w:fldChar w:fldCharType="end"/>
      </w:r>
      <w:r>
        <w:rPr>
          <w:rFonts w:hint="eastAsia"/>
          <w:lang w:eastAsia="zh-CN"/>
        </w:rPr>
        <w:t>-</w:t>
      </w:r>
      <w:r>
        <w:fldChar w:fldCharType="begin"/>
      </w:r>
      <w:r>
        <w:instrText xml:space="preserve"> SEQ 图 \* ARABIC \s 2 </w:instrText>
      </w:r>
      <w:r>
        <w:fldChar w:fldCharType="separate"/>
      </w:r>
      <w:r>
        <w:t>30</w:t>
      </w:r>
      <w:r>
        <w:fldChar w:fldCharType="end"/>
      </w:r>
      <w:r>
        <w:rPr>
          <w:rFonts w:hint="eastAsia"/>
          <w:lang w:val="en-US" w:eastAsia="zh-CN"/>
        </w:rPr>
        <w:t>安装剩余平衡重立面图</w:t>
      </w:r>
    </w:p>
    <w:p w14:paraId="2E9B9938">
      <w:pPr>
        <w:ind w:firstLine="480"/>
        <w:rPr>
          <w:rFonts w:hint="eastAsia" w:ascii="宋体" w:hAnsi="宋体" w:eastAsia="宋体"/>
          <w:color w:val="auto"/>
          <w:lang w:val="en-US" w:eastAsia="zh-CN"/>
        </w:rPr>
      </w:pPr>
      <w:bookmarkStart w:id="233" w:name="_Toc3824"/>
      <w:bookmarkStart w:id="234" w:name="_Toc8732"/>
      <w:r>
        <w:rPr>
          <w:rFonts w:hint="eastAsia" w:ascii="宋体" w:hAnsi="宋体" w:eastAsia="宋体"/>
          <w:color w:val="auto"/>
          <w:lang w:val="en-US" w:eastAsia="zh-CN"/>
        </w:rPr>
        <w:t>（3）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59C1AD8F">
      <w:pPr>
        <w:ind w:firstLine="480"/>
        <w:rPr>
          <w:rFonts w:hint="default" w:ascii="宋体" w:hAnsi="宋体" w:eastAsia="宋体"/>
          <w:color w:val="auto"/>
          <w:lang w:val="en-US" w:eastAsia="zh-CN"/>
        </w:rPr>
      </w:pPr>
      <w:r>
        <w:rPr>
          <w:rFonts w:hint="eastAsia" w:ascii="宋体" w:hAnsi="宋体" w:eastAsia="宋体"/>
          <w:color w:val="auto"/>
          <w:lang w:val="en-US" w:eastAsia="zh-CN"/>
        </w:rPr>
        <w:t>（4）塔吊</w:t>
      </w:r>
      <w:r>
        <w:rPr>
          <w:rFonts w:hint="eastAsia"/>
          <w:color w:val="auto"/>
          <w:lang w:val="en-US" w:eastAsia="zh-CN"/>
        </w:rPr>
        <w:t>剩余</w:t>
      </w:r>
      <w:r>
        <w:rPr>
          <w:rFonts w:hint="eastAsia" w:ascii="宋体" w:hAnsi="宋体" w:eastAsia="宋体"/>
          <w:color w:val="auto"/>
          <w:lang w:val="en-US" w:eastAsia="zh-CN"/>
        </w:rPr>
        <w:t>平衡重</w:t>
      </w:r>
      <w:r>
        <w:rPr>
          <w:rFonts w:hint="eastAsia"/>
          <w:color w:val="auto"/>
          <w:lang w:val="en-US" w:eastAsia="zh-CN"/>
        </w:rPr>
        <w:t>从靠近回转一侧向外依次安装2块3.2t和2块2t平衡重，安装完成后使用钢丝绳穿过平衡重吊耳将所有平衡重连接在一起。</w:t>
      </w:r>
    </w:p>
    <w:p w14:paraId="69BEA6D3">
      <w:pPr>
        <w:ind w:firstLine="480"/>
        <w:rPr>
          <w:rFonts w:hint="eastAsia" w:ascii="宋体" w:hAnsi="宋体" w:eastAsia="宋体"/>
          <w:color w:val="auto"/>
          <w:lang w:val="en-US" w:eastAsia="zh-CN"/>
        </w:rPr>
      </w:pPr>
      <w:r>
        <w:rPr>
          <w:rFonts w:hint="eastAsia" w:ascii="宋体" w:hAnsi="宋体" w:eastAsia="宋体"/>
          <w:color w:val="auto"/>
          <w:lang w:val="en-US" w:eastAsia="zh-CN"/>
        </w:rPr>
        <w:t>（</w:t>
      </w:r>
      <w:r>
        <w:rPr>
          <w:rFonts w:hint="eastAsia"/>
          <w:color w:val="auto"/>
          <w:lang w:val="en-US" w:eastAsia="zh-CN"/>
        </w:rPr>
        <w:t>5</w:t>
      </w:r>
      <w:r>
        <w:rPr>
          <w:rFonts w:hint="eastAsia" w:ascii="宋体" w:hAnsi="宋体" w:eastAsia="宋体"/>
          <w:color w:val="auto"/>
          <w:lang w:val="en-US" w:eastAsia="zh-CN"/>
        </w:rPr>
        <w:t>）安装时设置警戒区，起吊安排专人负责指挥，专人操作，严禁无关人员进入起重作业范围内。</w:t>
      </w:r>
    </w:p>
    <w:p w14:paraId="0C046EC7">
      <w:pPr>
        <w:pStyle w:val="4"/>
        <w:ind w:firstLine="482"/>
        <w:rPr>
          <w:rFonts w:hint="default" w:ascii="宋体" w:hAnsi="宋体" w:eastAsia="宋体"/>
          <w:color w:val="auto"/>
          <w:lang w:val="en-US" w:eastAsia="zh-CN"/>
        </w:rPr>
      </w:pPr>
      <w:r>
        <w:rPr>
          <w:rFonts w:hint="eastAsia" w:ascii="宋体" w:hAnsi="宋体" w:eastAsia="宋体"/>
          <w:color w:val="auto"/>
          <w:lang w:val="en-US" w:eastAsia="zh-CN"/>
        </w:rPr>
        <w:t>6.4.</w:t>
      </w:r>
      <w:r>
        <w:rPr>
          <w:rFonts w:hint="default" w:ascii="宋体" w:hAnsi="宋体" w:eastAsia="宋体"/>
          <w:color w:val="auto"/>
          <w:lang w:val="en-US" w:eastAsia="zh-CN"/>
        </w:rPr>
        <w:t>10.</w:t>
      </w:r>
      <w:r>
        <w:rPr>
          <w:rFonts w:hint="eastAsia" w:ascii="宋体" w:hAnsi="宋体" w:eastAsia="宋体"/>
          <w:color w:val="auto"/>
          <w:lang w:val="en-US" w:eastAsia="zh-CN"/>
        </w:rPr>
        <w:t>安装钢丝绳与吊钩</w:t>
      </w:r>
      <w:bookmarkEnd w:id="233"/>
      <w:bookmarkEnd w:id="234"/>
    </w:p>
    <w:p w14:paraId="58DF4A63">
      <w:pPr>
        <w:rPr>
          <w:rFonts w:hint="default"/>
          <w:lang w:val="en-US" w:eastAsia="zh-CN"/>
        </w:rPr>
      </w:pPr>
      <w:r>
        <w:rPr>
          <w:rFonts w:hint="eastAsia"/>
          <w:color w:val="auto"/>
          <w:lang w:val="en-US" w:eastAsia="zh-CN"/>
        </w:rPr>
        <w:t>安装方法同XGT6015-8S塔机安装钢丝绳与吊钩方法，见6.3.10节。</w:t>
      </w:r>
    </w:p>
    <w:p w14:paraId="33181395">
      <w:pPr>
        <w:pStyle w:val="4"/>
        <w:ind w:firstLine="482"/>
        <w:rPr>
          <w:rFonts w:hint="default" w:ascii="宋体" w:hAnsi="宋体" w:eastAsia="宋体"/>
          <w:color w:val="auto"/>
          <w:lang w:val="en-US" w:eastAsia="zh-CN"/>
        </w:rPr>
      </w:pPr>
      <w:bookmarkStart w:id="235" w:name="_Toc18204"/>
      <w:r>
        <w:rPr>
          <w:rFonts w:hint="eastAsia" w:ascii="宋体" w:hAnsi="宋体" w:eastAsia="宋体"/>
          <w:color w:val="auto"/>
          <w:lang w:val="en-US" w:eastAsia="zh-CN"/>
        </w:rPr>
        <w:t>6.4.</w:t>
      </w:r>
      <w:r>
        <w:rPr>
          <w:rFonts w:hint="default" w:ascii="宋体" w:hAnsi="宋体" w:eastAsia="宋体"/>
          <w:color w:val="auto"/>
          <w:lang w:val="en-US" w:eastAsia="zh-CN"/>
        </w:rPr>
        <w:t>11.</w:t>
      </w:r>
      <w:r>
        <w:rPr>
          <w:rFonts w:hint="eastAsia" w:ascii="宋体" w:hAnsi="宋体" w:eastAsia="宋体"/>
          <w:color w:val="auto"/>
          <w:lang w:val="en-US" w:eastAsia="zh-CN"/>
        </w:rPr>
        <w:t xml:space="preserve"> </w:t>
      </w:r>
      <w:bookmarkStart w:id="236" w:name="_Toc17335"/>
      <w:r>
        <w:rPr>
          <w:rFonts w:hint="eastAsia" w:ascii="宋体" w:hAnsi="宋体" w:eastAsia="宋体"/>
          <w:color w:val="auto"/>
          <w:lang w:val="en-US" w:eastAsia="zh-CN"/>
        </w:rPr>
        <w:t>安全装置调试</w:t>
      </w:r>
      <w:bookmarkEnd w:id="235"/>
      <w:bookmarkEnd w:id="236"/>
    </w:p>
    <w:p w14:paraId="53122A7F">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安装装置配置表</w:t>
      </w:r>
    </w:p>
    <w:tbl>
      <w:tblPr>
        <w:tblStyle w:val="102"/>
        <w:tblW w:w="4896" w:type="pct"/>
        <w:tblInd w:w="10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583"/>
        <w:gridCol w:w="1399"/>
        <w:gridCol w:w="3848"/>
        <w:gridCol w:w="674"/>
        <w:gridCol w:w="1216"/>
        <w:gridCol w:w="952"/>
      </w:tblGrid>
      <w:tr w14:paraId="00A07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5A9D306A">
            <w:pPr>
              <w:pStyle w:val="75"/>
              <w:kinsoku/>
              <w:overflowPunct/>
              <w:topLinePunct w:val="0"/>
              <w:bidi w:val="0"/>
              <w:spacing w:line="360" w:lineRule="atLeast"/>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序号</w:t>
            </w:r>
          </w:p>
        </w:tc>
        <w:tc>
          <w:tcPr>
            <w:tcW w:w="824" w:type="pct"/>
            <w:tcBorders>
              <w:tl2br w:val="nil"/>
              <w:tr2bl w:val="nil"/>
            </w:tcBorders>
            <w:shd w:val="clear" w:color="auto" w:fill="auto"/>
            <w:vAlign w:val="center"/>
          </w:tcPr>
          <w:p w14:paraId="2480B6D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类型</w:t>
            </w:r>
          </w:p>
        </w:tc>
        <w:tc>
          <w:tcPr>
            <w:tcW w:w="2235" w:type="pct"/>
            <w:tcBorders>
              <w:tl2br w:val="nil"/>
              <w:tr2bl w:val="nil"/>
            </w:tcBorders>
            <w:shd w:val="clear" w:color="auto" w:fill="auto"/>
            <w:vAlign w:val="center"/>
          </w:tcPr>
          <w:p w14:paraId="46863BC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用途</w:t>
            </w:r>
          </w:p>
        </w:tc>
        <w:tc>
          <w:tcPr>
            <w:tcW w:w="406" w:type="pct"/>
            <w:tcBorders>
              <w:tl2br w:val="nil"/>
              <w:tr2bl w:val="nil"/>
            </w:tcBorders>
            <w:shd w:val="clear" w:color="auto" w:fill="auto"/>
            <w:vAlign w:val="center"/>
          </w:tcPr>
          <w:p w14:paraId="3D1F6CD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数量</w:t>
            </w:r>
          </w:p>
        </w:tc>
        <w:tc>
          <w:tcPr>
            <w:tcW w:w="718" w:type="pct"/>
            <w:tcBorders>
              <w:tl2br w:val="nil"/>
              <w:tr2bl w:val="nil"/>
            </w:tcBorders>
            <w:shd w:val="clear" w:color="auto" w:fill="auto"/>
            <w:vAlign w:val="center"/>
          </w:tcPr>
          <w:p w14:paraId="519A997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i w:val="0"/>
                <w:sz w:val="21"/>
                <w:szCs w:val="21"/>
              </w:rPr>
              <w:t>安装位置</w:t>
            </w:r>
          </w:p>
        </w:tc>
        <w:tc>
          <w:tcPr>
            <w:tcW w:w="460" w:type="pct"/>
            <w:tcBorders>
              <w:tl2br w:val="nil"/>
              <w:tr2bl w:val="nil"/>
            </w:tcBorders>
            <w:shd w:val="clear" w:color="auto" w:fill="auto"/>
            <w:vAlign w:val="center"/>
          </w:tcPr>
          <w:p w14:paraId="12B0E6C7">
            <w:pPr>
              <w:pStyle w:val="75"/>
              <w:kinsoku/>
              <w:overflowPunct/>
              <w:topLinePunct w:val="0"/>
              <w:bidi w:val="0"/>
              <w:spacing w:line="360" w:lineRule="atLeast"/>
              <w:ind w:firstLine="0" w:firstLineChars="0"/>
              <w:rPr>
                <w:rFonts w:hint="eastAsia" w:ascii="宋体" w:hAnsi="宋体" w:eastAsia="宋体" w:cs="宋体"/>
                <w:b/>
                <w:i w:val="0"/>
                <w:sz w:val="21"/>
                <w:szCs w:val="21"/>
              </w:rPr>
            </w:pPr>
            <w:r>
              <w:rPr>
                <w:rFonts w:hint="eastAsia" w:ascii="宋体" w:hAnsi="宋体" w:eastAsia="宋体" w:cs="宋体"/>
                <w:b/>
                <w:i w:val="0"/>
                <w:sz w:val="21"/>
                <w:szCs w:val="21"/>
              </w:rPr>
              <w:t>型号</w:t>
            </w:r>
          </w:p>
        </w:tc>
      </w:tr>
      <w:tr w14:paraId="20891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1074DAF7">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824" w:type="pct"/>
            <w:tcBorders>
              <w:tl2br w:val="nil"/>
              <w:tr2bl w:val="nil"/>
            </w:tcBorders>
            <w:shd w:val="clear" w:color="auto" w:fill="auto"/>
            <w:vAlign w:val="center"/>
          </w:tcPr>
          <w:p w14:paraId="2666885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起升高度限位器</w:t>
            </w:r>
          </w:p>
        </w:tc>
        <w:tc>
          <w:tcPr>
            <w:tcW w:w="2235" w:type="pct"/>
            <w:tcBorders>
              <w:tl2br w:val="nil"/>
              <w:tr2bl w:val="nil"/>
            </w:tcBorders>
            <w:shd w:val="clear" w:color="auto" w:fill="auto"/>
            <w:vAlign w:val="center"/>
          </w:tcPr>
          <w:p w14:paraId="2DE21BC9">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保护塔吊安全运行的上升极限位置限制器和下降极限位置限制器</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3A07B235">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3290CAD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起升机构</w:t>
            </w:r>
          </w:p>
        </w:tc>
        <w:tc>
          <w:tcPr>
            <w:tcW w:w="460" w:type="pct"/>
            <w:tcBorders>
              <w:tl2br w:val="nil"/>
              <w:tr2bl w:val="nil"/>
            </w:tcBorders>
            <w:shd w:val="clear" w:color="auto" w:fill="auto"/>
            <w:vAlign w:val="center"/>
          </w:tcPr>
          <w:p w14:paraId="0D3F762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5249A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57" w:hRule="atLeast"/>
        </w:trPr>
        <w:tc>
          <w:tcPr>
            <w:tcW w:w="354" w:type="pct"/>
            <w:tcBorders>
              <w:tl2br w:val="nil"/>
              <w:tr2bl w:val="nil"/>
            </w:tcBorders>
            <w:shd w:val="clear" w:color="auto" w:fill="auto"/>
            <w:vAlign w:val="center"/>
          </w:tcPr>
          <w:p w14:paraId="202E51C2">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2</w:t>
            </w:r>
          </w:p>
        </w:tc>
        <w:tc>
          <w:tcPr>
            <w:tcW w:w="824" w:type="pct"/>
            <w:tcBorders>
              <w:tl2br w:val="nil"/>
              <w:tr2bl w:val="nil"/>
            </w:tcBorders>
            <w:shd w:val="clear" w:color="auto" w:fill="auto"/>
            <w:vAlign w:val="center"/>
          </w:tcPr>
          <w:p w14:paraId="220AA11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幅度限位器</w:t>
            </w:r>
          </w:p>
        </w:tc>
        <w:tc>
          <w:tcPr>
            <w:tcW w:w="2235" w:type="pct"/>
            <w:tcBorders>
              <w:tl2br w:val="nil"/>
              <w:tr2bl w:val="nil"/>
            </w:tcBorders>
            <w:shd w:val="clear" w:color="auto" w:fill="auto"/>
            <w:vAlign w:val="center"/>
          </w:tcPr>
          <w:p w14:paraId="18A81F5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变幅限位器用途在于防止可能出现的操作失误，使小车距离臂端或臂架根部有一定的安全距离运行。</w:t>
            </w:r>
          </w:p>
        </w:tc>
        <w:tc>
          <w:tcPr>
            <w:tcW w:w="406" w:type="pct"/>
            <w:tcBorders>
              <w:tl2br w:val="nil"/>
              <w:tr2bl w:val="nil"/>
            </w:tcBorders>
            <w:shd w:val="clear" w:color="auto" w:fill="auto"/>
            <w:vAlign w:val="center"/>
          </w:tcPr>
          <w:p w14:paraId="46C55B4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434ED060">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变幅机构</w:t>
            </w:r>
          </w:p>
        </w:tc>
        <w:tc>
          <w:tcPr>
            <w:tcW w:w="460" w:type="pct"/>
            <w:tcBorders>
              <w:tl2br w:val="nil"/>
              <w:tr2bl w:val="nil"/>
            </w:tcBorders>
            <w:shd w:val="clear" w:color="auto" w:fill="auto"/>
            <w:vAlign w:val="center"/>
          </w:tcPr>
          <w:p w14:paraId="49CB5303">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3A2CF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c>
          <w:tcPr>
            <w:tcW w:w="354" w:type="pct"/>
            <w:tcBorders>
              <w:tl2br w:val="nil"/>
              <w:tr2bl w:val="nil"/>
            </w:tcBorders>
            <w:shd w:val="clear" w:color="auto" w:fill="auto"/>
            <w:vAlign w:val="center"/>
          </w:tcPr>
          <w:p w14:paraId="4C84904B">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3</w:t>
            </w:r>
          </w:p>
        </w:tc>
        <w:tc>
          <w:tcPr>
            <w:tcW w:w="824" w:type="pct"/>
            <w:tcBorders>
              <w:tl2br w:val="nil"/>
              <w:tr2bl w:val="nil"/>
            </w:tcBorders>
            <w:shd w:val="clear" w:color="auto" w:fill="auto"/>
            <w:vAlign w:val="center"/>
          </w:tcPr>
          <w:p w14:paraId="7CC86B9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回转限位器</w:t>
            </w:r>
          </w:p>
        </w:tc>
        <w:tc>
          <w:tcPr>
            <w:tcW w:w="2235" w:type="pct"/>
            <w:tcBorders>
              <w:tl2br w:val="nil"/>
              <w:tr2bl w:val="nil"/>
            </w:tcBorders>
            <w:shd w:val="clear" w:color="auto" w:fill="auto"/>
            <w:vAlign w:val="center"/>
          </w:tcPr>
          <w:p w14:paraId="343782E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用于防止电缆缠绕及损坏。回转限位器允许最大回转圈数为3圈。</w:t>
            </w:r>
          </w:p>
        </w:tc>
        <w:tc>
          <w:tcPr>
            <w:tcW w:w="406" w:type="pct"/>
            <w:tcBorders>
              <w:tl2br w:val="nil"/>
              <w:tr2bl w:val="nil"/>
            </w:tcBorders>
            <w:shd w:val="clear" w:color="auto" w:fill="auto"/>
            <w:vAlign w:val="center"/>
          </w:tcPr>
          <w:p w14:paraId="791A450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8EDAF7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回转机构</w:t>
            </w:r>
          </w:p>
        </w:tc>
        <w:tc>
          <w:tcPr>
            <w:tcW w:w="460" w:type="pct"/>
            <w:tcBorders>
              <w:tl2br w:val="nil"/>
              <w:tr2bl w:val="nil"/>
            </w:tcBorders>
            <w:shd w:val="clear" w:color="auto" w:fill="auto"/>
            <w:vAlign w:val="center"/>
          </w:tcPr>
          <w:p w14:paraId="194AEACF">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DXZ型</w:t>
            </w:r>
          </w:p>
        </w:tc>
      </w:tr>
      <w:tr w14:paraId="50DA6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639" w:hRule="atLeast"/>
        </w:trPr>
        <w:tc>
          <w:tcPr>
            <w:tcW w:w="354" w:type="pct"/>
            <w:tcBorders>
              <w:tl2br w:val="nil"/>
              <w:tr2bl w:val="nil"/>
            </w:tcBorders>
            <w:shd w:val="clear" w:color="auto" w:fill="auto"/>
            <w:vAlign w:val="center"/>
          </w:tcPr>
          <w:p w14:paraId="66F702E0">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4</w:t>
            </w:r>
          </w:p>
        </w:tc>
        <w:tc>
          <w:tcPr>
            <w:tcW w:w="824" w:type="pct"/>
            <w:tcBorders>
              <w:tl2br w:val="nil"/>
              <w:tr2bl w:val="nil"/>
            </w:tcBorders>
            <w:shd w:val="clear" w:color="auto" w:fill="auto"/>
            <w:vAlign w:val="center"/>
          </w:tcPr>
          <w:p w14:paraId="16600211">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力矩限制器</w:t>
            </w:r>
          </w:p>
        </w:tc>
        <w:tc>
          <w:tcPr>
            <w:tcW w:w="2235" w:type="pct"/>
            <w:tcBorders>
              <w:tl2br w:val="nil"/>
              <w:tr2bl w:val="nil"/>
            </w:tcBorders>
            <w:shd w:val="clear" w:color="auto" w:fill="auto"/>
            <w:vAlign w:val="center"/>
          </w:tcPr>
          <w:p w14:paraId="1FA4A4BA">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当力矩达到额定值的90%左右时司机室的预警灯点亮，变幅只能有低速变幅，当达到额定值的100%-110%时，起升向上断电，变幅小车向外变幅断电，同时发出声光报警。</w:t>
            </w:r>
          </w:p>
        </w:tc>
        <w:tc>
          <w:tcPr>
            <w:tcW w:w="406" w:type="pct"/>
            <w:tcBorders>
              <w:tl2br w:val="nil"/>
              <w:tr2bl w:val="nil"/>
            </w:tcBorders>
            <w:shd w:val="clear" w:color="auto" w:fill="auto"/>
            <w:vAlign w:val="center"/>
          </w:tcPr>
          <w:p w14:paraId="52F9E8D6">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7A7AA2B">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543C862E">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DWL-D5B型</w:t>
            </w:r>
          </w:p>
        </w:tc>
      </w:tr>
      <w:tr w14:paraId="2E062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40D7799B">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5</w:t>
            </w:r>
          </w:p>
        </w:tc>
        <w:tc>
          <w:tcPr>
            <w:tcW w:w="824" w:type="pct"/>
            <w:tcBorders>
              <w:tl2br w:val="nil"/>
              <w:tr2bl w:val="nil"/>
            </w:tcBorders>
            <w:shd w:val="clear" w:color="auto" w:fill="auto"/>
            <w:vAlign w:val="center"/>
          </w:tcPr>
          <w:p w14:paraId="15E8B73D">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起重量限制器</w:t>
            </w:r>
          </w:p>
        </w:tc>
        <w:tc>
          <w:tcPr>
            <w:tcW w:w="2235" w:type="pct"/>
            <w:tcBorders>
              <w:tl2br w:val="nil"/>
              <w:tr2bl w:val="nil"/>
            </w:tcBorders>
            <w:shd w:val="clear" w:color="auto" w:fill="auto"/>
            <w:vAlign w:val="center"/>
          </w:tcPr>
          <w:p w14:paraId="49E444BC">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防止塔机吊重超过额定最大起重量</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501A6617">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18" w:type="pct"/>
            <w:tcBorders>
              <w:tl2br w:val="nil"/>
              <w:tr2bl w:val="nil"/>
            </w:tcBorders>
            <w:shd w:val="clear" w:color="auto" w:fill="auto"/>
            <w:vAlign w:val="center"/>
          </w:tcPr>
          <w:p w14:paraId="66343972">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起重臂第一节</w:t>
            </w:r>
          </w:p>
        </w:tc>
        <w:tc>
          <w:tcPr>
            <w:tcW w:w="460" w:type="pct"/>
            <w:tcBorders>
              <w:tl2br w:val="nil"/>
              <w:tr2bl w:val="nil"/>
            </w:tcBorders>
            <w:shd w:val="clear" w:color="auto" w:fill="auto"/>
            <w:vAlign w:val="center"/>
          </w:tcPr>
          <w:p w14:paraId="3E5001F8">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DWL型</w:t>
            </w:r>
          </w:p>
        </w:tc>
      </w:tr>
      <w:tr w14:paraId="2D438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5" w:hRule="atLeast"/>
        </w:trPr>
        <w:tc>
          <w:tcPr>
            <w:tcW w:w="354" w:type="pct"/>
            <w:tcBorders>
              <w:tl2br w:val="nil"/>
              <w:tr2bl w:val="nil"/>
            </w:tcBorders>
            <w:shd w:val="clear" w:color="auto" w:fill="auto"/>
            <w:vAlign w:val="center"/>
          </w:tcPr>
          <w:p w14:paraId="2B6C5463">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6</w:t>
            </w:r>
          </w:p>
        </w:tc>
        <w:tc>
          <w:tcPr>
            <w:tcW w:w="824" w:type="pct"/>
            <w:tcBorders>
              <w:tl2br w:val="nil"/>
              <w:tr2bl w:val="nil"/>
            </w:tcBorders>
            <w:shd w:val="clear" w:color="auto" w:fill="auto"/>
            <w:vAlign w:val="center"/>
          </w:tcPr>
          <w:p w14:paraId="24F3A3DC">
            <w:pPr>
              <w:pStyle w:val="75"/>
              <w:kinsoku/>
              <w:overflowPunct/>
              <w:topLinePunct w:val="0"/>
              <w:bidi w:val="0"/>
              <w:spacing w:line="360" w:lineRule="atLeast"/>
              <w:ind w:firstLine="0" w:firstLineChars="0"/>
              <w:rPr>
                <w:rFonts w:hint="eastAsia" w:ascii="宋体" w:hAnsi="宋体" w:eastAsia="宋体" w:cs="宋体"/>
                <w:b w:val="0"/>
                <w:i w:val="0"/>
                <w:sz w:val="21"/>
                <w:szCs w:val="21"/>
              </w:rPr>
            </w:pPr>
            <w:r>
              <w:rPr>
                <w:rFonts w:hint="eastAsia" w:ascii="宋体" w:hAnsi="宋体" w:eastAsia="宋体" w:cs="宋体"/>
                <w:b w:val="0"/>
                <w:i w:val="0"/>
                <w:sz w:val="21"/>
                <w:szCs w:val="21"/>
              </w:rPr>
              <w:t>安全监控系统</w:t>
            </w:r>
          </w:p>
        </w:tc>
        <w:tc>
          <w:tcPr>
            <w:tcW w:w="2235" w:type="pct"/>
            <w:tcBorders>
              <w:tl2br w:val="nil"/>
              <w:tr2bl w:val="nil"/>
            </w:tcBorders>
            <w:shd w:val="clear" w:color="auto" w:fill="auto"/>
            <w:vAlign w:val="center"/>
          </w:tcPr>
          <w:p w14:paraId="7FC4EC61">
            <w:pPr>
              <w:pStyle w:val="75"/>
              <w:kinsoku/>
              <w:overflowPunct/>
              <w:topLinePunct w:val="0"/>
              <w:bidi w:val="0"/>
              <w:spacing w:line="360" w:lineRule="atLeast"/>
              <w:ind w:firstLine="0" w:firstLineChars="0"/>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对塔机进行实时监控，真正做到预防为主，以避免事故发生。及时直观显示塔机各项工作状态，为塔机司机提供全面的安全信息</w:t>
            </w:r>
            <w:r>
              <w:rPr>
                <w:rFonts w:hint="eastAsia" w:ascii="宋体" w:hAnsi="宋体" w:eastAsia="宋体" w:cs="宋体"/>
                <w:b w:val="0"/>
                <w:i w:val="0"/>
                <w:sz w:val="21"/>
                <w:szCs w:val="21"/>
                <w:lang w:eastAsia="zh-CN"/>
              </w:rPr>
              <w:t>。</w:t>
            </w:r>
          </w:p>
        </w:tc>
        <w:tc>
          <w:tcPr>
            <w:tcW w:w="406" w:type="pct"/>
            <w:tcBorders>
              <w:tl2br w:val="nil"/>
              <w:tr2bl w:val="nil"/>
            </w:tcBorders>
            <w:shd w:val="clear" w:color="auto" w:fill="auto"/>
            <w:vAlign w:val="center"/>
          </w:tcPr>
          <w:p w14:paraId="28D1A23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1</w:t>
            </w:r>
          </w:p>
        </w:tc>
        <w:tc>
          <w:tcPr>
            <w:tcW w:w="718" w:type="pct"/>
            <w:tcBorders>
              <w:tl2br w:val="nil"/>
              <w:tr2bl w:val="nil"/>
            </w:tcBorders>
            <w:shd w:val="clear" w:color="auto" w:fill="auto"/>
            <w:vAlign w:val="center"/>
          </w:tcPr>
          <w:p w14:paraId="2E1ABF0A">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司机室</w:t>
            </w:r>
          </w:p>
        </w:tc>
        <w:tc>
          <w:tcPr>
            <w:tcW w:w="460" w:type="pct"/>
            <w:tcBorders>
              <w:tl2br w:val="nil"/>
              <w:tr2bl w:val="nil"/>
            </w:tcBorders>
            <w:shd w:val="clear" w:color="auto" w:fill="auto"/>
            <w:vAlign w:val="center"/>
          </w:tcPr>
          <w:p w14:paraId="0228FC98">
            <w:pPr>
              <w:pStyle w:val="75"/>
              <w:kinsoku/>
              <w:overflowPunct/>
              <w:topLinePunct w:val="0"/>
              <w:bidi w:val="0"/>
              <w:spacing w:line="360" w:lineRule="atLeast"/>
              <w:ind w:firstLine="0" w:firstLineChars="0"/>
              <w:rPr>
                <w:rFonts w:hint="eastAsia" w:ascii="宋体" w:hAnsi="宋体" w:eastAsia="宋体" w:cs="宋体"/>
                <w:b w:val="0"/>
                <w:i w:val="0"/>
                <w:sz w:val="21"/>
                <w:szCs w:val="21"/>
                <w:lang w:val="en-US" w:eastAsia="zh-CN"/>
              </w:rPr>
            </w:pPr>
            <w:r>
              <w:rPr>
                <w:rFonts w:hint="eastAsia" w:ascii="宋体" w:hAnsi="宋体" w:eastAsia="宋体" w:cs="宋体"/>
                <w:b w:val="0"/>
                <w:i w:val="0"/>
                <w:sz w:val="21"/>
                <w:szCs w:val="21"/>
                <w:lang w:val="en-US" w:eastAsia="zh-CN"/>
              </w:rPr>
              <w:t>自带</w:t>
            </w:r>
          </w:p>
        </w:tc>
      </w:tr>
    </w:tbl>
    <w:p w14:paraId="787D3FB2">
      <w:pPr>
        <w:spacing w:line="240" w:lineRule="auto"/>
        <w:ind w:left="0" w:leftChars="0" w:firstLine="0" w:firstLineChars="0"/>
        <w:rPr>
          <w:rFonts w:hint="eastAsia"/>
          <w:lang w:val="en-US" w:eastAsia="zh-CN"/>
        </w:rPr>
      </w:pPr>
    </w:p>
    <w:p w14:paraId="70CCEA6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.11.1.</w:t>
      </w:r>
      <w:r>
        <w:rPr>
          <w:rFonts w:hint="eastAsia" w:ascii="宋体" w:hAnsi="宋体" w:eastAsia="宋体" w:cs="宋体"/>
          <w:lang w:val="en-US" w:eastAsia="zh-CN"/>
        </w:rPr>
        <w:t>起升高度限位器调试</w:t>
      </w:r>
    </w:p>
    <w:p w14:paraId="75BFDF66">
      <w:pPr>
        <w:ind w:firstLine="480"/>
        <w:rPr>
          <w:rFonts w:hint="eastAsia" w:ascii="宋体" w:hAnsi="宋体" w:eastAsia="宋体"/>
          <w:color w:val="auto"/>
        </w:rPr>
      </w:pPr>
      <w:r>
        <w:rPr>
          <w:rFonts w:hint="eastAsia" w:ascii="宋体" w:hAnsi="宋体" w:eastAsia="宋体"/>
          <w:color w:val="auto"/>
        </w:rPr>
        <w:t>塔机起升高度限位器的型号一致，调试方法相同，如下图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14:paraId="1EEFCBB9">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52955" cy="2109470"/>
            <wp:effectExtent l="0" t="0" r="4445" b="8890"/>
            <wp:docPr id="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
                    <pic:cNvPicPr>
                      <a:picLocks noChangeAspect="1"/>
                    </pic:cNvPicPr>
                  </pic:nvPicPr>
                  <pic:blipFill>
                    <a:blip r:embed="rId85"/>
                    <a:stretch>
                      <a:fillRect/>
                    </a:stretch>
                  </pic:blipFill>
                  <pic:spPr>
                    <a:xfrm>
                      <a:off x="0" y="0"/>
                      <a:ext cx="2052955" cy="2109470"/>
                    </a:xfrm>
                    <a:prstGeom prst="rect">
                      <a:avLst/>
                    </a:prstGeom>
                    <a:noFill/>
                    <a:ln w="9525">
                      <a:noFill/>
                    </a:ln>
                  </pic:spPr>
                </pic:pic>
              </a:graphicData>
            </a:graphic>
          </wp:inline>
        </w:drawing>
      </w:r>
    </w:p>
    <w:p w14:paraId="59642246">
      <w:pPr>
        <w:numPr>
          <w:ilvl w:val="0"/>
          <w:numId w:val="0"/>
        </w:numPr>
        <w:ind w:leftChars="200"/>
        <w:jc w:val="center"/>
        <w:rPr>
          <w:rFonts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起升高度限位器示意图</w:t>
      </w:r>
    </w:p>
    <w:p w14:paraId="0CC277DB">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.11.2.</w:t>
      </w:r>
      <w:r>
        <w:rPr>
          <w:rFonts w:hint="eastAsia" w:ascii="宋体" w:hAnsi="宋体" w:eastAsia="宋体" w:cs="宋体"/>
          <w:lang w:val="en-US" w:eastAsia="zh-CN"/>
        </w:rPr>
        <w:t>幅度限位器调试</w:t>
      </w:r>
    </w:p>
    <w:p w14:paraId="495CE451">
      <w:pPr>
        <w:ind w:firstLine="480"/>
        <w:rPr>
          <w:rFonts w:hint="eastAsia" w:ascii="宋体" w:hAnsi="宋体" w:eastAsia="宋体"/>
          <w:color w:val="auto"/>
        </w:rPr>
      </w:pPr>
      <w:r>
        <w:rPr>
          <w:rFonts w:hint="eastAsia" w:ascii="宋体" w:hAnsi="宋体" w:eastAsia="宋体"/>
          <w:color w:val="auto"/>
        </w:rPr>
        <w:t>塔机幅度限位器的型号一致，调试方法相同，且和起升高度限位器型号一致。如图拆开幅度限位器的上罩壳，检查并拧紧2个M3×55螺钉，松开M5螺母，调整在空载下进行。</w:t>
      </w:r>
    </w:p>
    <w:p w14:paraId="3C236F04">
      <w:pPr>
        <w:ind w:firstLine="480"/>
        <w:rPr>
          <w:rFonts w:hint="eastAsia" w:ascii="宋体" w:hAnsi="宋体" w:eastAsia="宋体"/>
          <w:color w:val="auto"/>
        </w:rPr>
      </w:pPr>
      <w:r>
        <w:rPr>
          <w:rFonts w:hint="eastAsia" w:ascii="宋体" w:hAnsi="宋体" w:eastAsia="宋体"/>
          <w:color w:val="auto"/>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14:paraId="4318DB65">
      <w:pPr>
        <w:ind w:firstLine="480"/>
        <w:rPr>
          <w:rFonts w:hint="eastAsia" w:ascii="宋体" w:hAnsi="宋体" w:eastAsia="宋体"/>
          <w:color w:val="auto"/>
          <w:lang w:val="en-US" w:eastAsia="zh-CN"/>
        </w:rPr>
      </w:pPr>
      <w:r>
        <w:rPr>
          <w:rFonts w:hint="eastAsia" w:ascii="宋体" w:hAnsi="宋体" w:eastAsia="宋体"/>
          <w:color w:val="auto"/>
        </w:rPr>
        <w:t>向内变幅及减速和起重臂臂根限位调整：调整方法同“向外变幅及减速和起重臂臂尖极限限位调整”，分别距起重臂臂根缓冲器4.6m和220mm处进行（3Z-3T-3WK，4T-4T-4WK）减速和起重臂臂根限位的调整。</w:t>
      </w:r>
    </w:p>
    <w:p w14:paraId="6C11185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.11.3.</w:t>
      </w:r>
      <w:r>
        <w:rPr>
          <w:rFonts w:hint="eastAsia" w:ascii="宋体" w:hAnsi="宋体" w:eastAsia="宋体" w:cs="宋体"/>
          <w:lang w:val="en-US" w:eastAsia="zh-CN"/>
        </w:rPr>
        <w:t>回转限位器调试</w:t>
      </w:r>
    </w:p>
    <w:p w14:paraId="708AA141">
      <w:pPr>
        <w:pStyle w:val="11"/>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4985" cy="2847975"/>
            <wp:effectExtent l="0" t="0" r="8255" b="1905"/>
            <wp:docPr id="87" name="图片 49"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 descr="1561885424(1)"/>
                    <pic:cNvPicPr>
                      <a:picLocks noChangeAspect="1"/>
                    </pic:cNvPicPr>
                  </pic:nvPicPr>
                  <pic:blipFill>
                    <a:blip r:embed="rId86"/>
                    <a:srcRect t="5453"/>
                    <a:stretch>
                      <a:fillRect/>
                    </a:stretch>
                  </pic:blipFill>
                  <pic:spPr>
                    <a:xfrm>
                      <a:off x="0" y="0"/>
                      <a:ext cx="3057606" cy="2849915"/>
                    </a:xfrm>
                    <a:prstGeom prst="rect">
                      <a:avLst/>
                    </a:prstGeom>
                  </pic:spPr>
                </pic:pic>
              </a:graphicData>
            </a:graphic>
          </wp:inline>
        </w:drawing>
      </w:r>
    </w:p>
    <w:p w14:paraId="67C16CDB">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11.3</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回转限位示意图</w:t>
      </w:r>
    </w:p>
    <w:p w14:paraId="1F62DF90">
      <w:pPr>
        <w:ind w:firstLine="480"/>
        <w:rPr>
          <w:rFonts w:hint="eastAsia" w:ascii="宋体" w:hAnsi="宋体" w:eastAsia="宋体"/>
          <w:color w:val="auto"/>
          <w:lang w:val="en-US" w:eastAsia="zh-CN"/>
        </w:rPr>
      </w:pPr>
      <w:r>
        <w:rPr>
          <w:rFonts w:hint="eastAsia" w:ascii="宋体" w:hAnsi="宋体" w:eastAsia="宋体"/>
          <w:color w:val="auto"/>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14:paraId="3E04AB7D">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.11.4.</w:t>
      </w:r>
      <w:r>
        <w:rPr>
          <w:rFonts w:hint="eastAsia" w:ascii="宋体" w:hAnsi="宋体" w:eastAsia="宋体" w:cs="宋体"/>
          <w:lang w:val="en-US" w:eastAsia="zh-CN"/>
        </w:rPr>
        <w:t>力矩限制器调试</w:t>
      </w:r>
    </w:p>
    <w:p w14:paraId="1E79797E">
      <w:pPr>
        <w:ind w:firstLine="480"/>
        <w:rPr>
          <w:rFonts w:hint="eastAsia" w:ascii="宋体" w:hAnsi="宋体" w:eastAsia="宋体"/>
          <w:color w:val="auto"/>
        </w:rPr>
      </w:pPr>
      <w:r>
        <w:rPr>
          <w:rFonts w:hint="eastAsia" w:ascii="宋体" w:hAnsi="宋体" w:eastAsia="宋体"/>
          <w:color w:val="auto"/>
        </w:rPr>
        <w:t>力矩限制器为机械式保护装置，当力矩达到额定值的</w:t>
      </w:r>
      <w:r>
        <w:rPr>
          <w:rFonts w:hint="eastAsia" w:ascii="宋体" w:hAnsi="宋体" w:eastAsia="宋体"/>
          <w:color w:val="auto"/>
          <w:lang w:val="en-US" w:eastAsia="zh-CN"/>
        </w:rPr>
        <w:t>8</w:t>
      </w:r>
      <w:r>
        <w:rPr>
          <w:rFonts w:hint="eastAsia" w:ascii="宋体" w:hAnsi="宋体" w:eastAsia="宋体"/>
          <w:color w:val="auto"/>
        </w:rPr>
        <w:t>0%时</w:t>
      </w:r>
      <w:r>
        <w:rPr>
          <w:rFonts w:hint="eastAsia" w:ascii="宋体" w:hAnsi="宋体" w:eastAsia="宋体"/>
          <w:color w:val="auto"/>
          <w:lang w:eastAsia="zh-CN"/>
        </w:rPr>
        <w:t>，</w:t>
      </w:r>
      <w:r>
        <w:rPr>
          <w:rFonts w:hint="eastAsia" w:ascii="宋体" w:hAnsi="宋体" w:eastAsia="宋体"/>
          <w:color w:val="auto"/>
        </w:rPr>
        <w:t>司机室的预警灯点亮，当达到额定值的100%-110%时，起升向上断电，变幅小车向外变幅断电，同时发出声光报警。</w:t>
      </w:r>
    </w:p>
    <w:p w14:paraId="3342EAF6">
      <w:pPr>
        <w:ind w:firstLine="480"/>
        <w:rPr>
          <w:rFonts w:hint="eastAsia" w:ascii="宋体" w:hAnsi="宋体" w:eastAsia="宋体"/>
          <w:color w:val="auto"/>
        </w:rPr>
      </w:pPr>
      <w:r>
        <w:rPr>
          <w:rFonts w:hint="eastAsia" w:ascii="宋体" w:hAnsi="宋体" w:eastAsia="宋体"/>
          <w:color w:val="auto"/>
        </w:rPr>
        <w:t>该装置安装在</w:t>
      </w:r>
      <w:r>
        <w:rPr>
          <w:rFonts w:hint="eastAsia" w:ascii="宋体" w:hAnsi="宋体" w:eastAsia="宋体"/>
          <w:color w:val="auto"/>
          <w:lang w:val="en-US" w:eastAsia="zh-CN"/>
        </w:rPr>
        <w:t>塔顶</w:t>
      </w:r>
      <w:r>
        <w:rPr>
          <w:rFonts w:hint="eastAsia" w:ascii="宋体" w:hAnsi="宋体" w:eastAsia="宋体"/>
          <w:color w:val="auto"/>
        </w:rPr>
        <w:t>靠平衡臂一侧，它由一对弓形板，三个微动开关及安装底座，调节</w:t>
      </w:r>
      <w:r>
        <w:rPr>
          <w:rFonts w:hint="eastAsia" w:ascii="宋体" w:hAnsi="宋体" w:eastAsia="宋体"/>
          <w:color w:val="auto"/>
          <w:lang w:val="en-US" w:eastAsia="zh-CN"/>
        </w:rPr>
        <w:t>螺栓</w:t>
      </w:r>
      <w:r>
        <w:rPr>
          <w:rFonts w:hint="eastAsia" w:ascii="宋体" w:hAnsi="宋体" w:eastAsia="宋体"/>
          <w:color w:val="auto"/>
        </w:rPr>
        <w:t>，外罩等组成。当有载荷时，在载荷力矩的作用下，弓形板弯曲变形(</w:t>
      </w:r>
      <w:r>
        <w:rPr>
          <w:rFonts w:hint="eastAsia" w:ascii="宋体" w:hAnsi="宋体" w:eastAsia="宋体"/>
          <w:color w:val="auto"/>
          <w:lang w:val="en-US" w:eastAsia="zh-CN"/>
        </w:rPr>
        <w:t>弓形板</w:t>
      </w:r>
      <w:r>
        <w:rPr>
          <w:rFonts w:hint="eastAsia" w:ascii="宋体" w:hAnsi="宋体" w:eastAsia="宋体"/>
          <w:color w:val="auto"/>
        </w:rPr>
        <w:t>距离变小)，当载荷超过规定值时，其中一弓形板上的调整螺栓压下固定在另一弓形板上的开关触头，使开关动作切断其控制电路，机构停止运行，达到保护目的。</w:t>
      </w:r>
    </w:p>
    <w:p w14:paraId="20F51D05">
      <w:pPr>
        <w:ind w:firstLine="480"/>
        <w:rPr>
          <w:rFonts w:hint="eastAsia" w:ascii="宋体" w:hAnsi="宋体" w:eastAsia="宋体"/>
          <w:color w:val="auto"/>
        </w:rPr>
      </w:pPr>
      <w:r>
        <w:rPr>
          <w:rFonts w:hint="eastAsia" w:ascii="宋体" w:hAnsi="宋体" w:eastAsia="宋体"/>
          <w:color w:val="auto"/>
        </w:rPr>
        <w:t>力矩限制器的校核（四倍率）：</w:t>
      </w:r>
    </w:p>
    <w:p w14:paraId="7EBF6AAD">
      <w:pPr>
        <w:ind w:firstLine="480"/>
        <w:rPr>
          <w:rFonts w:hint="eastAsia" w:ascii="宋体" w:hAnsi="宋体" w:eastAsia="宋体"/>
          <w:color w:val="auto"/>
        </w:rPr>
      </w:pPr>
      <w:r>
        <w:rPr>
          <w:rFonts w:hint="eastAsia" w:ascii="宋体" w:hAnsi="宋体" w:eastAsia="宋体"/>
          <w:color w:val="auto"/>
        </w:rPr>
        <w:t>分别按定码变幅和定幅变码的方式校核力矩限制器，每种方式校核不少于3次，力矩限制器应灵敏可靠。</w:t>
      </w:r>
    </w:p>
    <w:p w14:paraId="5464A60A">
      <w:pPr>
        <w:pStyle w:val="11"/>
        <w:keepNext w:val="0"/>
        <w:pageBreakBefore w:val="0"/>
        <w:widowControl w:val="0"/>
        <w:kinsoku/>
        <w:wordWrap/>
        <w:overflowPunct/>
        <w:topLinePunct w:val="0"/>
        <w:autoSpaceDE/>
        <w:autoSpaceDN/>
        <w:bidi w:val="0"/>
        <w:adjustRightInd/>
        <w:snapToGrid/>
        <w:spacing w:line="480" w:lineRule="atLeast"/>
        <w:ind w:left="0" w:leftChars="0" w:firstLine="0" w:firstLineChars="0"/>
        <w:jc w:val="center"/>
        <w:textAlignment w:val="auto"/>
      </w:pPr>
      <w:r>
        <w:drawing>
          <wp:inline distT="0" distB="0" distL="114300" distR="114300">
            <wp:extent cx="4751070" cy="2994660"/>
            <wp:effectExtent l="0" t="0" r="3810" b="7620"/>
            <wp:docPr id="8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3"/>
                    <pic:cNvPicPr>
                      <a:picLocks noChangeAspect="1"/>
                    </pic:cNvPicPr>
                  </pic:nvPicPr>
                  <pic:blipFill>
                    <a:blip r:embed="rId87"/>
                    <a:stretch>
                      <a:fillRect/>
                    </a:stretch>
                  </pic:blipFill>
                  <pic:spPr>
                    <a:xfrm>
                      <a:off x="0" y="0"/>
                      <a:ext cx="4751070" cy="2994660"/>
                    </a:xfrm>
                    <a:prstGeom prst="rect">
                      <a:avLst/>
                    </a:prstGeom>
                    <a:noFill/>
                    <a:ln>
                      <a:noFill/>
                    </a:ln>
                  </pic:spPr>
                </pic:pic>
              </a:graphicData>
            </a:graphic>
          </wp:inline>
        </w:drawing>
      </w:r>
    </w:p>
    <w:p w14:paraId="6B948B19">
      <w:pPr>
        <w:numPr>
          <w:ilvl w:val="0"/>
          <w:numId w:val="0"/>
        </w:numPr>
        <w:ind w:leftChars="200"/>
        <w:jc w:val="center"/>
        <w:rPr>
          <w:rFonts w:hint="eastAsia"/>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11.4</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力矩限制器示意图</w:t>
      </w:r>
    </w:p>
    <w:p w14:paraId="4FFCB68F">
      <w:pPr>
        <w:pStyle w:val="5"/>
        <w:bidi w:val="0"/>
        <w:rPr>
          <w:rFonts w:hint="eastAsia" w:ascii="宋体" w:hAnsi="宋体" w:eastAsia="宋体" w:cs="宋体"/>
          <w:lang w:val="en-US" w:eastAsia="zh-CN"/>
        </w:rPr>
      </w:pPr>
      <w:r>
        <w:rPr>
          <w:rFonts w:hint="eastAsia" w:ascii="宋体" w:hAnsi="宋体" w:eastAsia="宋体" w:cs="宋体"/>
          <w:lang w:val="en-US" w:eastAsia="zh-CN"/>
        </w:rPr>
        <w:t>6.4</w:t>
      </w:r>
      <w:r>
        <w:rPr>
          <w:rFonts w:hint="default" w:ascii="宋体" w:hAnsi="宋体" w:eastAsia="宋体" w:cs="宋体"/>
          <w:lang w:val="en-US" w:eastAsia="zh-CN"/>
        </w:rPr>
        <w:t>.11.5.</w:t>
      </w:r>
      <w:r>
        <w:rPr>
          <w:rFonts w:hint="eastAsia" w:ascii="宋体" w:hAnsi="宋体" w:eastAsia="宋体" w:cs="宋体"/>
          <w:lang w:val="en-US" w:eastAsia="zh-CN"/>
        </w:rPr>
        <w:t>起重量限制器调试</w:t>
      </w:r>
    </w:p>
    <w:p w14:paraId="33812289">
      <w:pPr>
        <w:ind w:firstLine="480"/>
        <w:rPr>
          <w:rFonts w:hint="eastAsia" w:ascii="宋体" w:hAnsi="宋体" w:eastAsia="宋体"/>
          <w:color w:val="auto"/>
        </w:rPr>
      </w:pPr>
      <w:r>
        <w:rPr>
          <w:rFonts w:hint="eastAsia" w:ascii="宋体" w:hAnsi="宋体" w:eastAsia="宋体"/>
          <w:color w:val="auto"/>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起重量限制器调整时使用四倍率滑轮组。</w:t>
      </w:r>
    </w:p>
    <w:p w14:paraId="430739BA">
      <w:pPr>
        <w:ind w:firstLine="480"/>
        <w:rPr>
          <w:rFonts w:hint="eastAsia"/>
          <w:lang w:val="en-US" w:eastAsia="zh-CN"/>
        </w:rPr>
      </w:pPr>
      <w:r>
        <w:rPr>
          <w:rFonts w:hint="eastAsia" w:ascii="宋体" w:hAnsi="宋体" w:eastAsia="宋体"/>
          <w:color w:val="auto"/>
        </w:rPr>
        <w:t>塔机起重量限制器高低速调整完成后，重复额定吊载试验3次以上。</w:t>
      </w:r>
    </w:p>
    <w:p w14:paraId="38FB0B10">
      <w:pPr>
        <w:pStyle w:val="4"/>
        <w:ind w:firstLine="482"/>
        <w:rPr>
          <w:rFonts w:hint="eastAsia" w:ascii="宋体" w:hAnsi="宋体" w:eastAsia="宋体"/>
          <w:color w:val="auto"/>
          <w:lang w:val="en-US" w:eastAsia="zh-CN"/>
        </w:rPr>
      </w:pPr>
      <w:bookmarkStart w:id="237" w:name="_Toc32748"/>
      <w:bookmarkStart w:id="238" w:name="_Toc26325"/>
      <w:r>
        <w:rPr>
          <w:rFonts w:hint="eastAsia" w:ascii="宋体" w:hAnsi="宋体" w:eastAsia="宋体"/>
          <w:color w:val="auto"/>
          <w:lang w:val="en-US" w:eastAsia="zh-CN"/>
        </w:rPr>
        <w:t>6.4.</w:t>
      </w:r>
      <w:r>
        <w:rPr>
          <w:rFonts w:hint="default" w:ascii="宋体" w:hAnsi="宋体" w:eastAsia="宋体"/>
          <w:color w:val="auto"/>
          <w:lang w:val="en-US" w:eastAsia="zh-CN"/>
        </w:rPr>
        <w:t>12.</w:t>
      </w:r>
      <w:r>
        <w:rPr>
          <w:rFonts w:hint="eastAsia" w:ascii="宋体" w:hAnsi="宋体" w:eastAsia="宋体"/>
          <w:color w:val="auto"/>
          <w:lang w:val="en-US" w:eastAsia="zh-CN"/>
        </w:rPr>
        <w:t>顶升</w:t>
      </w:r>
      <w:bookmarkEnd w:id="237"/>
      <w:bookmarkEnd w:id="238"/>
    </w:p>
    <w:p w14:paraId="238486A5">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（1）顶升前的准备</w:t>
      </w:r>
    </w:p>
    <w:p w14:paraId="6D2CC2E4">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按液压泵站要求给其油箱加油，顶升横梁防脱装置的销轴退出踏步的圆孔。</w:t>
      </w:r>
    </w:p>
    <w:p w14:paraId="7DE46080">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清理好各个塔身节，在塔身节连接套内涂上黄油，将待顶升加高用的标准节在顶升位置时的起重臂下排成一排，这样能使塔机在整个顶升加节过程中不用回转机构，能使顶升加节过程所用时间最短。</w:t>
      </w:r>
    </w:p>
    <w:p w14:paraId="1C54387E">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放松电缆长度略大于总的顶升高度，并紧固好电缆。将起重臂旋转至爬升架前方，平衡臂处于爬升架的后方（顶升油缸必须位于平衡臂下方）爬升架平台上准备好塔身高强度销轴。</w:t>
      </w:r>
    </w:p>
    <w:p w14:paraId="6CD8F685">
      <w:pPr>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320DD107">
      <w:pPr>
        <w:autoSpaceDE w:val="0"/>
        <w:autoSpaceDN w:val="0"/>
        <w:adjustRightInd w:val="0"/>
        <w:spacing w:line="240" w:lineRule="auto"/>
        <w:ind w:firstLine="482"/>
        <w:jc w:val="left"/>
        <w:rPr>
          <w:rFonts w:hint="eastAsia" w:cs="宋体"/>
          <w:b/>
          <w:bCs/>
          <w:color w:val="auto"/>
          <w:kern w:val="0"/>
          <w:szCs w:val="24"/>
        </w:rPr>
      </w:pPr>
      <w:r>
        <w:rPr>
          <w:rFonts w:hint="eastAsia" w:cs="宋体"/>
          <w:b/>
          <w:bCs/>
          <w:color w:val="auto"/>
          <w:kern w:val="0"/>
          <w:szCs w:val="24"/>
        </w:rPr>
        <w:t>（</w:t>
      </w:r>
      <w:r>
        <w:rPr>
          <w:rFonts w:cs="宋体"/>
          <w:b/>
          <w:bCs/>
          <w:color w:val="auto"/>
          <w:kern w:val="0"/>
          <w:szCs w:val="24"/>
        </w:rPr>
        <w:t>2</w:t>
      </w:r>
      <w:r>
        <w:rPr>
          <w:rFonts w:hint="eastAsia" w:cs="宋体"/>
          <w:b/>
          <w:bCs/>
          <w:color w:val="auto"/>
          <w:kern w:val="0"/>
          <w:szCs w:val="24"/>
        </w:rPr>
        <w:t>）顶升注意事项</w:t>
      </w:r>
    </w:p>
    <w:p w14:paraId="0A36C486">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239" w:name="_Toc26419"/>
      <w:r>
        <w:rPr>
          <w:rFonts w:hint="eastAsia" w:ascii="宋体" w:hAnsi="宋体" w:eastAsia="宋体" w:cs="宋体"/>
          <w:color w:val="auto"/>
          <w:kern w:val="0"/>
          <w:szCs w:val="24"/>
          <w:lang w:val="en-US" w:eastAsia="zh-CN"/>
        </w:rPr>
        <w:t>塔机最高处风速大于12m/s时，不得进行顶升作业。</w:t>
      </w:r>
      <w:bookmarkEnd w:id="239"/>
      <w:r>
        <w:rPr>
          <w:rFonts w:hint="eastAsia" w:ascii="宋体" w:hAnsi="宋体" w:eastAsia="宋体" w:cs="宋体"/>
          <w:color w:val="auto"/>
          <w:kern w:val="0"/>
          <w:szCs w:val="24"/>
          <w:lang w:val="en-US" w:eastAsia="zh-CN"/>
        </w:rPr>
        <w:t xml:space="preserve"> </w:t>
      </w:r>
    </w:p>
    <w:p w14:paraId="6379ACBB">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1325CF5">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顶升过程中必须保证起重臂与引入标准节方向一致，并利用回转机构制动器将起重臂制动住，载重小车必须停靠在顶升配平位置。 </w:t>
      </w:r>
    </w:p>
    <w:p w14:paraId="3E4687D4">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若要连续加高几节标准节，则每加完一节后，用塔机自身起吊下一节标准节前，塔身4个主弦杆和特殊节必须有8个安全销轴连接。 　　</w:t>
      </w:r>
    </w:p>
    <w:p w14:paraId="2F5FC767">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bookmarkStart w:id="240" w:name="_Toc4999"/>
      <w:r>
        <w:rPr>
          <w:rFonts w:hint="eastAsia" w:ascii="宋体" w:hAnsi="宋体" w:eastAsia="宋体" w:cs="宋体"/>
          <w:color w:val="auto"/>
          <w:kern w:val="0"/>
          <w:szCs w:val="24"/>
          <w:lang w:val="en-US" w:eastAsia="zh-CN"/>
        </w:rPr>
        <w:t>所加标准节上的踏步，必须与已有塔身节对正。</w:t>
      </w:r>
      <w:bookmarkEnd w:id="240"/>
      <w:r>
        <w:rPr>
          <w:rFonts w:hint="eastAsia" w:ascii="宋体" w:hAnsi="宋体" w:eastAsia="宋体" w:cs="宋体"/>
          <w:color w:val="auto"/>
          <w:kern w:val="0"/>
          <w:szCs w:val="24"/>
          <w:lang w:val="en-US" w:eastAsia="zh-CN"/>
        </w:rPr>
        <w:t xml:space="preserve"> </w:t>
      </w:r>
    </w:p>
    <w:p w14:paraId="2C0ED7FE">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在特殊节与塔身没有用销轴连接好之前，严禁起重臂回转、载重小车变幅和吊装作业。 </w:t>
      </w:r>
    </w:p>
    <w:p w14:paraId="467EDBAA">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 xml:space="preserve">在顶升过程中，若液压顶升系统出现异常，应立即停止顶升，收回油缸，将特殊节落在塔身顶部，并用8根销轴将特殊节与塔身连接牢靠后，再排除液压系统的故障。 </w:t>
      </w:r>
    </w:p>
    <w:p w14:paraId="0EE4C4D8">
      <w:pPr>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eastAsia" w:ascii="宋体" w:hAnsi="宋体" w:eastAsia="宋体" w:cs="宋体"/>
          <w:color w:val="auto"/>
          <w:kern w:val="0"/>
          <w:szCs w:val="24"/>
          <w:lang w:val="en-US" w:eastAsia="zh-CN"/>
        </w:rPr>
      </w:pPr>
      <w:r>
        <w:rPr>
          <w:rFonts w:hint="eastAsia" w:ascii="宋体" w:hAnsi="宋体" w:eastAsia="宋体" w:cs="宋体"/>
          <w:color w:val="auto"/>
          <w:kern w:val="0"/>
          <w:szCs w:val="24"/>
          <w:lang w:val="en-US" w:eastAsia="zh-CN"/>
        </w:rPr>
        <w:t>塔机加节达到所需工作高度（但不超过独立高度）后，应旋转起重臂至不同的角度，检查塔身各接头处、基础支脚处螺栓的拧紧问题。</w:t>
      </w:r>
    </w:p>
    <w:p w14:paraId="3A82B434">
      <w:pPr>
        <w:autoSpaceDE w:val="0"/>
        <w:autoSpaceDN w:val="0"/>
        <w:adjustRightInd w:val="0"/>
        <w:spacing w:line="240" w:lineRule="auto"/>
        <w:ind w:firstLine="482"/>
        <w:jc w:val="left"/>
        <w:rPr>
          <w:rFonts w:hint="eastAsia" w:ascii="宋体" w:hAnsi="宋体" w:eastAsia="宋体" w:cs="宋体"/>
          <w:b/>
          <w:bCs/>
          <w:color w:val="auto"/>
          <w:kern w:val="0"/>
          <w:szCs w:val="24"/>
        </w:rPr>
      </w:pPr>
      <w:r>
        <w:rPr>
          <w:rFonts w:hint="eastAsia" w:ascii="宋体" w:hAnsi="宋体" w:eastAsia="宋体" w:cs="宋体"/>
          <w:b/>
          <w:bCs/>
          <w:color w:val="auto"/>
          <w:kern w:val="0"/>
          <w:szCs w:val="24"/>
        </w:rPr>
        <w:t>（3）顶升配平</w:t>
      </w:r>
    </w:p>
    <w:p w14:paraId="51AD1C14">
      <w:pPr>
        <w:ind w:firstLine="480"/>
        <w:rPr>
          <w:rFonts w:hint="eastAsia" w:ascii="宋体" w:hAnsi="宋体" w:eastAsia="宋体"/>
          <w:color w:val="auto"/>
          <w:lang w:val="en-US" w:eastAsia="zh-CN"/>
        </w:rPr>
      </w:pPr>
      <w:r>
        <w:rPr>
          <w:rFonts w:hint="eastAsia" w:ascii="宋体" w:hAnsi="宋体" w:eastAsia="宋体"/>
          <w:color w:val="auto"/>
          <w:lang w:val="en-US" w:eastAsia="zh-CN"/>
        </w:rPr>
        <w:t>1、为了保证顶升安全，塔机在顶升之前必须进行配平，配平的主要方法为：在一定幅度 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622AE9E4">
      <w:pPr>
        <w:ind w:firstLine="480"/>
        <w:rPr>
          <w:rFonts w:hint="eastAsia" w:ascii="宋体" w:hAnsi="宋体" w:eastAsia="宋体"/>
          <w:color w:val="auto"/>
          <w:lang w:val="en-US" w:eastAsia="zh-CN"/>
        </w:rPr>
      </w:pPr>
      <w:r>
        <w:rPr>
          <w:rFonts w:hint="eastAsia" w:ascii="宋体" w:hAnsi="宋体" w:eastAsia="宋体"/>
          <w:color w:val="auto"/>
          <w:lang w:val="en-US" w:eastAsia="zh-CN"/>
        </w:rPr>
        <w:t>2、</w:t>
      </w:r>
      <w:r>
        <w:rPr>
          <w:rFonts w:hint="eastAsia" w:ascii="宋体" w:hAnsi="宋体" w:eastAsia="宋体"/>
          <w:color w:val="auto"/>
          <w:lang w:eastAsia="zh-CN"/>
        </w:rPr>
        <w:t>注意：</w:t>
      </w:r>
      <w:r>
        <w:rPr>
          <w:rFonts w:hint="eastAsia" w:ascii="宋体" w:hAnsi="宋体" w:eastAsia="宋体"/>
          <w:color w:val="auto"/>
          <w:lang w:val="en-US" w:eastAsia="zh-CN"/>
        </w:rPr>
        <w:t>必须使得塔机上部重心落在顶升油缸梁的位置上，方能进行塔机的顶升工作，否则可能会导致塔机倾覆，造成人身伤害安全事故！</w:t>
      </w:r>
    </w:p>
    <w:p w14:paraId="6301AF9F">
      <w:pPr>
        <w:numPr>
          <w:ilvl w:val="0"/>
          <w:numId w:val="0"/>
        </w:numPr>
        <w:jc w:val="center"/>
        <w:rPr>
          <w:rFonts w:hint="default" w:ascii="宋体" w:hAnsi="宋体" w:eastAsia="宋体"/>
          <w:lang w:val="en-US" w:eastAsia="zh-CN"/>
        </w:rPr>
      </w:pPr>
      <w:r>
        <w:drawing>
          <wp:inline distT="0" distB="0" distL="114300" distR="114300">
            <wp:extent cx="5539105" cy="1411605"/>
            <wp:effectExtent l="0" t="0" r="8255" b="57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19"/>
                    <a:stretch>
                      <a:fillRect/>
                    </a:stretch>
                  </pic:blipFill>
                  <pic:spPr>
                    <a:xfrm>
                      <a:off x="0" y="0"/>
                      <a:ext cx="5539105" cy="1411605"/>
                    </a:xfrm>
                    <a:prstGeom prst="rect">
                      <a:avLst/>
                    </a:prstGeom>
                    <a:noFill/>
                    <a:ln>
                      <a:noFill/>
                    </a:ln>
                  </pic:spPr>
                </pic:pic>
              </a:graphicData>
            </a:graphic>
          </wp:inline>
        </w:drawing>
      </w: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塔机配平示意图</w:t>
      </w:r>
    </w:p>
    <w:p w14:paraId="325ED26D">
      <w:pPr>
        <w:numPr>
          <w:ilvl w:val="0"/>
          <w:numId w:val="0"/>
        </w:numPr>
        <w:ind w:leftChars="200"/>
        <w:jc w:val="center"/>
        <w:rPr>
          <w:rFonts w:hint="default" w:ascii="宋体" w:hAnsi="宋体" w:eastAsia="宋体"/>
          <w:lang w:val="en-US" w:eastAsia="zh-CN"/>
        </w:rPr>
      </w:pPr>
      <w:r>
        <w:rPr>
          <w:rFonts w:ascii="宋体" w:hAnsi="宋体" w:eastAsia="宋体"/>
        </w:rPr>
        <w:t xml:space="preserve">表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12</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表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塔机各臂长配平参数明细表</w:t>
      </w:r>
    </w:p>
    <w:p w14:paraId="567A557B">
      <w:pPr>
        <w:pStyle w:val="95"/>
        <w:rPr>
          <w:rFonts w:ascii="宋体" w:hAnsi="宋体" w:eastAsia="宋体" w:cs="宋体"/>
          <w:kern w:val="0"/>
          <w:sz w:val="24"/>
          <w:szCs w:val="24"/>
          <w:lang w:val="en-US" w:eastAsia="zh-CN" w:bidi="ar"/>
        </w:rPr>
      </w:pPr>
      <w:r>
        <w:drawing>
          <wp:inline distT="0" distB="0" distL="114300" distR="114300">
            <wp:extent cx="5537835" cy="2785745"/>
            <wp:effectExtent l="0" t="0" r="9525" b="3175"/>
            <wp:docPr id="13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3"/>
                    <pic:cNvPicPr>
                      <a:picLocks noChangeAspect="1"/>
                    </pic:cNvPicPr>
                  </pic:nvPicPr>
                  <pic:blipFill>
                    <a:blip r:embed="rId120"/>
                    <a:stretch>
                      <a:fillRect/>
                    </a:stretch>
                  </pic:blipFill>
                  <pic:spPr>
                    <a:xfrm>
                      <a:off x="0" y="0"/>
                      <a:ext cx="5537835" cy="2785745"/>
                    </a:xfrm>
                    <a:prstGeom prst="rect">
                      <a:avLst/>
                    </a:prstGeom>
                    <a:noFill/>
                    <a:ln>
                      <a:noFill/>
                    </a:ln>
                  </pic:spPr>
                </pic:pic>
              </a:graphicData>
            </a:graphic>
          </wp:inline>
        </w:drawing>
      </w:r>
    </w:p>
    <w:p w14:paraId="0E8BF49E">
      <w:pPr>
        <w:ind w:firstLine="480"/>
        <w:rPr>
          <w:rFonts w:hint="eastAsia" w:ascii="宋体" w:hAnsi="宋体" w:eastAsia="宋体"/>
          <w:color w:val="auto"/>
        </w:rPr>
      </w:pPr>
      <w:r>
        <w:rPr>
          <w:rFonts w:hint="eastAsia" w:ascii="宋体" w:hAnsi="宋体" w:eastAsia="宋体"/>
          <w:color w:val="auto"/>
          <w:lang w:eastAsia="zh-CN"/>
        </w:rPr>
        <w:t>注意一：</w:t>
      </w:r>
      <w:r>
        <w:rPr>
          <w:rFonts w:hint="eastAsia" w:ascii="宋体" w:hAnsi="宋体" w:eastAsia="宋体"/>
          <w:color w:val="auto"/>
          <w:lang w:val="en-US" w:eastAsia="zh-CN"/>
        </w:rPr>
        <w:t>上表中的数据为理论配平尺寸，实际配平时以观察下支座支腿与塔身主弦杆在一条垂直线上，并观察爬升架 8 个导轮与塔身主弦杆间隙基本相同为准，否则可能造成配平错误，导致顶升倾覆安全事故。</w:t>
      </w:r>
    </w:p>
    <w:p w14:paraId="47ECF13F">
      <w:pPr>
        <w:ind w:firstLine="480"/>
        <w:rPr>
          <w:rFonts w:hint="eastAsia" w:ascii="宋体" w:hAnsi="宋体" w:eastAsia="宋体"/>
          <w:color w:val="auto"/>
        </w:rPr>
      </w:pPr>
      <w:r>
        <w:rPr>
          <w:rFonts w:hint="eastAsia" w:ascii="宋体" w:hAnsi="宋体" w:eastAsia="宋体"/>
          <w:color w:val="auto"/>
          <w:lang w:val="en-US" w:eastAsia="zh-CN"/>
        </w:rPr>
        <w:t xml:space="preserve">注意二：在顶升过程中禁止： </w:t>
      </w:r>
    </w:p>
    <w:p w14:paraId="72655E1E">
      <w:pPr>
        <w:ind w:firstLine="480"/>
        <w:rPr>
          <w:rFonts w:hint="eastAsia" w:ascii="宋体" w:hAnsi="宋体" w:eastAsia="宋体"/>
          <w:color w:val="auto"/>
        </w:rPr>
      </w:pPr>
      <w:r>
        <w:rPr>
          <w:rFonts w:hint="eastAsia" w:ascii="宋体" w:hAnsi="宋体" w:eastAsia="宋体"/>
          <w:color w:val="auto"/>
          <w:lang w:val="en-US" w:eastAsia="zh-CN"/>
        </w:rPr>
        <w:t>1）回转起重臂。</w:t>
      </w:r>
    </w:p>
    <w:p w14:paraId="17C6B2AF">
      <w:pPr>
        <w:ind w:firstLine="480"/>
        <w:rPr>
          <w:rFonts w:hint="eastAsia" w:ascii="宋体" w:hAnsi="宋体" w:eastAsia="宋体"/>
          <w:color w:val="auto"/>
        </w:rPr>
      </w:pPr>
      <w:r>
        <w:rPr>
          <w:rFonts w:hint="eastAsia" w:ascii="宋体" w:hAnsi="宋体" w:eastAsia="宋体"/>
          <w:color w:val="auto"/>
          <w:lang w:val="en-US" w:eastAsia="zh-CN"/>
        </w:rPr>
        <w:t xml:space="preserve">2）移动小车。 </w:t>
      </w:r>
    </w:p>
    <w:p w14:paraId="78763977">
      <w:pPr>
        <w:ind w:firstLine="480"/>
        <w:rPr>
          <w:rFonts w:hint="eastAsia" w:ascii="宋体" w:hAnsi="宋体" w:eastAsia="宋体"/>
          <w:color w:val="auto"/>
        </w:rPr>
      </w:pPr>
      <w:r>
        <w:rPr>
          <w:rFonts w:hint="eastAsia" w:ascii="宋体" w:hAnsi="宋体" w:eastAsia="宋体"/>
          <w:color w:val="auto"/>
          <w:lang w:val="en-US" w:eastAsia="zh-CN"/>
        </w:rPr>
        <w:t xml:space="preserve">3）提升重物（上升及下降）。 </w:t>
      </w:r>
    </w:p>
    <w:p w14:paraId="751AE8DE">
      <w:pPr>
        <w:ind w:firstLine="480"/>
        <w:rPr>
          <w:rFonts w:hint="eastAsia" w:ascii="宋体" w:hAnsi="宋体" w:eastAsia="宋体"/>
          <w:color w:val="auto"/>
        </w:rPr>
      </w:pPr>
      <w:r>
        <w:rPr>
          <w:rFonts w:hint="eastAsia" w:ascii="宋体" w:hAnsi="宋体" w:eastAsia="宋体"/>
          <w:color w:val="auto"/>
          <w:lang w:val="en-US" w:eastAsia="zh-CN"/>
        </w:rPr>
        <w:t>否则将会造成产品损坏及人身伤害安全事故！</w:t>
      </w:r>
    </w:p>
    <w:p w14:paraId="0272C09B">
      <w:pPr>
        <w:ind w:firstLine="480"/>
        <w:rPr>
          <w:rFonts w:hint="default" w:ascii="宋体" w:hAnsi="宋体" w:eastAsia="宋体"/>
          <w:color w:val="auto"/>
          <w:lang w:val="en-US" w:eastAsia="zh-CN"/>
        </w:rPr>
      </w:pPr>
      <w:bookmarkStart w:id="241" w:name="_Toc6008"/>
      <w:r>
        <w:rPr>
          <w:rFonts w:hint="eastAsia" w:ascii="宋体" w:hAnsi="宋体" w:eastAsia="宋体"/>
          <w:color w:val="auto"/>
          <w:lang w:val="en-US" w:eastAsia="zh-CN"/>
        </w:rPr>
        <w:t>3、</w:t>
      </w:r>
      <w:r>
        <w:rPr>
          <w:rFonts w:hint="eastAsia" w:ascii="宋体" w:hAnsi="宋体" w:eastAsia="宋体"/>
          <w:color w:val="auto"/>
          <w:lang w:eastAsia="zh-CN"/>
        </w:rPr>
        <w:t>一般说明</w:t>
      </w:r>
      <w:bookmarkEnd w:id="241"/>
    </w:p>
    <w:p w14:paraId="7EA32510">
      <w:pPr>
        <w:ind w:firstLine="480"/>
        <w:rPr>
          <w:rFonts w:hint="eastAsia" w:ascii="宋体" w:hAnsi="宋体" w:eastAsia="宋体"/>
          <w:color w:val="auto"/>
          <w:lang w:val="en-US" w:eastAsia="zh-CN"/>
        </w:rPr>
      </w:pPr>
      <w:r>
        <w:rPr>
          <w:rFonts w:hint="eastAsia" w:ascii="宋体" w:hAnsi="宋体" w:eastAsia="宋体"/>
          <w:color w:val="auto"/>
          <w:lang w:val="en-US" w:eastAsia="zh-CN"/>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5B88BA6E">
      <w:pPr>
        <w:ind w:firstLine="480"/>
        <w:rPr>
          <w:rFonts w:hint="eastAsia" w:ascii="宋体" w:hAnsi="宋体" w:eastAsia="宋体"/>
          <w:color w:val="auto"/>
          <w:lang w:val="en-US" w:eastAsia="zh-CN"/>
        </w:rPr>
      </w:pPr>
      <w:bookmarkStart w:id="242" w:name="_Toc20784"/>
      <w:r>
        <w:rPr>
          <w:rFonts w:hint="eastAsia" w:ascii="宋体" w:hAnsi="宋体" w:eastAsia="宋体"/>
          <w:color w:val="auto"/>
          <w:lang w:val="en-US" w:eastAsia="zh-CN"/>
        </w:rPr>
        <w:t>4、顶升原理</w:t>
      </w:r>
      <w:bookmarkEnd w:id="242"/>
    </w:p>
    <w:p w14:paraId="595EECDE">
      <w:pPr>
        <w:ind w:firstLine="480"/>
        <w:rPr>
          <w:rFonts w:hint="eastAsia" w:ascii="宋体" w:hAnsi="宋体" w:eastAsia="宋体"/>
          <w:color w:val="auto"/>
        </w:rPr>
      </w:pPr>
      <w:r>
        <w:rPr>
          <w:rFonts w:hint="eastAsia" w:ascii="宋体" w:hAnsi="宋体" w:eastAsia="宋体"/>
          <w:color w:val="auto"/>
        </w:rPr>
        <w:t>1)顶升程序包括一系列操作过程，这些操作过程需要重复进行几次。</w:t>
      </w:r>
    </w:p>
    <w:p w14:paraId="22527CEE">
      <w:pPr>
        <w:ind w:firstLine="480"/>
        <w:rPr>
          <w:rFonts w:hint="eastAsia" w:ascii="宋体" w:hAnsi="宋体" w:eastAsia="宋体"/>
          <w:color w:val="auto"/>
        </w:rPr>
      </w:pPr>
      <w:r>
        <w:rPr>
          <w:rFonts w:hint="eastAsia" w:ascii="宋体" w:hAnsi="宋体" w:eastAsia="宋体"/>
          <w:color w:val="auto"/>
        </w:rPr>
        <w:t>2)将顶升横梁上的挂靴放入标准节上就近的一组顶升耳座内，并用安全销将挂靴与标准节固定，防止挂靴脱出顶升耳座。</w:t>
      </w:r>
    </w:p>
    <w:p w14:paraId="1F66DEE4">
      <w:pPr>
        <w:ind w:firstLine="480"/>
        <w:rPr>
          <w:rFonts w:hint="eastAsia" w:ascii="宋体" w:hAnsi="宋体" w:eastAsia="宋体"/>
          <w:color w:val="auto"/>
        </w:rPr>
      </w:pPr>
      <w:r>
        <w:rPr>
          <w:rFonts w:hint="eastAsia" w:ascii="宋体" w:hAnsi="宋体" w:eastAsia="宋体"/>
          <w:color w:val="auto"/>
        </w:rPr>
        <w:t>3)将塔机回转以上部分配平，使其重心位置落在顶升油缸上。</w:t>
      </w:r>
    </w:p>
    <w:p w14:paraId="7C8C9CF2">
      <w:pPr>
        <w:ind w:firstLine="480"/>
        <w:rPr>
          <w:rFonts w:hint="eastAsia" w:ascii="宋体" w:hAnsi="宋体" w:eastAsia="宋体"/>
          <w:color w:val="auto"/>
        </w:rPr>
      </w:pPr>
      <w:r>
        <w:rPr>
          <w:rFonts w:hint="eastAsia" w:ascii="宋体" w:hAnsi="宋体" w:eastAsia="宋体"/>
          <w:color w:val="auto"/>
        </w:rPr>
        <w:t>4)用顶升横梁上的顶升油缸顶起塔机下支座及以上部分。</w:t>
      </w:r>
    </w:p>
    <w:p w14:paraId="1D8017F6">
      <w:pPr>
        <w:ind w:firstLine="480"/>
        <w:rPr>
          <w:rFonts w:hint="eastAsia" w:ascii="宋体" w:hAnsi="宋体" w:eastAsia="宋体"/>
          <w:color w:val="auto"/>
        </w:rPr>
      </w:pPr>
      <w:r>
        <w:rPr>
          <w:rFonts w:hint="eastAsia" w:ascii="宋体" w:hAnsi="宋体" w:eastAsia="宋体"/>
          <w:color w:val="auto"/>
        </w:rPr>
        <w:t>5)用套架制动块将顶起的塔机部分支撑在塔身的顶各项耳座上。</w:t>
      </w:r>
    </w:p>
    <w:p w14:paraId="12B8D267">
      <w:pPr>
        <w:ind w:firstLine="480"/>
        <w:rPr>
          <w:rFonts w:hint="eastAsia" w:ascii="宋体" w:hAnsi="宋体" w:eastAsia="宋体"/>
          <w:color w:val="auto"/>
        </w:rPr>
      </w:pPr>
      <w:r>
        <w:rPr>
          <w:rFonts w:hint="eastAsia" w:ascii="宋体" w:hAnsi="宋体" w:eastAsia="宋体"/>
          <w:color w:val="auto"/>
        </w:rPr>
        <w:t>6)抽出将挂靴锁闭在耳座上的安全销。</w:t>
      </w:r>
    </w:p>
    <w:p w14:paraId="453EA1B2">
      <w:pPr>
        <w:ind w:firstLine="480"/>
        <w:rPr>
          <w:rFonts w:hint="eastAsia" w:ascii="宋体" w:hAnsi="宋体" w:eastAsia="宋体"/>
          <w:color w:val="auto"/>
        </w:rPr>
      </w:pPr>
      <w:r>
        <w:rPr>
          <w:rFonts w:hint="eastAsia" w:ascii="宋体" w:hAnsi="宋体" w:eastAsia="宋体"/>
          <w:color w:val="auto"/>
        </w:rPr>
        <w:t>7)收回油缸活塞杆，将顶升横梁组件提起。</w:t>
      </w:r>
    </w:p>
    <w:p w14:paraId="62B41671">
      <w:pPr>
        <w:ind w:firstLine="480"/>
        <w:rPr>
          <w:rFonts w:hint="eastAsia" w:ascii="宋体" w:hAnsi="宋体" w:eastAsia="宋体"/>
          <w:color w:val="auto"/>
        </w:rPr>
      </w:pPr>
      <w:r>
        <w:rPr>
          <w:rFonts w:hint="eastAsia" w:ascii="宋体" w:hAnsi="宋体" w:eastAsia="宋体"/>
          <w:color w:val="auto"/>
        </w:rPr>
        <w:t>8)重新将顶升横梁放到上一对顶升耳座内，再开始做下一个工作循环。</w:t>
      </w:r>
    </w:p>
    <w:p w14:paraId="250D06AE">
      <w:pPr>
        <w:ind w:firstLine="480"/>
        <w:rPr>
          <w:rFonts w:hint="eastAsia" w:ascii="宋体" w:hAnsi="宋体" w:eastAsia="宋体"/>
          <w:color w:val="auto"/>
        </w:rPr>
      </w:pPr>
      <w:r>
        <w:rPr>
          <w:rFonts w:hint="eastAsia" w:ascii="宋体" w:hAnsi="宋体" w:eastAsia="宋体"/>
          <w:color w:val="auto"/>
        </w:rPr>
        <w:t>9)顶升油缸活塞杆的工作行程略为1.6米，顶升两次可安装一节标准节。</w:t>
      </w:r>
    </w:p>
    <w:p w14:paraId="4C1A1832">
      <w:pPr>
        <w:ind w:firstLine="480"/>
        <w:rPr>
          <w:rFonts w:hint="default" w:ascii="宋体" w:hAnsi="宋体" w:eastAsia="宋体"/>
          <w:color w:val="auto"/>
          <w:lang w:val="en-US" w:eastAsia="zh-CN"/>
        </w:rPr>
      </w:pPr>
      <w:r>
        <w:rPr>
          <w:rFonts w:hint="eastAsia" w:ascii="宋体" w:hAnsi="宋体" w:eastAsia="宋体"/>
          <w:color w:val="auto"/>
          <w:lang w:val="en-US" w:eastAsia="zh-CN"/>
        </w:rPr>
        <w:t xml:space="preserve">  </w:t>
      </w:r>
      <w:bookmarkStart w:id="243" w:name="_Toc26861"/>
      <w:r>
        <w:rPr>
          <w:rFonts w:hint="eastAsia" w:ascii="宋体" w:hAnsi="宋体" w:eastAsia="宋体"/>
          <w:color w:val="auto"/>
          <w:lang w:val="en-US" w:eastAsia="zh-CN"/>
        </w:rPr>
        <w:t>5、配平起重机</w:t>
      </w:r>
      <w:bookmarkEnd w:id="243"/>
    </w:p>
    <w:p w14:paraId="48B26A58">
      <w:pPr>
        <w:ind w:firstLine="480"/>
        <w:rPr>
          <w:rFonts w:hint="eastAsia" w:ascii="宋体" w:hAnsi="宋体" w:eastAsia="宋体"/>
          <w:color w:val="auto"/>
        </w:rPr>
      </w:pPr>
      <w:bookmarkStart w:id="244" w:name="_Toc11321"/>
      <w:r>
        <w:rPr>
          <w:rFonts w:hint="eastAsia" w:ascii="宋体" w:hAnsi="宋体" w:eastAsia="宋体"/>
          <w:color w:val="auto"/>
          <w:lang w:val="en-US" w:eastAsia="zh-CN"/>
        </w:rPr>
        <w:t>1）准备</w:t>
      </w:r>
      <w:bookmarkEnd w:id="244"/>
      <w:r>
        <w:rPr>
          <w:rFonts w:hint="eastAsia" w:ascii="宋体" w:hAnsi="宋体" w:eastAsia="宋体"/>
          <w:color w:val="auto"/>
          <w:lang w:val="en-US" w:eastAsia="zh-CN"/>
        </w:rPr>
        <w:t xml:space="preserve"> </w:t>
      </w:r>
    </w:p>
    <w:p w14:paraId="4133E1AD">
      <w:pPr>
        <w:ind w:firstLine="480"/>
        <w:rPr>
          <w:rFonts w:hint="eastAsia" w:ascii="宋体" w:hAnsi="宋体" w:eastAsia="宋体"/>
          <w:color w:val="auto"/>
        </w:rPr>
      </w:pPr>
      <w:r>
        <w:rPr>
          <w:rFonts w:hint="eastAsia" w:ascii="宋体" w:hAnsi="宋体" w:eastAsia="宋体"/>
          <w:color w:val="auto"/>
          <w:lang w:val="en-US" w:eastAsia="zh-CN"/>
        </w:rPr>
        <w:t xml:space="preserve">检查确认引进平台上放置着一个标节。 检查确认爬升架由销轴固定到特殊节上。 将变幅小车移到理论上的平衡距离。取下最后一节标节与特殊节之间的连接销轴。 </w:t>
      </w:r>
    </w:p>
    <w:p w14:paraId="5A013EE4">
      <w:pPr>
        <w:ind w:firstLine="480"/>
        <w:rPr>
          <w:rFonts w:hint="eastAsia" w:ascii="宋体" w:hAnsi="宋体" w:eastAsia="宋体"/>
          <w:color w:val="auto"/>
          <w:lang w:val="en-US" w:eastAsia="zh-CN"/>
        </w:rPr>
      </w:pPr>
      <w:bookmarkStart w:id="245" w:name="_Toc30525"/>
      <w:r>
        <w:rPr>
          <w:rFonts w:hint="eastAsia" w:ascii="宋体" w:hAnsi="宋体" w:eastAsia="宋体"/>
          <w:color w:val="auto"/>
          <w:lang w:val="en-US" w:eastAsia="zh-CN"/>
        </w:rPr>
        <w:t>2）配平</w:t>
      </w:r>
      <w:bookmarkEnd w:id="245"/>
      <w:r>
        <w:rPr>
          <w:rFonts w:hint="eastAsia" w:ascii="宋体" w:hAnsi="宋体" w:eastAsia="宋体"/>
          <w:color w:val="auto"/>
          <w:lang w:val="en-US" w:eastAsia="zh-CN"/>
        </w:rPr>
        <w:t xml:space="preserve"> </w:t>
      </w:r>
    </w:p>
    <w:p w14:paraId="0FE2E035">
      <w:pPr>
        <w:ind w:firstLine="480"/>
        <w:rPr>
          <w:rFonts w:hint="eastAsia" w:ascii="宋体" w:hAnsi="宋体" w:eastAsia="宋体" w:cs="宋体"/>
          <w:b w:val="0"/>
          <w:bCs w:val="0"/>
          <w:color w:val="auto"/>
        </w:rPr>
      </w:pPr>
      <w:r>
        <w:rPr>
          <w:rFonts w:hint="eastAsia" w:ascii="宋体" w:hAnsi="宋体" w:eastAsia="宋体"/>
          <w:color w:val="auto"/>
          <w:lang w:val="en-US" w:eastAsia="zh-CN"/>
        </w:rPr>
        <w:t>注意：只有在特殊节支脚被顶起离开塔身连接套时方可进行配平微调。</w:t>
      </w:r>
    </w:p>
    <w:p w14:paraId="2A494900">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color w:val="auto"/>
          <w:kern w:val="0"/>
          <w:sz w:val="24"/>
          <w:szCs w:val="24"/>
          <w:lang w:val="en-US" w:eastAsia="zh-CN" w:bidi="ar"/>
        </w:rPr>
      </w:pPr>
      <w:r>
        <w:drawing>
          <wp:inline distT="0" distB="0" distL="114300" distR="114300">
            <wp:extent cx="5538470" cy="1619250"/>
            <wp:effectExtent l="0" t="0" r="8890" b="1143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121"/>
                    <a:stretch>
                      <a:fillRect/>
                    </a:stretch>
                  </pic:blipFill>
                  <pic:spPr>
                    <a:xfrm>
                      <a:off x="0" y="0"/>
                      <a:ext cx="5538470" cy="1619250"/>
                    </a:xfrm>
                    <a:prstGeom prst="rect">
                      <a:avLst/>
                    </a:prstGeom>
                    <a:noFill/>
                    <a:ln>
                      <a:noFill/>
                    </a:ln>
                  </pic:spPr>
                </pic:pic>
              </a:graphicData>
            </a:graphic>
          </wp:inline>
        </w:drawing>
      </w:r>
    </w:p>
    <w:p w14:paraId="71BEEEE6">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hint="eastAsia" w:ascii="宋体" w:hAnsi="宋体" w:eastAsia="宋体"/>
          <w:lang w:val="en-US" w:eastAsia="zh-CN"/>
        </w:rPr>
        <w:t>塔机配平示意图</w:t>
      </w:r>
    </w:p>
    <w:p w14:paraId="7212906E">
      <w:pPr>
        <w:ind w:firstLine="480"/>
        <w:rPr>
          <w:rFonts w:hint="eastAsia" w:ascii="宋体" w:hAnsi="宋体" w:eastAsia="宋体"/>
          <w:color w:val="auto"/>
        </w:rPr>
      </w:pPr>
      <w:r>
        <w:rPr>
          <w:rFonts w:hint="eastAsia" w:ascii="宋体" w:hAnsi="宋体" w:eastAsia="宋体"/>
          <w:color w:val="auto"/>
          <w:lang w:val="en-US" w:eastAsia="zh-CN"/>
        </w:rPr>
        <w:t xml:space="preserve">塔机配平前，必须先将载重小车运行到配平参考位置，并吊起一节标准节（顶升时必须根据实际情况的需要调整），然后拆除特殊节四个支腿与标准节的连接销轴。 </w:t>
      </w:r>
    </w:p>
    <w:p w14:paraId="3F6E39F8">
      <w:pPr>
        <w:ind w:firstLine="480"/>
        <w:rPr>
          <w:rFonts w:hint="eastAsia" w:ascii="宋体" w:hAnsi="宋体" w:eastAsia="宋体"/>
          <w:color w:val="auto"/>
        </w:rPr>
      </w:pPr>
      <w:r>
        <w:rPr>
          <w:rFonts w:hint="eastAsia" w:ascii="宋体" w:hAnsi="宋体" w:eastAsia="宋体"/>
          <w:color w:val="auto"/>
          <w:lang w:val="en-US" w:eastAsia="zh-CN"/>
        </w:rPr>
        <w:t xml:space="preserve">将液压顶升系统操纵杆推至“顶升”方向，使爬升架顶升至特殊节支腿刚刚脱离塔身节的主弦杆的位置。 </w:t>
      </w:r>
    </w:p>
    <w:p w14:paraId="4F80C4DC">
      <w:pPr>
        <w:ind w:firstLine="480"/>
        <w:rPr>
          <w:rFonts w:hint="eastAsia" w:ascii="宋体" w:hAnsi="宋体" w:eastAsia="宋体"/>
          <w:color w:val="auto"/>
        </w:rPr>
      </w:pPr>
      <w:r>
        <w:rPr>
          <w:rFonts w:hint="eastAsia" w:ascii="宋体" w:hAnsi="宋体" w:eastAsia="宋体"/>
          <w:color w:val="auto"/>
          <w:lang w:val="en-US" w:eastAsia="zh-CN"/>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4838BD85">
      <w:pPr>
        <w:ind w:firstLine="480"/>
        <w:rPr>
          <w:rFonts w:hint="eastAsia" w:ascii="宋体" w:hAnsi="宋体" w:eastAsia="宋体"/>
          <w:color w:val="auto"/>
        </w:rPr>
      </w:pPr>
      <w:r>
        <w:rPr>
          <w:rFonts w:hint="eastAsia" w:ascii="宋体" w:hAnsi="宋体" w:eastAsia="宋体"/>
          <w:color w:val="auto"/>
          <w:lang w:val="en-US" w:eastAsia="zh-CN"/>
        </w:rPr>
        <w:t xml:space="preserve">记录下载重小车的配平位置。但要注意该位置随起重臂长度不同而改变。 </w:t>
      </w:r>
    </w:p>
    <w:p w14:paraId="74F86D57">
      <w:pPr>
        <w:ind w:firstLine="480"/>
        <w:rPr>
          <w:rFonts w:hint="eastAsia" w:ascii="宋体" w:hAnsi="宋体" w:eastAsia="宋体"/>
          <w:color w:val="auto"/>
          <w:lang w:val="en-US" w:eastAsia="zh-CN"/>
        </w:rPr>
      </w:pPr>
      <w:r>
        <w:rPr>
          <w:rFonts w:hint="eastAsia" w:ascii="宋体" w:hAnsi="宋体" w:eastAsia="宋体"/>
          <w:color w:val="auto"/>
          <w:lang w:val="en-US" w:eastAsia="zh-CN"/>
        </w:rPr>
        <w:t>操纵液压系统使爬升架下降，连接好特殊节塔身节间的连接销轴。</w:t>
      </w:r>
    </w:p>
    <w:p w14:paraId="1DE03A33">
      <w:pPr>
        <w:autoSpaceDE w:val="0"/>
        <w:autoSpaceDN w:val="0"/>
        <w:adjustRightInd w:val="0"/>
        <w:spacing w:line="240" w:lineRule="auto"/>
        <w:ind w:firstLine="482"/>
        <w:jc w:val="left"/>
        <w:rPr>
          <w:rFonts w:hint="eastAsia" w:eastAsia="宋体" w:cs="宋体"/>
          <w:b/>
          <w:bCs/>
          <w:color w:val="auto"/>
          <w:kern w:val="0"/>
          <w:szCs w:val="24"/>
          <w:lang w:eastAsia="zh-CN"/>
        </w:rPr>
      </w:pPr>
      <w:r>
        <w:rPr>
          <w:rFonts w:hint="eastAsia" w:cs="宋体"/>
          <w:b/>
          <w:bCs/>
          <w:color w:val="auto"/>
          <w:kern w:val="0"/>
          <w:szCs w:val="24"/>
        </w:rPr>
        <w:t>（4）顶升</w:t>
      </w:r>
      <w:r>
        <w:rPr>
          <w:rFonts w:hint="eastAsia" w:cs="宋体"/>
          <w:b/>
          <w:bCs/>
          <w:color w:val="auto"/>
          <w:kern w:val="0"/>
          <w:szCs w:val="24"/>
          <w:lang w:val="en-US" w:eastAsia="zh-CN"/>
        </w:rPr>
        <w:t>作业</w:t>
      </w:r>
    </w:p>
    <w:p w14:paraId="1358325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auto"/>
          <w:lang w:val="en-US" w:eastAsia="zh-CN"/>
        </w:rPr>
      </w:pPr>
      <w:bookmarkStart w:id="246" w:name="_Toc7545"/>
      <w:r>
        <w:rPr>
          <w:rFonts w:hint="eastAsia" w:ascii="宋体" w:hAnsi="宋体" w:eastAsia="宋体" w:cs="宋体"/>
          <w:color w:val="auto"/>
          <w:lang w:val="en-US" w:eastAsia="zh-CN"/>
        </w:rPr>
        <w:t>1）顶升作业顺序</w:t>
      </w:r>
      <w:bookmarkEnd w:id="246"/>
    </w:p>
    <w:p w14:paraId="5F08822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67E3D9C8">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使用回转机构上的回转制动器，将塔机上部机构处于制动状态； </w:t>
      </w:r>
    </w:p>
    <w:p w14:paraId="6D4B1317">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将引进梁小车①安装至根据塔身组成选出的标节②上； </w:t>
      </w:r>
    </w:p>
    <w:p w14:paraId="6EAFCC7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将引进梁小车①挂在顶升吊钩③上，吊起总成然后将小车①钩挂在引进梁④上，确保标节的顶升踏步⑤位于起重机侧，如下图</w:t>
      </w:r>
    </w:p>
    <w:p w14:paraId="48338A28">
      <w:pPr>
        <w:keepNext w:val="0"/>
        <w:keepLines w:val="0"/>
        <w:suppressLineNumbers w:val="0"/>
        <w:spacing w:beforeAutospacing="0" w:afterAutospacing="0" w:line="240" w:lineRule="auto"/>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61585" cy="1556385"/>
            <wp:effectExtent l="0" t="0" r="13335" b="13335"/>
            <wp:docPr id="139" name="图片 32" descr="IMG_256"/>
            <wp:cNvGraphicFramePr/>
            <a:graphic xmlns:a="http://schemas.openxmlformats.org/drawingml/2006/main">
              <a:graphicData uri="http://schemas.openxmlformats.org/drawingml/2006/picture">
                <pic:pic xmlns:pic="http://schemas.openxmlformats.org/drawingml/2006/picture">
                  <pic:nvPicPr>
                    <pic:cNvPr id="139" name="图片 32" descr="IMG_256"/>
                    <pic:cNvPicPr/>
                  </pic:nvPicPr>
                  <pic:blipFill>
                    <a:blip r:embed="rId122"/>
                    <a:stretch>
                      <a:fillRect/>
                    </a:stretch>
                  </pic:blipFill>
                  <pic:spPr>
                    <a:xfrm>
                      <a:off x="0" y="0"/>
                      <a:ext cx="5061585" cy="1556385"/>
                    </a:xfrm>
                    <a:prstGeom prst="rect">
                      <a:avLst/>
                    </a:prstGeom>
                    <a:ln w="9525">
                      <a:noFill/>
                    </a:ln>
                  </pic:spPr>
                </pic:pic>
              </a:graphicData>
            </a:graphic>
          </wp:inline>
        </w:drawing>
      </w:r>
    </w:p>
    <w:p w14:paraId="12E78F15">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hint="eastAsia" w:ascii="宋体" w:hAnsi="宋体" w:eastAsia="宋体"/>
          <w:lang w:val="en-US" w:eastAsia="zh-CN"/>
        </w:rPr>
        <w:t>顶升作业顺序示意图1</w:t>
      </w:r>
    </w:p>
    <w:p w14:paraId="5FFC75CD">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vertAlign w:val="baseline"/>
        </w:rPr>
      </w:pPr>
      <w:r>
        <w:rPr>
          <w:rFonts w:hint="eastAsia" w:ascii="宋体" w:hAnsi="宋体" w:eastAsia="宋体" w:cs="宋体"/>
          <w:b w:val="0"/>
          <w:bCs w:val="0"/>
          <w:color w:val="000000"/>
          <w:kern w:val="0"/>
          <w:sz w:val="24"/>
          <w:szCs w:val="24"/>
          <w:lang w:val="en-US" w:eastAsia="zh-CN" w:bidi="ar"/>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防脱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p w14:paraId="5E3FEC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08EDCDD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－－顶升横梁固定在踏步之后安全销③必须插入锁定，否则可能造成顶升横梁脱落； </w:t>
      </w:r>
    </w:p>
    <w:p w14:paraId="3A2496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－－安全销③未退出标准节踏步（A）的防脱销孔，启动顶升机构强行使顶升横梁脱离标准节踏步会损坏防脱销轴。</w:t>
      </w:r>
    </w:p>
    <w:p w14:paraId="2720143F">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慢慢顶升直到特殊节根部⑦微微脱离标准节鱼尾板⑧； </w:t>
      </w:r>
    </w:p>
    <w:p w14:paraId="29EBCDF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顶升直到顶升套架棘爪⑨位于标准节的踏步（C）正上方，松开棘爪⑨； </w:t>
      </w:r>
    </w:p>
    <w:p w14:paraId="524EAEB4">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慢慢将液压杆推至“下降”位，慢慢操作操纵杆⑩以便将棘爪⑨靠在踏步（C）上； </w:t>
      </w:r>
    </w:p>
    <w:p w14:paraId="1194D97F">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顶升套架通过爬爪⑨靠在踏步（C）上后。微微推动液压杆“向下”以便释放横梁①的销 轴②。然后通过拿掉安全销③将横梁①从踏步（A）上解锁。 </w:t>
      </w:r>
    </w:p>
    <w:p w14:paraId="7E350D62">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将顶升横梁①从踏步（A）上拿掉后，将液压杆推至“上升”方向以便提升横梁①。 </w:t>
      </w:r>
    </w:p>
    <w:p w14:paraId="3634BA05">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继续操作直到顶升横梁①能够垂直坐落并销连至踏步（B）。用销轴②将横梁①钩至 顶升踏步（B）通过销轴②和安全销③将其锁定。穿入安全销⑪和开口销⑫， </w:t>
      </w:r>
    </w:p>
    <w:p w14:paraId="3F5190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如下图所示。</w:t>
      </w:r>
    </w:p>
    <w:p w14:paraId="2609B538">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661920" cy="2456180"/>
            <wp:effectExtent l="0" t="0" r="5080" b="12700"/>
            <wp:docPr id="140" name="图片 33" descr="IMG_256"/>
            <wp:cNvGraphicFramePr/>
            <a:graphic xmlns:a="http://schemas.openxmlformats.org/drawingml/2006/main">
              <a:graphicData uri="http://schemas.openxmlformats.org/drawingml/2006/picture">
                <pic:pic xmlns:pic="http://schemas.openxmlformats.org/drawingml/2006/picture">
                  <pic:nvPicPr>
                    <pic:cNvPr id="140" name="图片 33" descr="IMG_256"/>
                    <pic:cNvPicPr/>
                  </pic:nvPicPr>
                  <pic:blipFill>
                    <a:blip r:embed="rId123"/>
                    <a:stretch>
                      <a:fillRect/>
                    </a:stretch>
                  </pic:blipFill>
                  <pic:spPr>
                    <a:xfrm>
                      <a:off x="0" y="0"/>
                      <a:ext cx="2661920" cy="2456180"/>
                    </a:xfrm>
                    <a:prstGeom prst="rect">
                      <a:avLst/>
                    </a:prstGeom>
                    <a:ln w="9525">
                      <a:noFill/>
                    </a:ln>
                  </pic:spPr>
                </pic:pic>
              </a:graphicData>
            </a:graphic>
          </wp:inline>
        </w:drawing>
      </w:r>
    </w:p>
    <w:p w14:paraId="1A0720E8">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4</w:t>
      </w:r>
      <w:r>
        <w:rPr>
          <w:rFonts w:ascii="宋体" w:hAnsi="宋体" w:eastAsia="宋体"/>
        </w:rPr>
        <w:fldChar w:fldCharType="end"/>
      </w:r>
      <w:r>
        <w:rPr>
          <w:rFonts w:hint="eastAsia" w:ascii="宋体" w:hAnsi="宋体" w:eastAsia="宋体"/>
          <w:lang w:val="en-US" w:eastAsia="zh-CN"/>
        </w:rPr>
        <w:t>顶升作业顺序示意图2</w:t>
      </w:r>
    </w:p>
    <w:p w14:paraId="71B698B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注意：</w:t>
      </w:r>
      <w:r>
        <w:rPr>
          <w:rFonts w:hint="eastAsia" w:ascii="宋体" w:hAnsi="宋体" w:eastAsia="宋体" w:cs="宋体"/>
          <w:b w:val="0"/>
          <w:bCs w:val="0"/>
          <w:color w:val="000000"/>
          <w:kern w:val="0"/>
          <w:sz w:val="24"/>
          <w:szCs w:val="24"/>
          <w:lang w:val="en-US" w:eastAsia="zh-CN" w:bidi="ar"/>
        </w:rPr>
        <w:t xml:space="preserve">棘爪⑨坐落在踏步上同时必须穿入销轴⑩和开口销⑪以保证棘⑨不会从 踏步上脱落。 </w:t>
      </w:r>
    </w:p>
    <w:p w14:paraId="4DB6F2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重复上述循环以便获得将标节引入顶升套架所需的空间（X），此时起重机各部分位于下述位置：</w:t>
      </w:r>
    </w:p>
    <w:p w14:paraId="0AE27F5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——被顶起的部分通过顶升套架的两个棘爪①准确的压在标节踏步（E）上且无局部变形、异 响等异常情况；</w:t>
      </w:r>
    </w:p>
    <w:p w14:paraId="13A64DA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——横梁②按第一步所述方式锁定在标节踏步（C）上。活塞杆几乎完全伸出，整个行程不许爬升架上层导轮脱离塔身节的固定部分。</w:t>
      </w:r>
    </w:p>
    <w:p w14:paraId="635DFF86">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17545" cy="2308225"/>
            <wp:effectExtent l="0" t="0" r="13335" b="8255"/>
            <wp:docPr id="141" name="图片 34" descr="IMG_256"/>
            <wp:cNvGraphicFramePr/>
            <a:graphic xmlns:a="http://schemas.openxmlformats.org/drawingml/2006/main">
              <a:graphicData uri="http://schemas.openxmlformats.org/drawingml/2006/picture">
                <pic:pic xmlns:pic="http://schemas.openxmlformats.org/drawingml/2006/picture">
                  <pic:nvPicPr>
                    <pic:cNvPr id="141" name="图片 34" descr="IMG_256"/>
                    <pic:cNvPicPr/>
                  </pic:nvPicPr>
                  <pic:blipFill>
                    <a:blip r:embed="rId124"/>
                    <a:stretch>
                      <a:fillRect/>
                    </a:stretch>
                  </pic:blipFill>
                  <pic:spPr>
                    <a:xfrm>
                      <a:off x="0" y="0"/>
                      <a:ext cx="3217545" cy="2308225"/>
                    </a:xfrm>
                    <a:prstGeom prst="rect">
                      <a:avLst/>
                    </a:prstGeom>
                    <a:ln w="9525">
                      <a:noFill/>
                    </a:ln>
                  </pic:spPr>
                </pic:pic>
              </a:graphicData>
            </a:graphic>
          </wp:inline>
        </w:drawing>
      </w:r>
    </w:p>
    <w:p w14:paraId="541690A3">
      <w:pPr>
        <w:numPr>
          <w:ilvl w:val="0"/>
          <w:numId w:val="0"/>
        </w:numPr>
        <w:ind w:leftChars="200"/>
        <w:jc w:val="center"/>
        <w:rPr>
          <w:rFonts w:hint="default" w:ascii="宋体" w:hAnsi="宋体" w:eastAsia="宋体"/>
          <w:lang w:val="en-US"/>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hint="eastAsia" w:ascii="宋体" w:hAnsi="宋体" w:eastAsia="宋体"/>
          <w:lang w:val="en-US" w:eastAsia="zh-CN"/>
        </w:rPr>
        <w:t>顶升作业顺序示意图3</w:t>
      </w:r>
    </w:p>
    <w:p w14:paraId="52DD66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sz w:val="24"/>
          <w:szCs w:val="24"/>
        </w:rPr>
      </w:pPr>
      <w:bookmarkStart w:id="247" w:name="_Toc26500"/>
      <w:r>
        <w:rPr>
          <w:rFonts w:hint="eastAsia" w:ascii="宋体" w:hAnsi="宋体" w:eastAsia="宋体" w:cs="宋体"/>
          <w:color w:val="000000"/>
          <w:kern w:val="0"/>
          <w:sz w:val="24"/>
          <w:szCs w:val="24"/>
          <w:lang w:val="en-US" w:eastAsia="zh-CN" w:bidi="ar"/>
        </w:rPr>
        <w:t>2）引进标节</w:t>
      </w:r>
      <w:bookmarkEnd w:id="247"/>
      <w:r>
        <w:rPr>
          <w:rFonts w:hint="eastAsia" w:ascii="宋体" w:hAnsi="宋体" w:eastAsia="宋体" w:cs="宋体"/>
          <w:color w:val="000000"/>
          <w:kern w:val="0"/>
          <w:sz w:val="24"/>
          <w:szCs w:val="24"/>
          <w:lang w:val="en-US" w:eastAsia="zh-CN" w:bidi="ar"/>
        </w:rPr>
        <w:t xml:space="preserve"> </w:t>
      </w:r>
    </w:p>
    <w:p w14:paraId="642A4DC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起重机通过引进梁将标准节①引进顶升套架内：将悬挂在引进梁小车②上的标节通过该动作提供的抓引进顶升套架③。</w:t>
      </w:r>
    </w:p>
    <w:p w14:paraId="709F38DA">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635" b="635"/>
            <wp:docPr id="142" name="图片 35" descr="IMG_256"/>
            <wp:cNvGraphicFramePr/>
            <a:graphic xmlns:a="http://schemas.openxmlformats.org/drawingml/2006/main">
              <a:graphicData uri="http://schemas.openxmlformats.org/drawingml/2006/picture">
                <pic:pic xmlns:pic="http://schemas.openxmlformats.org/drawingml/2006/picture">
                  <pic:nvPicPr>
                    <pic:cNvPr id="142" name="图片 35" descr="IMG_256"/>
                    <pic:cNvPicPr/>
                  </pic:nvPicPr>
                  <pic:blipFill>
                    <a:blip r:embed="rId125"/>
                    <a:stretch>
                      <a:fillRect/>
                    </a:stretch>
                  </pic:blipFill>
                  <pic:spPr>
                    <a:xfrm>
                      <a:off x="0" y="0"/>
                      <a:ext cx="2879725" cy="2879725"/>
                    </a:xfrm>
                    <a:prstGeom prst="rect">
                      <a:avLst/>
                    </a:prstGeom>
                    <a:ln w="9525">
                      <a:noFill/>
                    </a:ln>
                  </pic:spPr>
                </pic:pic>
              </a:graphicData>
            </a:graphic>
          </wp:inline>
        </w:drawing>
      </w:r>
    </w:p>
    <w:p w14:paraId="3A12AB61">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6</w:t>
      </w:r>
      <w:r>
        <w:rPr>
          <w:rFonts w:ascii="宋体" w:hAnsi="宋体" w:eastAsia="宋体"/>
        </w:rPr>
        <w:fldChar w:fldCharType="end"/>
      </w:r>
      <w:r>
        <w:rPr>
          <w:rFonts w:hint="eastAsia" w:ascii="宋体" w:hAnsi="宋体" w:eastAsia="宋体"/>
          <w:lang w:val="en-US" w:eastAsia="zh-CN"/>
        </w:rPr>
        <w:t>引进标准节示意图1</w:t>
      </w:r>
    </w:p>
    <w:p w14:paraId="2EAC9D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标节的鱼尾板连接</w:t>
      </w:r>
    </w:p>
    <w:p w14:paraId="40BECA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1）将标准节引进顶升套架后，液压杆微微推向“上升”位，以便将顶升套架的棘爪①脱离标 节踏步②；转动操纵杆③以便将棘爪①从标准节上拿下； </w:t>
      </w:r>
    </w:p>
    <w:p w14:paraId="63F099B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宋体" w:hAnsi="宋体" w:eastAsia="宋体" w:cs="宋体"/>
          <w:color w:val="000000"/>
          <w:kern w:val="0"/>
          <w:sz w:val="24"/>
          <w:szCs w:val="24"/>
          <w:lang w:val="en-US" w:eastAsia="zh-CN" w:bidi="ar"/>
        </w:rPr>
      </w:pPr>
      <w:bookmarkStart w:id="248" w:name="_Toc1237"/>
      <w:r>
        <w:rPr>
          <w:rFonts w:hint="eastAsia" w:ascii="宋体" w:hAnsi="宋体" w:eastAsia="宋体" w:cs="宋体"/>
          <w:color w:val="000000"/>
          <w:kern w:val="0"/>
          <w:sz w:val="24"/>
          <w:szCs w:val="24"/>
          <w:lang w:val="en-US" w:eastAsia="zh-CN" w:bidi="ar"/>
        </w:rPr>
        <w:t>2)将爬爪①锁定在上位；</w:t>
      </w:r>
      <w:bookmarkEnd w:id="248"/>
      <w:r>
        <w:rPr>
          <w:rFonts w:hint="eastAsia" w:ascii="宋体" w:hAnsi="宋体" w:eastAsia="宋体" w:cs="宋体"/>
          <w:color w:val="000000"/>
          <w:kern w:val="0"/>
          <w:sz w:val="24"/>
          <w:szCs w:val="24"/>
          <w:lang w:val="en-US" w:eastAsia="zh-CN" w:bidi="ar"/>
        </w:rPr>
        <w:t xml:space="preserve"> </w:t>
      </w:r>
    </w:p>
    <w:p w14:paraId="4B4EDF8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3)将液压杆推至“下降”位。确保引进标准节④恰当地插入塔身顶升节的⑤通过8个销轴⑦，4个立销⑧以及4个开口销⑨将引进标准节④与顶升节⑥连 接；</w:t>
      </w:r>
    </w:p>
    <w:p w14:paraId="152F07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outlineLvl w:val="9"/>
        <w:rPr>
          <w:rFonts w:hint="eastAsia" w:ascii="宋体" w:hAnsi="宋体" w:eastAsia="宋体" w:cs="宋体"/>
          <w:sz w:val="24"/>
          <w:szCs w:val="24"/>
        </w:rPr>
      </w:pPr>
      <w:bookmarkStart w:id="249" w:name="_Toc13368"/>
      <w:r>
        <w:rPr>
          <w:rFonts w:hint="eastAsia" w:ascii="宋体" w:hAnsi="宋体" w:eastAsia="宋体" w:cs="宋体"/>
          <w:color w:val="000000"/>
          <w:kern w:val="0"/>
          <w:sz w:val="24"/>
          <w:szCs w:val="24"/>
          <w:lang w:val="en-US" w:eastAsia="zh-CN" w:bidi="ar"/>
        </w:rPr>
        <w:t>4)将引进梁小车⑩从标节上松开，并挂入引进梁⑪。</w:t>
      </w:r>
      <w:bookmarkEnd w:id="249"/>
    </w:p>
    <w:p w14:paraId="7D8EA37C">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86125" cy="2879725"/>
            <wp:effectExtent l="0" t="0" r="5715" b="635"/>
            <wp:docPr id="143" name="图片 36" descr="IMG_256"/>
            <wp:cNvGraphicFramePr/>
            <a:graphic xmlns:a="http://schemas.openxmlformats.org/drawingml/2006/main">
              <a:graphicData uri="http://schemas.openxmlformats.org/drawingml/2006/picture">
                <pic:pic xmlns:pic="http://schemas.openxmlformats.org/drawingml/2006/picture">
                  <pic:nvPicPr>
                    <pic:cNvPr id="143" name="图片 36" descr="IMG_256"/>
                    <pic:cNvPicPr/>
                  </pic:nvPicPr>
                  <pic:blipFill>
                    <a:blip r:embed="rId126"/>
                    <a:stretch>
                      <a:fillRect/>
                    </a:stretch>
                  </pic:blipFill>
                  <pic:spPr>
                    <a:xfrm>
                      <a:off x="0" y="0"/>
                      <a:ext cx="3286125" cy="2879725"/>
                    </a:xfrm>
                    <a:prstGeom prst="rect">
                      <a:avLst/>
                    </a:prstGeom>
                    <a:ln w="9525">
                      <a:noFill/>
                    </a:ln>
                  </pic:spPr>
                </pic:pic>
              </a:graphicData>
            </a:graphic>
          </wp:inline>
        </w:drawing>
      </w:r>
    </w:p>
    <w:p w14:paraId="652537C6">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7</w:t>
      </w:r>
      <w:r>
        <w:rPr>
          <w:rFonts w:ascii="宋体" w:hAnsi="宋体" w:eastAsia="宋体"/>
        </w:rPr>
        <w:fldChar w:fldCharType="end"/>
      </w:r>
      <w:r>
        <w:rPr>
          <w:rFonts w:hint="eastAsia" w:ascii="宋体" w:hAnsi="宋体" w:eastAsia="宋体"/>
          <w:lang w:val="en-US" w:eastAsia="zh-CN"/>
        </w:rPr>
        <w:t>引进标准节示意图2</w:t>
      </w:r>
    </w:p>
    <w:p w14:paraId="59D0F21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连接特殊节 </w:t>
      </w:r>
    </w:p>
    <w:p w14:paraId="7AF2F6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继续下降，确保特殊节①主弦恰当地插入已经安装的标节的鱼尾板②。通过安全销将特殊节①与标节③销连。</w:t>
      </w:r>
    </w:p>
    <w:p w14:paraId="344543C7">
      <w:pPr>
        <w:keepNext w:val="0"/>
        <w:keepLines w:val="0"/>
        <w:suppressLineNumbers w:val="0"/>
        <w:spacing w:beforeAutospacing="0" w:afterAutospacing="0" w:line="24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879725" cy="2879725"/>
            <wp:effectExtent l="0" t="0" r="635" b="635"/>
            <wp:docPr id="144" name="图片 37" descr="IMG_256"/>
            <wp:cNvGraphicFramePr/>
            <a:graphic xmlns:a="http://schemas.openxmlformats.org/drawingml/2006/main">
              <a:graphicData uri="http://schemas.openxmlformats.org/drawingml/2006/picture">
                <pic:pic xmlns:pic="http://schemas.openxmlformats.org/drawingml/2006/picture">
                  <pic:nvPicPr>
                    <pic:cNvPr id="144" name="图片 37" descr="IMG_256"/>
                    <pic:cNvPicPr/>
                  </pic:nvPicPr>
                  <pic:blipFill>
                    <a:blip r:embed="rId127"/>
                    <a:stretch>
                      <a:fillRect/>
                    </a:stretch>
                  </pic:blipFill>
                  <pic:spPr>
                    <a:xfrm>
                      <a:off x="0" y="0"/>
                      <a:ext cx="2879725" cy="2879725"/>
                    </a:xfrm>
                    <a:prstGeom prst="rect">
                      <a:avLst/>
                    </a:prstGeom>
                    <a:ln w="9525">
                      <a:noFill/>
                    </a:ln>
                  </pic:spPr>
                </pic:pic>
              </a:graphicData>
            </a:graphic>
          </wp:inline>
        </w:drawing>
      </w:r>
    </w:p>
    <w:p w14:paraId="7DF6FCF0">
      <w:pPr>
        <w:numPr>
          <w:ilvl w:val="0"/>
          <w:numId w:val="0"/>
        </w:numPr>
        <w:ind w:leftChars="200"/>
        <w:jc w:val="center"/>
        <w:rPr>
          <w:rFonts w:hint="default" w:ascii="宋体" w:hAnsi="宋体" w:eastAsia="宋体"/>
          <w:lang w:val="en-US" w:eastAsia="zh-CN"/>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4 \s </w:instrText>
      </w:r>
      <w:r>
        <w:rPr>
          <w:rFonts w:ascii="宋体" w:hAnsi="宋体" w:eastAsia="宋体"/>
        </w:rPr>
        <w:fldChar w:fldCharType="separate"/>
      </w:r>
      <w:r>
        <w:rPr>
          <w:rFonts w:hint="eastAsia" w:ascii="宋体" w:hAnsi="宋体" w:eastAsia="宋体"/>
          <w:lang w:eastAsia="zh-CN"/>
        </w:rPr>
        <w:t>6.4.</w:t>
      </w:r>
      <w:r>
        <w:rPr>
          <w:rFonts w:ascii="宋体" w:hAnsi="宋体" w:eastAsia="宋体"/>
        </w:rPr>
        <w:t>11.5</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4 </w:instrText>
      </w:r>
      <w:r>
        <w:rPr>
          <w:rFonts w:ascii="宋体" w:hAnsi="宋体" w:eastAsia="宋体"/>
        </w:rPr>
        <w:fldChar w:fldCharType="separate"/>
      </w:r>
      <w:r>
        <w:rPr>
          <w:rFonts w:ascii="宋体" w:hAnsi="宋体" w:eastAsia="宋体"/>
        </w:rPr>
        <w:t>8</w:t>
      </w:r>
      <w:r>
        <w:rPr>
          <w:rFonts w:ascii="宋体" w:hAnsi="宋体" w:eastAsia="宋体"/>
        </w:rPr>
        <w:fldChar w:fldCharType="end"/>
      </w:r>
      <w:r>
        <w:rPr>
          <w:rFonts w:hint="eastAsia" w:ascii="宋体" w:hAnsi="宋体" w:eastAsia="宋体"/>
          <w:lang w:val="en-US" w:eastAsia="zh-CN"/>
        </w:rPr>
        <w:t>引进标准节示意图3</w:t>
      </w:r>
    </w:p>
    <w:p w14:paraId="41A05A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lang w:val="en-US" w:eastAsia="zh-CN"/>
        </w:rPr>
      </w:pPr>
      <w:r>
        <w:rPr>
          <w:rFonts w:hint="eastAsia" w:ascii="宋体" w:hAnsi="宋体" w:eastAsia="宋体" w:cs="宋体"/>
          <w:color w:val="000000"/>
          <w:kern w:val="0"/>
          <w:sz w:val="24"/>
          <w:szCs w:val="24"/>
          <w:lang w:val="en-US" w:eastAsia="zh-CN" w:bidi="ar"/>
        </w:rPr>
        <w:t>重复上述顶升步骤，直至达到所需高度。</w:t>
      </w:r>
    </w:p>
    <w:p w14:paraId="2E824271">
      <w:pPr>
        <w:pStyle w:val="4"/>
        <w:ind w:firstLine="482"/>
        <w:rPr>
          <w:rFonts w:hint="eastAsia" w:ascii="宋体" w:hAnsi="宋体" w:eastAsia="宋体"/>
          <w:color w:val="auto"/>
          <w:lang w:val="en-US" w:eastAsia="zh-CN"/>
        </w:rPr>
      </w:pPr>
      <w:bookmarkStart w:id="250" w:name="_Toc28650"/>
      <w:bookmarkStart w:id="251" w:name="_Toc12130"/>
      <w:r>
        <w:rPr>
          <w:rFonts w:hint="eastAsia" w:ascii="宋体" w:hAnsi="宋体" w:eastAsia="宋体"/>
          <w:color w:val="auto"/>
          <w:lang w:val="en-US" w:eastAsia="zh-CN"/>
        </w:rPr>
        <w:t>6.4.</w:t>
      </w:r>
      <w:r>
        <w:rPr>
          <w:rFonts w:hint="default" w:ascii="宋体" w:hAnsi="宋体" w:eastAsia="宋体"/>
          <w:color w:val="auto"/>
          <w:lang w:val="en-US" w:eastAsia="zh-CN"/>
        </w:rPr>
        <w:t>13.</w:t>
      </w:r>
      <w:r>
        <w:rPr>
          <w:rFonts w:hint="eastAsia" w:ascii="宋体" w:hAnsi="宋体" w:eastAsia="宋体"/>
          <w:color w:val="auto"/>
          <w:lang w:val="en-US" w:eastAsia="zh-CN"/>
        </w:rPr>
        <w:t>塔机防雷与接地</w:t>
      </w:r>
      <w:bookmarkEnd w:id="250"/>
      <w:bookmarkEnd w:id="251"/>
    </w:p>
    <w:p w14:paraId="0A4855F2">
      <w:pPr>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1</w:t>
      </w:r>
      <w:r>
        <w:rPr>
          <w:rFonts w:hint="eastAsia" w:ascii="宋体" w:hAnsi="宋体" w:eastAsia="宋体"/>
          <w:color w:val="auto"/>
          <w:lang w:eastAsia="zh-CN"/>
        </w:rPr>
        <w:t>）</w:t>
      </w:r>
      <w:r>
        <w:rPr>
          <w:rFonts w:hint="eastAsia" w:ascii="宋体" w:hAnsi="宋体" w:eastAsia="宋体"/>
          <w:color w:val="auto"/>
        </w:rPr>
        <w:t>依照现行国家标准《塔式起重机》GB</w:t>
      </w:r>
      <w:r>
        <w:rPr>
          <w:rFonts w:ascii="宋体" w:hAnsi="宋体" w:eastAsia="宋体"/>
          <w:color w:val="auto"/>
        </w:rPr>
        <w:t xml:space="preserve"> </w:t>
      </w:r>
      <w:r>
        <w:rPr>
          <w:rFonts w:hint="eastAsia" w:ascii="宋体" w:hAnsi="宋体" w:eastAsia="宋体"/>
          <w:color w:val="auto"/>
        </w:rPr>
        <w:t>5144-2006的要求，塔机主体机构、电动机基座和所有电气设备金属外壳均应可靠接地。依据《施工现场临时用电安全技术规范》JGJ</w:t>
      </w:r>
      <w:r>
        <w:rPr>
          <w:rFonts w:ascii="宋体" w:hAnsi="宋体" w:eastAsia="宋体"/>
          <w:color w:val="auto"/>
        </w:rPr>
        <w:t xml:space="preserve"> </w:t>
      </w:r>
      <w:r>
        <w:rPr>
          <w:rFonts w:hint="eastAsia" w:ascii="宋体" w:hAnsi="宋体" w:eastAsia="宋体"/>
          <w:color w:val="auto"/>
        </w:rPr>
        <w:t>46-2005中防雷要求，塔机可不另设避雷针（接闪器），防雷引下线可利用设备金属结构体，并保证电气连接。</w:t>
      </w:r>
    </w:p>
    <w:p w14:paraId="5BD69640">
      <w:pPr>
        <w:ind w:firstLine="480"/>
        <w:rPr>
          <w:rFonts w:ascii="宋体" w:hAnsi="宋体" w:eastAsia="宋体"/>
          <w:color w:val="auto"/>
        </w:rPr>
      </w:pPr>
      <w:r>
        <w:rPr>
          <w:rFonts w:hint="eastAsia" w:ascii="宋体" w:hAnsi="宋体" w:eastAsia="宋体"/>
          <w:color w:val="auto"/>
          <w:lang w:eastAsia="zh-CN"/>
        </w:rPr>
        <w:t>（</w:t>
      </w:r>
      <w:r>
        <w:rPr>
          <w:rFonts w:hint="eastAsia" w:ascii="宋体" w:hAnsi="宋体" w:eastAsia="宋体"/>
          <w:color w:val="auto"/>
          <w:lang w:val="en-US" w:eastAsia="zh-CN"/>
        </w:rPr>
        <w:t>2</w:t>
      </w:r>
      <w:r>
        <w:rPr>
          <w:rFonts w:hint="eastAsia" w:ascii="宋体" w:hAnsi="宋体" w:eastAsia="宋体"/>
          <w:color w:val="auto"/>
          <w:lang w:eastAsia="zh-CN"/>
        </w:rPr>
        <w:t>）</w:t>
      </w:r>
      <w:r>
        <w:rPr>
          <w:rFonts w:ascii="宋体" w:hAnsi="宋体" w:eastAsia="宋体"/>
          <w:color w:val="auto"/>
        </w:rPr>
        <w:t>为了更好地形成雷电通路，塔机电气重复节点应单独接多股铜线，防雷的多股铜线的截面积必须大于25mm2。塔机主体结构、电机机座和所有电气设备的金属外壳、导线的金属保护管均应可靠接地，其接地电阻应不大于不大于4Ω。采用多处重复接地时，其接地电阻应不大于10Ω。</w:t>
      </w:r>
    </w:p>
    <w:p w14:paraId="1EAD90A4">
      <w:pPr>
        <w:ind w:firstLine="480"/>
        <w:rPr>
          <w:rFonts w:hint="eastAsia" w:ascii="宋体" w:hAnsi="宋体" w:eastAsia="宋体"/>
          <w:color w:val="auto"/>
          <w:lang w:eastAsia="zh-CN"/>
        </w:rPr>
      </w:pPr>
      <w:r>
        <w:rPr>
          <w:rFonts w:hint="eastAsia" w:ascii="宋体" w:hAnsi="宋体" w:eastAsia="宋体"/>
          <w:color w:val="auto"/>
          <w:lang w:eastAsia="zh-CN"/>
        </w:rPr>
        <w:t>（3）防雷接地具体内容：</w:t>
      </w:r>
    </w:p>
    <w:p w14:paraId="2B3D8654">
      <w:pPr>
        <w:ind w:firstLine="480"/>
        <w:rPr>
          <w:rFonts w:hint="eastAsia" w:ascii="宋体" w:hAnsi="宋体" w:eastAsia="宋体"/>
          <w:color w:val="auto"/>
          <w:lang w:eastAsia="zh-CN"/>
        </w:rPr>
      </w:pPr>
      <w:r>
        <w:rPr>
          <w:rFonts w:hint="eastAsia" w:ascii="宋体" w:hAnsi="宋体" w:eastAsia="宋体"/>
          <w:color w:val="auto"/>
          <w:lang w:eastAsia="zh-CN"/>
        </w:rPr>
        <w:t>1）防雷接地装置由接闪器、引下线、接地装置组成。</w:t>
      </w:r>
    </w:p>
    <w:p w14:paraId="1E7947EB">
      <w:pPr>
        <w:ind w:firstLine="480"/>
        <w:rPr>
          <w:rFonts w:hint="eastAsia" w:ascii="宋体" w:hAnsi="宋体" w:eastAsia="宋体"/>
          <w:color w:val="auto"/>
          <w:lang w:eastAsia="zh-CN"/>
        </w:rPr>
      </w:pPr>
      <w:r>
        <w:rPr>
          <w:rFonts w:hint="eastAsia" w:ascii="宋体" w:hAnsi="宋体" w:eastAsia="宋体"/>
          <w:color w:val="auto"/>
          <w:lang w:eastAsia="zh-CN"/>
        </w:rPr>
        <w:t>2）设备、构架等主要金属物和栏杆以及金属物体必须接地。</w:t>
      </w:r>
    </w:p>
    <w:p w14:paraId="7A1FF7F3">
      <w:pPr>
        <w:ind w:firstLine="480"/>
        <w:rPr>
          <w:rFonts w:hint="eastAsia" w:ascii="宋体" w:hAnsi="宋体" w:eastAsia="宋体"/>
          <w:color w:val="auto"/>
          <w:lang w:eastAsia="zh-CN"/>
        </w:rPr>
      </w:pPr>
      <w:r>
        <w:rPr>
          <w:rFonts w:hint="eastAsia" w:ascii="宋体" w:hAnsi="宋体" w:eastAsia="宋体"/>
          <w:color w:val="auto"/>
          <w:lang w:eastAsia="zh-CN"/>
        </w:rPr>
        <w:t>3）防雷接地体应采取焊接方法；</w:t>
      </w:r>
    </w:p>
    <w:p w14:paraId="5350D4D9">
      <w:pPr>
        <w:ind w:firstLine="480"/>
        <w:rPr>
          <w:rFonts w:hint="eastAsia" w:ascii="宋体" w:hAnsi="宋体" w:eastAsia="宋体"/>
          <w:color w:val="auto"/>
          <w:lang w:eastAsia="zh-CN"/>
        </w:rPr>
      </w:pPr>
      <w:r>
        <w:rPr>
          <w:rFonts w:hint="eastAsia" w:ascii="宋体" w:hAnsi="宋体" w:eastAsia="宋体"/>
          <w:color w:val="auto"/>
          <w:lang w:eastAsia="zh-CN"/>
        </w:rPr>
        <w:t>4）使用金属管作接地体时应在其串接部位焊接角形金属跨接线；</w:t>
      </w:r>
    </w:p>
    <w:p w14:paraId="08857AA3">
      <w:pPr>
        <w:ind w:firstLine="480"/>
        <w:rPr>
          <w:rFonts w:hint="eastAsia" w:ascii="宋体" w:hAnsi="宋体" w:eastAsia="宋体"/>
          <w:color w:val="auto"/>
          <w:lang w:eastAsia="zh-CN"/>
        </w:rPr>
      </w:pPr>
      <w:r>
        <w:rPr>
          <w:rFonts w:hint="eastAsia" w:ascii="宋体" w:hAnsi="宋体" w:eastAsia="宋体"/>
          <w:color w:val="auto"/>
          <w:lang w:eastAsia="zh-CN"/>
        </w:rPr>
        <w:t>5）</w:t>
      </w:r>
      <w:r>
        <w:rPr>
          <w:rFonts w:hint="eastAsia" w:ascii="宋体" w:hAnsi="宋体" w:eastAsia="宋体"/>
          <w:color w:val="auto"/>
          <w:lang w:val="en-US" w:eastAsia="zh-CN"/>
        </w:rPr>
        <w:t>接地体</w:t>
      </w:r>
      <w:r>
        <w:rPr>
          <w:rFonts w:hint="eastAsia" w:ascii="宋体" w:hAnsi="宋体" w:eastAsia="宋体"/>
          <w:color w:val="auto"/>
          <w:lang w:eastAsia="zh-CN"/>
        </w:rPr>
        <w:t>交叉</w:t>
      </w:r>
      <w:r>
        <w:rPr>
          <w:rFonts w:hint="eastAsia" w:ascii="宋体" w:hAnsi="宋体" w:eastAsia="宋体"/>
          <w:color w:val="auto"/>
          <w:lang w:val="en-US" w:eastAsia="zh-CN"/>
        </w:rPr>
        <w:t>处</w:t>
      </w:r>
      <w:r>
        <w:rPr>
          <w:rFonts w:hint="eastAsia" w:ascii="宋体" w:hAnsi="宋体" w:eastAsia="宋体"/>
          <w:color w:val="auto"/>
          <w:lang w:eastAsia="zh-CN"/>
        </w:rPr>
        <w:t>要用一条短圆钢进行跨接焊接，焊接长度不小于圆钢直径的6倍；</w:t>
      </w:r>
    </w:p>
    <w:p w14:paraId="5C7E53B8">
      <w:pPr>
        <w:ind w:firstLine="480"/>
        <w:rPr>
          <w:rFonts w:hint="default" w:ascii="宋体" w:hAnsi="宋体" w:eastAsia="宋体"/>
          <w:color w:val="auto"/>
          <w:lang w:val="en-US" w:eastAsia="zh-CN"/>
        </w:rPr>
      </w:pPr>
      <w:r>
        <w:rPr>
          <w:rFonts w:hint="eastAsia" w:ascii="宋体" w:hAnsi="宋体" w:eastAsia="宋体"/>
          <w:color w:val="auto"/>
          <w:lang w:val="en-US" w:eastAsia="zh-CN"/>
        </w:rPr>
        <w:t>6）在塔顶安装风速仪，对塔机最高处的风速进行监测。</w:t>
      </w:r>
    </w:p>
    <w:p w14:paraId="7345C18A">
      <w:pPr>
        <w:bidi w:val="0"/>
        <w:rPr>
          <w:color w:val="auto"/>
          <w:sz w:val="24"/>
        </w:rPr>
      </w:pPr>
      <w:r>
        <w:rPr>
          <w:color w:val="auto"/>
          <w:sz w:val="24"/>
        </w:rPr>
        <w:drawing>
          <wp:inline distT="0" distB="0" distL="0" distR="0">
            <wp:extent cx="5342255" cy="3098800"/>
            <wp:effectExtent l="0" t="0" r="6985" b="1016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342255" cy="3098800"/>
                    </a:xfrm>
                    <a:prstGeom prst="rect">
                      <a:avLst/>
                    </a:prstGeom>
                    <a:noFill/>
                    <a:ln>
                      <a:noFill/>
                    </a:ln>
                  </pic:spPr>
                </pic:pic>
              </a:graphicData>
            </a:graphic>
          </wp:inline>
        </w:drawing>
      </w:r>
    </w:p>
    <w:p w14:paraId="22E7B740">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252" w:name="_Toc7833"/>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4</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14.荷载试验</w:t>
      </w:r>
      <w:bookmarkEnd w:id="252"/>
    </w:p>
    <w:p w14:paraId="77EC902B">
      <w:pPr>
        <w:ind w:firstLine="480"/>
        <w:rPr>
          <w:rFonts w:hint="eastAsia"/>
          <w:color w:val="auto"/>
        </w:rPr>
      </w:pPr>
      <w:r>
        <w:rPr>
          <w:rFonts w:hint="eastAsia"/>
          <w:color w:val="auto"/>
        </w:rPr>
        <w:t>试验前检查</w:t>
      </w:r>
    </w:p>
    <w:p w14:paraId="66F62D03">
      <w:pPr>
        <w:ind w:firstLine="560"/>
      </w:pPr>
      <w:r>
        <w:t>试吊前按人员分工进行全面检查：</w:t>
      </w:r>
    </w:p>
    <w:p w14:paraId="1E88A90D">
      <w:pPr>
        <w:numPr>
          <w:ilvl w:val="0"/>
          <w:numId w:val="10"/>
        </w:numPr>
        <w:ind w:firstLine="560"/>
      </w:pPr>
      <w:r>
        <w:t>对塔机基础和主体结构焊缝质量、油漆质量等外观质量进行目测检查；</w:t>
      </w:r>
    </w:p>
    <w:p w14:paraId="4AAE083C">
      <w:pPr>
        <w:numPr>
          <w:ilvl w:val="0"/>
          <w:numId w:val="10"/>
        </w:numPr>
        <w:ind w:firstLine="560"/>
      </w:pPr>
      <w:r>
        <w:t>对电气系统、操作室进行检查；</w:t>
      </w:r>
    </w:p>
    <w:p w14:paraId="68035773">
      <w:pPr>
        <w:numPr>
          <w:ilvl w:val="0"/>
          <w:numId w:val="10"/>
        </w:numPr>
        <w:ind w:firstLine="560"/>
      </w:pPr>
      <w:r>
        <w:t>对起升、回转、变幅等机构进行检查；</w:t>
      </w:r>
    </w:p>
    <w:p w14:paraId="4DDEB65A">
      <w:pPr>
        <w:numPr>
          <w:ilvl w:val="0"/>
          <w:numId w:val="10"/>
        </w:numPr>
        <w:ind w:firstLine="560"/>
      </w:pPr>
      <w:r>
        <w:t>对吊索、吊具、试吊物进行全面检查；</w:t>
      </w:r>
    </w:p>
    <w:p w14:paraId="7A3C8FD2">
      <w:pPr>
        <w:numPr>
          <w:ilvl w:val="0"/>
          <w:numId w:val="10"/>
        </w:numPr>
        <w:ind w:firstLine="560"/>
      </w:pPr>
      <w:r>
        <w:t>测量组顺着起重臂方向测量塔身垂直度，需东西向与南北向测量两次</w:t>
      </w:r>
      <w:r>
        <w:rPr>
          <w:rFonts w:hint="eastAsia"/>
        </w:rPr>
        <w:t>.</w:t>
      </w:r>
    </w:p>
    <w:p w14:paraId="3CFEFC2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14.1</w:t>
      </w:r>
      <w:r>
        <w:rPr>
          <w:rFonts w:hint="eastAsia" w:ascii="宋体" w:hAnsi="宋体" w:eastAsia="宋体" w:cs="宋体"/>
          <w:b/>
          <w:bCs/>
          <w:kern w:val="2"/>
          <w:sz w:val="24"/>
          <w:szCs w:val="28"/>
          <w:lang w:val="en-US" w:eastAsia="zh-CN" w:bidi="ar-SA"/>
        </w:rPr>
        <w:t>空载试验</w:t>
      </w:r>
    </w:p>
    <w:p w14:paraId="438CDB00">
      <w:pPr>
        <w:ind w:firstLine="480"/>
        <w:rPr>
          <w:rFonts w:hint="eastAsia"/>
          <w:color w:val="auto"/>
        </w:rPr>
      </w:pPr>
      <w:r>
        <w:rPr>
          <w:rFonts w:hint="eastAsia"/>
          <w:color w:val="auto"/>
        </w:rPr>
        <w:t>一般技术检验完成以后，方可进行空载试验，塔机空载状态下，起升、回转、变幅、运行各动作的操作试验。检查：</w:t>
      </w:r>
    </w:p>
    <w:p w14:paraId="3C0AD9D4">
      <w:pPr>
        <w:ind w:firstLine="480"/>
        <w:rPr>
          <w:rFonts w:hint="eastAsia"/>
          <w:color w:val="auto"/>
        </w:rPr>
      </w:pPr>
      <w:r>
        <w:rPr>
          <w:rFonts w:hint="eastAsia"/>
          <w:color w:val="auto"/>
        </w:rPr>
        <w:t>（1）操作系统、控制系统、联锁装置动作的准确性和灵活性；</w:t>
      </w:r>
    </w:p>
    <w:p w14:paraId="6E7BD79C">
      <w:pPr>
        <w:ind w:firstLine="480"/>
        <w:rPr>
          <w:rFonts w:hint="eastAsia"/>
          <w:color w:val="auto"/>
        </w:rPr>
      </w:pPr>
      <w:r>
        <w:rPr>
          <w:rFonts w:hint="eastAsia"/>
          <w:color w:val="auto"/>
        </w:rPr>
        <w:t>（2）各行程限位器的动作准确性和可靠性；</w:t>
      </w:r>
    </w:p>
    <w:p w14:paraId="5B1B268D">
      <w:pPr>
        <w:ind w:firstLine="480"/>
        <w:rPr>
          <w:rFonts w:hint="eastAsia"/>
          <w:color w:val="auto"/>
        </w:rPr>
      </w:pPr>
      <w:r>
        <w:rPr>
          <w:rFonts w:hint="eastAsia"/>
          <w:color w:val="auto"/>
        </w:rPr>
        <w:t>（3）各机构中无相对运动部位是否有漏油现象，有相对运动部位的渗漏情况，各机构运动的平稳性，是否有爬行、振颤、冲击、过热、异常噪声等现象。</w:t>
      </w:r>
    </w:p>
    <w:p w14:paraId="473F763A">
      <w:pPr>
        <w:ind w:firstLine="480"/>
        <w:rPr>
          <w:rFonts w:hint="eastAsia"/>
          <w:color w:val="auto"/>
        </w:rPr>
      </w:pPr>
      <w:r>
        <w:rPr>
          <w:rFonts w:hint="eastAsia"/>
          <w:color w:val="auto"/>
        </w:rPr>
        <w:t>（4）测量起升、回转、变幅的最大速度是否满足要求。具有多档变速的起升机构，应测量每档工作速度是否满足要求。</w:t>
      </w:r>
    </w:p>
    <w:p w14:paraId="75BA10F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14.2</w:t>
      </w:r>
      <w:r>
        <w:rPr>
          <w:rFonts w:hint="eastAsia" w:ascii="宋体" w:hAnsi="宋体" w:eastAsia="宋体" w:cs="宋体"/>
          <w:b/>
          <w:bCs/>
          <w:kern w:val="2"/>
          <w:sz w:val="24"/>
          <w:szCs w:val="28"/>
          <w:lang w:val="en-US" w:eastAsia="zh-CN" w:bidi="ar-SA"/>
        </w:rPr>
        <w:t>额定荷载试验</w:t>
      </w:r>
    </w:p>
    <w:p w14:paraId="7D1546D0">
      <w:pPr>
        <w:ind w:firstLine="480"/>
        <w:rPr>
          <w:rFonts w:hint="eastAsia" w:ascii="宋体" w:hAnsi="宋体" w:eastAsia="宋体"/>
          <w:color w:val="auto"/>
        </w:rPr>
      </w:pPr>
      <w:r>
        <w:rPr>
          <w:rFonts w:hint="eastAsia" w:ascii="宋体" w:hAnsi="宋体" w:eastAsia="宋体"/>
          <w:color w:val="auto"/>
        </w:rPr>
        <w:t>根据设计的额定载荷，按照GB/T5031规定的工况、试验方法和要求，进行起升、变幅、回转试验，每一工况的试验次数不得少于3次。还应当检查以下内容是否符合要求：</w:t>
      </w:r>
    </w:p>
    <w:p w14:paraId="60D15AB9">
      <w:pPr>
        <w:ind w:firstLine="480"/>
        <w:rPr>
          <w:rFonts w:hint="eastAsia" w:ascii="宋体" w:hAnsi="宋体" w:eastAsia="宋体"/>
          <w:color w:val="auto"/>
        </w:rPr>
      </w:pPr>
      <w:r>
        <w:rPr>
          <w:rFonts w:hint="eastAsia" w:ascii="宋体" w:hAnsi="宋体" w:eastAsia="宋体"/>
          <w:color w:val="auto"/>
        </w:rPr>
        <w:t>（1）起升、回转、变幅的额定速度在允差范围内。</w:t>
      </w:r>
    </w:p>
    <w:p w14:paraId="3C1F5EDD">
      <w:pPr>
        <w:ind w:firstLine="480"/>
        <w:rPr>
          <w:rFonts w:hint="eastAsia" w:ascii="宋体" w:hAnsi="宋体" w:eastAsia="宋体"/>
          <w:color w:val="auto"/>
        </w:rPr>
      </w:pPr>
      <w:r>
        <w:rPr>
          <w:rFonts w:hint="eastAsia" w:ascii="宋体" w:hAnsi="宋体" w:eastAsia="宋体"/>
          <w:color w:val="auto"/>
        </w:rPr>
        <w:t>（2）起重量限制器、起重力矩限制器信号显示、报警精度在允许范围内。</w:t>
      </w:r>
    </w:p>
    <w:p w14:paraId="6EBF1C9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表6.3.14-1 额定载荷试验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2607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70E6DBDE">
            <w:pPr>
              <w:adjustRightInd w:val="0"/>
              <w:snapToGrid w:val="0"/>
              <w:spacing w:line="240" w:lineRule="auto"/>
              <w:ind w:left="0" w:leftChars="0" w:firstLine="0" w:firstLineChars="0"/>
              <w:jc w:val="center"/>
              <w:rPr>
                <w:sz w:val="21"/>
              </w:rPr>
            </w:pPr>
            <w:r>
              <w:rPr>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6C4A3692">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7C4DB9D9">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试验目的</w:t>
            </w:r>
          </w:p>
        </w:tc>
      </w:tr>
      <w:tr w14:paraId="2F09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0F84C727">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2ED5BCD2">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6524BA98">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339E0F0D">
            <w:pPr>
              <w:adjustRightInd w:val="0"/>
              <w:snapToGrid w:val="0"/>
              <w:spacing w:line="240" w:lineRule="auto"/>
              <w:ind w:left="0" w:leftChars="0" w:firstLine="0" w:firstLineChars="0"/>
              <w:jc w:val="center"/>
              <w:rPr>
                <w:rFonts w:ascii="宋体" w:hAnsi="宋体" w:eastAsia="宋体"/>
                <w:sz w:val="21"/>
              </w:rPr>
            </w:pPr>
            <w:r>
              <w:rPr>
                <w:rFonts w:ascii="宋体" w:hAnsi="宋体" w:eastAsia="宋体"/>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221269ED">
            <w:pPr>
              <w:adjustRightInd w:val="0"/>
              <w:snapToGrid w:val="0"/>
              <w:spacing w:line="240" w:lineRule="auto"/>
              <w:ind w:left="0" w:leftChars="0" w:firstLine="0" w:firstLineChars="0"/>
              <w:jc w:val="center"/>
              <w:rPr>
                <w:rFonts w:ascii="宋体" w:hAnsi="宋体" w:eastAsia="宋体"/>
                <w:sz w:val="21"/>
              </w:rPr>
            </w:pPr>
          </w:p>
        </w:tc>
      </w:tr>
      <w:tr w14:paraId="37E9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74A13368">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2D57688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4B3E7139">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22CAEDA4">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6D6D53A2">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测量各机构的运动速度；机构及司机室噪声；力矩限制器、起重量限制器精度</w:t>
            </w:r>
          </w:p>
        </w:tc>
      </w:tr>
      <w:tr w14:paraId="2600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53613D5C">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1DBED844">
            <w:pPr>
              <w:adjustRightInd w:val="0"/>
              <w:snapToGrid w:val="0"/>
              <w:spacing w:line="240" w:lineRule="auto"/>
              <w:ind w:left="0" w:leftChars="0" w:firstLine="0" w:firstLineChars="0"/>
              <w:jc w:val="center"/>
              <w:rPr>
                <w:rFonts w:ascii="宋体" w:hAnsi="宋体" w:eastAsia="宋体"/>
                <w:sz w:val="21"/>
                <w:szCs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7A5B8974">
            <w:pPr>
              <w:adjustRightInd w:val="0"/>
              <w:snapToGrid w:val="0"/>
              <w:spacing w:line="240" w:lineRule="auto"/>
              <w:ind w:left="0" w:leftChars="0" w:firstLine="0" w:firstLineChars="0"/>
              <w:jc w:val="center"/>
              <w:rPr>
                <w:rFonts w:ascii="宋体" w:hAnsi="宋体" w:eastAsia="宋体"/>
                <w:sz w:val="21"/>
                <w:szCs w:val="21"/>
              </w:rPr>
            </w:pPr>
            <w:r>
              <w:rPr>
                <w:rFonts w:ascii="宋体" w:hAnsi="宋体" w:eastAsia="宋体"/>
                <w:sz w:val="21"/>
                <w:szCs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0D2BA89A">
            <w:pPr>
              <w:adjustRightInd w:val="0"/>
              <w:snapToGrid w:val="0"/>
              <w:spacing w:line="240" w:lineRule="auto"/>
              <w:ind w:left="0" w:leftChars="0" w:firstLine="0" w:firstLineChars="0"/>
              <w:jc w:val="center"/>
              <w:rPr>
                <w:rFonts w:ascii="宋体" w:hAnsi="宋体" w:eastAsia="宋体"/>
                <w:sz w:val="21"/>
                <w:szCs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7EF5DCA9">
            <w:pPr>
              <w:adjustRightInd w:val="0"/>
              <w:snapToGrid w:val="0"/>
              <w:spacing w:line="240" w:lineRule="auto"/>
              <w:ind w:left="0" w:leftChars="0" w:firstLine="0" w:firstLineChars="0"/>
              <w:jc w:val="center"/>
              <w:rPr>
                <w:rFonts w:ascii="宋体" w:hAnsi="宋体" w:eastAsia="宋体"/>
                <w:sz w:val="21"/>
                <w:szCs w:val="21"/>
              </w:rPr>
            </w:pPr>
          </w:p>
        </w:tc>
      </w:tr>
    </w:tbl>
    <w:p w14:paraId="205DDC18">
      <w:pPr>
        <w:ind w:firstLine="480"/>
        <w:rPr>
          <w:rFonts w:hint="eastAsia"/>
          <w:color w:val="auto"/>
        </w:rPr>
      </w:pPr>
      <w:r>
        <w:rPr>
          <w:color w:val="auto"/>
        </w:rPr>
        <w:t>具体过程如下：</w:t>
      </w:r>
    </w:p>
    <w:p w14:paraId="444C5DBE">
      <w:pPr>
        <w:ind w:firstLine="480"/>
        <w:rPr>
          <w:rFonts w:hint="eastAsia"/>
          <w:color w:val="auto"/>
        </w:rPr>
      </w:pPr>
      <w:r>
        <w:rPr>
          <w:rFonts w:hint="eastAsia"/>
          <w:color w:val="auto"/>
        </w:rPr>
        <w:t>1.</w:t>
      </w:r>
      <w:r>
        <w:rPr>
          <w:color w:val="auto"/>
        </w:rPr>
        <w:t>吊重</w:t>
      </w:r>
      <w:r>
        <w:rPr>
          <w:rFonts w:hint="eastAsia"/>
          <w:color w:val="auto"/>
          <w:lang w:val="en-US" w:eastAsia="zh-CN"/>
        </w:rPr>
        <w:t>10</w:t>
      </w:r>
      <w:r>
        <w:rPr>
          <w:color w:val="auto"/>
        </w:rPr>
        <w:t>t，载重小车以慢速由</w:t>
      </w:r>
      <w:r>
        <w:rPr>
          <w:rFonts w:hint="eastAsia"/>
          <w:color w:val="auto"/>
          <w:lang w:val="en-US" w:eastAsia="zh-CN"/>
        </w:rPr>
        <w:t>17.9</w:t>
      </w:r>
      <w:r>
        <w:rPr>
          <w:color w:val="auto"/>
        </w:rPr>
        <w:t>m幅度开始向内变幅，使小车在</w:t>
      </w:r>
      <w:r>
        <w:rPr>
          <w:rFonts w:hint="eastAsia"/>
          <w:color w:val="auto"/>
          <w:lang w:val="en-US" w:eastAsia="zh-CN"/>
        </w:rPr>
        <w:t>17.9</w:t>
      </w:r>
      <w:r>
        <w:rPr>
          <w:color w:val="auto"/>
        </w:rPr>
        <w:t>m-</w:t>
      </w:r>
      <w:r>
        <w:rPr>
          <w:rFonts w:hint="eastAsia"/>
          <w:color w:val="auto"/>
          <w:lang w:val="en-US" w:eastAsia="zh-CN"/>
        </w:rPr>
        <w:t>2.6</w:t>
      </w:r>
      <w:r>
        <w:rPr>
          <w:color w:val="auto"/>
        </w:rPr>
        <w:t>m</w:t>
      </w:r>
      <w:r>
        <w:rPr>
          <w:rFonts w:hint="eastAsia"/>
          <w:color w:val="auto"/>
        </w:rPr>
        <w:t>区间往返运行、主吊可以起升下降操作；回转操作均正常。</w:t>
      </w:r>
    </w:p>
    <w:p w14:paraId="44CF5010">
      <w:pPr>
        <w:ind w:firstLine="480"/>
        <w:rPr>
          <w:rFonts w:hint="eastAsia"/>
          <w:color w:val="auto"/>
        </w:rPr>
      </w:pPr>
      <w:r>
        <w:rPr>
          <w:color w:val="auto"/>
        </w:rPr>
        <w:t>2.</w:t>
      </w:r>
      <w:r>
        <w:rPr>
          <w:rFonts w:hint="eastAsia"/>
          <w:color w:val="auto"/>
        </w:rPr>
        <w:t>操作变幅手柄</w:t>
      </w:r>
      <w:r>
        <w:rPr>
          <w:color w:val="auto"/>
        </w:rPr>
        <w:t>，使</w:t>
      </w:r>
      <w:r>
        <w:rPr>
          <w:rFonts w:hint="eastAsia"/>
          <w:color w:val="auto"/>
        </w:rPr>
        <w:t>小车变幅大于</w:t>
      </w:r>
      <w:r>
        <w:rPr>
          <w:rFonts w:hint="eastAsia"/>
          <w:color w:val="auto"/>
          <w:lang w:val="en-US" w:eastAsia="zh-CN"/>
        </w:rPr>
        <w:t>17.9</w:t>
      </w:r>
      <w:r>
        <w:rPr>
          <w:rFonts w:hint="eastAsia"/>
          <w:color w:val="auto"/>
        </w:rPr>
        <w:t>m</w:t>
      </w:r>
      <w:r>
        <w:rPr>
          <w:color w:val="auto"/>
        </w:rPr>
        <w:t>处</w:t>
      </w:r>
      <w:r>
        <w:rPr>
          <w:rFonts w:hint="eastAsia"/>
          <w:color w:val="auto"/>
        </w:rPr>
        <w:t>操作</w:t>
      </w:r>
      <w:r>
        <w:rPr>
          <w:color w:val="auto"/>
        </w:rPr>
        <w:t>，起升向上、变幅向外断电，同时发出</w:t>
      </w:r>
      <w:r>
        <w:rPr>
          <w:rFonts w:hint="eastAsia"/>
          <w:color w:val="auto"/>
        </w:rPr>
        <w:t>超力矩、超限位</w:t>
      </w:r>
      <w:r>
        <w:rPr>
          <w:color w:val="auto"/>
        </w:rPr>
        <w:t>警报。</w:t>
      </w:r>
    </w:p>
    <w:p w14:paraId="6FB1BA3F">
      <w:pPr>
        <w:ind w:firstLine="480"/>
        <w:rPr>
          <w:rFonts w:hint="eastAsia"/>
          <w:color w:val="auto"/>
        </w:rPr>
      </w:pPr>
      <w:r>
        <w:rPr>
          <w:color w:val="auto"/>
        </w:rPr>
        <w:t>3.在</w:t>
      </w:r>
      <w:r>
        <w:rPr>
          <w:rFonts w:hint="eastAsia"/>
          <w:color w:val="auto"/>
          <w:lang w:val="en-US" w:eastAsia="zh-CN"/>
        </w:rPr>
        <w:t>5</w:t>
      </w:r>
      <w:r>
        <w:rPr>
          <w:rFonts w:hint="eastAsia"/>
          <w:color w:val="auto"/>
        </w:rPr>
        <w:t>0</w:t>
      </w:r>
      <w:r>
        <w:rPr>
          <w:color w:val="auto"/>
        </w:rPr>
        <w:t>m处吊重</w:t>
      </w:r>
      <w:r>
        <w:rPr>
          <w:rFonts w:hint="eastAsia"/>
          <w:color w:val="auto"/>
          <w:lang w:val="en-US" w:eastAsia="zh-CN"/>
        </w:rPr>
        <w:t>2.92</w:t>
      </w:r>
      <w:r>
        <w:rPr>
          <w:color w:val="auto"/>
        </w:rPr>
        <w:t>t，</w:t>
      </w:r>
      <w:r>
        <w:rPr>
          <w:rFonts w:hint="eastAsia"/>
          <w:color w:val="auto"/>
        </w:rPr>
        <w:t>载重小车以慢速</w:t>
      </w:r>
      <w:r>
        <w:rPr>
          <w:rFonts w:hint="eastAsia"/>
          <w:color w:val="auto"/>
          <w:lang w:val="en-US" w:eastAsia="zh-CN"/>
        </w:rPr>
        <w:t>50</w:t>
      </w:r>
      <w:r>
        <w:rPr>
          <w:rFonts w:hint="eastAsia"/>
          <w:color w:val="auto"/>
        </w:rPr>
        <w:t>m-</w:t>
      </w:r>
      <w:r>
        <w:rPr>
          <w:rFonts w:hint="eastAsia"/>
          <w:color w:val="auto"/>
          <w:lang w:val="en-US" w:eastAsia="zh-CN"/>
        </w:rPr>
        <w:t>2.6</w:t>
      </w:r>
      <w:r>
        <w:rPr>
          <w:rFonts w:hint="eastAsia"/>
          <w:color w:val="auto"/>
        </w:rPr>
        <w:t>m区间行走。</w:t>
      </w:r>
      <w:r>
        <w:rPr>
          <w:color w:val="auto"/>
        </w:rPr>
        <w:t>起升机构应能</w:t>
      </w:r>
      <w:r>
        <w:rPr>
          <w:rFonts w:hint="eastAsia"/>
          <w:color w:val="auto"/>
        </w:rPr>
        <w:t>起升下降运行</w:t>
      </w:r>
      <w:r>
        <w:rPr>
          <w:color w:val="auto"/>
        </w:rPr>
        <w:t>，</w:t>
      </w:r>
      <w:r>
        <w:rPr>
          <w:rFonts w:hint="eastAsia"/>
          <w:color w:val="auto"/>
        </w:rPr>
        <w:t>当操作变幅手柄往大于</w:t>
      </w:r>
      <w:r>
        <w:rPr>
          <w:rFonts w:hint="eastAsia"/>
          <w:color w:val="auto"/>
          <w:lang w:val="en-US" w:eastAsia="zh-CN"/>
        </w:rPr>
        <w:t>5</w:t>
      </w:r>
      <w:r>
        <w:rPr>
          <w:rFonts w:hint="eastAsia"/>
          <w:color w:val="auto"/>
        </w:rPr>
        <w:t>0m操作超力矩保护，跳机。此时主吊起升操作，变幅向外均无动作。</w:t>
      </w:r>
    </w:p>
    <w:p w14:paraId="2042D702">
      <w:pPr>
        <w:ind w:firstLine="480"/>
        <w:rPr>
          <w:rFonts w:hint="eastAsia"/>
          <w:color w:val="auto"/>
        </w:rPr>
      </w:pPr>
      <w:r>
        <w:rPr>
          <w:rFonts w:hint="eastAsia"/>
          <w:color w:val="auto"/>
        </w:rPr>
        <w:t>4</w:t>
      </w:r>
      <w:r>
        <w:rPr>
          <w:color w:val="auto"/>
        </w:rPr>
        <w:t>.上述动作重复三次，保持功能稳定。</w:t>
      </w:r>
    </w:p>
    <w:p w14:paraId="0CA0C435">
      <w:pPr>
        <w:pStyle w:val="5"/>
        <w:numPr>
          <w:ilvl w:val="3"/>
          <w:numId w:val="0"/>
        </w:numPr>
        <w:bidi w:val="0"/>
        <w:ind w:left="864" w:leftChars="0" w:hanging="864" w:firstLineChars="0"/>
        <w:rPr>
          <w:rFonts w:hint="eastAsia" w:ascii="宋体" w:hAnsi="宋体" w:eastAsia="宋体" w:cs="宋体"/>
          <w:b/>
          <w:bCs/>
          <w:kern w:val="2"/>
          <w:sz w:val="24"/>
          <w:szCs w:val="28"/>
          <w:lang w:val="en-US" w:eastAsia="zh-CN" w:bidi="ar-SA"/>
        </w:rPr>
      </w:pP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w:t>
      </w:r>
      <w:r>
        <w:rPr>
          <w:rFonts w:hint="eastAsia" w:ascii="宋体" w:hAnsi="宋体" w:eastAsia="宋体" w:cstheme="minorBidi"/>
          <w:b/>
          <w:bCs/>
          <w:color w:val="auto"/>
          <w:kern w:val="2"/>
          <w:sz w:val="24"/>
          <w:szCs w:val="32"/>
          <w:lang w:val="en-US" w:eastAsia="zh-CN" w:bidi="ar-SA"/>
        </w:rPr>
        <w:t>14.3</w:t>
      </w:r>
      <w:r>
        <w:rPr>
          <w:rFonts w:hint="eastAsia" w:ascii="宋体" w:hAnsi="宋体" w:eastAsia="宋体" w:cs="宋体"/>
          <w:b/>
          <w:bCs/>
          <w:kern w:val="2"/>
          <w:sz w:val="24"/>
          <w:szCs w:val="28"/>
          <w:lang w:val="en-US" w:eastAsia="zh-CN" w:bidi="ar-SA"/>
        </w:rPr>
        <w:t>动载试验（110%额定载荷试验）</w:t>
      </w:r>
    </w:p>
    <w:p w14:paraId="6C2841AC">
      <w:pPr>
        <w:ind w:firstLine="480"/>
        <w:rPr>
          <w:rFonts w:hint="eastAsia"/>
          <w:color w:val="auto"/>
        </w:rPr>
      </w:pPr>
      <w:r>
        <w:rPr>
          <w:rFonts w:hint="eastAsia"/>
          <w:color w:val="auto"/>
        </w:rPr>
        <w:t>动载荷试验按照下表进行，每一工况试验不少于3 次。每一次的动作停稳后再进行下一次启动。（此工况试验时，超载限位保护均解除，该工况试验结束后及时将超载限位保护恢复）</w:t>
      </w:r>
    </w:p>
    <w:p w14:paraId="540F452A">
      <w:pPr>
        <w:autoSpaceDE w:val="0"/>
        <w:autoSpaceDN w:val="0"/>
        <w:adjustRightInd w:val="0"/>
        <w:ind w:firstLine="0" w:firstLineChars="0"/>
        <w:jc w:val="center"/>
        <w:rPr>
          <w:rFonts w:hint="eastAsia" w:ascii="宋体" w:hAnsi="宋体" w:eastAsia="宋体"/>
          <w:color w:val="auto"/>
          <w:lang w:val="en-US" w:eastAsia="zh-CN"/>
        </w:rPr>
      </w:pPr>
      <w:r>
        <w:rPr>
          <w:rFonts w:hint="eastAsia" w:ascii="宋体" w:hAnsi="宋体" w:eastAsia="宋体"/>
          <w:color w:val="auto"/>
          <w:lang w:val="en-US" w:eastAsia="zh-CN"/>
        </w:rPr>
        <w:t>表6.3.14-2  110％额定载荷动载试验</w:t>
      </w:r>
    </w:p>
    <w:tbl>
      <w:tblPr>
        <w:tblStyle w:val="28"/>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3359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2A036C7D">
            <w:pPr>
              <w:adjustRightInd w:val="0"/>
              <w:snapToGrid w:val="0"/>
              <w:spacing w:line="240" w:lineRule="auto"/>
              <w:ind w:firstLine="0" w:firstLineChars="0"/>
              <w:jc w:val="center"/>
              <w:rPr>
                <w:sz w:val="21"/>
              </w:rPr>
            </w:pPr>
            <w:r>
              <w:rPr>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1C069606">
            <w:pPr>
              <w:adjustRightInd w:val="0"/>
              <w:snapToGrid w:val="0"/>
              <w:spacing w:line="240" w:lineRule="auto"/>
              <w:ind w:firstLine="0" w:firstLineChars="0"/>
              <w:jc w:val="center"/>
              <w:rPr>
                <w:sz w:val="21"/>
              </w:rPr>
            </w:pPr>
            <w:r>
              <w:rPr>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7B4CC8AC">
            <w:pPr>
              <w:adjustRightInd w:val="0"/>
              <w:snapToGrid w:val="0"/>
              <w:spacing w:line="240" w:lineRule="auto"/>
              <w:ind w:firstLine="0" w:firstLineChars="0"/>
              <w:jc w:val="center"/>
              <w:rPr>
                <w:sz w:val="21"/>
              </w:rPr>
            </w:pPr>
            <w:r>
              <w:rPr>
                <w:sz w:val="21"/>
              </w:rPr>
              <w:t>试验目的</w:t>
            </w:r>
          </w:p>
        </w:tc>
      </w:tr>
      <w:tr w14:paraId="0D8C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76E8EC16">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58119031">
            <w:pPr>
              <w:autoSpaceDE w:val="0"/>
              <w:autoSpaceDN w:val="0"/>
              <w:adjustRightInd w:val="0"/>
              <w:snapToGrid w:val="0"/>
              <w:ind w:firstLine="0" w:firstLineChars="0"/>
              <w:jc w:val="center"/>
              <w:rPr>
                <w:sz w:val="21"/>
              </w:rPr>
            </w:pPr>
            <w:r>
              <w:rPr>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1E4EC0A6">
            <w:pPr>
              <w:autoSpaceDE w:val="0"/>
              <w:autoSpaceDN w:val="0"/>
              <w:adjustRightInd w:val="0"/>
              <w:snapToGrid w:val="0"/>
              <w:ind w:firstLine="0" w:firstLineChars="0"/>
              <w:jc w:val="center"/>
              <w:rPr>
                <w:sz w:val="21"/>
              </w:rPr>
            </w:pPr>
            <w:r>
              <w:rPr>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7A7ABEFB">
            <w:pPr>
              <w:autoSpaceDE w:val="0"/>
              <w:autoSpaceDN w:val="0"/>
              <w:adjustRightInd w:val="0"/>
              <w:snapToGrid w:val="0"/>
              <w:ind w:firstLine="0" w:firstLineChars="0"/>
              <w:jc w:val="center"/>
              <w:rPr>
                <w:sz w:val="21"/>
              </w:rPr>
            </w:pPr>
            <w:r>
              <w:rPr>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74B1E6FD">
            <w:pPr>
              <w:adjustRightInd w:val="0"/>
              <w:snapToGrid w:val="0"/>
              <w:spacing w:line="240" w:lineRule="auto"/>
              <w:ind w:firstLine="0" w:firstLineChars="0"/>
              <w:jc w:val="center"/>
              <w:rPr>
                <w:sz w:val="21"/>
              </w:rPr>
            </w:pPr>
          </w:p>
        </w:tc>
      </w:tr>
      <w:tr w14:paraId="5477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252D0B6">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55E144EE">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63101DD9">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578A5B1C">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6B3E7707">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1A10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96E8F48">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11C6A8A6">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2385750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0A78AFB3">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A5AD4C2">
            <w:pPr>
              <w:adjustRightInd w:val="0"/>
              <w:snapToGrid w:val="0"/>
              <w:spacing w:line="240" w:lineRule="auto"/>
              <w:ind w:firstLine="0" w:firstLineChars="0"/>
              <w:jc w:val="center"/>
              <w:rPr>
                <w:sz w:val="21"/>
              </w:rPr>
            </w:pPr>
          </w:p>
        </w:tc>
      </w:tr>
      <w:tr w14:paraId="24BE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F7FDC09">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11B1D629">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2637B2F7">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58B7DE88">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EC27B9B">
            <w:pPr>
              <w:adjustRightInd w:val="0"/>
              <w:snapToGrid w:val="0"/>
              <w:spacing w:line="240" w:lineRule="auto"/>
              <w:ind w:firstLine="0" w:firstLineChars="0"/>
              <w:jc w:val="center"/>
              <w:rPr>
                <w:sz w:val="21"/>
              </w:rPr>
            </w:pPr>
          </w:p>
        </w:tc>
      </w:tr>
    </w:tbl>
    <w:p w14:paraId="0A667349">
      <w:pPr>
        <w:ind w:firstLine="480"/>
        <w:rPr>
          <w:rFonts w:hint="eastAsia"/>
          <w:color w:val="auto"/>
        </w:rPr>
      </w:pPr>
      <w:r>
        <w:rPr>
          <w:rFonts w:hint="eastAsia"/>
          <w:color w:val="auto"/>
        </w:rPr>
        <w:t>要求：制动可靠，各部结构无永久变形，回转部分与支承滚轮间不应有脱开现象，无裂纹、油漆剥落，联接松动情况。</w:t>
      </w:r>
    </w:p>
    <w:p w14:paraId="6791DF83">
      <w:pPr>
        <w:pStyle w:val="3"/>
        <w:numPr>
          <w:ilvl w:val="1"/>
          <w:numId w:val="0"/>
        </w:numPr>
        <w:ind w:left="567" w:leftChars="0" w:hanging="567" w:firstLineChars="0"/>
        <w:outlineLvl w:val="1"/>
        <w:rPr>
          <w:rFonts w:hint="eastAsia"/>
          <w:color w:val="auto"/>
        </w:rPr>
      </w:pPr>
      <w:bookmarkStart w:id="253" w:name="_Toc26663_WPSOffice_Level2"/>
      <w:bookmarkStart w:id="254" w:name="_Toc533610101"/>
      <w:bookmarkStart w:id="255" w:name="_Toc5026"/>
      <w:bookmarkStart w:id="256" w:name="_Toc326854321"/>
      <w:bookmarkStart w:id="257" w:name="_Toc28383"/>
      <w:bookmarkStart w:id="258" w:name="_Toc27829"/>
      <w:bookmarkStart w:id="259" w:name="_Toc182895407"/>
      <w:bookmarkStart w:id="260" w:name="_Toc26364"/>
      <w:r>
        <w:rPr>
          <w:rFonts w:hint="default" w:ascii="宋体" w:hAnsi="宋体" w:eastAsia="宋体" w:cstheme="majorBidi"/>
          <w:b/>
          <w:bCs/>
          <w:color w:val="auto"/>
          <w:kern w:val="2"/>
          <w:sz w:val="24"/>
          <w:szCs w:val="32"/>
          <w:lang w:val="en-US" w:eastAsia="zh-CN" w:bidi="ar-SA"/>
        </w:rPr>
        <w:t>6.</w:t>
      </w:r>
      <w:r>
        <w:rPr>
          <w:rFonts w:hint="eastAsia" w:cstheme="majorBidi"/>
          <w:b/>
          <w:bCs/>
          <w:color w:val="auto"/>
          <w:kern w:val="2"/>
          <w:sz w:val="24"/>
          <w:szCs w:val="32"/>
          <w:lang w:val="en-US" w:eastAsia="zh-CN" w:bidi="ar-SA"/>
        </w:rPr>
        <w:t>5</w:t>
      </w:r>
      <w:r>
        <w:rPr>
          <w:rFonts w:hint="default" w:ascii="宋体" w:hAnsi="宋体" w:eastAsia="宋体" w:cstheme="majorBidi"/>
          <w:b/>
          <w:bCs/>
          <w:color w:val="auto"/>
          <w:kern w:val="2"/>
          <w:sz w:val="24"/>
          <w:szCs w:val="32"/>
          <w:lang w:val="en-US" w:eastAsia="zh-CN" w:bidi="ar-SA"/>
        </w:rPr>
        <w:t>.</w:t>
      </w:r>
      <w:r>
        <w:rPr>
          <w:rFonts w:hint="eastAsia"/>
          <w:color w:val="auto"/>
        </w:rPr>
        <w:t>塔机验收</w:t>
      </w:r>
      <w:bookmarkEnd w:id="253"/>
      <w:bookmarkEnd w:id="254"/>
      <w:bookmarkEnd w:id="255"/>
      <w:bookmarkEnd w:id="256"/>
      <w:bookmarkEnd w:id="257"/>
      <w:bookmarkEnd w:id="258"/>
      <w:bookmarkEnd w:id="259"/>
      <w:bookmarkEnd w:id="260"/>
    </w:p>
    <w:p w14:paraId="1856970B">
      <w:pPr>
        <w:pStyle w:val="4"/>
        <w:numPr>
          <w:ilvl w:val="2"/>
          <w:numId w:val="0"/>
        </w:numPr>
        <w:ind w:left="709" w:leftChars="0" w:hanging="709" w:firstLineChars="0"/>
        <w:rPr>
          <w:rFonts w:hint="eastAsia"/>
          <w:color w:val="auto"/>
        </w:rPr>
      </w:pPr>
      <w:bookmarkStart w:id="261" w:name="_Toc1108"/>
      <w:bookmarkStart w:id="262" w:name="_Toc3097"/>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.1.</w:t>
      </w:r>
      <w:r>
        <w:rPr>
          <w:rFonts w:hint="eastAsia"/>
          <w:color w:val="auto"/>
        </w:rPr>
        <w:t>验收标准</w:t>
      </w:r>
      <w:bookmarkEnd w:id="261"/>
      <w:bookmarkEnd w:id="262"/>
    </w:p>
    <w:p w14:paraId="5DFABA75">
      <w:pPr>
        <w:ind w:firstLine="480"/>
        <w:rPr>
          <w:rFonts w:hint="eastAsia"/>
          <w:color w:val="auto"/>
        </w:rPr>
      </w:pPr>
      <w:bookmarkStart w:id="263" w:name="_Toc3351"/>
      <w:bookmarkStart w:id="264" w:name="_Toc2102"/>
      <w:r>
        <w:rPr>
          <w:rFonts w:hint="eastAsia"/>
          <w:color w:val="auto"/>
        </w:rPr>
        <w:t>（</w:t>
      </w:r>
      <w:r>
        <w:rPr>
          <w:color w:val="auto"/>
        </w:rPr>
        <w:t>1</w:t>
      </w:r>
      <w:r>
        <w:rPr>
          <w:rFonts w:hint="eastAsia"/>
          <w:color w:val="auto"/>
        </w:rPr>
        <w:t>）《铁路工程基本作业施工安全技术规程》</w:t>
      </w:r>
      <w:r>
        <w:rPr>
          <w:color w:val="auto"/>
        </w:rPr>
        <w:t>TB 10301-2020</w:t>
      </w:r>
      <w:r>
        <w:rPr>
          <w:rFonts w:hint="eastAsia"/>
          <w:color w:val="auto"/>
        </w:rPr>
        <w:t>；</w:t>
      </w:r>
    </w:p>
    <w:p w14:paraId="3C58AC31">
      <w:pPr>
        <w:ind w:firstLine="480"/>
        <w:rPr>
          <w:rFonts w:hint="eastAsia"/>
          <w:color w:val="auto"/>
        </w:rPr>
      </w:pPr>
      <w:r>
        <w:rPr>
          <w:rFonts w:hint="eastAsia"/>
          <w:color w:val="auto"/>
        </w:rPr>
        <w:t>（2）《建筑施工塔式起重机安装、使用、拆卸安全技术规程》JGJ</w:t>
      </w:r>
      <w:r>
        <w:rPr>
          <w:color w:val="auto"/>
        </w:rPr>
        <w:t xml:space="preserve"> </w:t>
      </w:r>
      <w:r>
        <w:rPr>
          <w:rFonts w:hint="eastAsia"/>
          <w:color w:val="auto"/>
        </w:rPr>
        <w:t>196</w:t>
      </w:r>
      <w:r>
        <w:rPr>
          <w:color w:val="auto"/>
        </w:rPr>
        <w:t>-</w:t>
      </w:r>
      <w:r>
        <w:rPr>
          <w:rFonts w:hint="eastAsia"/>
          <w:color w:val="auto"/>
        </w:rPr>
        <w:t>20</w:t>
      </w:r>
      <w:r>
        <w:rPr>
          <w:rFonts w:hint="eastAsia"/>
          <w:color w:val="auto"/>
          <w:lang w:val="en-US" w:eastAsia="zh-CN"/>
        </w:rPr>
        <w:t>24</w:t>
      </w:r>
      <w:r>
        <w:rPr>
          <w:rFonts w:hint="eastAsia"/>
          <w:color w:val="auto"/>
        </w:rPr>
        <w:t>；</w:t>
      </w:r>
    </w:p>
    <w:p w14:paraId="0388339B">
      <w:pPr>
        <w:ind w:firstLine="480"/>
        <w:rPr>
          <w:rFonts w:hint="eastAsia"/>
          <w:color w:val="auto"/>
        </w:rPr>
      </w:pPr>
      <w:r>
        <w:rPr>
          <w:rFonts w:hint="eastAsia"/>
          <w:color w:val="auto"/>
        </w:rPr>
        <w:t>（3）《塔式起重机安全规程》GB</w:t>
      </w:r>
      <w:r>
        <w:rPr>
          <w:color w:val="auto"/>
        </w:rPr>
        <w:t xml:space="preserve"> </w:t>
      </w:r>
      <w:r>
        <w:rPr>
          <w:rFonts w:hint="eastAsia"/>
          <w:color w:val="auto"/>
        </w:rPr>
        <w:t>5144-2006；</w:t>
      </w:r>
    </w:p>
    <w:p w14:paraId="0E9BEF06">
      <w:pPr>
        <w:ind w:firstLine="480"/>
        <w:rPr>
          <w:rFonts w:hint="eastAsia"/>
          <w:color w:val="auto"/>
        </w:rPr>
      </w:pPr>
      <w:r>
        <w:rPr>
          <w:rFonts w:hint="eastAsia"/>
          <w:color w:val="auto"/>
        </w:rPr>
        <w:t>（4）《施工现场机械设备检查技术规程》JGJ</w:t>
      </w:r>
      <w:r>
        <w:rPr>
          <w:color w:val="auto"/>
        </w:rPr>
        <w:t xml:space="preserve"> </w:t>
      </w:r>
      <w:r>
        <w:rPr>
          <w:rFonts w:hint="eastAsia"/>
          <w:color w:val="auto"/>
        </w:rPr>
        <w:t>160-2016；</w:t>
      </w:r>
    </w:p>
    <w:p w14:paraId="246E1153">
      <w:pPr>
        <w:ind w:firstLine="480"/>
        <w:rPr>
          <w:rFonts w:hint="eastAsia"/>
          <w:color w:val="auto"/>
        </w:rPr>
      </w:pPr>
      <w:r>
        <w:rPr>
          <w:rFonts w:hint="eastAsia"/>
          <w:color w:val="auto"/>
        </w:rPr>
        <w:t>（5）《塔式起重机操作使用规程》JG/T</w:t>
      </w:r>
      <w:r>
        <w:rPr>
          <w:color w:val="auto"/>
        </w:rPr>
        <w:t xml:space="preserve"> </w:t>
      </w:r>
      <w:r>
        <w:rPr>
          <w:rFonts w:hint="eastAsia"/>
          <w:color w:val="auto"/>
        </w:rPr>
        <w:t>100-1999；</w:t>
      </w:r>
    </w:p>
    <w:p w14:paraId="528B2D19">
      <w:pPr>
        <w:ind w:firstLine="480"/>
        <w:rPr>
          <w:rFonts w:hint="eastAsia"/>
          <w:color w:val="auto"/>
        </w:rPr>
      </w:pPr>
      <w:r>
        <w:rPr>
          <w:rFonts w:hint="eastAsia"/>
          <w:color w:val="auto"/>
        </w:rPr>
        <w:t>（</w:t>
      </w:r>
      <w:r>
        <w:rPr>
          <w:color w:val="auto"/>
        </w:rPr>
        <w:t>6</w:t>
      </w:r>
      <w:r>
        <w:rPr>
          <w:rFonts w:hint="eastAsia"/>
          <w:color w:val="auto"/>
        </w:rPr>
        <w:t>）《建筑与市政工程施工现场临时用电安全技术标准》JGJ</w:t>
      </w:r>
      <w:r>
        <w:rPr>
          <w:rFonts w:hint="eastAsia"/>
          <w:color w:val="auto"/>
          <w:lang w:val="en-US" w:eastAsia="zh-CN"/>
        </w:rPr>
        <w:t xml:space="preserve">/T </w:t>
      </w:r>
      <w:r>
        <w:rPr>
          <w:rFonts w:hint="eastAsia"/>
          <w:color w:val="auto"/>
        </w:rPr>
        <w:t>46-20</w:t>
      </w:r>
      <w:r>
        <w:rPr>
          <w:rFonts w:hint="eastAsia"/>
          <w:color w:val="auto"/>
          <w:lang w:val="en-US" w:eastAsia="zh-CN"/>
        </w:rPr>
        <w:t>24</w:t>
      </w:r>
      <w:r>
        <w:rPr>
          <w:rFonts w:hint="eastAsia"/>
          <w:color w:val="auto"/>
        </w:rPr>
        <w:t>；</w:t>
      </w:r>
    </w:p>
    <w:p w14:paraId="391FC1FC">
      <w:pPr>
        <w:ind w:firstLine="480"/>
        <w:rPr>
          <w:rFonts w:hint="eastAsia"/>
          <w:color w:val="auto"/>
        </w:rPr>
      </w:pPr>
      <w:r>
        <w:rPr>
          <w:rFonts w:hint="eastAsia"/>
          <w:color w:val="auto"/>
        </w:rPr>
        <w:t>（</w:t>
      </w:r>
      <w:r>
        <w:rPr>
          <w:color w:val="auto"/>
        </w:rPr>
        <w:t>7</w:t>
      </w:r>
      <w:r>
        <w:rPr>
          <w:rFonts w:hint="eastAsia"/>
          <w:color w:val="auto"/>
        </w:rPr>
        <w:t>）《建筑施工起重吊装工程安全技术规范》JGJ</w:t>
      </w:r>
      <w:r>
        <w:rPr>
          <w:color w:val="auto"/>
        </w:rPr>
        <w:t xml:space="preserve"> </w:t>
      </w:r>
      <w:r>
        <w:rPr>
          <w:rFonts w:hint="eastAsia"/>
          <w:color w:val="auto"/>
        </w:rPr>
        <w:t>276-2012；</w:t>
      </w:r>
    </w:p>
    <w:p w14:paraId="57A297D2">
      <w:pPr>
        <w:ind w:firstLine="480"/>
        <w:rPr>
          <w:rFonts w:hint="eastAsia"/>
          <w:color w:val="auto"/>
        </w:rPr>
      </w:pPr>
      <w:r>
        <w:rPr>
          <w:rFonts w:hint="eastAsia"/>
          <w:color w:val="auto"/>
        </w:rPr>
        <w:t>（</w:t>
      </w:r>
      <w:r>
        <w:rPr>
          <w:color w:val="auto"/>
        </w:rPr>
        <w:t>8</w:t>
      </w:r>
      <w:r>
        <w:rPr>
          <w:rFonts w:hint="eastAsia"/>
          <w:color w:val="auto"/>
        </w:rPr>
        <w:t>）《建筑机械使用安全技术规程》JGJ</w:t>
      </w:r>
      <w:r>
        <w:rPr>
          <w:color w:val="auto"/>
        </w:rPr>
        <w:t xml:space="preserve"> </w:t>
      </w:r>
      <w:r>
        <w:rPr>
          <w:rFonts w:hint="eastAsia"/>
          <w:color w:val="auto"/>
        </w:rPr>
        <w:t>33-2012；</w:t>
      </w:r>
    </w:p>
    <w:p w14:paraId="38507BA3">
      <w:pPr>
        <w:ind w:firstLine="480"/>
        <w:rPr>
          <w:rFonts w:hint="eastAsia"/>
          <w:color w:val="auto"/>
        </w:rPr>
      </w:pPr>
      <w:r>
        <w:rPr>
          <w:rFonts w:hint="eastAsia"/>
          <w:color w:val="auto"/>
        </w:rPr>
        <w:t>（</w:t>
      </w:r>
      <w:r>
        <w:rPr>
          <w:color w:val="auto"/>
        </w:rPr>
        <w:t>9</w:t>
      </w:r>
      <w:r>
        <w:rPr>
          <w:rFonts w:hint="eastAsia"/>
          <w:color w:val="auto"/>
        </w:rPr>
        <w:t>）《塔式起重机混凝土基础工程技术标准》JGJ/T</w:t>
      </w:r>
      <w:r>
        <w:rPr>
          <w:color w:val="auto"/>
        </w:rPr>
        <w:t xml:space="preserve"> </w:t>
      </w:r>
      <w:r>
        <w:rPr>
          <w:rFonts w:hint="eastAsia"/>
          <w:color w:val="auto"/>
        </w:rPr>
        <w:t>187-20</w:t>
      </w:r>
      <w:r>
        <w:rPr>
          <w:color w:val="auto"/>
        </w:rPr>
        <w:t>19</w:t>
      </w:r>
      <w:r>
        <w:rPr>
          <w:rFonts w:hint="eastAsia"/>
          <w:color w:val="auto"/>
        </w:rPr>
        <w:t>；</w:t>
      </w:r>
    </w:p>
    <w:p w14:paraId="0EDF1172">
      <w:pPr>
        <w:ind w:firstLine="480"/>
        <w:rPr>
          <w:rFonts w:hint="eastAsia"/>
          <w:color w:val="auto"/>
        </w:rPr>
      </w:pPr>
      <w:r>
        <w:rPr>
          <w:rFonts w:hint="eastAsia"/>
          <w:color w:val="auto"/>
        </w:rPr>
        <w:t>（1</w:t>
      </w:r>
      <w:r>
        <w:rPr>
          <w:color w:val="auto"/>
        </w:rPr>
        <w:t>0</w:t>
      </w:r>
      <w:r>
        <w:rPr>
          <w:rFonts w:hint="eastAsia"/>
          <w:color w:val="auto"/>
        </w:rPr>
        <w:t>）《重要用途钢丝绳》GB</w:t>
      </w:r>
      <w:r>
        <w:rPr>
          <w:color w:val="auto"/>
        </w:rPr>
        <w:t xml:space="preserve"> </w:t>
      </w:r>
      <w:r>
        <w:rPr>
          <w:rFonts w:hint="eastAsia"/>
          <w:color w:val="auto"/>
        </w:rPr>
        <w:t>8918-2006；</w:t>
      </w:r>
    </w:p>
    <w:p w14:paraId="1FF5D7D4">
      <w:pPr>
        <w:ind w:firstLine="480"/>
        <w:rPr>
          <w:rFonts w:hint="eastAsia"/>
          <w:color w:val="auto"/>
        </w:rPr>
      </w:pPr>
      <w:r>
        <w:rPr>
          <w:rFonts w:hint="eastAsia"/>
          <w:color w:val="auto"/>
        </w:rPr>
        <w:t>（1</w:t>
      </w:r>
      <w:r>
        <w:rPr>
          <w:color w:val="auto"/>
        </w:rPr>
        <w:t>1</w:t>
      </w:r>
      <w:r>
        <w:rPr>
          <w:rFonts w:hint="eastAsia"/>
          <w:color w:val="auto"/>
        </w:rPr>
        <w:t>）《施工现场机械设备检查技术规程》JGJ</w:t>
      </w:r>
      <w:r>
        <w:rPr>
          <w:color w:val="auto"/>
        </w:rPr>
        <w:t xml:space="preserve"> 160</w:t>
      </w:r>
      <w:r>
        <w:rPr>
          <w:rFonts w:hint="eastAsia"/>
          <w:color w:val="auto"/>
        </w:rPr>
        <w:t>-20</w:t>
      </w:r>
      <w:r>
        <w:rPr>
          <w:rFonts w:hint="eastAsia"/>
          <w:color w:val="auto"/>
          <w:lang w:val="en-US" w:eastAsia="zh-CN"/>
        </w:rPr>
        <w:t>23</w:t>
      </w:r>
      <w:r>
        <w:rPr>
          <w:rFonts w:hint="eastAsia"/>
          <w:color w:val="auto"/>
        </w:rPr>
        <w:t>；</w:t>
      </w:r>
    </w:p>
    <w:p w14:paraId="3F7CACCA">
      <w:pPr>
        <w:pStyle w:val="4"/>
        <w:numPr>
          <w:ilvl w:val="2"/>
          <w:numId w:val="0"/>
        </w:numPr>
        <w:ind w:left="709" w:leftChars="0" w:hanging="709" w:firstLineChars="0"/>
        <w:rPr>
          <w:rFonts w:hint="eastAsia"/>
          <w:color w:val="auto"/>
        </w:rPr>
      </w:pPr>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.2.</w:t>
      </w:r>
      <w:r>
        <w:rPr>
          <w:rFonts w:hint="eastAsia"/>
          <w:color w:val="auto"/>
        </w:rPr>
        <w:t>验收程序</w:t>
      </w:r>
      <w:bookmarkEnd w:id="263"/>
      <w:bookmarkEnd w:id="264"/>
    </w:p>
    <w:p w14:paraId="1B7CB400">
      <w:pPr>
        <w:ind w:firstLine="480"/>
        <w:rPr>
          <w:rFonts w:hint="eastAsia"/>
          <w:color w:val="auto"/>
        </w:rPr>
      </w:pPr>
      <w:r>
        <w:rPr>
          <w:rFonts w:hint="eastAsia"/>
          <w:color w:val="auto"/>
        </w:rPr>
        <w:t>塔机安装完成经过调试后，验收程序如下：</w:t>
      </w:r>
    </w:p>
    <w:p w14:paraId="36F76665">
      <w:pPr>
        <w:ind w:firstLine="480"/>
        <w:rPr>
          <w:rFonts w:hint="eastAsia"/>
          <w:color w:val="auto"/>
        </w:rPr>
      </w:pPr>
      <w:r>
        <w:rPr>
          <w:rFonts w:hint="eastAsia"/>
          <w:color w:val="auto"/>
        </w:rPr>
        <w:t>安装单位自检→项目部复检→总承包单位、监理单位、安装单位验收→</w:t>
      </w:r>
      <w:r>
        <w:rPr>
          <w:rFonts w:hint="eastAsia"/>
          <w:color w:val="auto"/>
          <w:lang w:val="en-US" w:eastAsia="zh-CN"/>
        </w:rPr>
        <w:t>特检院验收</w:t>
      </w:r>
      <w:r>
        <w:rPr>
          <w:rFonts w:hint="eastAsia"/>
          <w:color w:val="auto"/>
        </w:rPr>
        <w:t>→备案完成后方可使用</w:t>
      </w:r>
      <w:r>
        <w:rPr>
          <w:color w:val="auto"/>
        </w:rPr>
        <w:t>。</w:t>
      </w:r>
    </w:p>
    <w:p w14:paraId="15D52C5B">
      <w:pPr>
        <w:pStyle w:val="4"/>
        <w:numPr>
          <w:ilvl w:val="2"/>
          <w:numId w:val="0"/>
        </w:numPr>
        <w:ind w:left="709" w:leftChars="0" w:hanging="709" w:firstLineChars="0"/>
        <w:rPr>
          <w:rFonts w:hint="default" w:ascii="宋体" w:hAnsi="宋体" w:eastAsia="宋体"/>
          <w:color w:val="auto"/>
          <w:lang w:val="en-US" w:eastAsia="zh-CN"/>
        </w:rPr>
      </w:pPr>
      <w:bookmarkStart w:id="265" w:name="_Toc24241"/>
      <w:bookmarkStart w:id="266" w:name="_Toc26999"/>
      <w:r>
        <w:rPr>
          <w:rFonts w:hint="eastAsia" w:ascii="宋体" w:hAnsi="宋体" w:eastAsia="宋体"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.3.</w:t>
      </w:r>
      <w:r>
        <w:rPr>
          <w:rFonts w:hint="eastAsia" w:ascii="宋体" w:hAnsi="宋体" w:eastAsia="宋体"/>
          <w:color w:val="auto"/>
          <w:lang w:val="en-US" w:eastAsia="zh-CN"/>
        </w:rPr>
        <w:t>验收内容</w:t>
      </w:r>
      <w:bookmarkStart w:id="267" w:name="_Toc326854322"/>
      <w:bookmarkStart w:id="268" w:name="_Toc533610102"/>
      <w:bookmarkStart w:id="269" w:name="_Toc13976_WPSOffice_Level2"/>
      <w:bookmarkStart w:id="270" w:name="_Toc27531"/>
      <w:bookmarkStart w:id="271" w:name="_Toc21095"/>
      <w:r>
        <w:rPr>
          <w:rFonts w:hint="default" w:ascii="宋体" w:hAnsi="宋体" w:eastAsia="宋体"/>
          <w:color w:val="auto"/>
          <w:lang w:val="en-US" w:eastAsia="zh-CN"/>
        </w:rPr>
        <w:t>表</w:t>
      </w:r>
      <w:bookmarkEnd w:id="265"/>
      <w:bookmarkEnd w:id="266"/>
    </w:p>
    <w:p w14:paraId="4C2FFC22">
      <w:pPr>
        <w:rPr>
          <w:rFonts w:hint="eastAsia" w:ascii="宋体" w:hAnsi="宋体" w:eastAsia="宋体"/>
          <w:color w:val="auto"/>
          <w:lang w:val="en-US" w:eastAsia="zh-CN"/>
        </w:rPr>
      </w:pPr>
      <w:r>
        <w:rPr>
          <w:rFonts w:hint="eastAsia" w:ascii="宋体" w:hAnsi="宋体" w:eastAsia="宋体"/>
          <w:color w:val="auto"/>
          <w:lang w:val="en-US" w:eastAsia="zh-CN"/>
        </w:rPr>
        <w:br w:type="page"/>
      </w:r>
    </w:p>
    <w:p w14:paraId="410D4553">
      <w:pPr>
        <w:autoSpaceDE w:val="0"/>
        <w:autoSpaceDN w:val="0"/>
        <w:adjustRightInd w:val="0"/>
        <w:ind w:firstLine="0" w:firstLineChars="0"/>
        <w:jc w:val="center"/>
        <w:rPr>
          <w:rFonts w:hint="default" w:ascii="宋体" w:hAnsi="宋体" w:eastAsia="宋体"/>
          <w:color w:val="auto"/>
        </w:rPr>
      </w:pPr>
      <w:r>
        <w:rPr>
          <w:rFonts w:hint="eastAsia" w:ascii="宋体" w:hAnsi="宋体" w:eastAsia="宋体"/>
          <w:color w:val="auto"/>
          <w:lang w:val="en-US" w:eastAsia="zh-CN"/>
        </w:rPr>
        <w:t>表6.5</w:t>
      </w:r>
      <w:r>
        <w:rPr>
          <w:rFonts w:hint="default" w:ascii="宋体" w:hAnsi="宋体" w:eastAsia="宋体"/>
          <w:color w:val="auto"/>
        </w:rPr>
        <w:t>-1 塔式起重机安装完成验收表</w:t>
      </w:r>
    </w:p>
    <w:tbl>
      <w:tblPr>
        <w:tblStyle w:val="28"/>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6E381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84C214B">
            <w:pPr>
              <w:tabs>
                <w:tab w:val="left" w:pos="2579"/>
              </w:tabs>
              <w:bidi w:val="0"/>
              <w:jc w:val="left"/>
              <w:rPr>
                <w:rFonts w:hint="default" w:ascii="Times New Roman" w:hAnsi="Times New Roman" w:cs="Times New Roman"/>
                <w:bCs/>
                <w:sz w:val="24"/>
                <w:szCs w:val="24"/>
              </w:rPr>
            </w:pPr>
            <w:r>
              <w:rPr>
                <w:rFonts w:hint="eastAsia" w:cstheme="minorBidi"/>
                <w:kern w:val="2"/>
                <w:sz w:val="24"/>
                <w:szCs w:val="22"/>
                <w:lang w:val="en-US" w:eastAsia="zh-CN" w:bidi="ar-SA"/>
              </w:rPr>
              <w:tab/>
            </w:r>
            <w:r>
              <w:rPr>
                <w:rFonts w:hint="default" w:ascii="Times New Roman" w:hAnsi="Times New Roman" w:cs="Times New Roman"/>
                <w:bCs/>
                <w:sz w:val="24"/>
                <w:szCs w:val="24"/>
              </w:rPr>
              <w:t>序号</w:t>
            </w:r>
          </w:p>
        </w:tc>
        <w:tc>
          <w:tcPr>
            <w:tcW w:w="2731" w:type="dxa"/>
            <w:vAlign w:val="center"/>
          </w:tcPr>
          <w:p w14:paraId="72F3F588">
            <w:pPr>
              <w:spacing w:line="240" w:lineRule="auto"/>
              <w:ind w:firstLine="0" w:firstLineChars="0"/>
              <w:jc w:val="center"/>
              <w:rPr>
                <w:rFonts w:hint="default" w:ascii="Times New Roman" w:hAnsi="Times New Roman" w:cs="Times New Roman"/>
                <w:bCs/>
                <w:sz w:val="24"/>
                <w:szCs w:val="24"/>
              </w:rPr>
            </w:pPr>
            <w:r>
              <w:rPr>
                <w:rFonts w:hint="default" w:ascii="Times New Roman" w:hAnsi="Times New Roman" w:cs="Times New Roman"/>
                <w:bCs/>
                <w:sz w:val="24"/>
                <w:szCs w:val="24"/>
              </w:rPr>
              <w:t>验收项目</w:t>
            </w:r>
          </w:p>
        </w:tc>
        <w:tc>
          <w:tcPr>
            <w:tcW w:w="5349" w:type="dxa"/>
            <w:vAlign w:val="center"/>
          </w:tcPr>
          <w:p w14:paraId="4E1CBE06">
            <w:pPr>
              <w:spacing w:line="240" w:lineRule="auto"/>
              <w:ind w:firstLine="0" w:firstLineChars="0"/>
              <w:jc w:val="center"/>
              <w:rPr>
                <w:rFonts w:hint="default" w:ascii="Times New Roman" w:hAnsi="Times New Roman" w:cs="Times New Roman"/>
                <w:bCs/>
                <w:sz w:val="24"/>
                <w:szCs w:val="24"/>
              </w:rPr>
            </w:pPr>
            <w:r>
              <w:rPr>
                <w:rFonts w:hint="default" w:ascii="Times New Roman" w:hAnsi="Times New Roman" w:cs="Times New Roman"/>
                <w:bCs/>
                <w:sz w:val="24"/>
                <w:szCs w:val="24"/>
              </w:rPr>
              <w:t>验收标准</w:t>
            </w:r>
          </w:p>
        </w:tc>
      </w:tr>
      <w:tr w14:paraId="552F4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45B42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2731" w:type="dxa"/>
            <w:vAlign w:val="center"/>
          </w:tcPr>
          <w:p w14:paraId="6C0D15BD">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塔身垂直度</w:t>
            </w:r>
          </w:p>
        </w:tc>
        <w:tc>
          <w:tcPr>
            <w:tcW w:w="5349" w:type="dxa"/>
            <w:vAlign w:val="center"/>
          </w:tcPr>
          <w:p w14:paraId="6F8F3688">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独立高度≤4‰</w:t>
            </w:r>
          </w:p>
        </w:tc>
      </w:tr>
      <w:tr w14:paraId="5A706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275E59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2731" w:type="dxa"/>
            <w:vAlign w:val="center"/>
          </w:tcPr>
          <w:p w14:paraId="477752D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结构件</w:t>
            </w:r>
          </w:p>
        </w:tc>
        <w:tc>
          <w:tcPr>
            <w:tcW w:w="5349" w:type="dxa"/>
            <w:vAlign w:val="center"/>
          </w:tcPr>
          <w:p w14:paraId="0259B31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无扭曲、变形、裂纹和严重锈蚀</w:t>
            </w:r>
          </w:p>
        </w:tc>
      </w:tr>
      <w:tr w14:paraId="348C7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7A6F6F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2731" w:type="dxa"/>
            <w:vAlign w:val="center"/>
          </w:tcPr>
          <w:p w14:paraId="49DB5F1F">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连接件、紧固件</w:t>
            </w:r>
          </w:p>
        </w:tc>
        <w:tc>
          <w:tcPr>
            <w:tcW w:w="5349" w:type="dxa"/>
            <w:vAlign w:val="center"/>
          </w:tcPr>
          <w:p w14:paraId="4195331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销轴齐全到位，有可靠轴向止动，正确使用开口销。螺栓连接齐全、坚固牢靠，均有防松措施，高强螺栓按要求预紧，螺栓高于螺母0-3扣</w:t>
            </w:r>
          </w:p>
        </w:tc>
      </w:tr>
      <w:tr w14:paraId="37785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2C64A97">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2731" w:type="dxa"/>
            <w:vAlign w:val="center"/>
          </w:tcPr>
          <w:p w14:paraId="4B0F384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配重</w:t>
            </w:r>
          </w:p>
        </w:tc>
        <w:tc>
          <w:tcPr>
            <w:tcW w:w="5349" w:type="dxa"/>
            <w:vAlign w:val="center"/>
          </w:tcPr>
          <w:p w14:paraId="41CB0F0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按规定堆放、固定连接正确可靠、重量符合设计要求</w:t>
            </w:r>
          </w:p>
        </w:tc>
      </w:tr>
      <w:tr w14:paraId="5FBA1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trPr>
        <w:tc>
          <w:tcPr>
            <w:tcW w:w="836" w:type="dxa"/>
            <w:vAlign w:val="center"/>
          </w:tcPr>
          <w:p w14:paraId="2E8338B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2731" w:type="dxa"/>
            <w:vAlign w:val="center"/>
          </w:tcPr>
          <w:p w14:paraId="2397DECD">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钢丝绳及其固结</w:t>
            </w:r>
          </w:p>
        </w:tc>
        <w:tc>
          <w:tcPr>
            <w:tcW w:w="5349" w:type="dxa"/>
            <w:vAlign w:val="center"/>
          </w:tcPr>
          <w:p w14:paraId="3FE294AA">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无严重损伤、变形、固结合理，符合JGJ33-2001、GB5972-86有关要求</w:t>
            </w:r>
          </w:p>
        </w:tc>
      </w:tr>
      <w:tr w14:paraId="6BA1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4FEC47F">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2731" w:type="dxa"/>
            <w:vAlign w:val="center"/>
          </w:tcPr>
          <w:p w14:paraId="10DC6CE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钢丝绳绳端的固定及安装情况</w:t>
            </w:r>
          </w:p>
        </w:tc>
        <w:tc>
          <w:tcPr>
            <w:tcW w:w="5349" w:type="dxa"/>
            <w:vAlign w:val="center"/>
          </w:tcPr>
          <w:p w14:paraId="7EA06E15">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固定应牢固，在卷筒、滑轮中的缠绕方向应．正确</w:t>
            </w:r>
          </w:p>
        </w:tc>
      </w:tr>
      <w:tr w14:paraId="7A37D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EA1120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7</w:t>
            </w:r>
          </w:p>
        </w:tc>
        <w:tc>
          <w:tcPr>
            <w:tcW w:w="2731" w:type="dxa"/>
            <w:vAlign w:val="center"/>
          </w:tcPr>
          <w:p w14:paraId="3F0BE85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吊钩</w:t>
            </w:r>
          </w:p>
        </w:tc>
        <w:tc>
          <w:tcPr>
            <w:tcW w:w="5349" w:type="dxa"/>
            <w:vAlign w:val="center"/>
          </w:tcPr>
          <w:p w14:paraId="6511052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防脱钩装置完好。表面无破口、孔穴、裂纹、凹陷等，不得补焊，挂绳处断面磨损小于高度10%，无永久变形。</w:t>
            </w:r>
          </w:p>
        </w:tc>
      </w:tr>
      <w:tr w14:paraId="57A4B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BB6433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8</w:t>
            </w:r>
          </w:p>
        </w:tc>
        <w:tc>
          <w:tcPr>
            <w:tcW w:w="2731" w:type="dxa"/>
            <w:vAlign w:val="center"/>
          </w:tcPr>
          <w:p w14:paraId="4D71A053">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吊装钢丝绳、卡环、吊具</w:t>
            </w:r>
          </w:p>
        </w:tc>
        <w:tc>
          <w:tcPr>
            <w:tcW w:w="5349" w:type="dxa"/>
            <w:vAlign w:val="center"/>
          </w:tcPr>
          <w:p w14:paraId="7F5365F0">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钢丝绳、卡环符合国标要求、吊具无开焊和变形</w:t>
            </w:r>
          </w:p>
        </w:tc>
      </w:tr>
      <w:tr w14:paraId="142D3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trPr>
        <w:tc>
          <w:tcPr>
            <w:tcW w:w="836" w:type="dxa"/>
            <w:vAlign w:val="center"/>
          </w:tcPr>
          <w:p w14:paraId="334FA8A6">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9</w:t>
            </w:r>
          </w:p>
        </w:tc>
        <w:tc>
          <w:tcPr>
            <w:tcW w:w="2731" w:type="dxa"/>
            <w:vAlign w:val="center"/>
          </w:tcPr>
          <w:p w14:paraId="5D856107">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各工作机构、各保护装置、润滑系统及液压系统等的安装、注油情况</w:t>
            </w:r>
          </w:p>
        </w:tc>
        <w:tc>
          <w:tcPr>
            <w:tcW w:w="5349" w:type="dxa"/>
            <w:vAlign w:val="center"/>
          </w:tcPr>
          <w:p w14:paraId="15A5588B">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满足图纸及设计要求</w:t>
            </w:r>
          </w:p>
        </w:tc>
      </w:tr>
      <w:tr w14:paraId="7A5EB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FBC47D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731" w:type="dxa"/>
            <w:vAlign w:val="center"/>
          </w:tcPr>
          <w:p w14:paraId="05079522">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电缆、电气元件、变压器及各电机的接线是否正确，接头是否有松动现象，接地是否良好</w:t>
            </w:r>
          </w:p>
        </w:tc>
        <w:tc>
          <w:tcPr>
            <w:tcW w:w="5349" w:type="dxa"/>
            <w:vAlign w:val="center"/>
          </w:tcPr>
          <w:p w14:paraId="679F9985">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各接线位置接触良好，接线正确，接头无松动，接地良好，接地电阻小于4Ω。</w:t>
            </w:r>
          </w:p>
          <w:p w14:paraId="6C03EA7D">
            <w:pPr>
              <w:spacing w:line="240" w:lineRule="auto"/>
              <w:ind w:firstLine="0" w:firstLineChars="0"/>
              <w:jc w:val="center"/>
              <w:rPr>
                <w:rFonts w:hint="default" w:ascii="Times New Roman" w:hAnsi="Times New Roman" w:cs="Times New Roman"/>
                <w:sz w:val="24"/>
                <w:szCs w:val="24"/>
              </w:rPr>
            </w:pPr>
          </w:p>
        </w:tc>
      </w:tr>
      <w:tr w14:paraId="1B493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D9DFD89">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11</w:t>
            </w:r>
          </w:p>
        </w:tc>
        <w:tc>
          <w:tcPr>
            <w:tcW w:w="2731" w:type="dxa"/>
            <w:vAlign w:val="center"/>
          </w:tcPr>
          <w:p w14:paraId="67766406">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各机构电机转向是否正确</w:t>
            </w:r>
          </w:p>
        </w:tc>
        <w:tc>
          <w:tcPr>
            <w:tcW w:w="5349" w:type="dxa"/>
            <w:vAlign w:val="center"/>
          </w:tcPr>
          <w:p w14:paraId="0A6424BC">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转向正确</w:t>
            </w:r>
          </w:p>
        </w:tc>
      </w:tr>
      <w:tr w14:paraId="2195D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D7F5BD2">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2731" w:type="dxa"/>
            <w:vAlign w:val="center"/>
          </w:tcPr>
          <w:p w14:paraId="1631EAD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作业环境</w:t>
            </w:r>
          </w:p>
        </w:tc>
        <w:tc>
          <w:tcPr>
            <w:tcW w:w="5349" w:type="dxa"/>
            <w:vAlign w:val="center"/>
          </w:tcPr>
          <w:p w14:paraId="0743793A">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周边无障碍物</w:t>
            </w:r>
          </w:p>
        </w:tc>
      </w:tr>
      <w:tr w14:paraId="0887C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3E999B33">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13</w:t>
            </w:r>
          </w:p>
        </w:tc>
        <w:tc>
          <w:tcPr>
            <w:tcW w:w="2731" w:type="dxa"/>
            <w:vMerge w:val="restart"/>
            <w:vAlign w:val="center"/>
          </w:tcPr>
          <w:p w14:paraId="0D2C35E4">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各机构制动轮安装情况</w:t>
            </w:r>
          </w:p>
        </w:tc>
        <w:tc>
          <w:tcPr>
            <w:tcW w:w="5349" w:type="dxa"/>
            <w:vAlign w:val="center"/>
          </w:tcPr>
          <w:p w14:paraId="574D3B91">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打开有间隙．无摩擦</w:t>
            </w:r>
          </w:p>
        </w:tc>
      </w:tr>
      <w:tr w14:paraId="0EB66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3D86EB80">
            <w:pPr>
              <w:spacing w:line="240" w:lineRule="auto"/>
              <w:ind w:firstLine="0" w:firstLineChars="0"/>
              <w:jc w:val="center"/>
              <w:rPr>
                <w:rFonts w:hint="default" w:ascii="Times New Roman" w:hAnsi="Times New Roman" w:cs="Times New Roman"/>
                <w:sz w:val="24"/>
                <w:szCs w:val="24"/>
              </w:rPr>
            </w:pPr>
          </w:p>
        </w:tc>
        <w:tc>
          <w:tcPr>
            <w:tcW w:w="2731" w:type="dxa"/>
            <w:vMerge w:val="continue"/>
            <w:vAlign w:val="center"/>
          </w:tcPr>
          <w:p w14:paraId="50EFA10C">
            <w:pPr>
              <w:spacing w:line="240" w:lineRule="auto"/>
              <w:ind w:firstLine="0" w:firstLineChars="0"/>
              <w:jc w:val="center"/>
              <w:rPr>
                <w:rFonts w:hint="default" w:ascii="Times New Roman" w:hAnsi="Times New Roman" w:cs="Times New Roman"/>
                <w:sz w:val="24"/>
                <w:szCs w:val="24"/>
              </w:rPr>
            </w:pPr>
          </w:p>
        </w:tc>
        <w:tc>
          <w:tcPr>
            <w:tcW w:w="5349" w:type="dxa"/>
            <w:vAlign w:val="center"/>
          </w:tcPr>
          <w:p w14:paraId="5F9020FB">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制动接触面积≥70%</w:t>
            </w:r>
          </w:p>
        </w:tc>
      </w:tr>
    </w:tbl>
    <w:p w14:paraId="653FDF98">
      <w:pPr>
        <w:pStyle w:val="4"/>
        <w:numPr>
          <w:ilvl w:val="2"/>
          <w:numId w:val="0"/>
        </w:numPr>
        <w:ind w:left="709" w:leftChars="0" w:hanging="709" w:firstLineChars="0"/>
        <w:rPr>
          <w:rFonts w:hint="eastAsia"/>
          <w:color w:val="auto"/>
        </w:rPr>
      </w:pPr>
      <w:bookmarkStart w:id="272" w:name="_Toc6862"/>
      <w:bookmarkStart w:id="273" w:name="_Toc11710"/>
      <w:r>
        <w:rPr>
          <w:rFonts w:hint="eastAsia" w:cstheme="minorBidi"/>
          <w:b/>
          <w:bCs/>
          <w:color w:val="auto"/>
          <w:kern w:val="2"/>
          <w:sz w:val="24"/>
          <w:szCs w:val="32"/>
          <w:lang w:val="en-US" w:eastAsia="zh-CN" w:bidi="ar-SA"/>
        </w:rPr>
        <w:t>6.5</w:t>
      </w:r>
      <w:r>
        <w:rPr>
          <w:rFonts w:hint="default" w:ascii="宋体" w:hAnsi="宋体" w:eastAsia="宋体" w:cstheme="minorBidi"/>
          <w:b/>
          <w:bCs/>
          <w:color w:val="auto"/>
          <w:kern w:val="2"/>
          <w:sz w:val="24"/>
          <w:szCs w:val="32"/>
          <w:lang w:val="en-US" w:eastAsia="zh-CN" w:bidi="ar-SA"/>
        </w:rPr>
        <w:t>.4.</w:t>
      </w:r>
      <w:r>
        <w:rPr>
          <w:rFonts w:hint="eastAsia"/>
          <w:color w:val="auto"/>
        </w:rPr>
        <w:t>验收人员</w:t>
      </w:r>
      <w:bookmarkEnd w:id="272"/>
      <w:bookmarkEnd w:id="273"/>
    </w:p>
    <w:p w14:paraId="1CC8F7AE">
      <w:pPr>
        <w:autoSpaceDE w:val="0"/>
        <w:autoSpaceDN w:val="0"/>
        <w:adjustRightInd w:val="0"/>
        <w:ind w:firstLine="480"/>
        <w:rPr>
          <w:rFonts w:hint="eastAsia"/>
          <w:color w:val="auto"/>
          <w:kern w:val="0"/>
        </w:rPr>
      </w:pPr>
      <w:r>
        <w:rPr>
          <w:rFonts w:hint="eastAsia"/>
          <w:color w:val="auto"/>
          <w:kern w:val="0"/>
        </w:rPr>
        <w:t>参与验收人员如下表，可根据验收的实际需求增加人员。</w:t>
      </w:r>
    </w:p>
    <w:tbl>
      <w:tblPr>
        <w:tblStyle w:val="28"/>
        <w:tblW w:w="6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835"/>
        <w:gridCol w:w="2268"/>
      </w:tblGrid>
      <w:tr w14:paraId="5D8F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3" w:type="dxa"/>
            <w:vAlign w:val="center"/>
          </w:tcPr>
          <w:p w14:paraId="60C30BAC">
            <w:pPr>
              <w:pStyle w:val="84"/>
              <w:rPr>
                <w:color w:val="auto"/>
              </w:rPr>
            </w:pPr>
            <w:r>
              <w:rPr>
                <w:rFonts w:hint="eastAsia"/>
                <w:color w:val="auto"/>
              </w:rPr>
              <w:t>序号</w:t>
            </w:r>
          </w:p>
        </w:tc>
        <w:tc>
          <w:tcPr>
            <w:tcW w:w="2835" w:type="dxa"/>
            <w:vAlign w:val="center"/>
          </w:tcPr>
          <w:p w14:paraId="3DC8EDA1">
            <w:pPr>
              <w:pStyle w:val="84"/>
              <w:rPr>
                <w:color w:val="auto"/>
              </w:rPr>
            </w:pPr>
            <w:r>
              <w:rPr>
                <w:rFonts w:hint="eastAsia"/>
                <w:color w:val="auto"/>
              </w:rPr>
              <w:t>岗位</w:t>
            </w:r>
          </w:p>
        </w:tc>
        <w:tc>
          <w:tcPr>
            <w:tcW w:w="2268" w:type="dxa"/>
            <w:vAlign w:val="center"/>
          </w:tcPr>
          <w:p w14:paraId="41BFCFB6">
            <w:pPr>
              <w:pStyle w:val="84"/>
              <w:rPr>
                <w:color w:val="auto"/>
              </w:rPr>
            </w:pPr>
            <w:r>
              <w:rPr>
                <w:rFonts w:hint="eastAsia"/>
                <w:color w:val="auto"/>
              </w:rPr>
              <w:t>备注</w:t>
            </w:r>
          </w:p>
        </w:tc>
      </w:tr>
      <w:tr w14:paraId="5041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3BF2D6F2">
            <w:pPr>
              <w:pStyle w:val="84"/>
              <w:rPr>
                <w:color w:val="auto"/>
              </w:rPr>
            </w:pPr>
            <w:r>
              <w:rPr>
                <w:rFonts w:hint="eastAsia"/>
                <w:color w:val="auto"/>
              </w:rPr>
              <w:t>1</w:t>
            </w:r>
          </w:p>
        </w:tc>
        <w:tc>
          <w:tcPr>
            <w:tcW w:w="2835" w:type="dxa"/>
            <w:vAlign w:val="center"/>
          </w:tcPr>
          <w:p w14:paraId="1EBCF88C">
            <w:pPr>
              <w:pStyle w:val="84"/>
              <w:rPr>
                <w:color w:val="auto"/>
              </w:rPr>
            </w:pPr>
            <w:r>
              <w:rPr>
                <w:rFonts w:hint="eastAsia"/>
                <w:color w:val="auto"/>
              </w:rPr>
              <w:t>项目经理</w:t>
            </w:r>
          </w:p>
        </w:tc>
        <w:tc>
          <w:tcPr>
            <w:tcW w:w="2268" w:type="dxa"/>
            <w:vAlign w:val="center"/>
          </w:tcPr>
          <w:p w14:paraId="7BC4738D">
            <w:pPr>
              <w:pStyle w:val="84"/>
              <w:rPr>
                <w:color w:val="auto"/>
              </w:rPr>
            </w:pPr>
            <w:r>
              <w:rPr>
                <w:rFonts w:hint="eastAsia"/>
                <w:color w:val="auto"/>
              </w:rPr>
              <w:t>项目部</w:t>
            </w:r>
          </w:p>
        </w:tc>
      </w:tr>
      <w:tr w14:paraId="6396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66A7018">
            <w:pPr>
              <w:pStyle w:val="84"/>
              <w:rPr>
                <w:color w:val="auto"/>
              </w:rPr>
            </w:pPr>
            <w:r>
              <w:rPr>
                <w:rFonts w:hint="eastAsia"/>
                <w:color w:val="auto"/>
              </w:rPr>
              <w:t>2</w:t>
            </w:r>
          </w:p>
        </w:tc>
        <w:tc>
          <w:tcPr>
            <w:tcW w:w="2835" w:type="dxa"/>
            <w:vAlign w:val="center"/>
          </w:tcPr>
          <w:p w14:paraId="398061A6">
            <w:pPr>
              <w:pStyle w:val="84"/>
              <w:rPr>
                <w:color w:val="auto"/>
              </w:rPr>
            </w:pPr>
            <w:r>
              <w:rPr>
                <w:rFonts w:hint="eastAsia"/>
                <w:color w:val="auto"/>
              </w:rPr>
              <w:t>项目总工</w:t>
            </w:r>
          </w:p>
        </w:tc>
        <w:tc>
          <w:tcPr>
            <w:tcW w:w="2268" w:type="dxa"/>
            <w:vAlign w:val="center"/>
          </w:tcPr>
          <w:p w14:paraId="69F7F12A">
            <w:pPr>
              <w:pStyle w:val="84"/>
              <w:rPr>
                <w:color w:val="auto"/>
              </w:rPr>
            </w:pPr>
            <w:r>
              <w:rPr>
                <w:rFonts w:hint="eastAsia"/>
                <w:color w:val="auto"/>
              </w:rPr>
              <w:t>项目部</w:t>
            </w:r>
          </w:p>
        </w:tc>
      </w:tr>
      <w:tr w14:paraId="3B2C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4076C99">
            <w:pPr>
              <w:pStyle w:val="84"/>
              <w:rPr>
                <w:color w:val="auto"/>
              </w:rPr>
            </w:pPr>
            <w:r>
              <w:rPr>
                <w:rFonts w:hint="eastAsia"/>
                <w:color w:val="auto"/>
              </w:rPr>
              <w:t>3</w:t>
            </w:r>
          </w:p>
        </w:tc>
        <w:tc>
          <w:tcPr>
            <w:tcW w:w="2835" w:type="dxa"/>
            <w:vAlign w:val="center"/>
          </w:tcPr>
          <w:p w14:paraId="1793BF5C">
            <w:pPr>
              <w:pStyle w:val="84"/>
              <w:rPr>
                <w:color w:val="auto"/>
              </w:rPr>
            </w:pPr>
            <w:r>
              <w:rPr>
                <w:rFonts w:hint="eastAsia" w:cs="宋体"/>
                <w:color w:val="auto"/>
                <w:lang w:bidi="ar"/>
              </w:rPr>
              <w:t>安全总监</w:t>
            </w:r>
          </w:p>
        </w:tc>
        <w:tc>
          <w:tcPr>
            <w:tcW w:w="2268" w:type="dxa"/>
            <w:vAlign w:val="center"/>
          </w:tcPr>
          <w:p w14:paraId="44CE1758">
            <w:pPr>
              <w:pStyle w:val="84"/>
              <w:rPr>
                <w:color w:val="auto"/>
              </w:rPr>
            </w:pPr>
            <w:r>
              <w:rPr>
                <w:rFonts w:hint="eastAsia"/>
                <w:color w:val="auto"/>
              </w:rPr>
              <w:t>项目部</w:t>
            </w:r>
          </w:p>
        </w:tc>
      </w:tr>
      <w:tr w14:paraId="0DC6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413" w:type="dxa"/>
            <w:vAlign w:val="center"/>
          </w:tcPr>
          <w:p w14:paraId="712A1022">
            <w:pPr>
              <w:pStyle w:val="84"/>
              <w:rPr>
                <w:color w:val="auto"/>
              </w:rPr>
            </w:pPr>
            <w:r>
              <w:rPr>
                <w:rFonts w:hint="eastAsia"/>
                <w:color w:val="auto"/>
              </w:rPr>
              <w:t>4</w:t>
            </w:r>
          </w:p>
        </w:tc>
        <w:tc>
          <w:tcPr>
            <w:tcW w:w="2835" w:type="dxa"/>
            <w:vAlign w:val="center"/>
          </w:tcPr>
          <w:p w14:paraId="21AB4930">
            <w:pPr>
              <w:pStyle w:val="84"/>
              <w:rPr>
                <w:color w:val="auto"/>
              </w:rPr>
            </w:pPr>
            <w:r>
              <w:rPr>
                <w:rFonts w:hint="eastAsia"/>
                <w:color w:val="auto"/>
              </w:rPr>
              <w:t>质量部负责人</w:t>
            </w:r>
          </w:p>
        </w:tc>
        <w:tc>
          <w:tcPr>
            <w:tcW w:w="2268" w:type="dxa"/>
            <w:vAlign w:val="center"/>
          </w:tcPr>
          <w:p w14:paraId="0F4B2F19">
            <w:pPr>
              <w:pStyle w:val="84"/>
              <w:rPr>
                <w:color w:val="auto"/>
              </w:rPr>
            </w:pPr>
            <w:r>
              <w:rPr>
                <w:rFonts w:hint="eastAsia"/>
                <w:color w:val="auto"/>
              </w:rPr>
              <w:t>项目部</w:t>
            </w:r>
          </w:p>
        </w:tc>
      </w:tr>
      <w:tr w14:paraId="63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BEA165E">
            <w:pPr>
              <w:pStyle w:val="84"/>
              <w:rPr>
                <w:color w:val="auto"/>
              </w:rPr>
            </w:pPr>
            <w:r>
              <w:rPr>
                <w:rFonts w:hint="eastAsia"/>
                <w:color w:val="auto"/>
              </w:rPr>
              <w:t>5</w:t>
            </w:r>
          </w:p>
        </w:tc>
        <w:tc>
          <w:tcPr>
            <w:tcW w:w="2835" w:type="dxa"/>
            <w:vAlign w:val="center"/>
          </w:tcPr>
          <w:p w14:paraId="629FD670">
            <w:pPr>
              <w:pStyle w:val="84"/>
              <w:rPr>
                <w:rFonts w:cs="宋体"/>
                <w:color w:val="auto"/>
                <w:lang w:bidi="ar"/>
              </w:rPr>
            </w:pPr>
            <w:r>
              <w:rPr>
                <w:rFonts w:hint="eastAsia" w:cs="宋体"/>
                <w:color w:val="auto"/>
                <w:lang w:bidi="ar"/>
              </w:rPr>
              <w:t>安环部负责人</w:t>
            </w:r>
          </w:p>
        </w:tc>
        <w:tc>
          <w:tcPr>
            <w:tcW w:w="2268" w:type="dxa"/>
            <w:vAlign w:val="center"/>
          </w:tcPr>
          <w:p w14:paraId="49EABDBB">
            <w:pPr>
              <w:pStyle w:val="84"/>
              <w:rPr>
                <w:color w:val="auto"/>
              </w:rPr>
            </w:pPr>
            <w:r>
              <w:rPr>
                <w:rFonts w:hint="eastAsia"/>
                <w:color w:val="auto"/>
              </w:rPr>
              <w:t>项目部</w:t>
            </w:r>
          </w:p>
        </w:tc>
      </w:tr>
      <w:tr w14:paraId="1353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6B78B6B8">
            <w:pPr>
              <w:pStyle w:val="84"/>
              <w:rPr>
                <w:color w:val="auto"/>
              </w:rPr>
            </w:pPr>
            <w:r>
              <w:rPr>
                <w:color w:val="auto"/>
              </w:rPr>
              <w:t>6</w:t>
            </w:r>
          </w:p>
        </w:tc>
        <w:tc>
          <w:tcPr>
            <w:tcW w:w="2835" w:type="dxa"/>
            <w:vAlign w:val="center"/>
          </w:tcPr>
          <w:p w14:paraId="27DE7AEB">
            <w:pPr>
              <w:pStyle w:val="84"/>
              <w:rPr>
                <w:rFonts w:cs="宋体"/>
                <w:color w:val="auto"/>
                <w:lang w:bidi="ar"/>
              </w:rPr>
            </w:pPr>
            <w:r>
              <w:rPr>
                <w:rFonts w:hint="eastAsia" w:cs="宋体"/>
                <w:color w:val="auto"/>
                <w:lang w:bidi="ar"/>
              </w:rPr>
              <w:t>工程部负责人</w:t>
            </w:r>
          </w:p>
        </w:tc>
        <w:tc>
          <w:tcPr>
            <w:tcW w:w="2268" w:type="dxa"/>
            <w:vAlign w:val="center"/>
          </w:tcPr>
          <w:p w14:paraId="43084242">
            <w:pPr>
              <w:pStyle w:val="84"/>
              <w:rPr>
                <w:color w:val="auto"/>
              </w:rPr>
            </w:pPr>
            <w:r>
              <w:rPr>
                <w:rFonts w:hint="eastAsia"/>
                <w:color w:val="auto"/>
              </w:rPr>
              <w:t>项目部</w:t>
            </w:r>
          </w:p>
        </w:tc>
      </w:tr>
      <w:tr w14:paraId="767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07B9F1BA">
            <w:pPr>
              <w:pStyle w:val="84"/>
              <w:rPr>
                <w:color w:val="auto"/>
              </w:rPr>
            </w:pPr>
            <w:r>
              <w:rPr>
                <w:color w:val="auto"/>
              </w:rPr>
              <w:t>7</w:t>
            </w:r>
          </w:p>
        </w:tc>
        <w:tc>
          <w:tcPr>
            <w:tcW w:w="2835" w:type="dxa"/>
            <w:vAlign w:val="center"/>
          </w:tcPr>
          <w:p w14:paraId="2EB3F0B7">
            <w:pPr>
              <w:pStyle w:val="84"/>
              <w:rPr>
                <w:rFonts w:cs="宋体"/>
                <w:color w:val="auto"/>
                <w:lang w:bidi="ar"/>
              </w:rPr>
            </w:pPr>
            <w:r>
              <w:rPr>
                <w:rFonts w:hint="eastAsia" w:cs="宋体"/>
                <w:color w:val="auto"/>
                <w:lang w:bidi="ar"/>
              </w:rPr>
              <w:t>机械部负责人</w:t>
            </w:r>
          </w:p>
        </w:tc>
        <w:tc>
          <w:tcPr>
            <w:tcW w:w="2268" w:type="dxa"/>
            <w:vAlign w:val="center"/>
          </w:tcPr>
          <w:p w14:paraId="0D2F5722">
            <w:pPr>
              <w:pStyle w:val="84"/>
              <w:rPr>
                <w:color w:val="auto"/>
              </w:rPr>
            </w:pPr>
            <w:r>
              <w:rPr>
                <w:rFonts w:hint="eastAsia"/>
                <w:color w:val="auto"/>
              </w:rPr>
              <w:t>项目部</w:t>
            </w:r>
          </w:p>
        </w:tc>
      </w:tr>
      <w:tr w14:paraId="12A6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276694C0">
            <w:pPr>
              <w:pStyle w:val="84"/>
              <w:rPr>
                <w:color w:val="auto"/>
              </w:rPr>
            </w:pPr>
            <w:r>
              <w:rPr>
                <w:color w:val="auto"/>
              </w:rPr>
              <w:t>8</w:t>
            </w:r>
          </w:p>
        </w:tc>
        <w:tc>
          <w:tcPr>
            <w:tcW w:w="2835" w:type="dxa"/>
            <w:vAlign w:val="center"/>
          </w:tcPr>
          <w:p w14:paraId="09682EDA">
            <w:pPr>
              <w:pStyle w:val="84"/>
              <w:rPr>
                <w:color w:val="auto"/>
              </w:rPr>
            </w:pPr>
            <w:r>
              <w:rPr>
                <w:rFonts w:hint="eastAsia" w:cs="宋体"/>
                <w:color w:val="auto"/>
                <w:lang w:bidi="ar"/>
              </w:rPr>
              <w:t>物资部负责人</w:t>
            </w:r>
          </w:p>
        </w:tc>
        <w:tc>
          <w:tcPr>
            <w:tcW w:w="2268" w:type="dxa"/>
            <w:vAlign w:val="center"/>
          </w:tcPr>
          <w:p w14:paraId="06550435">
            <w:pPr>
              <w:pStyle w:val="84"/>
              <w:rPr>
                <w:color w:val="auto"/>
              </w:rPr>
            </w:pPr>
            <w:r>
              <w:rPr>
                <w:rFonts w:hint="eastAsia"/>
                <w:color w:val="auto"/>
              </w:rPr>
              <w:t>项目部</w:t>
            </w:r>
          </w:p>
        </w:tc>
      </w:tr>
      <w:tr w14:paraId="6347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16A99F8C">
            <w:pPr>
              <w:pStyle w:val="84"/>
              <w:rPr>
                <w:color w:val="auto"/>
              </w:rPr>
            </w:pPr>
            <w:r>
              <w:rPr>
                <w:color w:val="auto"/>
              </w:rPr>
              <w:t>9</w:t>
            </w:r>
          </w:p>
        </w:tc>
        <w:tc>
          <w:tcPr>
            <w:tcW w:w="2835" w:type="dxa"/>
            <w:vAlign w:val="center"/>
          </w:tcPr>
          <w:p w14:paraId="3C87473F">
            <w:pPr>
              <w:pStyle w:val="84"/>
              <w:rPr>
                <w:color w:val="auto"/>
              </w:rPr>
            </w:pPr>
            <w:r>
              <w:rPr>
                <w:rFonts w:hint="eastAsia" w:cs="宋体"/>
                <w:color w:val="auto"/>
                <w:lang w:bidi="ar"/>
              </w:rPr>
              <w:t>试验室负责人</w:t>
            </w:r>
          </w:p>
        </w:tc>
        <w:tc>
          <w:tcPr>
            <w:tcW w:w="2268" w:type="dxa"/>
            <w:vAlign w:val="center"/>
          </w:tcPr>
          <w:p w14:paraId="7E8490B6">
            <w:pPr>
              <w:pStyle w:val="84"/>
              <w:rPr>
                <w:color w:val="auto"/>
              </w:rPr>
            </w:pPr>
            <w:r>
              <w:rPr>
                <w:rFonts w:hint="eastAsia"/>
                <w:color w:val="auto"/>
              </w:rPr>
              <w:t>项目部</w:t>
            </w:r>
          </w:p>
        </w:tc>
      </w:tr>
      <w:tr w14:paraId="1C07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F9153BF">
            <w:pPr>
              <w:pStyle w:val="84"/>
              <w:rPr>
                <w:color w:val="auto"/>
              </w:rPr>
            </w:pPr>
            <w:r>
              <w:rPr>
                <w:color w:val="auto"/>
              </w:rPr>
              <w:t>10</w:t>
            </w:r>
          </w:p>
        </w:tc>
        <w:tc>
          <w:tcPr>
            <w:tcW w:w="2835" w:type="dxa"/>
            <w:vAlign w:val="center"/>
          </w:tcPr>
          <w:p w14:paraId="32F7849D">
            <w:pPr>
              <w:pStyle w:val="84"/>
              <w:rPr>
                <w:color w:val="auto"/>
              </w:rPr>
            </w:pPr>
            <w:r>
              <w:rPr>
                <w:rFonts w:hint="eastAsia"/>
                <w:color w:val="auto"/>
              </w:rPr>
              <w:t>工区经理</w:t>
            </w:r>
          </w:p>
        </w:tc>
        <w:tc>
          <w:tcPr>
            <w:tcW w:w="2268" w:type="dxa"/>
            <w:vAlign w:val="center"/>
          </w:tcPr>
          <w:p w14:paraId="20186EA0">
            <w:pPr>
              <w:pStyle w:val="84"/>
              <w:rPr>
                <w:color w:val="auto"/>
              </w:rPr>
            </w:pPr>
            <w:r>
              <w:rPr>
                <w:rFonts w:hint="eastAsia"/>
                <w:color w:val="auto"/>
              </w:rPr>
              <w:t>工区</w:t>
            </w:r>
          </w:p>
        </w:tc>
      </w:tr>
      <w:tr w14:paraId="6FCB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377EBBE5">
            <w:pPr>
              <w:pStyle w:val="84"/>
              <w:rPr>
                <w:color w:val="auto"/>
              </w:rPr>
            </w:pPr>
            <w:r>
              <w:rPr>
                <w:color w:val="auto"/>
              </w:rPr>
              <w:t>11</w:t>
            </w:r>
          </w:p>
        </w:tc>
        <w:tc>
          <w:tcPr>
            <w:tcW w:w="2835" w:type="dxa"/>
            <w:vAlign w:val="center"/>
          </w:tcPr>
          <w:p w14:paraId="578B3E01">
            <w:pPr>
              <w:pStyle w:val="84"/>
              <w:rPr>
                <w:color w:val="auto"/>
              </w:rPr>
            </w:pPr>
            <w:r>
              <w:rPr>
                <w:rFonts w:hint="eastAsia"/>
                <w:color w:val="auto"/>
              </w:rPr>
              <w:t>工区技术负责人</w:t>
            </w:r>
          </w:p>
        </w:tc>
        <w:tc>
          <w:tcPr>
            <w:tcW w:w="2268" w:type="dxa"/>
            <w:vAlign w:val="center"/>
          </w:tcPr>
          <w:p w14:paraId="1AEF787C">
            <w:pPr>
              <w:pStyle w:val="84"/>
              <w:rPr>
                <w:color w:val="auto"/>
              </w:rPr>
            </w:pPr>
            <w:r>
              <w:rPr>
                <w:rFonts w:hint="eastAsia"/>
                <w:color w:val="auto"/>
              </w:rPr>
              <w:t>工区</w:t>
            </w:r>
          </w:p>
        </w:tc>
      </w:tr>
      <w:tr w14:paraId="48CF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13" w:type="dxa"/>
            <w:vAlign w:val="center"/>
          </w:tcPr>
          <w:p w14:paraId="4A15F12B">
            <w:pPr>
              <w:pStyle w:val="84"/>
              <w:rPr>
                <w:color w:val="auto"/>
              </w:rPr>
            </w:pPr>
            <w:r>
              <w:rPr>
                <w:color w:val="auto"/>
              </w:rPr>
              <w:t>12</w:t>
            </w:r>
          </w:p>
        </w:tc>
        <w:tc>
          <w:tcPr>
            <w:tcW w:w="2835" w:type="dxa"/>
            <w:vAlign w:val="center"/>
          </w:tcPr>
          <w:p w14:paraId="329DED27">
            <w:pPr>
              <w:pStyle w:val="84"/>
              <w:rPr>
                <w:color w:val="auto"/>
              </w:rPr>
            </w:pPr>
            <w:r>
              <w:rPr>
                <w:rFonts w:hint="eastAsia"/>
                <w:color w:val="auto"/>
              </w:rPr>
              <w:t>监理工程师</w:t>
            </w:r>
          </w:p>
        </w:tc>
        <w:tc>
          <w:tcPr>
            <w:tcW w:w="2268" w:type="dxa"/>
            <w:vAlign w:val="center"/>
          </w:tcPr>
          <w:p w14:paraId="48FD6428">
            <w:pPr>
              <w:pStyle w:val="84"/>
              <w:rPr>
                <w:color w:val="auto"/>
              </w:rPr>
            </w:pPr>
            <w:r>
              <w:rPr>
                <w:rFonts w:hint="eastAsia"/>
                <w:color w:val="auto"/>
              </w:rPr>
              <w:t>监理单位</w:t>
            </w:r>
          </w:p>
        </w:tc>
      </w:tr>
      <w:bookmarkEnd w:id="267"/>
      <w:bookmarkEnd w:id="268"/>
      <w:bookmarkEnd w:id="269"/>
      <w:bookmarkEnd w:id="270"/>
      <w:bookmarkEnd w:id="271"/>
    </w:tbl>
    <w:p w14:paraId="7F9FE4ED">
      <w:pPr>
        <w:pStyle w:val="3"/>
        <w:numPr>
          <w:ilvl w:val="1"/>
          <w:numId w:val="0"/>
        </w:numPr>
        <w:ind w:left="567" w:leftChars="0" w:hanging="567" w:firstLineChars="0"/>
        <w:outlineLvl w:val="1"/>
        <w:rPr>
          <w:rFonts w:hint="eastAsia"/>
          <w:color w:val="auto"/>
        </w:rPr>
      </w:pPr>
      <w:bookmarkStart w:id="274" w:name="_Toc26692"/>
      <w:bookmarkStart w:id="275" w:name="_Toc28743"/>
      <w:r>
        <w:rPr>
          <w:rFonts w:hint="default" w:ascii="宋体" w:hAnsi="宋体" w:eastAsia="宋体" w:cstheme="majorBidi"/>
          <w:b/>
          <w:bCs/>
          <w:color w:val="auto"/>
          <w:kern w:val="2"/>
          <w:sz w:val="24"/>
          <w:szCs w:val="32"/>
          <w:lang w:val="en-US" w:eastAsia="zh-CN" w:bidi="ar-SA"/>
        </w:rPr>
        <w:t>6.6.</w:t>
      </w:r>
      <w:r>
        <w:rPr>
          <w:rFonts w:hint="eastAsia"/>
          <w:color w:val="auto"/>
        </w:rPr>
        <w:t>质量控制</w:t>
      </w:r>
      <w:bookmarkEnd w:id="274"/>
      <w:bookmarkEnd w:id="275"/>
    </w:p>
    <w:p w14:paraId="2FE310E7">
      <w:pPr>
        <w:ind w:firstLine="480"/>
        <w:rPr>
          <w:rFonts w:hint="eastAsia"/>
          <w:color w:val="auto"/>
        </w:rPr>
      </w:pPr>
      <w:r>
        <w:rPr>
          <w:rFonts w:hint="eastAsia"/>
          <w:color w:val="auto"/>
        </w:rPr>
        <w:t>（1）质量验证单位和人员</w:t>
      </w:r>
    </w:p>
    <w:p w14:paraId="04A820D2">
      <w:pPr>
        <w:ind w:firstLine="480"/>
        <w:rPr>
          <w:rFonts w:hint="eastAsia"/>
          <w:color w:val="auto"/>
        </w:rPr>
      </w:pPr>
      <w:r>
        <w:rPr>
          <w:rFonts w:hint="eastAsia"/>
          <w:color w:val="auto"/>
        </w:rPr>
        <w:t>质量控制小组应由质量部、安环部、工程部及机械部等相关技术监督部门组成，负责对整个安装施工过程的监督，以保证塔机的安装质量。</w:t>
      </w:r>
    </w:p>
    <w:p w14:paraId="5AE162C4">
      <w:pPr>
        <w:ind w:firstLine="480"/>
        <w:rPr>
          <w:rFonts w:hint="eastAsia"/>
          <w:color w:val="auto"/>
        </w:rPr>
      </w:pPr>
      <w:r>
        <w:rPr>
          <w:rFonts w:hint="eastAsia"/>
          <w:color w:val="auto"/>
        </w:rPr>
        <w:t>（2）质量管理目标</w:t>
      </w:r>
    </w:p>
    <w:p w14:paraId="2EDAF126">
      <w:pPr>
        <w:ind w:firstLine="480"/>
        <w:rPr>
          <w:rFonts w:hint="eastAsia"/>
          <w:color w:val="auto"/>
        </w:rPr>
      </w:pPr>
      <w:r>
        <w:rPr>
          <w:rFonts w:hint="eastAsia"/>
          <w:color w:val="auto"/>
        </w:rPr>
        <w:t>1）施工工艺执行率</w:t>
      </w:r>
      <w:r>
        <w:rPr>
          <w:color w:val="auto"/>
        </w:rPr>
        <w:t>100%</w:t>
      </w:r>
      <w:r>
        <w:rPr>
          <w:rFonts w:hint="eastAsia"/>
          <w:color w:val="auto"/>
        </w:rPr>
        <w:t>。</w:t>
      </w:r>
    </w:p>
    <w:p w14:paraId="515903F1">
      <w:pPr>
        <w:ind w:firstLine="480"/>
        <w:rPr>
          <w:rFonts w:hint="eastAsia"/>
          <w:color w:val="auto"/>
        </w:rPr>
      </w:pPr>
      <w:r>
        <w:rPr>
          <w:rFonts w:hint="eastAsia"/>
          <w:color w:val="auto"/>
        </w:rPr>
        <w:t>2）工程竣工一次验收合格率</w:t>
      </w:r>
      <w:r>
        <w:rPr>
          <w:color w:val="auto"/>
        </w:rPr>
        <w:t>100%</w:t>
      </w:r>
      <w:r>
        <w:rPr>
          <w:rFonts w:hint="eastAsia"/>
          <w:color w:val="auto"/>
        </w:rPr>
        <w:t>。</w:t>
      </w:r>
    </w:p>
    <w:p w14:paraId="64AFC15D">
      <w:pPr>
        <w:ind w:firstLine="480"/>
        <w:rPr>
          <w:rFonts w:hint="eastAsia"/>
          <w:color w:val="auto"/>
        </w:rPr>
      </w:pPr>
      <w:r>
        <w:rPr>
          <w:rFonts w:hint="eastAsia"/>
          <w:color w:val="auto"/>
        </w:rPr>
        <w:t>3）确保设备安全无故障运行，现场服务满意率</w:t>
      </w:r>
      <w:r>
        <w:rPr>
          <w:color w:val="auto"/>
        </w:rPr>
        <w:t>100%</w:t>
      </w:r>
      <w:r>
        <w:rPr>
          <w:rFonts w:hint="eastAsia"/>
          <w:color w:val="auto"/>
        </w:rPr>
        <w:t>。</w:t>
      </w:r>
    </w:p>
    <w:p w14:paraId="55FDE41A">
      <w:pPr>
        <w:ind w:firstLine="480"/>
        <w:rPr>
          <w:rFonts w:hint="eastAsia"/>
          <w:color w:val="auto"/>
        </w:rPr>
      </w:pPr>
      <w:r>
        <w:rPr>
          <w:rFonts w:hint="eastAsia"/>
          <w:color w:val="auto"/>
        </w:rPr>
        <w:t>（3）质量管理措施</w:t>
      </w:r>
    </w:p>
    <w:p w14:paraId="177AEE27">
      <w:pPr>
        <w:ind w:firstLine="480"/>
        <w:rPr>
          <w:rFonts w:hint="eastAsia"/>
          <w:color w:val="auto"/>
        </w:rPr>
      </w:pPr>
      <w:r>
        <w:rPr>
          <w:rFonts w:hint="eastAsia"/>
          <w:color w:val="auto"/>
        </w:rPr>
        <w:t>1）塔机进场时必须经质保、安全、技术等相关部门验收合格，方可进行安装。</w:t>
      </w:r>
    </w:p>
    <w:p w14:paraId="620FB856">
      <w:pPr>
        <w:ind w:firstLine="480"/>
        <w:rPr>
          <w:rFonts w:hint="eastAsia"/>
          <w:color w:val="auto"/>
        </w:rPr>
      </w:pPr>
      <w:r>
        <w:rPr>
          <w:rFonts w:hint="eastAsia"/>
          <w:color w:val="auto"/>
        </w:rPr>
        <w:t>2）塔机进场后必须提交各部件出厂合格证，整机第三方检验证明等质保文件。</w:t>
      </w:r>
    </w:p>
    <w:p w14:paraId="04576B78">
      <w:pPr>
        <w:ind w:firstLine="480"/>
        <w:rPr>
          <w:rFonts w:hint="eastAsia"/>
          <w:color w:val="auto"/>
        </w:rPr>
      </w:pPr>
      <w:r>
        <w:rPr>
          <w:rFonts w:hint="eastAsia"/>
          <w:color w:val="auto"/>
        </w:rPr>
        <w:t>3）塔机安装的每一个步骤均应有质保人员见证验收，验收合格后方可进行下一步的安装工作。</w:t>
      </w:r>
    </w:p>
    <w:p w14:paraId="501ED1C8">
      <w:pPr>
        <w:ind w:firstLine="480"/>
        <w:rPr>
          <w:rFonts w:hint="eastAsia"/>
          <w:color w:val="auto"/>
        </w:rPr>
      </w:pPr>
      <w:r>
        <w:rPr>
          <w:color w:val="auto"/>
        </w:rPr>
        <w:t>4</w:t>
      </w:r>
      <w:r>
        <w:rPr>
          <w:rFonts w:hint="eastAsia"/>
          <w:color w:val="auto"/>
        </w:rPr>
        <w:t>）塔机的安装工作必须严格按照安装技术方案来执行。</w:t>
      </w:r>
    </w:p>
    <w:p w14:paraId="386F1470">
      <w:pPr>
        <w:ind w:firstLine="480"/>
        <w:rPr>
          <w:rFonts w:hint="eastAsia"/>
          <w:color w:val="auto"/>
        </w:rPr>
      </w:pPr>
      <w:r>
        <w:rPr>
          <w:color w:val="auto"/>
        </w:rPr>
        <w:t>5</w:t>
      </w:r>
      <w:r>
        <w:rPr>
          <w:rFonts w:hint="eastAsia"/>
          <w:color w:val="auto"/>
        </w:rPr>
        <w:t>）安拆施工技术人员编制出的安拆施工方案，必须履行审批手续，经主管工程师审核、总工程师批准后实施。</w:t>
      </w:r>
    </w:p>
    <w:p w14:paraId="25CEBCE4">
      <w:pPr>
        <w:ind w:firstLine="480"/>
        <w:rPr>
          <w:rFonts w:hint="eastAsia"/>
          <w:color w:val="auto"/>
          <w:highlight w:val="none"/>
        </w:rPr>
      </w:pPr>
      <w:r>
        <w:rPr>
          <w:color w:val="auto"/>
          <w:highlight w:val="none"/>
        </w:rPr>
        <w:t>6</w:t>
      </w:r>
      <w:r>
        <w:rPr>
          <w:rFonts w:hint="eastAsia"/>
          <w:color w:val="auto"/>
          <w:highlight w:val="none"/>
        </w:rPr>
        <w:t>）安装工序做好自检，安装完毕应根据</w:t>
      </w:r>
      <w:r>
        <w:rPr>
          <w:rFonts w:hint="eastAsia"/>
          <w:color w:val="auto"/>
          <w:highlight w:val="none"/>
          <w:lang w:eastAsia="zh-CN"/>
        </w:rPr>
        <w:t>《建筑施工塔式起重机安装、使用、拆卸安全技术规程》（JGJ 196-20</w:t>
      </w:r>
      <w:r>
        <w:rPr>
          <w:rFonts w:hint="eastAsia"/>
          <w:color w:val="auto"/>
          <w:highlight w:val="none"/>
          <w:lang w:val="en-US" w:eastAsia="zh-CN"/>
        </w:rPr>
        <w:t>24</w:t>
      </w:r>
      <w:r>
        <w:rPr>
          <w:rFonts w:hint="eastAsia"/>
          <w:color w:val="auto"/>
          <w:highlight w:val="none"/>
          <w:lang w:eastAsia="zh-CN"/>
        </w:rPr>
        <w:t>）</w:t>
      </w:r>
      <w:r>
        <w:rPr>
          <w:rFonts w:hint="eastAsia"/>
          <w:color w:val="auto"/>
          <w:highlight w:val="none"/>
        </w:rPr>
        <w:t>要求做好调试、检查各机构运转正常、安全装置和各安全限位齐全、灵敏、可靠</w:t>
      </w:r>
      <w:r>
        <w:rPr>
          <w:rFonts w:hint="eastAsia"/>
          <w:color w:val="auto"/>
          <w:highlight w:val="none"/>
          <w:lang w:eastAsia="zh-CN"/>
        </w:rPr>
        <w:t>，自检内容</w:t>
      </w:r>
      <w:r>
        <w:rPr>
          <w:rFonts w:hint="eastAsia"/>
          <w:color w:val="auto"/>
          <w:highlight w:val="none"/>
          <w:lang w:val="en-US" w:eastAsia="zh-CN"/>
        </w:rPr>
        <w:t>按照</w:t>
      </w:r>
      <w:r>
        <w:rPr>
          <w:rFonts w:hint="eastAsia"/>
          <w:color w:val="auto"/>
          <w:highlight w:val="none"/>
          <w:lang w:eastAsia="zh-CN"/>
        </w:rPr>
        <w:t>《建筑施工塔式起重机安装、使用、拆卸安全技术规程》（JGJ 196-20</w:t>
      </w:r>
      <w:r>
        <w:rPr>
          <w:rFonts w:hint="eastAsia"/>
          <w:color w:val="auto"/>
          <w:highlight w:val="none"/>
          <w:lang w:val="en-US" w:eastAsia="zh-CN"/>
        </w:rPr>
        <w:t>24</w:t>
      </w:r>
      <w:r>
        <w:rPr>
          <w:rFonts w:hint="eastAsia"/>
          <w:color w:val="auto"/>
          <w:highlight w:val="none"/>
          <w:lang w:eastAsia="zh-CN"/>
        </w:rPr>
        <w:t>）附录A的要求</w:t>
      </w:r>
      <w:r>
        <w:rPr>
          <w:rFonts w:hint="eastAsia"/>
          <w:color w:val="auto"/>
          <w:highlight w:val="none"/>
          <w:lang w:val="en-US" w:eastAsia="zh-CN"/>
        </w:rPr>
        <w:t>执行</w:t>
      </w:r>
      <w:r>
        <w:rPr>
          <w:rFonts w:hint="eastAsia"/>
          <w:color w:val="auto"/>
          <w:highlight w:val="none"/>
        </w:rPr>
        <w:t>。</w:t>
      </w:r>
    </w:p>
    <w:p w14:paraId="4729498E">
      <w:pPr>
        <w:ind w:firstLine="480"/>
        <w:rPr>
          <w:rFonts w:hint="eastAsia"/>
          <w:color w:val="auto"/>
        </w:rPr>
      </w:pPr>
      <w:r>
        <w:rPr>
          <w:color w:val="auto"/>
        </w:rPr>
        <w:t>7</w:t>
      </w:r>
      <w:r>
        <w:rPr>
          <w:rFonts w:hint="eastAsia"/>
          <w:color w:val="auto"/>
        </w:rPr>
        <w:t>）</w:t>
      </w:r>
      <w:r>
        <w:rPr>
          <w:rFonts w:hint="eastAsia"/>
          <w:color w:val="auto"/>
          <w:lang w:eastAsia="zh-CN"/>
        </w:rPr>
        <w:t>塔机</w:t>
      </w:r>
      <w:r>
        <w:rPr>
          <w:rFonts w:hint="eastAsia"/>
          <w:color w:val="auto"/>
        </w:rPr>
        <w:t>安装工长负责贯彻执行每道作业程序，确保施工工艺执行率</w:t>
      </w:r>
      <w:r>
        <w:rPr>
          <w:color w:val="auto"/>
        </w:rPr>
        <w:t>100%</w:t>
      </w:r>
      <w:r>
        <w:rPr>
          <w:rFonts w:hint="eastAsia"/>
          <w:color w:val="auto"/>
        </w:rPr>
        <w:t>。</w:t>
      </w:r>
    </w:p>
    <w:p w14:paraId="7A8F1CC7">
      <w:pPr>
        <w:ind w:firstLine="480"/>
        <w:rPr>
          <w:rFonts w:hint="eastAsia"/>
          <w:color w:val="auto"/>
        </w:rPr>
      </w:pPr>
      <w:r>
        <w:rPr>
          <w:color w:val="auto"/>
        </w:rPr>
        <w:t>8</w:t>
      </w:r>
      <w:r>
        <w:rPr>
          <w:rFonts w:hint="eastAsia"/>
          <w:color w:val="auto"/>
        </w:rPr>
        <w:t>）施工单位负责塔机基础的施工质量，配合</w:t>
      </w:r>
      <w:r>
        <w:rPr>
          <w:rFonts w:hint="eastAsia"/>
          <w:color w:val="auto"/>
          <w:lang w:eastAsia="zh-CN"/>
        </w:rPr>
        <w:t>塔机</w:t>
      </w:r>
      <w:r>
        <w:rPr>
          <w:rFonts w:hint="eastAsia"/>
          <w:color w:val="auto"/>
        </w:rPr>
        <w:t>安装过程中垂直度进行测量和记录。</w:t>
      </w:r>
    </w:p>
    <w:p w14:paraId="2E8F1EC0">
      <w:pPr>
        <w:ind w:firstLine="480"/>
        <w:rPr>
          <w:rFonts w:hint="eastAsia"/>
          <w:color w:val="auto"/>
        </w:rPr>
      </w:pPr>
      <w:r>
        <w:rPr>
          <w:color w:val="auto"/>
        </w:rPr>
        <w:t>9</w:t>
      </w:r>
      <w:r>
        <w:rPr>
          <w:rFonts w:hint="eastAsia"/>
          <w:color w:val="auto"/>
        </w:rPr>
        <w:t>）实施对施工设备、工具、索具每日安全检查、维护保养，确保设备安全无故障运行。</w:t>
      </w:r>
    </w:p>
    <w:p w14:paraId="549B408C">
      <w:pPr>
        <w:ind w:firstLine="480"/>
        <w:rPr>
          <w:rFonts w:hint="eastAsia"/>
          <w:color w:val="auto"/>
        </w:rPr>
      </w:pPr>
      <w:r>
        <w:rPr>
          <w:color w:val="auto"/>
        </w:rPr>
        <w:t>10</w:t>
      </w:r>
      <w:r>
        <w:rPr>
          <w:rFonts w:hint="eastAsia"/>
          <w:color w:val="auto"/>
        </w:rPr>
        <w:t>）设备安装完毕，必须经安全检查部门检验合格，或所有缺陷均整改合格，取得安全使用合格证后，才能移交使用。</w:t>
      </w:r>
    </w:p>
    <w:p w14:paraId="2B1A49C8">
      <w:pPr>
        <w:ind w:firstLine="480"/>
        <w:rPr>
          <w:rFonts w:hint="eastAsia"/>
          <w:color w:val="auto"/>
        </w:rPr>
      </w:pPr>
      <w:r>
        <w:rPr>
          <w:rFonts w:hint="eastAsia"/>
          <w:color w:val="auto"/>
        </w:rPr>
        <w:t>1</w:t>
      </w:r>
      <w:r>
        <w:rPr>
          <w:color w:val="auto"/>
        </w:rPr>
        <w:t>1</w:t>
      </w:r>
      <w:r>
        <w:rPr>
          <w:rFonts w:hint="eastAsia"/>
          <w:color w:val="auto"/>
        </w:rPr>
        <w:t>）施工服务人员、维修人员严格执行劳动纪律，保持良好的服务态度，虚心听取建设单位意见，确保服务质量满足客户要求。</w:t>
      </w:r>
    </w:p>
    <w:p w14:paraId="31418614">
      <w:pPr>
        <w:pStyle w:val="3"/>
        <w:numPr>
          <w:ilvl w:val="1"/>
          <w:numId w:val="0"/>
        </w:numPr>
        <w:ind w:left="567" w:leftChars="0" w:hanging="567" w:firstLineChars="0"/>
        <w:outlineLvl w:val="1"/>
        <w:rPr>
          <w:rFonts w:hint="eastAsia"/>
          <w:color w:val="auto"/>
        </w:rPr>
      </w:pPr>
      <w:bookmarkStart w:id="276" w:name="_Toc2493"/>
      <w:bookmarkStart w:id="277" w:name="_Toc25613"/>
      <w:bookmarkStart w:id="278" w:name="_Toc182895409"/>
      <w:r>
        <w:rPr>
          <w:rFonts w:hint="default" w:ascii="宋体" w:hAnsi="宋体" w:eastAsia="宋体" w:cstheme="majorBidi"/>
          <w:b/>
          <w:bCs/>
          <w:color w:val="auto"/>
          <w:kern w:val="2"/>
          <w:sz w:val="24"/>
          <w:szCs w:val="32"/>
          <w:lang w:val="en-US" w:eastAsia="zh-CN" w:bidi="ar-SA"/>
        </w:rPr>
        <w:t>6.7.</w:t>
      </w:r>
      <w:r>
        <w:rPr>
          <w:rFonts w:hint="eastAsia"/>
          <w:color w:val="auto"/>
        </w:rPr>
        <w:t>塔机安装拆除施工作业安全质量卡控要点</w:t>
      </w:r>
      <w:bookmarkEnd w:id="276"/>
      <w:bookmarkEnd w:id="277"/>
      <w:bookmarkEnd w:id="278"/>
    </w:p>
    <w:p w14:paraId="5140BB4E">
      <w:pPr>
        <w:ind w:firstLine="480"/>
        <w:rPr>
          <w:rFonts w:hint="eastAsia"/>
          <w:color w:val="auto"/>
        </w:rPr>
      </w:pPr>
      <w:r>
        <w:rPr>
          <w:rFonts w:hint="eastAsia"/>
          <w:color w:val="auto"/>
        </w:rPr>
        <w:t>（1）主体结构安装位置正确，固定良好，销接部件销轴安装到位，螺栓连接预紧力足够。</w:t>
      </w:r>
    </w:p>
    <w:p w14:paraId="183E15BF">
      <w:pPr>
        <w:ind w:firstLine="480"/>
        <w:rPr>
          <w:rFonts w:hint="eastAsia"/>
          <w:color w:val="auto"/>
        </w:rPr>
      </w:pPr>
      <w:r>
        <w:rPr>
          <w:rFonts w:hint="eastAsia"/>
          <w:color w:val="auto"/>
        </w:rPr>
        <w:t>（2）起升变幅机构运行平稳，起升钢丝绳润滑良好。</w:t>
      </w:r>
    </w:p>
    <w:p w14:paraId="2AE0D395">
      <w:pPr>
        <w:ind w:firstLine="480"/>
        <w:rPr>
          <w:rFonts w:hint="eastAsia"/>
          <w:color w:val="auto"/>
        </w:rPr>
      </w:pPr>
      <w:r>
        <w:rPr>
          <w:rFonts w:hint="eastAsia"/>
          <w:color w:val="auto"/>
        </w:rPr>
        <w:t>（3）顶升机构，液压系统无泄漏运行平稳，挂布等零件无变形开裂等结构损坏。</w:t>
      </w:r>
    </w:p>
    <w:p w14:paraId="53743335">
      <w:pPr>
        <w:ind w:firstLine="480"/>
        <w:rPr>
          <w:rFonts w:hint="eastAsia"/>
          <w:color w:val="auto"/>
        </w:rPr>
      </w:pPr>
      <w:r>
        <w:rPr>
          <w:color w:val="auto"/>
        </w:rPr>
        <w:t>（</w:t>
      </w:r>
      <w:r>
        <w:rPr>
          <w:rFonts w:hint="eastAsia"/>
          <w:color w:val="auto"/>
        </w:rPr>
        <w:t>4</w:t>
      </w:r>
      <w:r>
        <w:rPr>
          <w:color w:val="auto"/>
        </w:rPr>
        <w:t>）</w:t>
      </w:r>
      <w:r>
        <w:rPr>
          <w:rFonts w:hint="eastAsia"/>
          <w:color w:val="auto"/>
        </w:rPr>
        <w:t>电气系统动作灵活可靠，接地可靠。</w:t>
      </w:r>
    </w:p>
    <w:p w14:paraId="3A3D29D4">
      <w:pPr>
        <w:ind w:firstLine="480"/>
        <w:rPr>
          <w:rFonts w:hint="eastAsia"/>
          <w:color w:val="auto"/>
        </w:rPr>
      </w:pPr>
      <w:r>
        <w:rPr>
          <w:color w:val="auto"/>
        </w:rPr>
        <w:t>（</w:t>
      </w:r>
      <w:r>
        <w:rPr>
          <w:rFonts w:hint="eastAsia"/>
          <w:color w:val="auto"/>
        </w:rPr>
        <w:t>5</w:t>
      </w:r>
      <w:r>
        <w:rPr>
          <w:color w:val="auto"/>
        </w:rPr>
        <w:t>）</w:t>
      </w:r>
      <w:r>
        <w:rPr>
          <w:rFonts w:hint="eastAsia"/>
          <w:color w:val="auto"/>
        </w:rPr>
        <w:t>力矩，起升，回转，变幅限位准确可靠，符合塔机设计值，塔机使用超限时限位系统能及时报警并中断动作。</w:t>
      </w:r>
    </w:p>
    <w:p w14:paraId="17373085">
      <w:pPr>
        <w:ind w:firstLine="480"/>
        <w:rPr>
          <w:rFonts w:hint="eastAsia"/>
          <w:color w:val="auto"/>
        </w:rPr>
      </w:pPr>
      <w:r>
        <w:rPr>
          <w:color w:val="auto"/>
        </w:rPr>
        <w:t>（</w:t>
      </w:r>
      <w:r>
        <w:rPr>
          <w:rFonts w:hint="eastAsia"/>
          <w:color w:val="auto"/>
        </w:rPr>
        <w:t>6</w:t>
      </w:r>
      <w:r>
        <w:rPr>
          <w:color w:val="auto"/>
        </w:rPr>
        <w:t>）</w:t>
      </w:r>
      <w:r>
        <w:rPr>
          <w:rFonts w:hint="eastAsia"/>
          <w:color w:val="auto"/>
        </w:rPr>
        <w:t>绳轮钩系统绕绳整齐，滑轮转动灵活，钢丝绳无断丝及磨损。</w:t>
      </w:r>
    </w:p>
    <w:p w14:paraId="366743B9">
      <w:pPr>
        <w:pStyle w:val="3"/>
        <w:numPr>
          <w:ilvl w:val="1"/>
          <w:numId w:val="0"/>
        </w:numPr>
        <w:ind w:left="567" w:leftChars="0" w:hanging="567" w:firstLineChars="0"/>
        <w:outlineLvl w:val="1"/>
        <w:rPr>
          <w:rFonts w:hint="eastAsia"/>
          <w:color w:val="auto"/>
        </w:rPr>
      </w:pPr>
      <w:bookmarkStart w:id="279" w:name="_Toc182895410"/>
      <w:bookmarkStart w:id="280" w:name="_Toc14153"/>
      <w:bookmarkStart w:id="281" w:name="_Toc15640"/>
      <w:r>
        <w:rPr>
          <w:rFonts w:hint="default" w:ascii="宋体" w:hAnsi="宋体" w:eastAsia="宋体" w:cstheme="majorBidi"/>
          <w:b/>
          <w:bCs/>
          <w:color w:val="auto"/>
          <w:kern w:val="2"/>
          <w:sz w:val="24"/>
          <w:szCs w:val="32"/>
          <w:lang w:val="en-US" w:eastAsia="zh-CN" w:bidi="ar-SA"/>
        </w:rPr>
        <w:t>6.8.</w:t>
      </w:r>
      <w:r>
        <w:rPr>
          <w:rFonts w:hint="eastAsia"/>
          <w:color w:val="auto"/>
          <w:lang w:eastAsia="zh-CN"/>
        </w:rPr>
        <w:t>塔机</w:t>
      </w:r>
      <w:r>
        <w:rPr>
          <w:rFonts w:hint="eastAsia"/>
          <w:color w:val="auto"/>
        </w:rPr>
        <w:t>备案内容及备案程序</w:t>
      </w:r>
      <w:bookmarkEnd w:id="279"/>
      <w:bookmarkEnd w:id="280"/>
      <w:bookmarkEnd w:id="281"/>
    </w:p>
    <w:p w14:paraId="5C3D9569">
      <w:pPr>
        <w:ind w:firstLine="480"/>
        <w:rPr>
          <w:rFonts w:hint="eastAsia"/>
          <w:color w:val="auto"/>
        </w:rPr>
      </w:pPr>
      <w:r>
        <w:rPr>
          <w:rFonts w:hint="eastAsia"/>
          <w:color w:val="auto"/>
        </w:rPr>
        <w:t>（1）填写特种设备安装改造维修告知书，并附所安装设备合格证、制造许可证、安装单位营业执照；</w:t>
      </w:r>
    </w:p>
    <w:p w14:paraId="75A4E577">
      <w:pPr>
        <w:ind w:firstLine="480"/>
        <w:rPr>
          <w:rFonts w:hint="eastAsia"/>
          <w:color w:val="auto"/>
        </w:rPr>
      </w:pPr>
      <w:r>
        <w:rPr>
          <w:rFonts w:hint="eastAsia"/>
          <w:color w:val="auto"/>
        </w:rPr>
        <w:t>（2）到当地市场监督管理局备案签字盖章；</w:t>
      </w:r>
    </w:p>
    <w:p w14:paraId="232BC1F6">
      <w:pPr>
        <w:ind w:firstLine="480"/>
        <w:rPr>
          <w:rFonts w:hint="eastAsia"/>
          <w:color w:val="auto"/>
        </w:rPr>
      </w:pPr>
      <w:r>
        <w:rPr>
          <w:rFonts w:hint="eastAsia"/>
          <w:color w:val="auto"/>
        </w:rPr>
        <w:t>（3）</w:t>
      </w:r>
      <w:r>
        <w:rPr>
          <w:rFonts w:hint="eastAsia"/>
          <w:color w:val="auto"/>
          <w:lang w:eastAsia="zh-CN"/>
        </w:rPr>
        <w:t>塔机</w:t>
      </w:r>
      <w:r>
        <w:rPr>
          <w:rFonts w:hint="eastAsia"/>
          <w:color w:val="auto"/>
        </w:rPr>
        <w:t>安装完成后进行自检、报相应部门检测及第三方检测机构检测、验收完毕后，备案完成后交付项目使用。</w:t>
      </w:r>
    </w:p>
    <w:p w14:paraId="15D42534">
      <w:pPr>
        <w:pStyle w:val="3"/>
        <w:numPr>
          <w:ilvl w:val="1"/>
          <w:numId w:val="0"/>
        </w:numPr>
        <w:ind w:left="567" w:leftChars="0" w:hanging="567" w:firstLineChars="0"/>
        <w:outlineLvl w:val="1"/>
        <w:rPr>
          <w:rFonts w:hint="eastAsia"/>
          <w:color w:val="auto"/>
        </w:rPr>
      </w:pPr>
      <w:bookmarkStart w:id="282" w:name="_Toc182895411"/>
      <w:bookmarkStart w:id="283" w:name="_Toc14943"/>
      <w:bookmarkStart w:id="284" w:name="_Toc20443"/>
      <w:r>
        <w:rPr>
          <w:rFonts w:hint="default" w:ascii="宋体" w:hAnsi="宋体" w:eastAsia="宋体" w:cstheme="majorBidi"/>
          <w:b/>
          <w:bCs/>
          <w:color w:val="auto"/>
          <w:kern w:val="2"/>
          <w:sz w:val="24"/>
          <w:szCs w:val="32"/>
          <w:lang w:val="en-US" w:eastAsia="zh-CN" w:bidi="ar-SA"/>
        </w:rPr>
        <w:t>6.9.</w:t>
      </w:r>
      <w:r>
        <w:rPr>
          <w:rFonts w:hint="eastAsia"/>
          <w:color w:val="auto"/>
        </w:rPr>
        <w:t>塔式起重机操作使用应符合下列规定</w:t>
      </w:r>
      <w:bookmarkEnd w:id="282"/>
      <w:bookmarkEnd w:id="283"/>
      <w:bookmarkEnd w:id="284"/>
    </w:p>
    <w:p w14:paraId="6A521275">
      <w:pPr>
        <w:ind w:firstLine="480"/>
        <w:rPr>
          <w:rFonts w:hint="eastAsia"/>
          <w:color w:val="auto"/>
        </w:rPr>
      </w:pPr>
      <w:r>
        <w:rPr>
          <w:rFonts w:hint="eastAsia"/>
          <w:color w:val="auto"/>
        </w:rPr>
        <w:t>（1）塔式起重机作业前，应检查金属结构、连接螺栓及钢丝绳磨损情况；送电前，各控制器手柄应在零位，空载运转，试验各机构及安全装置并确认正常。</w:t>
      </w:r>
    </w:p>
    <w:p w14:paraId="7045D007">
      <w:pPr>
        <w:ind w:firstLine="480"/>
        <w:rPr>
          <w:rFonts w:hint="eastAsia"/>
          <w:color w:val="auto"/>
        </w:rPr>
      </w:pPr>
      <w:r>
        <w:rPr>
          <w:rFonts w:hint="eastAsia"/>
          <w:color w:val="auto"/>
        </w:rPr>
        <w:t>（2）塔式起重机作业时严禁超载、斜拉和起吊埋在地下等不明重量的物件；</w:t>
      </w:r>
    </w:p>
    <w:p w14:paraId="2F1E2208">
      <w:pPr>
        <w:ind w:firstLine="480"/>
        <w:rPr>
          <w:rFonts w:hint="eastAsia"/>
          <w:color w:val="auto"/>
        </w:rPr>
      </w:pPr>
      <w:r>
        <w:rPr>
          <w:rFonts w:hint="eastAsia"/>
          <w:color w:val="auto"/>
        </w:rPr>
        <w:t>（3）吊运散装物件时，应制作专用吊笼或容器，并应保证在吊运过程中物料不会脱落。吊笼或容器在使用前应按允许承载能力的两倍荷载进行试验，使用中应定期进行检查；</w:t>
      </w:r>
    </w:p>
    <w:p w14:paraId="5E79DE86">
      <w:pPr>
        <w:ind w:firstLine="480"/>
        <w:rPr>
          <w:rFonts w:hint="eastAsia"/>
          <w:color w:val="auto"/>
        </w:rPr>
      </w:pPr>
      <w:r>
        <w:rPr>
          <w:rFonts w:hint="eastAsia"/>
          <w:color w:val="auto"/>
        </w:rPr>
        <w:t>（4）吊运多根钢管、钢筋等细长材料时，必须确认吊索绑扎牢靠，防止吊运中吊索滑移物料滑落；</w:t>
      </w:r>
    </w:p>
    <w:p w14:paraId="031965C9">
      <w:pPr>
        <w:ind w:firstLine="480"/>
        <w:rPr>
          <w:rFonts w:hint="eastAsia"/>
          <w:color w:val="auto"/>
        </w:rPr>
      </w:pPr>
      <w:r>
        <w:rPr>
          <w:rFonts w:hint="eastAsia"/>
          <w:color w:val="auto"/>
        </w:rPr>
        <w:t>（5）两台塔式起重机之间吊物的垂直距离不应小于2米。当不能满足要求时，应采取调整相邻塔式起重机的工作高度、加设行程限位、回转限位装置等措施，并制定交叉作业的操作规程；</w:t>
      </w:r>
    </w:p>
    <w:p w14:paraId="6C6A8A8E">
      <w:pPr>
        <w:ind w:firstLine="480"/>
        <w:rPr>
          <w:rFonts w:hint="eastAsia"/>
          <w:color w:val="auto"/>
        </w:rPr>
      </w:pPr>
      <w:r>
        <w:rPr>
          <w:rFonts w:hint="eastAsia"/>
          <w:color w:val="auto"/>
        </w:rPr>
        <w:t>（6）沿塔身垂直悬挂的电缆，应使用不被电缆自重拉伤和磨损的可靠装置悬挂；</w:t>
      </w:r>
    </w:p>
    <w:p w14:paraId="29165E28">
      <w:pPr>
        <w:ind w:firstLine="480"/>
        <w:rPr>
          <w:rFonts w:hint="eastAsia"/>
          <w:color w:val="auto"/>
        </w:rPr>
      </w:pPr>
      <w:r>
        <w:rPr>
          <w:rFonts w:hint="eastAsia"/>
          <w:color w:val="auto"/>
        </w:rPr>
        <w:t>（7）作业完毕，起重臂应转到顺风方向，并应松开回转制动器，起重小车及平衡重影置于非工作状态。</w:t>
      </w:r>
    </w:p>
    <w:p w14:paraId="0E358F2C">
      <w:pPr>
        <w:pStyle w:val="3"/>
        <w:numPr>
          <w:ilvl w:val="1"/>
          <w:numId w:val="0"/>
        </w:numPr>
        <w:ind w:left="567" w:leftChars="0" w:hanging="567" w:firstLineChars="0"/>
        <w:outlineLvl w:val="1"/>
        <w:rPr>
          <w:rFonts w:hint="eastAsia"/>
          <w:color w:val="auto"/>
        </w:rPr>
      </w:pPr>
      <w:bookmarkStart w:id="285" w:name="_Toc31979"/>
      <w:bookmarkStart w:id="286" w:name="_Toc182895412"/>
      <w:bookmarkStart w:id="287" w:name="_Toc102171855"/>
      <w:bookmarkStart w:id="288" w:name="_Toc8306"/>
      <w:bookmarkStart w:id="289" w:name="_Toc13705"/>
      <w:bookmarkStart w:id="290" w:name="_Toc60523132"/>
      <w:r>
        <w:rPr>
          <w:rFonts w:hint="default" w:ascii="宋体" w:hAnsi="宋体" w:eastAsia="宋体" w:cstheme="majorBidi"/>
          <w:b/>
          <w:bCs/>
          <w:color w:val="auto"/>
          <w:kern w:val="2"/>
          <w:sz w:val="24"/>
          <w:szCs w:val="32"/>
          <w:lang w:val="en-US" w:eastAsia="zh-CN" w:bidi="ar-SA"/>
        </w:rPr>
        <w:t>6.10.</w:t>
      </w:r>
      <w:r>
        <w:rPr>
          <w:color w:val="auto"/>
        </w:rPr>
        <w:t>施工方自身的监测监控措施等</w:t>
      </w:r>
      <w:bookmarkEnd w:id="285"/>
      <w:bookmarkEnd w:id="286"/>
      <w:bookmarkEnd w:id="287"/>
      <w:bookmarkEnd w:id="288"/>
      <w:bookmarkEnd w:id="289"/>
      <w:bookmarkEnd w:id="290"/>
    </w:p>
    <w:p w14:paraId="11E0FFE0">
      <w:pPr>
        <w:pStyle w:val="4"/>
        <w:numPr>
          <w:ilvl w:val="2"/>
          <w:numId w:val="12"/>
        </w:numPr>
        <w:tabs>
          <w:tab w:val="clear" w:pos="0"/>
        </w:tabs>
        <w:ind w:left="709" w:leftChars="0" w:hanging="709" w:firstLineChars="0"/>
        <w:rPr>
          <w:rFonts w:hint="eastAsia" w:ascii="宋体" w:hAnsi="宋体" w:eastAsia="宋体"/>
          <w:color w:val="auto"/>
        </w:rPr>
      </w:pPr>
      <w:bookmarkStart w:id="291" w:name="_Toc102171856"/>
      <w:bookmarkStart w:id="292" w:name="_Toc959"/>
      <w:bookmarkStart w:id="293" w:name="_Toc60523133"/>
      <w:bookmarkStart w:id="294" w:name="_Toc949"/>
      <w:bookmarkStart w:id="295" w:name="_Toc10420"/>
      <w:r>
        <w:rPr>
          <w:rFonts w:hint="eastAsia" w:ascii="宋体" w:hAnsi="宋体" w:eastAsia="宋体"/>
          <w:color w:val="auto"/>
        </w:rPr>
        <w:t>监测项目</w:t>
      </w:r>
      <w:bookmarkEnd w:id="291"/>
      <w:bookmarkEnd w:id="292"/>
      <w:bookmarkEnd w:id="293"/>
      <w:bookmarkEnd w:id="294"/>
      <w:bookmarkEnd w:id="295"/>
    </w:p>
    <w:p w14:paraId="2C2406D9">
      <w:pPr>
        <w:ind w:firstLine="480"/>
        <w:rPr>
          <w:rFonts w:hint="eastAsia"/>
          <w:color w:val="auto"/>
        </w:rPr>
      </w:pPr>
      <w:r>
        <w:rPr>
          <w:rFonts w:hint="eastAsia"/>
          <w:color w:val="auto"/>
        </w:rPr>
        <w:t>根据本工程特点，</w:t>
      </w:r>
      <w:r>
        <w:rPr>
          <w:rFonts w:hint="eastAsia"/>
          <w:color w:val="auto"/>
          <w:lang w:eastAsia="zh-CN"/>
        </w:rPr>
        <w:t>塔机</w:t>
      </w:r>
      <w:r>
        <w:rPr>
          <w:rFonts w:hint="eastAsia"/>
          <w:color w:val="auto"/>
        </w:rPr>
        <w:t>监测的主要内容主要为</w:t>
      </w:r>
      <w:r>
        <w:rPr>
          <w:rFonts w:hint="eastAsia"/>
          <w:color w:val="auto"/>
          <w:lang w:eastAsia="zh-CN"/>
        </w:rPr>
        <w:t>塔机</w:t>
      </w:r>
      <w:r>
        <w:rPr>
          <w:rFonts w:hint="eastAsia"/>
          <w:color w:val="auto"/>
        </w:rPr>
        <w:t>塔身垂直度监测、基础沉降监测、基础位移监测。</w:t>
      </w:r>
    </w:p>
    <w:p w14:paraId="74925123">
      <w:pPr>
        <w:pStyle w:val="4"/>
        <w:numPr>
          <w:ilvl w:val="2"/>
          <w:numId w:val="12"/>
        </w:numPr>
        <w:tabs>
          <w:tab w:val="clear" w:pos="0"/>
        </w:tabs>
        <w:ind w:left="709" w:leftChars="0" w:hanging="709" w:firstLineChars="0"/>
        <w:rPr>
          <w:rFonts w:hint="eastAsia" w:ascii="宋体" w:hAnsi="宋体" w:eastAsia="宋体"/>
          <w:color w:val="auto"/>
        </w:rPr>
      </w:pPr>
      <w:bookmarkStart w:id="296" w:name="_Toc9200"/>
      <w:bookmarkStart w:id="297" w:name="_Toc21458"/>
      <w:bookmarkStart w:id="298" w:name="_Toc60523134"/>
      <w:bookmarkStart w:id="299" w:name="_Toc102171857"/>
      <w:bookmarkStart w:id="300" w:name="_Toc13063"/>
      <w:r>
        <w:rPr>
          <w:rFonts w:hint="eastAsia" w:ascii="宋体" w:hAnsi="宋体" w:eastAsia="宋体"/>
          <w:color w:val="auto"/>
        </w:rPr>
        <w:t>监测超预警值后的处理措施</w:t>
      </w:r>
      <w:bookmarkEnd w:id="296"/>
      <w:bookmarkEnd w:id="297"/>
      <w:bookmarkEnd w:id="298"/>
      <w:bookmarkEnd w:id="299"/>
      <w:bookmarkEnd w:id="300"/>
    </w:p>
    <w:p w14:paraId="467D9E3A">
      <w:pPr>
        <w:ind w:firstLine="480"/>
        <w:rPr>
          <w:rFonts w:hint="eastAsia"/>
          <w:color w:val="auto"/>
        </w:rPr>
      </w:pPr>
      <w:r>
        <w:rPr>
          <w:rFonts w:hint="eastAsia"/>
          <w:color w:val="auto"/>
          <w:lang w:eastAsia="zh-CN"/>
        </w:rPr>
        <w:t>塔机</w:t>
      </w:r>
      <w:r>
        <w:rPr>
          <w:rFonts w:hint="eastAsia"/>
          <w:color w:val="auto"/>
        </w:rPr>
        <w:t>安装完毕后的一周时间内，每2d测一次，并做好测量记录，如垂直度偏差超过4‰，</w:t>
      </w:r>
      <w:r>
        <w:rPr>
          <w:rFonts w:hint="eastAsia"/>
          <w:color w:val="auto"/>
          <w:lang w:eastAsia="zh-CN"/>
        </w:rPr>
        <w:t>塔机</w:t>
      </w:r>
      <w:r>
        <w:rPr>
          <w:rFonts w:hint="eastAsia"/>
          <w:color w:val="auto"/>
        </w:rPr>
        <w:t>必须立即停止工作，并将预警值如实报上报技术部，由技术部核实是否能够项目解决，若技术部不能够解决的，必须寻求专业公司处理。</w:t>
      </w:r>
    </w:p>
    <w:p w14:paraId="3FCE8B10">
      <w:pPr>
        <w:pStyle w:val="4"/>
        <w:numPr>
          <w:ilvl w:val="2"/>
          <w:numId w:val="12"/>
        </w:numPr>
        <w:tabs>
          <w:tab w:val="clear" w:pos="0"/>
        </w:tabs>
        <w:ind w:left="709" w:leftChars="0" w:hanging="709" w:firstLineChars="0"/>
        <w:rPr>
          <w:rFonts w:hint="eastAsia" w:ascii="宋体" w:hAnsi="宋体" w:eastAsia="宋体"/>
          <w:color w:val="auto"/>
        </w:rPr>
      </w:pPr>
      <w:bookmarkStart w:id="301" w:name="_Toc60523135"/>
      <w:bookmarkStart w:id="302" w:name="_Toc102171858"/>
      <w:bookmarkStart w:id="303" w:name="_Toc29420"/>
      <w:bookmarkStart w:id="304" w:name="_Toc27623"/>
      <w:bookmarkStart w:id="305" w:name="_Toc20580"/>
      <w:r>
        <w:rPr>
          <w:rFonts w:hint="eastAsia" w:ascii="宋体" w:hAnsi="宋体" w:eastAsia="宋体"/>
          <w:color w:val="auto"/>
        </w:rPr>
        <w:t>监测方法</w:t>
      </w:r>
      <w:bookmarkEnd w:id="301"/>
      <w:bookmarkEnd w:id="302"/>
      <w:bookmarkEnd w:id="303"/>
      <w:bookmarkEnd w:id="304"/>
      <w:bookmarkEnd w:id="305"/>
    </w:p>
    <w:p w14:paraId="3CBE06ED">
      <w:pPr>
        <w:ind w:firstLine="480"/>
        <w:rPr>
          <w:rFonts w:hint="eastAsia"/>
          <w:color w:val="auto"/>
        </w:rPr>
      </w:pPr>
      <w:r>
        <w:rPr>
          <w:rFonts w:hint="eastAsia"/>
          <w:color w:val="auto"/>
          <w:lang w:eastAsia="zh-CN"/>
        </w:rPr>
        <w:t>塔机</w:t>
      </w:r>
      <w:r>
        <w:rPr>
          <w:rFonts w:hint="eastAsia"/>
          <w:color w:val="auto"/>
        </w:rPr>
        <w:t>安装好由技术监督部门进行设备检测，检测合格再组织检查验收，验收合格后方可交付使用。</w:t>
      </w:r>
    </w:p>
    <w:p w14:paraId="0EDF8526">
      <w:pPr>
        <w:ind w:firstLine="480"/>
        <w:rPr>
          <w:rFonts w:hint="eastAsia"/>
          <w:color w:val="auto"/>
        </w:rPr>
      </w:pPr>
      <w:r>
        <w:rPr>
          <w:rFonts w:hint="eastAsia"/>
          <w:color w:val="auto"/>
        </w:rPr>
        <w:t>（1）</w:t>
      </w:r>
      <w:r>
        <w:rPr>
          <w:rFonts w:hint="eastAsia"/>
          <w:color w:val="auto"/>
          <w:lang w:eastAsia="zh-CN"/>
        </w:rPr>
        <w:t>塔机</w:t>
      </w:r>
      <w:r>
        <w:rPr>
          <w:rFonts w:hint="eastAsia"/>
          <w:color w:val="auto"/>
        </w:rPr>
        <w:t>塔身垂直度监测</w:t>
      </w:r>
    </w:p>
    <w:p w14:paraId="682C8C9F">
      <w:pPr>
        <w:ind w:firstLine="480"/>
        <w:rPr>
          <w:rFonts w:hint="eastAsia"/>
          <w:color w:val="auto"/>
        </w:rPr>
      </w:pPr>
      <w:r>
        <w:rPr>
          <w:rFonts w:hint="eastAsia"/>
          <w:color w:val="auto"/>
        </w:rPr>
        <w:t>用经纬仪定期测量</w:t>
      </w:r>
      <w:r>
        <w:rPr>
          <w:rFonts w:hint="eastAsia"/>
          <w:color w:val="auto"/>
          <w:lang w:eastAsia="zh-CN"/>
        </w:rPr>
        <w:t>塔机</w:t>
      </w:r>
      <w:r>
        <w:rPr>
          <w:rFonts w:hint="eastAsia"/>
          <w:color w:val="auto"/>
        </w:rPr>
        <w:t>垂直度确保</w:t>
      </w:r>
      <w:r>
        <w:rPr>
          <w:rFonts w:hint="eastAsia"/>
          <w:color w:val="auto"/>
          <w:lang w:eastAsia="zh-CN"/>
        </w:rPr>
        <w:t>塔机</w:t>
      </w:r>
      <w:r>
        <w:rPr>
          <w:rFonts w:hint="eastAsia"/>
          <w:color w:val="auto"/>
        </w:rPr>
        <w:t>使用过程的安全稳定，详细测量方法见下图：</w:t>
      </w:r>
    </w:p>
    <w:p w14:paraId="3BF0CA98">
      <w:pPr>
        <w:widowControl/>
        <w:ind w:firstLine="0" w:firstLineChars="0"/>
        <w:jc w:val="center"/>
        <w:rPr>
          <w:rFonts w:hint="eastAsia" w:cs="宋体"/>
          <w:bCs/>
          <w:color w:val="auto"/>
          <w:kern w:val="0"/>
          <w:sz w:val="28"/>
        </w:rPr>
      </w:pPr>
      <w:r>
        <w:rPr>
          <w:rFonts w:cs="宋体"/>
          <w:bCs/>
          <w:color w:val="auto"/>
          <w:kern w:val="0"/>
          <w:sz w:val="28"/>
          <w:szCs w:val="28"/>
        </w:rPr>
        <w:drawing>
          <wp:inline distT="0" distB="0" distL="0" distR="0">
            <wp:extent cx="4577080" cy="2114550"/>
            <wp:effectExtent l="0" t="0" r="1016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9" cstate="print">
                      <a:extLst>
                        <a:ext uri="{28A0092B-C50C-407E-A947-70E740481C1C}">
                          <a14:useLocalDpi xmlns:a14="http://schemas.microsoft.com/office/drawing/2010/main" val="0"/>
                        </a:ext>
                      </a:extLst>
                    </a:blip>
                    <a:srcRect l="32802" t="34180" r="36343" b="21080"/>
                    <a:stretch>
                      <a:fillRect/>
                    </a:stretch>
                  </pic:blipFill>
                  <pic:spPr>
                    <a:xfrm>
                      <a:off x="0" y="0"/>
                      <a:ext cx="4577080" cy="2114550"/>
                    </a:xfrm>
                    <a:prstGeom prst="rect">
                      <a:avLst/>
                    </a:prstGeom>
                    <a:noFill/>
                    <a:ln>
                      <a:noFill/>
                    </a:ln>
                    <a:effectLst/>
                  </pic:spPr>
                </pic:pic>
              </a:graphicData>
            </a:graphic>
          </wp:inline>
        </w:drawing>
      </w:r>
    </w:p>
    <w:p w14:paraId="114A4FA4">
      <w:pPr>
        <w:ind w:firstLine="480"/>
        <w:jc w:val="center"/>
        <w:rPr>
          <w:rFonts w:hint="eastAsia"/>
          <w:color w:val="auto"/>
        </w:rPr>
      </w:pPr>
      <w:r>
        <w:rPr>
          <w:rFonts w:hint="eastAsia"/>
          <w:color w:val="auto"/>
        </w:rPr>
        <w:t>图</w:t>
      </w:r>
      <w:r>
        <w:rPr>
          <w:color w:val="auto"/>
        </w:rPr>
        <w:t>6.10-1</w:t>
      </w:r>
      <w:r>
        <w:rPr>
          <w:rFonts w:hint="eastAsia"/>
          <w:color w:val="auto"/>
        </w:rPr>
        <w:t xml:space="preserve"> </w:t>
      </w:r>
      <w:r>
        <w:rPr>
          <w:color w:val="auto"/>
        </w:rPr>
        <w:t xml:space="preserve"> </w:t>
      </w:r>
      <w:r>
        <w:rPr>
          <w:rFonts w:hint="eastAsia"/>
          <w:color w:val="auto"/>
          <w:lang w:eastAsia="zh-CN"/>
        </w:rPr>
        <w:t>塔机</w:t>
      </w:r>
      <w:r>
        <w:rPr>
          <w:rFonts w:hint="eastAsia"/>
          <w:color w:val="auto"/>
        </w:rPr>
        <w:t>垂直度观测示意图</w:t>
      </w:r>
    </w:p>
    <w:p w14:paraId="32091432">
      <w:pPr>
        <w:ind w:firstLine="480"/>
        <w:rPr>
          <w:rFonts w:hint="eastAsia"/>
          <w:color w:val="auto"/>
        </w:rPr>
      </w:pPr>
      <w:r>
        <w:rPr>
          <w:rFonts w:hint="eastAsia"/>
          <w:color w:val="auto"/>
        </w:rPr>
        <w:t>独立状态下塔身轴线对支承面垂直度不得大于4/1000。</w:t>
      </w:r>
    </w:p>
    <w:p w14:paraId="0E46021B">
      <w:pPr>
        <w:ind w:firstLine="480"/>
        <w:rPr>
          <w:rFonts w:hint="eastAsia"/>
          <w:color w:val="auto"/>
        </w:rPr>
      </w:pPr>
      <w:bookmarkStart w:id="306" w:name="_Toc433385875"/>
      <w:bookmarkStart w:id="307" w:name="_Toc2885"/>
      <w:bookmarkStart w:id="308" w:name="_Toc10232"/>
      <w:r>
        <w:rPr>
          <w:rFonts w:hint="eastAsia"/>
          <w:color w:val="auto"/>
        </w:rPr>
        <w:t>（2）</w:t>
      </w:r>
      <w:r>
        <w:rPr>
          <w:rFonts w:hint="eastAsia"/>
          <w:color w:val="auto"/>
          <w:lang w:eastAsia="zh-CN"/>
        </w:rPr>
        <w:t>塔机</w:t>
      </w:r>
      <w:r>
        <w:rPr>
          <w:rFonts w:hint="eastAsia"/>
          <w:color w:val="auto"/>
        </w:rPr>
        <w:t>基础沉降监测</w:t>
      </w:r>
      <w:bookmarkEnd w:id="306"/>
      <w:bookmarkEnd w:id="307"/>
      <w:bookmarkEnd w:id="308"/>
    </w:p>
    <w:p w14:paraId="42D33529">
      <w:pPr>
        <w:ind w:firstLine="480"/>
        <w:rPr>
          <w:rFonts w:hint="eastAsia"/>
          <w:color w:val="auto"/>
        </w:rPr>
      </w:pPr>
      <w:r>
        <w:rPr>
          <w:rFonts w:hint="eastAsia"/>
          <w:color w:val="auto"/>
        </w:rPr>
        <w:t>在</w:t>
      </w:r>
      <w:r>
        <w:rPr>
          <w:rFonts w:hint="eastAsia"/>
          <w:color w:val="auto"/>
          <w:lang w:eastAsia="zh-CN"/>
        </w:rPr>
        <w:t>塔机</w:t>
      </w:r>
      <w:r>
        <w:rPr>
          <w:rFonts w:hint="eastAsia"/>
          <w:color w:val="auto"/>
        </w:rPr>
        <w:t>基础承台上设置四个水平定位点，作为沉降观测点。详细布置情况见下图：</w:t>
      </w:r>
    </w:p>
    <w:p w14:paraId="2C776E79">
      <w:pPr>
        <w:ind w:firstLine="0" w:firstLineChars="0"/>
        <w:jc w:val="center"/>
        <w:rPr>
          <w:rFonts w:ascii="Calibri" w:hAnsi="Calibri"/>
          <w:color w:val="auto"/>
          <w:sz w:val="28"/>
        </w:rPr>
      </w:pPr>
      <w:r>
        <w:rPr>
          <w:rFonts w:ascii="Calibri" w:hAnsi="Calibri"/>
          <w:color w:val="auto"/>
          <w:sz w:val="28"/>
        </w:rPr>
        <w:drawing>
          <wp:inline distT="0" distB="0" distL="0" distR="0">
            <wp:extent cx="3032760" cy="1371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0" cstate="print">
                      <a:extLst>
                        <a:ext uri="{28A0092B-C50C-407E-A947-70E740481C1C}">
                          <a14:useLocalDpi xmlns:a14="http://schemas.microsoft.com/office/drawing/2010/main" val="0"/>
                        </a:ext>
                      </a:extLst>
                    </a:blip>
                    <a:srcRect l="55792" t="29813" r="9143" b="22961"/>
                    <a:stretch>
                      <a:fillRect/>
                    </a:stretch>
                  </pic:blipFill>
                  <pic:spPr>
                    <a:xfrm>
                      <a:off x="0" y="0"/>
                      <a:ext cx="3032760" cy="1371600"/>
                    </a:xfrm>
                    <a:prstGeom prst="rect">
                      <a:avLst/>
                    </a:prstGeom>
                    <a:noFill/>
                    <a:ln>
                      <a:noFill/>
                    </a:ln>
                    <a:effectLst/>
                  </pic:spPr>
                </pic:pic>
              </a:graphicData>
            </a:graphic>
          </wp:inline>
        </w:drawing>
      </w:r>
    </w:p>
    <w:p w14:paraId="5C949BDB">
      <w:pPr>
        <w:ind w:firstLine="480"/>
        <w:jc w:val="center"/>
        <w:rPr>
          <w:rFonts w:hint="eastAsia"/>
          <w:color w:val="auto"/>
        </w:rPr>
      </w:pPr>
      <w:r>
        <w:rPr>
          <w:rFonts w:hint="eastAsia"/>
          <w:color w:val="auto"/>
        </w:rPr>
        <w:t>图</w:t>
      </w:r>
      <w:r>
        <w:rPr>
          <w:color w:val="auto"/>
        </w:rPr>
        <w:t>6.10-2</w:t>
      </w:r>
      <w:r>
        <w:rPr>
          <w:rFonts w:hint="eastAsia"/>
          <w:color w:val="auto"/>
        </w:rPr>
        <w:t xml:space="preserve">  </w:t>
      </w:r>
      <w:r>
        <w:rPr>
          <w:rFonts w:hint="eastAsia"/>
          <w:color w:val="auto"/>
          <w:lang w:eastAsia="zh-CN"/>
        </w:rPr>
        <w:t>塔机</w:t>
      </w:r>
      <w:r>
        <w:rPr>
          <w:rFonts w:hint="eastAsia"/>
          <w:color w:val="auto"/>
        </w:rPr>
        <w:t>沉降观测示意图</w:t>
      </w:r>
    </w:p>
    <w:p w14:paraId="6FBBE039">
      <w:pPr>
        <w:pStyle w:val="4"/>
        <w:numPr>
          <w:ilvl w:val="2"/>
          <w:numId w:val="12"/>
        </w:numPr>
        <w:tabs>
          <w:tab w:val="clear" w:pos="0"/>
        </w:tabs>
        <w:ind w:left="709" w:leftChars="0" w:hanging="709" w:firstLineChars="0"/>
        <w:rPr>
          <w:rFonts w:hint="eastAsia" w:ascii="宋体" w:hAnsi="宋体" w:eastAsia="宋体"/>
          <w:color w:val="auto"/>
        </w:rPr>
      </w:pPr>
      <w:bookmarkStart w:id="309" w:name="_Toc102171859"/>
      <w:bookmarkStart w:id="310" w:name="_Toc19424"/>
      <w:bookmarkStart w:id="311" w:name="_Toc60523136"/>
      <w:bookmarkStart w:id="312" w:name="_Toc17905"/>
      <w:bookmarkStart w:id="313" w:name="_Toc24767"/>
      <w:r>
        <w:rPr>
          <w:rFonts w:hint="eastAsia" w:ascii="宋体" w:hAnsi="宋体" w:eastAsia="宋体"/>
          <w:color w:val="auto"/>
        </w:rPr>
        <w:t>监测频率</w:t>
      </w:r>
      <w:bookmarkEnd w:id="309"/>
      <w:bookmarkEnd w:id="310"/>
      <w:bookmarkEnd w:id="311"/>
      <w:bookmarkEnd w:id="312"/>
      <w:bookmarkEnd w:id="313"/>
    </w:p>
    <w:p w14:paraId="228E0F72">
      <w:pPr>
        <w:bidi w:val="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水平沉降监测：基坑开挖深度在5m以内，可每2d观测一次，基坑开挖至5m以下及基坑开挖完成后一周内，每天观测一次。基坑开挖至基底后一周后无明显位移时，可适当延长观测周期，每</w:t>
      </w:r>
      <w:r>
        <w:rPr>
          <w:rFonts w:hint="default" w:ascii="Times New Roman" w:hAnsi="Times New Roman" w:cs="Times New Roman"/>
          <w:color w:val="000000" w:themeColor="text1"/>
          <w14:textFill>
            <w14:solidFill>
              <w14:schemeClr w14:val="tx1"/>
            </w14:solidFill>
          </w14:textFill>
        </w:rPr>
        <w:t>5~10d</w:t>
      </w:r>
      <w:r>
        <w:rPr>
          <w:color w:val="000000" w:themeColor="text1"/>
          <w14:textFill>
            <w14:solidFill>
              <w14:schemeClr w14:val="tx1"/>
            </w14:solidFill>
          </w14:textFill>
        </w:rPr>
        <w:t>观测一次。</w:t>
      </w:r>
    </w:p>
    <w:p w14:paraId="1960A123">
      <w:pPr>
        <w:bidi w:val="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垂直位移及建筑物沉降观测：在基坑降水时和在基坑土开挖过程中应每天观测一次。混凝土底板浇完</w:t>
      </w:r>
      <w:r>
        <w:rPr>
          <w:rFonts w:hint="default" w:ascii="Times New Roman" w:hAnsi="Times New Roman" w:eastAsia="宋体" w:cs="Times New Roman"/>
          <w:color w:val="000000" w:themeColor="text1"/>
          <w14:textFill>
            <w14:solidFill>
              <w14:schemeClr w14:val="tx1"/>
            </w14:solidFill>
          </w14:textFill>
        </w:rPr>
        <w:t>10d</w:t>
      </w:r>
      <w:r>
        <w:rPr>
          <w:color w:val="000000" w:themeColor="text1"/>
          <w14:textFill>
            <w14:solidFill>
              <w14:schemeClr w14:val="tx1"/>
            </w14:solidFill>
          </w14:textFill>
        </w:rPr>
        <w:t>以后，可每</w:t>
      </w:r>
      <w:r>
        <w:rPr>
          <w:rFonts w:hint="default" w:ascii="Times New Roman" w:hAnsi="Times New Roman" w:eastAsia="宋体" w:cs="Times New Roman"/>
          <w:color w:val="000000" w:themeColor="text1"/>
          <w14:textFill>
            <w14:solidFill>
              <w14:schemeClr w14:val="tx1"/>
            </w14:solidFill>
          </w14:textFill>
        </w:rPr>
        <w:t>2~3d</w:t>
      </w:r>
      <w:r>
        <w:rPr>
          <w:color w:val="000000" w:themeColor="text1"/>
          <w14:textFill>
            <w14:solidFill>
              <w14:schemeClr w14:val="tx1"/>
            </w14:solidFill>
          </w14:textFill>
        </w:rPr>
        <w:t>观测一次，直至基坑回填土完成，此后频率为每月两次。</w:t>
      </w:r>
    </w:p>
    <w:p w14:paraId="0DF10D07">
      <w:pPr>
        <w:bidi w:val="0"/>
        <w:rPr>
          <w:color w:val="000000" w:themeColor="text1"/>
          <w14:textFill>
            <w14:solidFill>
              <w14:schemeClr w14:val="tx1"/>
            </w14:solidFill>
          </w14:textFill>
        </w:rPr>
      </w:pPr>
      <w:r>
        <w:rPr>
          <w:color w:val="000000" w:themeColor="text1"/>
          <w14:textFill>
            <w14:solidFill>
              <w14:schemeClr w14:val="tx1"/>
            </w14:solidFill>
          </w14:textFill>
        </w:rPr>
        <w:t>（3）当出现下列情况之一时，应进一步加强监测，缩短监测时间间隔，加密观测次数，并及时向施工、监理和设计人员报告监测结果：</w:t>
      </w:r>
    </w:p>
    <w:p w14:paraId="4165747B">
      <w:pPr>
        <w:bidi w:val="0"/>
        <w:rPr>
          <w:color w:val="000000" w:themeColor="text1"/>
          <w14:textFill>
            <w14:solidFill>
              <w14:schemeClr w14:val="tx1"/>
            </w14:solidFill>
          </w14:textFill>
        </w:rPr>
      </w:pPr>
      <w:r>
        <w:rPr>
          <w:color w:val="000000" w:themeColor="text1"/>
          <w14:textFill>
            <w14:solidFill>
              <w14:schemeClr w14:val="tx1"/>
            </w14:solidFill>
          </w14:textFill>
        </w:rPr>
        <w:t>1）监测项目的监测值达到报警标准；</w:t>
      </w:r>
    </w:p>
    <w:p w14:paraId="6CE32F90">
      <w:pPr>
        <w:bidi w:val="0"/>
        <w:rPr>
          <w:color w:val="000000" w:themeColor="text1"/>
          <w14:textFill>
            <w14:solidFill>
              <w14:schemeClr w14:val="tx1"/>
            </w14:solidFill>
          </w14:textFill>
        </w:rPr>
      </w:pPr>
      <w:r>
        <w:rPr>
          <w:color w:val="000000" w:themeColor="text1"/>
          <w14:textFill>
            <w14:solidFill>
              <w14:schemeClr w14:val="tx1"/>
            </w14:solidFill>
          </w14:textFill>
        </w:rPr>
        <w:t>2）监测项目的监测值变化量较大或速率加快；</w:t>
      </w:r>
    </w:p>
    <w:p w14:paraId="14E0238E">
      <w:pPr>
        <w:bidi w:val="0"/>
        <w:rPr>
          <w:color w:val="000000" w:themeColor="text1"/>
          <w14:textFill>
            <w14:solidFill>
              <w14:schemeClr w14:val="tx1"/>
            </w14:solidFill>
          </w14:textFill>
        </w:rPr>
      </w:pPr>
      <w:r>
        <w:rPr>
          <w:color w:val="000000" w:themeColor="text1"/>
          <w14:textFill>
            <w14:solidFill>
              <w14:schemeClr w14:val="tx1"/>
            </w14:solidFill>
          </w14:textFill>
        </w:rPr>
        <w:t>3）基坑及周围环境中大量积水、长时间连续降雨、</w:t>
      </w:r>
      <w:r>
        <w:rPr>
          <w:rFonts w:hint="eastAsia"/>
          <w:color w:val="000000" w:themeColor="text1"/>
          <w:lang w:val="en-US" w:eastAsia="zh-CN"/>
          <w14:textFill>
            <w14:solidFill>
              <w14:schemeClr w14:val="tx1"/>
            </w14:solidFill>
          </w14:textFill>
        </w:rPr>
        <w:t>地下</w:t>
      </w:r>
      <w:r>
        <w:rPr>
          <w:color w:val="000000" w:themeColor="text1"/>
          <w14:textFill>
            <w14:solidFill>
              <w14:schemeClr w14:val="tx1"/>
            </w14:solidFill>
          </w14:textFill>
        </w:rPr>
        <w:t>管线出现泄漏；</w:t>
      </w:r>
    </w:p>
    <w:p w14:paraId="2343A110">
      <w:pPr>
        <w:bidi w:val="0"/>
        <w:rPr>
          <w:color w:val="000000" w:themeColor="text1"/>
          <w14:textFill>
            <w14:solidFill>
              <w14:schemeClr w14:val="tx1"/>
            </w14:solidFill>
          </w14:textFill>
        </w:rPr>
      </w:pPr>
      <w:r>
        <w:rPr>
          <w:color w:val="000000" w:themeColor="text1"/>
          <w14:textFill>
            <w14:solidFill>
              <w14:schemeClr w14:val="tx1"/>
            </w14:solidFill>
          </w14:textFill>
        </w:rPr>
        <w:t>4）基坑附近地面荷载突然加大；</w:t>
      </w:r>
    </w:p>
    <w:p w14:paraId="4D4C8621">
      <w:pPr>
        <w:bidi w:val="0"/>
        <w:rPr>
          <w:color w:val="000000" w:themeColor="text1"/>
          <w14:textFill>
            <w14:solidFill>
              <w14:schemeClr w14:val="tx1"/>
            </w14:solidFill>
          </w14:textFill>
        </w:rPr>
      </w:pPr>
      <w:r>
        <w:rPr>
          <w:color w:val="000000" w:themeColor="text1"/>
          <w14:textFill>
            <w14:solidFill>
              <w14:schemeClr w14:val="tx1"/>
            </w14:solidFill>
          </w14:textFill>
        </w:rPr>
        <w:t>5）临近的建筑物或地面突然出现大量沉降、不均匀沉降或严重开裂。</w:t>
      </w:r>
    </w:p>
    <w:p w14:paraId="0E78B1C9">
      <w:pPr>
        <w:bidi w:val="0"/>
        <w:rPr>
          <w:color w:val="000000" w:themeColor="text1"/>
          <w14:textFill>
            <w14:solidFill>
              <w14:schemeClr w14:val="tx1"/>
            </w14:solidFill>
          </w14:textFill>
        </w:rPr>
      </w:pPr>
      <w:r>
        <w:rPr>
          <w:color w:val="000000" w:themeColor="text1"/>
          <w14:textFill>
            <w14:solidFill>
              <w14:schemeClr w14:val="tx1"/>
            </w14:solidFill>
          </w14:textFill>
        </w:rPr>
        <w:t>（4）当有危险事故征兆时，应连续监测。</w:t>
      </w:r>
    </w:p>
    <w:p w14:paraId="0EC2EF7D">
      <w:pPr>
        <w:ind w:firstLine="48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）塔机</w:t>
      </w:r>
      <w:r>
        <w:rPr>
          <w:rFonts w:hint="eastAsia"/>
          <w:color w:val="auto"/>
        </w:rPr>
        <w:t>安装时在初始塔身安装完成后需进行一次垂直度测量，待</w:t>
      </w:r>
      <w:r>
        <w:rPr>
          <w:rFonts w:hint="eastAsia"/>
          <w:color w:val="auto"/>
          <w:lang w:eastAsia="zh-CN"/>
        </w:rPr>
        <w:t>塔机</w:t>
      </w:r>
      <w:r>
        <w:rPr>
          <w:rFonts w:hint="eastAsia"/>
          <w:color w:val="auto"/>
        </w:rPr>
        <w:t>安装完成后再进行一次测量，塔机每次附着、顶升前后分别进行一次垂直度测量。</w:t>
      </w:r>
    </w:p>
    <w:p w14:paraId="39C31831">
      <w:pPr>
        <w:pStyle w:val="4"/>
        <w:numPr>
          <w:ilvl w:val="2"/>
          <w:numId w:val="12"/>
        </w:numPr>
        <w:tabs>
          <w:tab w:val="clear" w:pos="0"/>
        </w:tabs>
        <w:ind w:left="709" w:leftChars="0" w:hanging="709" w:firstLineChars="0"/>
        <w:rPr>
          <w:rFonts w:hint="eastAsia" w:ascii="宋体" w:hAnsi="宋体" w:eastAsia="宋体"/>
          <w:color w:val="auto"/>
        </w:rPr>
      </w:pPr>
      <w:bookmarkStart w:id="314" w:name="_Toc60523137"/>
      <w:bookmarkStart w:id="315" w:name="_Toc7964"/>
      <w:bookmarkStart w:id="316" w:name="_Toc2451"/>
      <w:bookmarkStart w:id="317" w:name="_Toc17716"/>
      <w:bookmarkStart w:id="318" w:name="_Toc102171860"/>
      <w:r>
        <w:rPr>
          <w:rFonts w:hint="eastAsia" w:ascii="宋体" w:hAnsi="宋体" w:eastAsia="宋体"/>
          <w:color w:val="auto"/>
        </w:rPr>
        <w:t>监测记录表</w:t>
      </w:r>
      <w:bookmarkEnd w:id="314"/>
      <w:bookmarkEnd w:id="315"/>
      <w:bookmarkEnd w:id="316"/>
      <w:bookmarkEnd w:id="317"/>
      <w:bookmarkEnd w:id="318"/>
    </w:p>
    <w:p w14:paraId="559F6445">
      <w:pPr>
        <w:ind w:firstLine="480"/>
        <w:rPr>
          <w:rFonts w:hint="eastAsia"/>
          <w:color w:val="auto"/>
        </w:rPr>
      </w:pPr>
      <w:r>
        <w:rPr>
          <w:rFonts w:hint="eastAsia"/>
          <w:color w:val="auto"/>
        </w:rPr>
        <w:t>（1）塔式起重机垂直度观测记录表</w:t>
      </w:r>
    </w:p>
    <w:p w14:paraId="31D74086">
      <w:pPr>
        <w:ind w:firstLine="480"/>
        <w:jc w:val="center"/>
        <w:rPr>
          <w:rFonts w:hint="eastAsia"/>
          <w:color w:val="auto"/>
        </w:rPr>
      </w:pPr>
      <w:r>
        <w:rPr>
          <w:rFonts w:hint="eastAsia"/>
          <w:color w:val="auto"/>
        </w:rPr>
        <w:t>表6</w:t>
      </w:r>
      <w:r>
        <w:rPr>
          <w:color w:val="auto"/>
        </w:rPr>
        <w:t xml:space="preserve">.10-1  </w:t>
      </w:r>
      <w:r>
        <w:rPr>
          <w:rFonts w:hint="eastAsia"/>
          <w:color w:val="auto"/>
        </w:rPr>
        <w:t>塔式起重机垂直度观测记录表</w:t>
      </w:r>
    </w:p>
    <w:p w14:paraId="16B12506">
      <w:pPr>
        <w:ind w:firstLine="422"/>
        <w:rPr>
          <w:rFonts w:hint="eastAsia" w:cs="宋体"/>
          <w:b/>
          <w:bCs/>
          <w:color w:val="auto"/>
          <w:sz w:val="21"/>
          <w:szCs w:val="21"/>
        </w:rPr>
      </w:pPr>
      <w:r>
        <w:rPr>
          <w:rFonts w:hint="eastAsia" w:cs="宋体"/>
          <w:b/>
          <w:bCs/>
          <w:color w:val="auto"/>
          <w:sz w:val="21"/>
          <w:szCs w:val="21"/>
        </w:rPr>
        <w:t>工程名称：                                                             编号：</w:t>
      </w:r>
    </w:p>
    <w:tbl>
      <w:tblPr>
        <w:tblStyle w:val="28"/>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3"/>
        <w:gridCol w:w="664"/>
        <w:gridCol w:w="818"/>
        <w:gridCol w:w="1396"/>
        <w:gridCol w:w="1342"/>
        <w:gridCol w:w="1069"/>
        <w:gridCol w:w="993"/>
        <w:gridCol w:w="960"/>
        <w:gridCol w:w="1082"/>
      </w:tblGrid>
      <w:tr w14:paraId="0D3AF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3" w:type="dxa"/>
            <w:shd w:val="clear" w:color="auto" w:fill="FFFFFF"/>
            <w:vAlign w:val="center"/>
          </w:tcPr>
          <w:p w14:paraId="736E127F">
            <w:pPr>
              <w:pStyle w:val="84"/>
              <w:rPr>
                <w:color w:val="auto"/>
              </w:rPr>
            </w:pPr>
            <w:r>
              <w:rPr>
                <w:rFonts w:hint="eastAsia"/>
                <w:color w:val="auto"/>
              </w:rPr>
              <w:t>序号</w:t>
            </w:r>
          </w:p>
        </w:tc>
        <w:tc>
          <w:tcPr>
            <w:tcW w:w="664" w:type="dxa"/>
            <w:shd w:val="clear" w:color="auto" w:fill="FFFFFF"/>
            <w:vAlign w:val="center"/>
          </w:tcPr>
          <w:p w14:paraId="1310B056">
            <w:pPr>
              <w:pStyle w:val="84"/>
              <w:rPr>
                <w:color w:val="auto"/>
              </w:rPr>
            </w:pPr>
            <w:r>
              <w:rPr>
                <w:rFonts w:hint="eastAsia"/>
                <w:color w:val="auto"/>
              </w:rPr>
              <w:t>观测</w:t>
            </w:r>
          </w:p>
          <w:p w14:paraId="3EEB9B58">
            <w:pPr>
              <w:pStyle w:val="84"/>
              <w:rPr>
                <w:color w:val="auto"/>
              </w:rPr>
            </w:pPr>
            <w:r>
              <w:rPr>
                <w:rFonts w:hint="eastAsia"/>
                <w:color w:val="auto"/>
              </w:rPr>
              <w:t>日期</w:t>
            </w:r>
          </w:p>
        </w:tc>
        <w:tc>
          <w:tcPr>
            <w:tcW w:w="818" w:type="dxa"/>
            <w:shd w:val="clear" w:color="auto" w:fill="FFFFFF"/>
            <w:vAlign w:val="center"/>
          </w:tcPr>
          <w:p w14:paraId="76D3B705">
            <w:pPr>
              <w:pStyle w:val="84"/>
              <w:rPr>
                <w:color w:val="auto"/>
              </w:rPr>
            </w:pPr>
            <w:r>
              <w:rPr>
                <w:rFonts w:hint="eastAsia"/>
                <w:color w:val="auto"/>
              </w:rPr>
              <w:t>测量</w:t>
            </w:r>
          </w:p>
          <w:p w14:paraId="584B6B49">
            <w:pPr>
              <w:pStyle w:val="84"/>
              <w:rPr>
                <w:color w:val="auto"/>
              </w:rPr>
            </w:pPr>
            <w:r>
              <w:rPr>
                <w:rFonts w:hint="eastAsia"/>
                <w:color w:val="auto"/>
              </w:rPr>
              <w:t>高度</w:t>
            </w:r>
          </w:p>
        </w:tc>
        <w:tc>
          <w:tcPr>
            <w:tcW w:w="1396" w:type="dxa"/>
            <w:shd w:val="clear" w:color="auto" w:fill="FFFFFF"/>
            <w:vAlign w:val="center"/>
          </w:tcPr>
          <w:p w14:paraId="0E411E09">
            <w:pPr>
              <w:pStyle w:val="84"/>
              <w:rPr>
                <w:color w:val="auto"/>
              </w:rPr>
            </w:pPr>
            <w:r>
              <w:rPr>
                <w:rFonts w:hint="eastAsia"/>
                <w:color w:val="auto"/>
              </w:rPr>
              <w:t>X方向偏差</w:t>
            </w:r>
          </w:p>
        </w:tc>
        <w:tc>
          <w:tcPr>
            <w:tcW w:w="1342" w:type="dxa"/>
            <w:shd w:val="clear" w:color="auto" w:fill="FFFFFF"/>
            <w:vAlign w:val="center"/>
          </w:tcPr>
          <w:p w14:paraId="33C4B573">
            <w:pPr>
              <w:pStyle w:val="84"/>
              <w:rPr>
                <w:color w:val="auto"/>
              </w:rPr>
            </w:pPr>
            <w:r>
              <w:rPr>
                <w:rFonts w:hint="eastAsia"/>
                <w:color w:val="auto"/>
              </w:rPr>
              <w:t>Y方向偏差</w:t>
            </w:r>
          </w:p>
        </w:tc>
        <w:tc>
          <w:tcPr>
            <w:tcW w:w="1069" w:type="dxa"/>
            <w:shd w:val="clear" w:color="auto" w:fill="FFFFFF"/>
            <w:vAlign w:val="center"/>
          </w:tcPr>
          <w:p w14:paraId="79BF177D">
            <w:pPr>
              <w:pStyle w:val="84"/>
              <w:rPr>
                <w:color w:val="auto"/>
              </w:rPr>
            </w:pPr>
            <w:r>
              <w:rPr>
                <w:rFonts w:hint="eastAsia"/>
                <w:color w:val="auto"/>
              </w:rPr>
              <w:t>垂直度</w:t>
            </w:r>
          </w:p>
          <w:p w14:paraId="4EF1423C">
            <w:pPr>
              <w:pStyle w:val="84"/>
              <w:rPr>
                <w:color w:val="auto"/>
              </w:rPr>
            </w:pPr>
            <w:r>
              <w:rPr>
                <w:rFonts w:hint="eastAsia"/>
                <w:color w:val="auto"/>
              </w:rPr>
              <w:t>偏差</w:t>
            </w:r>
          </w:p>
        </w:tc>
        <w:tc>
          <w:tcPr>
            <w:tcW w:w="993" w:type="dxa"/>
            <w:shd w:val="clear" w:color="auto" w:fill="FFFFFF"/>
            <w:vAlign w:val="center"/>
          </w:tcPr>
          <w:p w14:paraId="7C74A6A0">
            <w:pPr>
              <w:pStyle w:val="84"/>
              <w:rPr>
                <w:color w:val="auto"/>
              </w:rPr>
            </w:pPr>
            <w:r>
              <w:rPr>
                <w:rFonts w:hint="eastAsia"/>
                <w:color w:val="auto"/>
              </w:rPr>
              <w:t>测量仪器型号</w:t>
            </w:r>
          </w:p>
        </w:tc>
        <w:tc>
          <w:tcPr>
            <w:tcW w:w="960" w:type="dxa"/>
            <w:shd w:val="clear" w:color="auto" w:fill="FFFFFF"/>
            <w:vAlign w:val="center"/>
          </w:tcPr>
          <w:p w14:paraId="56FA9A12">
            <w:pPr>
              <w:pStyle w:val="84"/>
              <w:rPr>
                <w:color w:val="auto"/>
              </w:rPr>
            </w:pPr>
            <w:r>
              <w:rPr>
                <w:rFonts w:hint="eastAsia"/>
                <w:color w:val="auto"/>
              </w:rPr>
              <w:t>检测人</w:t>
            </w:r>
          </w:p>
        </w:tc>
        <w:tc>
          <w:tcPr>
            <w:tcW w:w="1082" w:type="dxa"/>
            <w:shd w:val="clear" w:color="auto" w:fill="FFFFFF"/>
            <w:vAlign w:val="center"/>
          </w:tcPr>
          <w:p w14:paraId="41C48108">
            <w:pPr>
              <w:pStyle w:val="84"/>
              <w:rPr>
                <w:color w:val="auto"/>
              </w:rPr>
            </w:pPr>
            <w:r>
              <w:rPr>
                <w:rFonts w:hint="eastAsia"/>
                <w:color w:val="auto"/>
              </w:rPr>
              <w:t>备注</w:t>
            </w:r>
          </w:p>
        </w:tc>
      </w:tr>
      <w:tr w14:paraId="381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446659B8">
            <w:pPr>
              <w:pStyle w:val="84"/>
              <w:rPr>
                <w:color w:val="auto"/>
              </w:rPr>
            </w:pPr>
            <w:r>
              <w:rPr>
                <w:rFonts w:hint="eastAsia"/>
                <w:color w:val="auto"/>
              </w:rPr>
              <w:t>1</w:t>
            </w:r>
          </w:p>
        </w:tc>
        <w:tc>
          <w:tcPr>
            <w:tcW w:w="664" w:type="dxa"/>
            <w:vAlign w:val="center"/>
          </w:tcPr>
          <w:p w14:paraId="0FA8832F">
            <w:pPr>
              <w:pStyle w:val="84"/>
              <w:rPr>
                <w:color w:val="auto"/>
              </w:rPr>
            </w:pPr>
          </w:p>
        </w:tc>
        <w:tc>
          <w:tcPr>
            <w:tcW w:w="818" w:type="dxa"/>
            <w:vAlign w:val="center"/>
          </w:tcPr>
          <w:p w14:paraId="01BD3707">
            <w:pPr>
              <w:pStyle w:val="84"/>
              <w:rPr>
                <w:color w:val="auto"/>
              </w:rPr>
            </w:pPr>
          </w:p>
        </w:tc>
        <w:tc>
          <w:tcPr>
            <w:tcW w:w="1396" w:type="dxa"/>
            <w:vAlign w:val="center"/>
          </w:tcPr>
          <w:p w14:paraId="314880D2">
            <w:pPr>
              <w:pStyle w:val="84"/>
              <w:rPr>
                <w:color w:val="auto"/>
              </w:rPr>
            </w:pPr>
          </w:p>
        </w:tc>
        <w:tc>
          <w:tcPr>
            <w:tcW w:w="1342" w:type="dxa"/>
            <w:vAlign w:val="center"/>
          </w:tcPr>
          <w:p w14:paraId="76587FB8">
            <w:pPr>
              <w:pStyle w:val="84"/>
              <w:rPr>
                <w:color w:val="auto"/>
              </w:rPr>
            </w:pPr>
          </w:p>
        </w:tc>
        <w:tc>
          <w:tcPr>
            <w:tcW w:w="1069" w:type="dxa"/>
            <w:vAlign w:val="center"/>
          </w:tcPr>
          <w:p w14:paraId="0F1ACEEC">
            <w:pPr>
              <w:pStyle w:val="84"/>
              <w:rPr>
                <w:color w:val="auto"/>
              </w:rPr>
            </w:pPr>
          </w:p>
        </w:tc>
        <w:tc>
          <w:tcPr>
            <w:tcW w:w="993" w:type="dxa"/>
            <w:vAlign w:val="center"/>
          </w:tcPr>
          <w:p w14:paraId="34B3F396">
            <w:pPr>
              <w:pStyle w:val="84"/>
              <w:rPr>
                <w:color w:val="auto"/>
              </w:rPr>
            </w:pPr>
          </w:p>
        </w:tc>
        <w:tc>
          <w:tcPr>
            <w:tcW w:w="960" w:type="dxa"/>
            <w:vAlign w:val="center"/>
          </w:tcPr>
          <w:p w14:paraId="198C455D">
            <w:pPr>
              <w:pStyle w:val="84"/>
              <w:rPr>
                <w:color w:val="auto"/>
              </w:rPr>
            </w:pPr>
          </w:p>
        </w:tc>
        <w:tc>
          <w:tcPr>
            <w:tcW w:w="1082" w:type="dxa"/>
            <w:vAlign w:val="center"/>
          </w:tcPr>
          <w:p w14:paraId="5B933CBA">
            <w:pPr>
              <w:pStyle w:val="84"/>
              <w:rPr>
                <w:color w:val="auto"/>
              </w:rPr>
            </w:pPr>
          </w:p>
        </w:tc>
      </w:tr>
      <w:tr w14:paraId="16355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12BA9818">
            <w:pPr>
              <w:pStyle w:val="84"/>
              <w:rPr>
                <w:color w:val="auto"/>
              </w:rPr>
            </w:pPr>
            <w:r>
              <w:rPr>
                <w:rFonts w:hint="eastAsia"/>
                <w:color w:val="auto"/>
              </w:rPr>
              <w:t>2</w:t>
            </w:r>
          </w:p>
        </w:tc>
        <w:tc>
          <w:tcPr>
            <w:tcW w:w="664" w:type="dxa"/>
            <w:vAlign w:val="center"/>
          </w:tcPr>
          <w:p w14:paraId="4C996300">
            <w:pPr>
              <w:pStyle w:val="84"/>
              <w:rPr>
                <w:color w:val="auto"/>
              </w:rPr>
            </w:pPr>
          </w:p>
        </w:tc>
        <w:tc>
          <w:tcPr>
            <w:tcW w:w="818" w:type="dxa"/>
            <w:vAlign w:val="center"/>
          </w:tcPr>
          <w:p w14:paraId="2720A936">
            <w:pPr>
              <w:pStyle w:val="84"/>
              <w:rPr>
                <w:color w:val="auto"/>
              </w:rPr>
            </w:pPr>
          </w:p>
        </w:tc>
        <w:tc>
          <w:tcPr>
            <w:tcW w:w="1396" w:type="dxa"/>
            <w:vAlign w:val="center"/>
          </w:tcPr>
          <w:p w14:paraId="4F803B0E">
            <w:pPr>
              <w:pStyle w:val="84"/>
              <w:rPr>
                <w:color w:val="auto"/>
              </w:rPr>
            </w:pPr>
          </w:p>
        </w:tc>
        <w:tc>
          <w:tcPr>
            <w:tcW w:w="1342" w:type="dxa"/>
            <w:vAlign w:val="center"/>
          </w:tcPr>
          <w:p w14:paraId="2158F161">
            <w:pPr>
              <w:pStyle w:val="84"/>
              <w:rPr>
                <w:color w:val="auto"/>
              </w:rPr>
            </w:pPr>
          </w:p>
        </w:tc>
        <w:tc>
          <w:tcPr>
            <w:tcW w:w="1069" w:type="dxa"/>
            <w:vAlign w:val="center"/>
          </w:tcPr>
          <w:p w14:paraId="3DFA56BD">
            <w:pPr>
              <w:pStyle w:val="84"/>
              <w:rPr>
                <w:color w:val="auto"/>
              </w:rPr>
            </w:pPr>
          </w:p>
        </w:tc>
        <w:tc>
          <w:tcPr>
            <w:tcW w:w="993" w:type="dxa"/>
            <w:vAlign w:val="center"/>
          </w:tcPr>
          <w:p w14:paraId="1515BF09">
            <w:pPr>
              <w:pStyle w:val="84"/>
              <w:rPr>
                <w:color w:val="auto"/>
              </w:rPr>
            </w:pPr>
          </w:p>
        </w:tc>
        <w:tc>
          <w:tcPr>
            <w:tcW w:w="960" w:type="dxa"/>
            <w:vAlign w:val="center"/>
          </w:tcPr>
          <w:p w14:paraId="42DBB0BE">
            <w:pPr>
              <w:pStyle w:val="84"/>
              <w:rPr>
                <w:color w:val="auto"/>
              </w:rPr>
            </w:pPr>
          </w:p>
        </w:tc>
        <w:tc>
          <w:tcPr>
            <w:tcW w:w="1082" w:type="dxa"/>
            <w:vAlign w:val="center"/>
          </w:tcPr>
          <w:p w14:paraId="34FF56F5">
            <w:pPr>
              <w:pStyle w:val="84"/>
              <w:rPr>
                <w:color w:val="auto"/>
              </w:rPr>
            </w:pPr>
          </w:p>
        </w:tc>
      </w:tr>
      <w:tr w14:paraId="53B6C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23C11F4">
            <w:pPr>
              <w:pStyle w:val="84"/>
              <w:rPr>
                <w:color w:val="auto"/>
              </w:rPr>
            </w:pPr>
            <w:r>
              <w:rPr>
                <w:rFonts w:hint="eastAsia"/>
                <w:color w:val="auto"/>
              </w:rPr>
              <w:t>3</w:t>
            </w:r>
          </w:p>
        </w:tc>
        <w:tc>
          <w:tcPr>
            <w:tcW w:w="664" w:type="dxa"/>
            <w:vAlign w:val="center"/>
          </w:tcPr>
          <w:p w14:paraId="68CF4B5D">
            <w:pPr>
              <w:pStyle w:val="84"/>
              <w:rPr>
                <w:color w:val="auto"/>
              </w:rPr>
            </w:pPr>
          </w:p>
        </w:tc>
        <w:tc>
          <w:tcPr>
            <w:tcW w:w="818" w:type="dxa"/>
            <w:vAlign w:val="center"/>
          </w:tcPr>
          <w:p w14:paraId="5C4D2721">
            <w:pPr>
              <w:pStyle w:val="84"/>
              <w:rPr>
                <w:color w:val="auto"/>
              </w:rPr>
            </w:pPr>
          </w:p>
        </w:tc>
        <w:tc>
          <w:tcPr>
            <w:tcW w:w="1396" w:type="dxa"/>
            <w:vAlign w:val="center"/>
          </w:tcPr>
          <w:p w14:paraId="40F39643">
            <w:pPr>
              <w:pStyle w:val="84"/>
              <w:rPr>
                <w:color w:val="auto"/>
              </w:rPr>
            </w:pPr>
          </w:p>
        </w:tc>
        <w:tc>
          <w:tcPr>
            <w:tcW w:w="1342" w:type="dxa"/>
            <w:vAlign w:val="center"/>
          </w:tcPr>
          <w:p w14:paraId="36946F8D">
            <w:pPr>
              <w:pStyle w:val="84"/>
              <w:rPr>
                <w:color w:val="auto"/>
              </w:rPr>
            </w:pPr>
          </w:p>
        </w:tc>
        <w:tc>
          <w:tcPr>
            <w:tcW w:w="1069" w:type="dxa"/>
            <w:vAlign w:val="center"/>
          </w:tcPr>
          <w:p w14:paraId="0A10100F">
            <w:pPr>
              <w:pStyle w:val="84"/>
              <w:rPr>
                <w:color w:val="auto"/>
              </w:rPr>
            </w:pPr>
          </w:p>
        </w:tc>
        <w:tc>
          <w:tcPr>
            <w:tcW w:w="993" w:type="dxa"/>
            <w:vAlign w:val="center"/>
          </w:tcPr>
          <w:p w14:paraId="68F030EA">
            <w:pPr>
              <w:pStyle w:val="84"/>
              <w:rPr>
                <w:color w:val="auto"/>
              </w:rPr>
            </w:pPr>
          </w:p>
        </w:tc>
        <w:tc>
          <w:tcPr>
            <w:tcW w:w="960" w:type="dxa"/>
            <w:vAlign w:val="center"/>
          </w:tcPr>
          <w:p w14:paraId="507318A2">
            <w:pPr>
              <w:pStyle w:val="84"/>
              <w:rPr>
                <w:color w:val="auto"/>
              </w:rPr>
            </w:pPr>
          </w:p>
        </w:tc>
        <w:tc>
          <w:tcPr>
            <w:tcW w:w="1082" w:type="dxa"/>
            <w:vAlign w:val="center"/>
          </w:tcPr>
          <w:p w14:paraId="6C828991">
            <w:pPr>
              <w:pStyle w:val="84"/>
              <w:rPr>
                <w:color w:val="auto"/>
              </w:rPr>
            </w:pPr>
          </w:p>
        </w:tc>
      </w:tr>
      <w:tr w14:paraId="76C6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64D3E326">
            <w:pPr>
              <w:pStyle w:val="84"/>
              <w:rPr>
                <w:color w:val="auto"/>
              </w:rPr>
            </w:pPr>
            <w:r>
              <w:rPr>
                <w:rFonts w:hint="eastAsia"/>
                <w:color w:val="auto"/>
              </w:rPr>
              <w:t>4</w:t>
            </w:r>
          </w:p>
        </w:tc>
        <w:tc>
          <w:tcPr>
            <w:tcW w:w="664" w:type="dxa"/>
            <w:vAlign w:val="center"/>
          </w:tcPr>
          <w:p w14:paraId="010BC6D0">
            <w:pPr>
              <w:pStyle w:val="84"/>
              <w:rPr>
                <w:color w:val="auto"/>
              </w:rPr>
            </w:pPr>
          </w:p>
        </w:tc>
        <w:tc>
          <w:tcPr>
            <w:tcW w:w="818" w:type="dxa"/>
            <w:vAlign w:val="center"/>
          </w:tcPr>
          <w:p w14:paraId="05CAA0CA">
            <w:pPr>
              <w:pStyle w:val="84"/>
              <w:rPr>
                <w:color w:val="auto"/>
              </w:rPr>
            </w:pPr>
          </w:p>
        </w:tc>
        <w:tc>
          <w:tcPr>
            <w:tcW w:w="1396" w:type="dxa"/>
            <w:vAlign w:val="center"/>
          </w:tcPr>
          <w:p w14:paraId="31DCE305">
            <w:pPr>
              <w:pStyle w:val="84"/>
              <w:rPr>
                <w:color w:val="auto"/>
              </w:rPr>
            </w:pPr>
          </w:p>
        </w:tc>
        <w:tc>
          <w:tcPr>
            <w:tcW w:w="1342" w:type="dxa"/>
            <w:vAlign w:val="center"/>
          </w:tcPr>
          <w:p w14:paraId="6BEC3382">
            <w:pPr>
              <w:pStyle w:val="84"/>
              <w:rPr>
                <w:color w:val="auto"/>
              </w:rPr>
            </w:pPr>
          </w:p>
        </w:tc>
        <w:tc>
          <w:tcPr>
            <w:tcW w:w="1069" w:type="dxa"/>
            <w:vAlign w:val="center"/>
          </w:tcPr>
          <w:p w14:paraId="1BB56F13">
            <w:pPr>
              <w:pStyle w:val="84"/>
              <w:rPr>
                <w:color w:val="auto"/>
              </w:rPr>
            </w:pPr>
          </w:p>
        </w:tc>
        <w:tc>
          <w:tcPr>
            <w:tcW w:w="993" w:type="dxa"/>
            <w:vAlign w:val="center"/>
          </w:tcPr>
          <w:p w14:paraId="15CA4EBD">
            <w:pPr>
              <w:pStyle w:val="84"/>
              <w:rPr>
                <w:color w:val="auto"/>
              </w:rPr>
            </w:pPr>
          </w:p>
        </w:tc>
        <w:tc>
          <w:tcPr>
            <w:tcW w:w="960" w:type="dxa"/>
            <w:vAlign w:val="center"/>
          </w:tcPr>
          <w:p w14:paraId="21483307">
            <w:pPr>
              <w:pStyle w:val="84"/>
              <w:rPr>
                <w:color w:val="auto"/>
              </w:rPr>
            </w:pPr>
          </w:p>
        </w:tc>
        <w:tc>
          <w:tcPr>
            <w:tcW w:w="1082" w:type="dxa"/>
            <w:vAlign w:val="center"/>
          </w:tcPr>
          <w:p w14:paraId="61BE71CC">
            <w:pPr>
              <w:pStyle w:val="84"/>
              <w:rPr>
                <w:color w:val="auto"/>
              </w:rPr>
            </w:pPr>
          </w:p>
        </w:tc>
      </w:tr>
      <w:tr w14:paraId="1150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596D0BF5">
            <w:pPr>
              <w:pStyle w:val="84"/>
              <w:rPr>
                <w:color w:val="auto"/>
              </w:rPr>
            </w:pPr>
            <w:r>
              <w:rPr>
                <w:rFonts w:hint="eastAsia"/>
                <w:color w:val="auto"/>
              </w:rPr>
              <w:t>5</w:t>
            </w:r>
          </w:p>
        </w:tc>
        <w:tc>
          <w:tcPr>
            <w:tcW w:w="664" w:type="dxa"/>
            <w:vAlign w:val="center"/>
          </w:tcPr>
          <w:p w14:paraId="14DB2B70">
            <w:pPr>
              <w:pStyle w:val="84"/>
              <w:rPr>
                <w:color w:val="auto"/>
              </w:rPr>
            </w:pPr>
          </w:p>
        </w:tc>
        <w:tc>
          <w:tcPr>
            <w:tcW w:w="818" w:type="dxa"/>
            <w:vAlign w:val="center"/>
          </w:tcPr>
          <w:p w14:paraId="550311AD">
            <w:pPr>
              <w:pStyle w:val="84"/>
              <w:rPr>
                <w:color w:val="auto"/>
              </w:rPr>
            </w:pPr>
          </w:p>
        </w:tc>
        <w:tc>
          <w:tcPr>
            <w:tcW w:w="1396" w:type="dxa"/>
            <w:vAlign w:val="center"/>
          </w:tcPr>
          <w:p w14:paraId="0D73685D">
            <w:pPr>
              <w:pStyle w:val="84"/>
              <w:rPr>
                <w:color w:val="auto"/>
              </w:rPr>
            </w:pPr>
          </w:p>
        </w:tc>
        <w:tc>
          <w:tcPr>
            <w:tcW w:w="1342" w:type="dxa"/>
            <w:vAlign w:val="center"/>
          </w:tcPr>
          <w:p w14:paraId="24DD3F48">
            <w:pPr>
              <w:pStyle w:val="84"/>
              <w:rPr>
                <w:color w:val="auto"/>
              </w:rPr>
            </w:pPr>
          </w:p>
        </w:tc>
        <w:tc>
          <w:tcPr>
            <w:tcW w:w="1069" w:type="dxa"/>
            <w:vAlign w:val="center"/>
          </w:tcPr>
          <w:p w14:paraId="5AEC094C">
            <w:pPr>
              <w:pStyle w:val="84"/>
              <w:rPr>
                <w:color w:val="auto"/>
              </w:rPr>
            </w:pPr>
          </w:p>
        </w:tc>
        <w:tc>
          <w:tcPr>
            <w:tcW w:w="993" w:type="dxa"/>
            <w:vAlign w:val="center"/>
          </w:tcPr>
          <w:p w14:paraId="5CC74A0B">
            <w:pPr>
              <w:pStyle w:val="84"/>
              <w:rPr>
                <w:color w:val="auto"/>
              </w:rPr>
            </w:pPr>
          </w:p>
        </w:tc>
        <w:tc>
          <w:tcPr>
            <w:tcW w:w="960" w:type="dxa"/>
            <w:vAlign w:val="center"/>
          </w:tcPr>
          <w:p w14:paraId="7A859154">
            <w:pPr>
              <w:pStyle w:val="84"/>
              <w:rPr>
                <w:color w:val="auto"/>
              </w:rPr>
            </w:pPr>
          </w:p>
        </w:tc>
        <w:tc>
          <w:tcPr>
            <w:tcW w:w="1082" w:type="dxa"/>
            <w:vAlign w:val="center"/>
          </w:tcPr>
          <w:p w14:paraId="1B041D63">
            <w:pPr>
              <w:pStyle w:val="84"/>
              <w:rPr>
                <w:color w:val="auto"/>
              </w:rPr>
            </w:pPr>
          </w:p>
        </w:tc>
      </w:tr>
      <w:tr w14:paraId="78DC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170EDC19">
            <w:pPr>
              <w:pStyle w:val="84"/>
              <w:rPr>
                <w:color w:val="auto"/>
              </w:rPr>
            </w:pPr>
            <w:r>
              <w:rPr>
                <w:rFonts w:hint="eastAsia"/>
                <w:color w:val="auto"/>
              </w:rPr>
              <w:t>6</w:t>
            </w:r>
          </w:p>
        </w:tc>
        <w:tc>
          <w:tcPr>
            <w:tcW w:w="664" w:type="dxa"/>
            <w:vAlign w:val="center"/>
          </w:tcPr>
          <w:p w14:paraId="3D741E23">
            <w:pPr>
              <w:pStyle w:val="84"/>
              <w:rPr>
                <w:color w:val="auto"/>
              </w:rPr>
            </w:pPr>
          </w:p>
        </w:tc>
        <w:tc>
          <w:tcPr>
            <w:tcW w:w="818" w:type="dxa"/>
            <w:vAlign w:val="center"/>
          </w:tcPr>
          <w:p w14:paraId="29FDE595">
            <w:pPr>
              <w:pStyle w:val="84"/>
              <w:rPr>
                <w:color w:val="auto"/>
              </w:rPr>
            </w:pPr>
          </w:p>
        </w:tc>
        <w:tc>
          <w:tcPr>
            <w:tcW w:w="1396" w:type="dxa"/>
            <w:vAlign w:val="center"/>
          </w:tcPr>
          <w:p w14:paraId="1C5BE5CB">
            <w:pPr>
              <w:pStyle w:val="84"/>
              <w:rPr>
                <w:color w:val="auto"/>
              </w:rPr>
            </w:pPr>
          </w:p>
        </w:tc>
        <w:tc>
          <w:tcPr>
            <w:tcW w:w="1342" w:type="dxa"/>
            <w:vAlign w:val="center"/>
          </w:tcPr>
          <w:p w14:paraId="731D1F51">
            <w:pPr>
              <w:pStyle w:val="84"/>
              <w:rPr>
                <w:color w:val="auto"/>
              </w:rPr>
            </w:pPr>
          </w:p>
        </w:tc>
        <w:tc>
          <w:tcPr>
            <w:tcW w:w="1069" w:type="dxa"/>
            <w:vAlign w:val="center"/>
          </w:tcPr>
          <w:p w14:paraId="6054482C">
            <w:pPr>
              <w:pStyle w:val="84"/>
              <w:rPr>
                <w:color w:val="auto"/>
              </w:rPr>
            </w:pPr>
          </w:p>
        </w:tc>
        <w:tc>
          <w:tcPr>
            <w:tcW w:w="993" w:type="dxa"/>
            <w:vAlign w:val="center"/>
          </w:tcPr>
          <w:p w14:paraId="2E50636A">
            <w:pPr>
              <w:pStyle w:val="84"/>
              <w:rPr>
                <w:color w:val="auto"/>
              </w:rPr>
            </w:pPr>
          </w:p>
        </w:tc>
        <w:tc>
          <w:tcPr>
            <w:tcW w:w="960" w:type="dxa"/>
            <w:vAlign w:val="center"/>
          </w:tcPr>
          <w:p w14:paraId="6BF8E3B6">
            <w:pPr>
              <w:pStyle w:val="84"/>
              <w:rPr>
                <w:color w:val="auto"/>
              </w:rPr>
            </w:pPr>
          </w:p>
        </w:tc>
        <w:tc>
          <w:tcPr>
            <w:tcW w:w="1082" w:type="dxa"/>
            <w:vAlign w:val="center"/>
          </w:tcPr>
          <w:p w14:paraId="14DEFC52">
            <w:pPr>
              <w:pStyle w:val="84"/>
              <w:rPr>
                <w:color w:val="auto"/>
              </w:rPr>
            </w:pPr>
          </w:p>
        </w:tc>
      </w:tr>
      <w:tr w14:paraId="4ABE9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70A135C1">
            <w:pPr>
              <w:pStyle w:val="84"/>
              <w:rPr>
                <w:color w:val="auto"/>
              </w:rPr>
            </w:pPr>
            <w:r>
              <w:rPr>
                <w:rFonts w:hint="eastAsia"/>
                <w:color w:val="auto"/>
              </w:rPr>
              <w:t>7</w:t>
            </w:r>
          </w:p>
        </w:tc>
        <w:tc>
          <w:tcPr>
            <w:tcW w:w="664" w:type="dxa"/>
            <w:vAlign w:val="center"/>
          </w:tcPr>
          <w:p w14:paraId="2F3849BA">
            <w:pPr>
              <w:pStyle w:val="84"/>
              <w:rPr>
                <w:color w:val="auto"/>
              </w:rPr>
            </w:pPr>
          </w:p>
        </w:tc>
        <w:tc>
          <w:tcPr>
            <w:tcW w:w="818" w:type="dxa"/>
            <w:vAlign w:val="center"/>
          </w:tcPr>
          <w:p w14:paraId="6414D9E2">
            <w:pPr>
              <w:pStyle w:val="84"/>
              <w:rPr>
                <w:color w:val="auto"/>
              </w:rPr>
            </w:pPr>
          </w:p>
        </w:tc>
        <w:tc>
          <w:tcPr>
            <w:tcW w:w="1396" w:type="dxa"/>
            <w:vAlign w:val="center"/>
          </w:tcPr>
          <w:p w14:paraId="778A9397">
            <w:pPr>
              <w:pStyle w:val="84"/>
              <w:rPr>
                <w:color w:val="auto"/>
              </w:rPr>
            </w:pPr>
          </w:p>
        </w:tc>
        <w:tc>
          <w:tcPr>
            <w:tcW w:w="1342" w:type="dxa"/>
            <w:vAlign w:val="center"/>
          </w:tcPr>
          <w:p w14:paraId="5A5961DA">
            <w:pPr>
              <w:pStyle w:val="84"/>
              <w:rPr>
                <w:color w:val="auto"/>
              </w:rPr>
            </w:pPr>
          </w:p>
        </w:tc>
        <w:tc>
          <w:tcPr>
            <w:tcW w:w="1069" w:type="dxa"/>
            <w:vAlign w:val="center"/>
          </w:tcPr>
          <w:p w14:paraId="0C5903B7">
            <w:pPr>
              <w:pStyle w:val="84"/>
              <w:rPr>
                <w:color w:val="auto"/>
              </w:rPr>
            </w:pPr>
          </w:p>
        </w:tc>
        <w:tc>
          <w:tcPr>
            <w:tcW w:w="993" w:type="dxa"/>
            <w:vAlign w:val="center"/>
          </w:tcPr>
          <w:p w14:paraId="20360F6C">
            <w:pPr>
              <w:pStyle w:val="84"/>
              <w:rPr>
                <w:color w:val="auto"/>
              </w:rPr>
            </w:pPr>
          </w:p>
        </w:tc>
        <w:tc>
          <w:tcPr>
            <w:tcW w:w="960" w:type="dxa"/>
            <w:vAlign w:val="center"/>
          </w:tcPr>
          <w:p w14:paraId="270C801E">
            <w:pPr>
              <w:pStyle w:val="84"/>
              <w:rPr>
                <w:color w:val="auto"/>
              </w:rPr>
            </w:pPr>
          </w:p>
        </w:tc>
        <w:tc>
          <w:tcPr>
            <w:tcW w:w="1082" w:type="dxa"/>
            <w:vAlign w:val="center"/>
          </w:tcPr>
          <w:p w14:paraId="1614B940">
            <w:pPr>
              <w:pStyle w:val="84"/>
              <w:rPr>
                <w:color w:val="auto"/>
              </w:rPr>
            </w:pPr>
          </w:p>
        </w:tc>
      </w:tr>
      <w:tr w14:paraId="19442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53" w:type="dxa"/>
            <w:vAlign w:val="center"/>
          </w:tcPr>
          <w:p w14:paraId="57FBDB14">
            <w:pPr>
              <w:pStyle w:val="84"/>
              <w:rPr>
                <w:color w:val="auto"/>
              </w:rPr>
            </w:pPr>
            <w:r>
              <w:rPr>
                <w:rFonts w:hint="eastAsia"/>
                <w:color w:val="auto"/>
              </w:rPr>
              <w:t>8</w:t>
            </w:r>
          </w:p>
        </w:tc>
        <w:tc>
          <w:tcPr>
            <w:tcW w:w="664" w:type="dxa"/>
            <w:vAlign w:val="center"/>
          </w:tcPr>
          <w:p w14:paraId="7293FF99">
            <w:pPr>
              <w:pStyle w:val="84"/>
              <w:rPr>
                <w:color w:val="auto"/>
              </w:rPr>
            </w:pPr>
          </w:p>
        </w:tc>
        <w:tc>
          <w:tcPr>
            <w:tcW w:w="818" w:type="dxa"/>
            <w:vAlign w:val="center"/>
          </w:tcPr>
          <w:p w14:paraId="19AD9B95">
            <w:pPr>
              <w:pStyle w:val="84"/>
              <w:rPr>
                <w:color w:val="auto"/>
              </w:rPr>
            </w:pPr>
          </w:p>
        </w:tc>
        <w:tc>
          <w:tcPr>
            <w:tcW w:w="1396" w:type="dxa"/>
            <w:vAlign w:val="center"/>
          </w:tcPr>
          <w:p w14:paraId="374BC54F">
            <w:pPr>
              <w:pStyle w:val="84"/>
              <w:rPr>
                <w:color w:val="auto"/>
              </w:rPr>
            </w:pPr>
          </w:p>
        </w:tc>
        <w:tc>
          <w:tcPr>
            <w:tcW w:w="1342" w:type="dxa"/>
            <w:vAlign w:val="center"/>
          </w:tcPr>
          <w:p w14:paraId="429AC873">
            <w:pPr>
              <w:pStyle w:val="84"/>
              <w:rPr>
                <w:color w:val="auto"/>
              </w:rPr>
            </w:pPr>
          </w:p>
        </w:tc>
        <w:tc>
          <w:tcPr>
            <w:tcW w:w="1069" w:type="dxa"/>
            <w:vAlign w:val="center"/>
          </w:tcPr>
          <w:p w14:paraId="1204B534">
            <w:pPr>
              <w:pStyle w:val="84"/>
              <w:rPr>
                <w:color w:val="auto"/>
              </w:rPr>
            </w:pPr>
          </w:p>
        </w:tc>
        <w:tc>
          <w:tcPr>
            <w:tcW w:w="993" w:type="dxa"/>
            <w:vAlign w:val="center"/>
          </w:tcPr>
          <w:p w14:paraId="76125AEF">
            <w:pPr>
              <w:pStyle w:val="84"/>
              <w:rPr>
                <w:color w:val="auto"/>
              </w:rPr>
            </w:pPr>
          </w:p>
        </w:tc>
        <w:tc>
          <w:tcPr>
            <w:tcW w:w="960" w:type="dxa"/>
            <w:vAlign w:val="center"/>
          </w:tcPr>
          <w:p w14:paraId="0FD034BF">
            <w:pPr>
              <w:pStyle w:val="84"/>
              <w:rPr>
                <w:color w:val="auto"/>
              </w:rPr>
            </w:pPr>
          </w:p>
        </w:tc>
        <w:tc>
          <w:tcPr>
            <w:tcW w:w="1082" w:type="dxa"/>
            <w:vAlign w:val="center"/>
          </w:tcPr>
          <w:p w14:paraId="7FB1B436">
            <w:pPr>
              <w:pStyle w:val="84"/>
              <w:rPr>
                <w:color w:val="auto"/>
              </w:rPr>
            </w:pPr>
          </w:p>
        </w:tc>
      </w:tr>
    </w:tbl>
    <w:p w14:paraId="44EE30DD">
      <w:pPr>
        <w:ind w:firstLine="480"/>
        <w:rPr>
          <w:rFonts w:hint="eastAsia"/>
          <w:color w:val="auto"/>
        </w:rPr>
      </w:pPr>
      <w:r>
        <w:rPr>
          <w:rFonts w:hint="eastAsia"/>
          <w:color w:val="auto"/>
        </w:rPr>
        <w:t>（2）沉降观测成果表</w:t>
      </w:r>
    </w:p>
    <w:p w14:paraId="526791DC">
      <w:pPr>
        <w:ind w:firstLine="480"/>
        <w:jc w:val="center"/>
        <w:rPr>
          <w:rFonts w:hint="eastAsia"/>
          <w:color w:val="auto"/>
        </w:rPr>
      </w:pPr>
      <w:r>
        <w:rPr>
          <w:rFonts w:hint="eastAsia"/>
          <w:color w:val="auto"/>
        </w:rPr>
        <w:t>表6</w:t>
      </w:r>
      <w:r>
        <w:rPr>
          <w:color w:val="auto"/>
        </w:rPr>
        <w:t xml:space="preserve">.10-2  </w:t>
      </w:r>
      <w:r>
        <w:rPr>
          <w:rFonts w:hint="eastAsia"/>
          <w:color w:val="auto"/>
        </w:rPr>
        <w:t>沉降观测成果表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99"/>
        <w:gridCol w:w="479"/>
        <w:gridCol w:w="426"/>
        <w:gridCol w:w="631"/>
        <w:gridCol w:w="676"/>
        <w:gridCol w:w="481"/>
        <w:gridCol w:w="426"/>
        <w:gridCol w:w="708"/>
        <w:gridCol w:w="426"/>
        <w:gridCol w:w="567"/>
        <w:gridCol w:w="29"/>
        <w:gridCol w:w="679"/>
        <w:gridCol w:w="567"/>
        <w:gridCol w:w="532"/>
        <w:gridCol w:w="708"/>
      </w:tblGrid>
      <w:tr w14:paraId="77DC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70A189A6">
            <w:pPr>
              <w:pStyle w:val="84"/>
              <w:rPr>
                <w:color w:val="auto"/>
              </w:rPr>
            </w:pPr>
            <w:r>
              <w:rPr>
                <w:rFonts w:hint="eastAsia"/>
                <w:color w:val="auto"/>
              </w:rPr>
              <w:t>工程名称</w:t>
            </w:r>
          </w:p>
        </w:tc>
        <w:tc>
          <w:tcPr>
            <w:tcW w:w="1733" w:type="dxa"/>
            <w:gridSpan w:val="3"/>
            <w:vAlign w:val="center"/>
          </w:tcPr>
          <w:p w14:paraId="5CD7C35A">
            <w:pPr>
              <w:pStyle w:val="84"/>
              <w:rPr>
                <w:color w:val="auto"/>
              </w:rPr>
            </w:pPr>
          </w:p>
        </w:tc>
        <w:tc>
          <w:tcPr>
            <w:tcW w:w="1615" w:type="dxa"/>
            <w:gridSpan w:val="3"/>
            <w:vAlign w:val="center"/>
          </w:tcPr>
          <w:p w14:paraId="7AE38F98">
            <w:pPr>
              <w:pStyle w:val="84"/>
              <w:rPr>
                <w:color w:val="auto"/>
              </w:rPr>
            </w:pPr>
            <w:r>
              <w:rPr>
                <w:rFonts w:hint="eastAsia"/>
                <w:color w:val="auto"/>
              </w:rPr>
              <w:t>施工单位</w:t>
            </w:r>
          </w:p>
        </w:tc>
        <w:tc>
          <w:tcPr>
            <w:tcW w:w="1701" w:type="dxa"/>
            <w:gridSpan w:val="4"/>
            <w:vAlign w:val="center"/>
          </w:tcPr>
          <w:p w14:paraId="0100FDBE">
            <w:pPr>
              <w:pStyle w:val="84"/>
              <w:rPr>
                <w:color w:val="auto"/>
              </w:rPr>
            </w:pPr>
          </w:p>
        </w:tc>
        <w:tc>
          <w:tcPr>
            <w:tcW w:w="567" w:type="dxa"/>
            <w:vAlign w:val="center"/>
          </w:tcPr>
          <w:p w14:paraId="1B67EECA">
            <w:pPr>
              <w:pStyle w:val="84"/>
              <w:rPr>
                <w:color w:val="auto"/>
              </w:rPr>
            </w:pPr>
            <w:r>
              <w:rPr>
                <w:rFonts w:hint="eastAsia"/>
                <w:color w:val="auto"/>
              </w:rPr>
              <w:t>部位</w:t>
            </w:r>
          </w:p>
        </w:tc>
        <w:tc>
          <w:tcPr>
            <w:tcW w:w="1240" w:type="dxa"/>
            <w:gridSpan w:val="2"/>
            <w:vAlign w:val="center"/>
          </w:tcPr>
          <w:p w14:paraId="6DADB16C">
            <w:pPr>
              <w:pStyle w:val="84"/>
              <w:rPr>
                <w:color w:val="auto"/>
              </w:rPr>
            </w:pPr>
          </w:p>
        </w:tc>
      </w:tr>
      <w:tr w14:paraId="522E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gridSpan w:val="3"/>
            <w:vAlign w:val="center"/>
          </w:tcPr>
          <w:p w14:paraId="0A37A0C0">
            <w:pPr>
              <w:pStyle w:val="84"/>
              <w:rPr>
                <w:color w:val="auto"/>
              </w:rPr>
            </w:pPr>
            <w:r>
              <w:rPr>
                <w:rFonts w:hint="eastAsia"/>
                <w:color w:val="auto"/>
              </w:rPr>
              <w:t>观测日期</w:t>
            </w:r>
          </w:p>
        </w:tc>
        <w:tc>
          <w:tcPr>
            <w:tcW w:w="1733" w:type="dxa"/>
            <w:gridSpan w:val="3"/>
            <w:vAlign w:val="center"/>
          </w:tcPr>
          <w:p w14:paraId="38225D54">
            <w:pPr>
              <w:pStyle w:val="84"/>
              <w:rPr>
                <w:color w:val="auto"/>
              </w:rPr>
            </w:pPr>
          </w:p>
        </w:tc>
        <w:tc>
          <w:tcPr>
            <w:tcW w:w="1615" w:type="dxa"/>
            <w:gridSpan w:val="3"/>
            <w:vAlign w:val="center"/>
          </w:tcPr>
          <w:p w14:paraId="0CDBED77">
            <w:pPr>
              <w:pStyle w:val="84"/>
              <w:rPr>
                <w:color w:val="auto"/>
              </w:rPr>
            </w:pPr>
          </w:p>
        </w:tc>
        <w:tc>
          <w:tcPr>
            <w:tcW w:w="1701" w:type="dxa"/>
            <w:gridSpan w:val="4"/>
            <w:vAlign w:val="center"/>
          </w:tcPr>
          <w:p w14:paraId="55DCB8C4">
            <w:pPr>
              <w:pStyle w:val="84"/>
              <w:rPr>
                <w:color w:val="auto"/>
              </w:rPr>
            </w:pPr>
          </w:p>
        </w:tc>
        <w:tc>
          <w:tcPr>
            <w:tcW w:w="1807" w:type="dxa"/>
            <w:gridSpan w:val="3"/>
            <w:vAlign w:val="center"/>
          </w:tcPr>
          <w:p w14:paraId="6883DC04">
            <w:pPr>
              <w:pStyle w:val="84"/>
              <w:rPr>
                <w:color w:val="auto"/>
              </w:rPr>
            </w:pPr>
          </w:p>
        </w:tc>
      </w:tr>
      <w:tr w14:paraId="7680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14:paraId="1D3E43F8">
            <w:pPr>
              <w:pStyle w:val="84"/>
              <w:rPr>
                <w:color w:val="auto"/>
              </w:rPr>
            </w:pPr>
            <w:r>
              <w:rPr>
                <w:rFonts w:hint="eastAsia"/>
                <w:color w:val="auto"/>
              </w:rPr>
              <w:t>测点</w:t>
            </w:r>
          </w:p>
        </w:tc>
        <w:tc>
          <w:tcPr>
            <w:tcW w:w="1078" w:type="dxa"/>
            <w:gridSpan w:val="2"/>
            <w:vAlign w:val="center"/>
          </w:tcPr>
          <w:p w14:paraId="229B8461">
            <w:pPr>
              <w:pStyle w:val="84"/>
              <w:rPr>
                <w:color w:val="auto"/>
              </w:rPr>
            </w:pPr>
            <w:r>
              <w:rPr>
                <w:rFonts w:hint="eastAsia"/>
                <w:color w:val="auto"/>
              </w:rPr>
              <w:t>初次高程</w:t>
            </w:r>
          </w:p>
        </w:tc>
        <w:tc>
          <w:tcPr>
            <w:tcW w:w="426" w:type="dxa"/>
            <w:vAlign w:val="center"/>
          </w:tcPr>
          <w:p w14:paraId="51DB2D52">
            <w:pPr>
              <w:pStyle w:val="84"/>
              <w:rPr>
                <w:color w:val="auto"/>
              </w:rPr>
            </w:pPr>
            <w:r>
              <w:rPr>
                <w:rFonts w:hint="eastAsia"/>
                <w:color w:val="auto"/>
              </w:rPr>
              <w:t>高程</w:t>
            </w:r>
          </w:p>
        </w:tc>
        <w:tc>
          <w:tcPr>
            <w:tcW w:w="631" w:type="dxa"/>
            <w:vAlign w:val="center"/>
          </w:tcPr>
          <w:p w14:paraId="6D6CF6A3">
            <w:pPr>
              <w:pStyle w:val="84"/>
              <w:rPr>
                <w:color w:val="auto"/>
              </w:rPr>
            </w:pPr>
            <w:r>
              <w:rPr>
                <w:rFonts w:hint="eastAsia"/>
                <w:color w:val="auto"/>
              </w:rPr>
              <w:t>本次沉降</w:t>
            </w:r>
          </w:p>
        </w:tc>
        <w:tc>
          <w:tcPr>
            <w:tcW w:w="676" w:type="dxa"/>
            <w:vAlign w:val="center"/>
          </w:tcPr>
          <w:p w14:paraId="748C29CE">
            <w:pPr>
              <w:pStyle w:val="84"/>
              <w:rPr>
                <w:color w:val="auto"/>
              </w:rPr>
            </w:pPr>
            <w:r>
              <w:rPr>
                <w:rFonts w:hint="eastAsia"/>
                <w:color w:val="auto"/>
              </w:rPr>
              <w:t>累计沉降</w:t>
            </w:r>
          </w:p>
        </w:tc>
        <w:tc>
          <w:tcPr>
            <w:tcW w:w="481" w:type="dxa"/>
            <w:vAlign w:val="center"/>
          </w:tcPr>
          <w:p w14:paraId="748000E6">
            <w:pPr>
              <w:pStyle w:val="84"/>
              <w:rPr>
                <w:color w:val="auto"/>
              </w:rPr>
            </w:pPr>
            <w:r>
              <w:rPr>
                <w:rFonts w:hint="eastAsia"/>
                <w:color w:val="auto"/>
              </w:rPr>
              <w:t>高程</w:t>
            </w:r>
          </w:p>
        </w:tc>
        <w:tc>
          <w:tcPr>
            <w:tcW w:w="426" w:type="dxa"/>
            <w:vAlign w:val="center"/>
          </w:tcPr>
          <w:p w14:paraId="22644743">
            <w:pPr>
              <w:pStyle w:val="84"/>
              <w:rPr>
                <w:color w:val="auto"/>
              </w:rPr>
            </w:pPr>
            <w:r>
              <w:rPr>
                <w:rFonts w:hint="eastAsia"/>
                <w:color w:val="auto"/>
              </w:rPr>
              <w:t>本次沉降</w:t>
            </w:r>
          </w:p>
        </w:tc>
        <w:tc>
          <w:tcPr>
            <w:tcW w:w="708" w:type="dxa"/>
            <w:vAlign w:val="center"/>
          </w:tcPr>
          <w:p w14:paraId="1AC32BE6">
            <w:pPr>
              <w:pStyle w:val="84"/>
              <w:rPr>
                <w:color w:val="auto"/>
              </w:rPr>
            </w:pPr>
            <w:r>
              <w:rPr>
                <w:rFonts w:hint="eastAsia"/>
                <w:color w:val="auto"/>
              </w:rPr>
              <w:t>累计沉降</w:t>
            </w:r>
          </w:p>
        </w:tc>
        <w:tc>
          <w:tcPr>
            <w:tcW w:w="426" w:type="dxa"/>
            <w:vAlign w:val="center"/>
          </w:tcPr>
          <w:p w14:paraId="24E8C4EF">
            <w:pPr>
              <w:pStyle w:val="84"/>
              <w:rPr>
                <w:color w:val="auto"/>
              </w:rPr>
            </w:pPr>
            <w:r>
              <w:rPr>
                <w:rFonts w:hint="eastAsia"/>
                <w:color w:val="auto"/>
              </w:rPr>
              <w:t>高程</w:t>
            </w:r>
          </w:p>
        </w:tc>
        <w:tc>
          <w:tcPr>
            <w:tcW w:w="567" w:type="dxa"/>
            <w:vAlign w:val="center"/>
          </w:tcPr>
          <w:p w14:paraId="112EB5D5">
            <w:pPr>
              <w:pStyle w:val="84"/>
              <w:rPr>
                <w:color w:val="auto"/>
              </w:rPr>
            </w:pPr>
            <w:r>
              <w:rPr>
                <w:rFonts w:hint="eastAsia"/>
                <w:color w:val="auto"/>
              </w:rPr>
              <w:t>本次沉降</w:t>
            </w:r>
          </w:p>
        </w:tc>
        <w:tc>
          <w:tcPr>
            <w:tcW w:w="708" w:type="dxa"/>
            <w:gridSpan w:val="2"/>
            <w:vAlign w:val="center"/>
          </w:tcPr>
          <w:p w14:paraId="5210A04A">
            <w:pPr>
              <w:pStyle w:val="84"/>
              <w:rPr>
                <w:color w:val="auto"/>
              </w:rPr>
            </w:pPr>
            <w:r>
              <w:rPr>
                <w:rFonts w:hint="eastAsia"/>
                <w:color w:val="auto"/>
              </w:rPr>
              <w:t>累计沉降</w:t>
            </w:r>
          </w:p>
        </w:tc>
        <w:tc>
          <w:tcPr>
            <w:tcW w:w="567" w:type="dxa"/>
            <w:vAlign w:val="center"/>
          </w:tcPr>
          <w:p w14:paraId="62310C8D">
            <w:pPr>
              <w:pStyle w:val="84"/>
              <w:rPr>
                <w:color w:val="auto"/>
              </w:rPr>
            </w:pPr>
            <w:r>
              <w:rPr>
                <w:rFonts w:hint="eastAsia"/>
                <w:color w:val="auto"/>
              </w:rPr>
              <w:t>高程</w:t>
            </w:r>
          </w:p>
        </w:tc>
        <w:tc>
          <w:tcPr>
            <w:tcW w:w="532" w:type="dxa"/>
            <w:vAlign w:val="center"/>
          </w:tcPr>
          <w:p w14:paraId="62AA0D80">
            <w:pPr>
              <w:pStyle w:val="84"/>
              <w:rPr>
                <w:color w:val="auto"/>
              </w:rPr>
            </w:pPr>
            <w:r>
              <w:rPr>
                <w:rFonts w:hint="eastAsia"/>
                <w:color w:val="auto"/>
              </w:rPr>
              <w:t>本次沉降</w:t>
            </w:r>
          </w:p>
        </w:tc>
        <w:tc>
          <w:tcPr>
            <w:tcW w:w="708" w:type="dxa"/>
            <w:vAlign w:val="center"/>
          </w:tcPr>
          <w:p w14:paraId="4A364C1C">
            <w:pPr>
              <w:pStyle w:val="84"/>
              <w:rPr>
                <w:color w:val="auto"/>
              </w:rPr>
            </w:pPr>
            <w:r>
              <w:rPr>
                <w:rFonts w:hint="eastAsia"/>
                <w:color w:val="auto"/>
              </w:rPr>
              <w:t>累计沉降</w:t>
            </w:r>
          </w:p>
        </w:tc>
      </w:tr>
      <w:tr w14:paraId="1B6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F69FF51">
            <w:pPr>
              <w:pStyle w:val="84"/>
              <w:rPr>
                <w:color w:val="auto"/>
              </w:rPr>
            </w:pPr>
            <w:r>
              <w:rPr>
                <w:rFonts w:hint="eastAsia"/>
                <w:color w:val="auto"/>
              </w:rPr>
              <w:t>1</w:t>
            </w:r>
          </w:p>
        </w:tc>
        <w:tc>
          <w:tcPr>
            <w:tcW w:w="1078" w:type="dxa"/>
            <w:gridSpan w:val="2"/>
            <w:vAlign w:val="center"/>
          </w:tcPr>
          <w:p w14:paraId="62667525">
            <w:pPr>
              <w:pStyle w:val="84"/>
              <w:rPr>
                <w:color w:val="auto"/>
              </w:rPr>
            </w:pPr>
          </w:p>
        </w:tc>
        <w:tc>
          <w:tcPr>
            <w:tcW w:w="426" w:type="dxa"/>
            <w:vAlign w:val="center"/>
          </w:tcPr>
          <w:p w14:paraId="44E72D1E">
            <w:pPr>
              <w:pStyle w:val="84"/>
              <w:rPr>
                <w:color w:val="auto"/>
              </w:rPr>
            </w:pPr>
          </w:p>
        </w:tc>
        <w:tc>
          <w:tcPr>
            <w:tcW w:w="631" w:type="dxa"/>
            <w:vAlign w:val="center"/>
          </w:tcPr>
          <w:p w14:paraId="5C265542">
            <w:pPr>
              <w:pStyle w:val="84"/>
              <w:rPr>
                <w:color w:val="auto"/>
              </w:rPr>
            </w:pPr>
          </w:p>
        </w:tc>
        <w:tc>
          <w:tcPr>
            <w:tcW w:w="676" w:type="dxa"/>
            <w:vAlign w:val="center"/>
          </w:tcPr>
          <w:p w14:paraId="1FF4BAD7">
            <w:pPr>
              <w:pStyle w:val="84"/>
              <w:rPr>
                <w:color w:val="auto"/>
              </w:rPr>
            </w:pPr>
          </w:p>
        </w:tc>
        <w:tc>
          <w:tcPr>
            <w:tcW w:w="481" w:type="dxa"/>
            <w:vAlign w:val="center"/>
          </w:tcPr>
          <w:p w14:paraId="7C11A372">
            <w:pPr>
              <w:pStyle w:val="84"/>
              <w:rPr>
                <w:color w:val="auto"/>
              </w:rPr>
            </w:pPr>
          </w:p>
        </w:tc>
        <w:tc>
          <w:tcPr>
            <w:tcW w:w="426" w:type="dxa"/>
            <w:vAlign w:val="center"/>
          </w:tcPr>
          <w:p w14:paraId="7EFB49EA">
            <w:pPr>
              <w:pStyle w:val="84"/>
              <w:rPr>
                <w:color w:val="auto"/>
              </w:rPr>
            </w:pPr>
          </w:p>
        </w:tc>
        <w:tc>
          <w:tcPr>
            <w:tcW w:w="708" w:type="dxa"/>
            <w:vAlign w:val="center"/>
          </w:tcPr>
          <w:p w14:paraId="478DED6F">
            <w:pPr>
              <w:pStyle w:val="84"/>
              <w:rPr>
                <w:color w:val="auto"/>
              </w:rPr>
            </w:pPr>
          </w:p>
        </w:tc>
        <w:tc>
          <w:tcPr>
            <w:tcW w:w="426" w:type="dxa"/>
            <w:vAlign w:val="center"/>
          </w:tcPr>
          <w:p w14:paraId="7B095DF5">
            <w:pPr>
              <w:pStyle w:val="84"/>
              <w:rPr>
                <w:color w:val="auto"/>
              </w:rPr>
            </w:pPr>
          </w:p>
        </w:tc>
        <w:tc>
          <w:tcPr>
            <w:tcW w:w="567" w:type="dxa"/>
            <w:vAlign w:val="center"/>
          </w:tcPr>
          <w:p w14:paraId="673EE490">
            <w:pPr>
              <w:pStyle w:val="84"/>
              <w:rPr>
                <w:color w:val="auto"/>
              </w:rPr>
            </w:pPr>
          </w:p>
        </w:tc>
        <w:tc>
          <w:tcPr>
            <w:tcW w:w="708" w:type="dxa"/>
            <w:gridSpan w:val="2"/>
            <w:vAlign w:val="center"/>
          </w:tcPr>
          <w:p w14:paraId="4089A906">
            <w:pPr>
              <w:pStyle w:val="84"/>
              <w:rPr>
                <w:color w:val="auto"/>
              </w:rPr>
            </w:pPr>
          </w:p>
        </w:tc>
        <w:tc>
          <w:tcPr>
            <w:tcW w:w="567" w:type="dxa"/>
            <w:vAlign w:val="center"/>
          </w:tcPr>
          <w:p w14:paraId="334B9AA6">
            <w:pPr>
              <w:pStyle w:val="84"/>
              <w:rPr>
                <w:color w:val="auto"/>
              </w:rPr>
            </w:pPr>
          </w:p>
        </w:tc>
        <w:tc>
          <w:tcPr>
            <w:tcW w:w="532" w:type="dxa"/>
            <w:vAlign w:val="center"/>
          </w:tcPr>
          <w:p w14:paraId="33BBFD8C">
            <w:pPr>
              <w:pStyle w:val="84"/>
              <w:rPr>
                <w:color w:val="auto"/>
              </w:rPr>
            </w:pPr>
          </w:p>
        </w:tc>
        <w:tc>
          <w:tcPr>
            <w:tcW w:w="708" w:type="dxa"/>
            <w:vAlign w:val="center"/>
          </w:tcPr>
          <w:p w14:paraId="5A02F070">
            <w:pPr>
              <w:pStyle w:val="84"/>
              <w:rPr>
                <w:color w:val="auto"/>
              </w:rPr>
            </w:pPr>
          </w:p>
        </w:tc>
      </w:tr>
      <w:tr w14:paraId="173E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6B4061F">
            <w:pPr>
              <w:pStyle w:val="84"/>
              <w:rPr>
                <w:color w:val="auto"/>
              </w:rPr>
            </w:pPr>
            <w:r>
              <w:rPr>
                <w:rFonts w:hint="eastAsia"/>
                <w:color w:val="auto"/>
              </w:rPr>
              <w:t>2</w:t>
            </w:r>
          </w:p>
        </w:tc>
        <w:tc>
          <w:tcPr>
            <w:tcW w:w="1078" w:type="dxa"/>
            <w:gridSpan w:val="2"/>
            <w:vAlign w:val="center"/>
          </w:tcPr>
          <w:p w14:paraId="1038E73C">
            <w:pPr>
              <w:pStyle w:val="84"/>
              <w:rPr>
                <w:color w:val="auto"/>
              </w:rPr>
            </w:pPr>
          </w:p>
        </w:tc>
        <w:tc>
          <w:tcPr>
            <w:tcW w:w="426" w:type="dxa"/>
            <w:vAlign w:val="center"/>
          </w:tcPr>
          <w:p w14:paraId="56ACDA5D">
            <w:pPr>
              <w:pStyle w:val="84"/>
              <w:rPr>
                <w:color w:val="auto"/>
              </w:rPr>
            </w:pPr>
          </w:p>
        </w:tc>
        <w:tc>
          <w:tcPr>
            <w:tcW w:w="631" w:type="dxa"/>
            <w:vAlign w:val="center"/>
          </w:tcPr>
          <w:p w14:paraId="21F3A30B">
            <w:pPr>
              <w:pStyle w:val="84"/>
              <w:rPr>
                <w:color w:val="auto"/>
              </w:rPr>
            </w:pPr>
          </w:p>
        </w:tc>
        <w:tc>
          <w:tcPr>
            <w:tcW w:w="676" w:type="dxa"/>
            <w:vAlign w:val="center"/>
          </w:tcPr>
          <w:p w14:paraId="5E12559E">
            <w:pPr>
              <w:pStyle w:val="84"/>
              <w:rPr>
                <w:color w:val="auto"/>
              </w:rPr>
            </w:pPr>
          </w:p>
        </w:tc>
        <w:tc>
          <w:tcPr>
            <w:tcW w:w="481" w:type="dxa"/>
            <w:vAlign w:val="center"/>
          </w:tcPr>
          <w:p w14:paraId="347A66A4">
            <w:pPr>
              <w:pStyle w:val="84"/>
              <w:rPr>
                <w:color w:val="auto"/>
              </w:rPr>
            </w:pPr>
          </w:p>
        </w:tc>
        <w:tc>
          <w:tcPr>
            <w:tcW w:w="426" w:type="dxa"/>
            <w:vAlign w:val="center"/>
          </w:tcPr>
          <w:p w14:paraId="03FF9D72">
            <w:pPr>
              <w:pStyle w:val="84"/>
              <w:rPr>
                <w:color w:val="auto"/>
              </w:rPr>
            </w:pPr>
          </w:p>
        </w:tc>
        <w:tc>
          <w:tcPr>
            <w:tcW w:w="708" w:type="dxa"/>
            <w:vAlign w:val="center"/>
          </w:tcPr>
          <w:p w14:paraId="091C7FC3">
            <w:pPr>
              <w:pStyle w:val="84"/>
              <w:rPr>
                <w:color w:val="auto"/>
              </w:rPr>
            </w:pPr>
          </w:p>
        </w:tc>
        <w:tc>
          <w:tcPr>
            <w:tcW w:w="426" w:type="dxa"/>
            <w:vAlign w:val="center"/>
          </w:tcPr>
          <w:p w14:paraId="589E0DD2">
            <w:pPr>
              <w:pStyle w:val="84"/>
              <w:rPr>
                <w:color w:val="auto"/>
              </w:rPr>
            </w:pPr>
          </w:p>
        </w:tc>
        <w:tc>
          <w:tcPr>
            <w:tcW w:w="567" w:type="dxa"/>
            <w:vAlign w:val="center"/>
          </w:tcPr>
          <w:p w14:paraId="24DC8EA0">
            <w:pPr>
              <w:pStyle w:val="84"/>
              <w:rPr>
                <w:color w:val="auto"/>
              </w:rPr>
            </w:pPr>
          </w:p>
        </w:tc>
        <w:tc>
          <w:tcPr>
            <w:tcW w:w="708" w:type="dxa"/>
            <w:gridSpan w:val="2"/>
            <w:vAlign w:val="center"/>
          </w:tcPr>
          <w:p w14:paraId="60AE5B3D">
            <w:pPr>
              <w:pStyle w:val="84"/>
              <w:rPr>
                <w:color w:val="auto"/>
              </w:rPr>
            </w:pPr>
          </w:p>
        </w:tc>
        <w:tc>
          <w:tcPr>
            <w:tcW w:w="567" w:type="dxa"/>
            <w:vAlign w:val="center"/>
          </w:tcPr>
          <w:p w14:paraId="78BA3F99">
            <w:pPr>
              <w:pStyle w:val="84"/>
              <w:rPr>
                <w:color w:val="auto"/>
              </w:rPr>
            </w:pPr>
          </w:p>
        </w:tc>
        <w:tc>
          <w:tcPr>
            <w:tcW w:w="532" w:type="dxa"/>
            <w:vAlign w:val="center"/>
          </w:tcPr>
          <w:p w14:paraId="5953029C">
            <w:pPr>
              <w:pStyle w:val="84"/>
              <w:rPr>
                <w:color w:val="auto"/>
              </w:rPr>
            </w:pPr>
          </w:p>
        </w:tc>
        <w:tc>
          <w:tcPr>
            <w:tcW w:w="708" w:type="dxa"/>
            <w:vAlign w:val="center"/>
          </w:tcPr>
          <w:p w14:paraId="436FF55F">
            <w:pPr>
              <w:pStyle w:val="84"/>
              <w:rPr>
                <w:color w:val="auto"/>
              </w:rPr>
            </w:pPr>
          </w:p>
        </w:tc>
      </w:tr>
      <w:tr w14:paraId="2AD7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4AA752B7">
            <w:pPr>
              <w:pStyle w:val="84"/>
              <w:rPr>
                <w:color w:val="auto"/>
              </w:rPr>
            </w:pPr>
            <w:r>
              <w:rPr>
                <w:rFonts w:hint="eastAsia"/>
                <w:color w:val="auto"/>
              </w:rPr>
              <w:t>3</w:t>
            </w:r>
          </w:p>
        </w:tc>
        <w:tc>
          <w:tcPr>
            <w:tcW w:w="1078" w:type="dxa"/>
            <w:gridSpan w:val="2"/>
            <w:vAlign w:val="center"/>
          </w:tcPr>
          <w:p w14:paraId="111EAF25">
            <w:pPr>
              <w:pStyle w:val="84"/>
              <w:rPr>
                <w:color w:val="auto"/>
              </w:rPr>
            </w:pPr>
          </w:p>
        </w:tc>
        <w:tc>
          <w:tcPr>
            <w:tcW w:w="426" w:type="dxa"/>
            <w:vAlign w:val="center"/>
          </w:tcPr>
          <w:p w14:paraId="1CBADD48">
            <w:pPr>
              <w:pStyle w:val="84"/>
              <w:rPr>
                <w:color w:val="auto"/>
              </w:rPr>
            </w:pPr>
          </w:p>
        </w:tc>
        <w:tc>
          <w:tcPr>
            <w:tcW w:w="631" w:type="dxa"/>
            <w:vAlign w:val="center"/>
          </w:tcPr>
          <w:p w14:paraId="7B9946AA">
            <w:pPr>
              <w:pStyle w:val="84"/>
              <w:rPr>
                <w:color w:val="auto"/>
              </w:rPr>
            </w:pPr>
          </w:p>
        </w:tc>
        <w:tc>
          <w:tcPr>
            <w:tcW w:w="676" w:type="dxa"/>
            <w:vAlign w:val="center"/>
          </w:tcPr>
          <w:p w14:paraId="399C9B22">
            <w:pPr>
              <w:pStyle w:val="84"/>
              <w:rPr>
                <w:color w:val="auto"/>
              </w:rPr>
            </w:pPr>
          </w:p>
        </w:tc>
        <w:tc>
          <w:tcPr>
            <w:tcW w:w="481" w:type="dxa"/>
            <w:vAlign w:val="center"/>
          </w:tcPr>
          <w:p w14:paraId="095986DB">
            <w:pPr>
              <w:pStyle w:val="84"/>
              <w:rPr>
                <w:color w:val="auto"/>
              </w:rPr>
            </w:pPr>
          </w:p>
        </w:tc>
        <w:tc>
          <w:tcPr>
            <w:tcW w:w="426" w:type="dxa"/>
            <w:vAlign w:val="center"/>
          </w:tcPr>
          <w:p w14:paraId="366B91FE">
            <w:pPr>
              <w:pStyle w:val="84"/>
              <w:rPr>
                <w:color w:val="auto"/>
              </w:rPr>
            </w:pPr>
          </w:p>
        </w:tc>
        <w:tc>
          <w:tcPr>
            <w:tcW w:w="708" w:type="dxa"/>
            <w:vAlign w:val="center"/>
          </w:tcPr>
          <w:p w14:paraId="4591E63C">
            <w:pPr>
              <w:pStyle w:val="84"/>
              <w:rPr>
                <w:color w:val="auto"/>
              </w:rPr>
            </w:pPr>
          </w:p>
        </w:tc>
        <w:tc>
          <w:tcPr>
            <w:tcW w:w="426" w:type="dxa"/>
            <w:vAlign w:val="center"/>
          </w:tcPr>
          <w:p w14:paraId="7D3830B4">
            <w:pPr>
              <w:pStyle w:val="84"/>
              <w:rPr>
                <w:color w:val="auto"/>
              </w:rPr>
            </w:pPr>
          </w:p>
        </w:tc>
        <w:tc>
          <w:tcPr>
            <w:tcW w:w="567" w:type="dxa"/>
            <w:vAlign w:val="center"/>
          </w:tcPr>
          <w:p w14:paraId="60EE3C4B">
            <w:pPr>
              <w:pStyle w:val="84"/>
              <w:rPr>
                <w:color w:val="auto"/>
              </w:rPr>
            </w:pPr>
          </w:p>
        </w:tc>
        <w:tc>
          <w:tcPr>
            <w:tcW w:w="708" w:type="dxa"/>
            <w:gridSpan w:val="2"/>
            <w:vAlign w:val="center"/>
          </w:tcPr>
          <w:p w14:paraId="4A38FD86">
            <w:pPr>
              <w:pStyle w:val="84"/>
              <w:rPr>
                <w:color w:val="auto"/>
              </w:rPr>
            </w:pPr>
          </w:p>
        </w:tc>
        <w:tc>
          <w:tcPr>
            <w:tcW w:w="567" w:type="dxa"/>
            <w:vAlign w:val="center"/>
          </w:tcPr>
          <w:p w14:paraId="4E1DA3AA">
            <w:pPr>
              <w:pStyle w:val="84"/>
              <w:rPr>
                <w:color w:val="auto"/>
              </w:rPr>
            </w:pPr>
          </w:p>
        </w:tc>
        <w:tc>
          <w:tcPr>
            <w:tcW w:w="532" w:type="dxa"/>
            <w:vAlign w:val="center"/>
          </w:tcPr>
          <w:p w14:paraId="2A1088E3">
            <w:pPr>
              <w:pStyle w:val="84"/>
              <w:rPr>
                <w:color w:val="auto"/>
              </w:rPr>
            </w:pPr>
          </w:p>
        </w:tc>
        <w:tc>
          <w:tcPr>
            <w:tcW w:w="708" w:type="dxa"/>
            <w:vAlign w:val="center"/>
          </w:tcPr>
          <w:p w14:paraId="632F9ACB">
            <w:pPr>
              <w:pStyle w:val="84"/>
              <w:rPr>
                <w:color w:val="auto"/>
              </w:rPr>
            </w:pPr>
          </w:p>
        </w:tc>
      </w:tr>
      <w:tr w14:paraId="0892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114970C4">
            <w:pPr>
              <w:pStyle w:val="84"/>
              <w:rPr>
                <w:color w:val="auto"/>
              </w:rPr>
            </w:pPr>
            <w:r>
              <w:rPr>
                <w:rFonts w:hint="eastAsia"/>
                <w:color w:val="auto"/>
              </w:rPr>
              <w:t>4</w:t>
            </w:r>
          </w:p>
        </w:tc>
        <w:tc>
          <w:tcPr>
            <w:tcW w:w="1078" w:type="dxa"/>
            <w:gridSpan w:val="2"/>
            <w:vAlign w:val="center"/>
          </w:tcPr>
          <w:p w14:paraId="7ACCB25D">
            <w:pPr>
              <w:pStyle w:val="84"/>
              <w:rPr>
                <w:color w:val="auto"/>
              </w:rPr>
            </w:pPr>
          </w:p>
        </w:tc>
        <w:tc>
          <w:tcPr>
            <w:tcW w:w="426" w:type="dxa"/>
            <w:vAlign w:val="center"/>
          </w:tcPr>
          <w:p w14:paraId="4B8AB0F1">
            <w:pPr>
              <w:pStyle w:val="84"/>
              <w:rPr>
                <w:color w:val="auto"/>
              </w:rPr>
            </w:pPr>
          </w:p>
        </w:tc>
        <w:tc>
          <w:tcPr>
            <w:tcW w:w="631" w:type="dxa"/>
            <w:vAlign w:val="center"/>
          </w:tcPr>
          <w:p w14:paraId="329271B5">
            <w:pPr>
              <w:pStyle w:val="84"/>
              <w:rPr>
                <w:color w:val="auto"/>
              </w:rPr>
            </w:pPr>
          </w:p>
        </w:tc>
        <w:tc>
          <w:tcPr>
            <w:tcW w:w="676" w:type="dxa"/>
            <w:vAlign w:val="center"/>
          </w:tcPr>
          <w:p w14:paraId="1312AAF8">
            <w:pPr>
              <w:pStyle w:val="84"/>
              <w:rPr>
                <w:color w:val="auto"/>
              </w:rPr>
            </w:pPr>
          </w:p>
        </w:tc>
        <w:tc>
          <w:tcPr>
            <w:tcW w:w="481" w:type="dxa"/>
            <w:vAlign w:val="center"/>
          </w:tcPr>
          <w:p w14:paraId="661712AE">
            <w:pPr>
              <w:pStyle w:val="84"/>
              <w:rPr>
                <w:color w:val="auto"/>
              </w:rPr>
            </w:pPr>
          </w:p>
        </w:tc>
        <w:tc>
          <w:tcPr>
            <w:tcW w:w="426" w:type="dxa"/>
            <w:vAlign w:val="center"/>
          </w:tcPr>
          <w:p w14:paraId="5FB802DC">
            <w:pPr>
              <w:pStyle w:val="84"/>
              <w:rPr>
                <w:color w:val="auto"/>
              </w:rPr>
            </w:pPr>
          </w:p>
        </w:tc>
        <w:tc>
          <w:tcPr>
            <w:tcW w:w="708" w:type="dxa"/>
            <w:vAlign w:val="center"/>
          </w:tcPr>
          <w:p w14:paraId="1FB86990">
            <w:pPr>
              <w:pStyle w:val="84"/>
              <w:rPr>
                <w:color w:val="auto"/>
              </w:rPr>
            </w:pPr>
          </w:p>
        </w:tc>
        <w:tc>
          <w:tcPr>
            <w:tcW w:w="426" w:type="dxa"/>
            <w:vAlign w:val="center"/>
          </w:tcPr>
          <w:p w14:paraId="407FA0C1">
            <w:pPr>
              <w:pStyle w:val="84"/>
              <w:rPr>
                <w:color w:val="auto"/>
              </w:rPr>
            </w:pPr>
          </w:p>
        </w:tc>
        <w:tc>
          <w:tcPr>
            <w:tcW w:w="567" w:type="dxa"/>
            <w:vAlign w:val="center"/>
          </w:tcPr>
          <w:p w14:paraId="3F63139F">
            <w:pPr>
              <w:pStyle w:val="84"/>
              <w:rPr>
                <w:color w:val="auto"/>
              </w:rPr>
            </w:pPr>
          </w:p>
        </w:tc>
        <w:tc>
          <w:tcPr>
            <w:tcW w:w="708" w:type="dxa"/>
            <w:gridSpan w:val="2"/>
            <w:vAlign w:val="center"/>
          </w:tcPr>
          <w:p w14:paraId="6401D778">
            <w:pPr>
              <w:pStyle w:val="84"/>
              <w:rPr>
                <w:color w:val="auto"/>
              </w:rPr>
            </w:pPr>
          </w:p>
        </w:tc>
        <w:tc>
          <w:tcPr>
            <w:tcW w:w="567" w:type="dxa"/>
            <w:vAlign w:val="center"/>
          </w:tcPr>
          <w:p w14:paraId="37AA8E58">
            <w:pPr>
              <w:pStyle w:val="84"/>
              <w:rPr>
                <w:color w:val="auto"/>
              </w:rPr>
            </w:pPr>
          </w:p>
        </w:tc>
        <w:tc>
          <w:tcPr>
            <w:tcW w:w="532" w:type="dxa"/>
            <w:vAlign w:val="center"/>
          </w:tcPr>
          <w:p w14:paraId="54F12FF7">
            <w:pPr>
              <w:pStyle w:val="84"/>
              <w:rPr>
                <w:color w:val="auto"/>
              </w:rPr>
            </w:pPr>
          </w:p>
        </w:tc>
        <w:tc>
          <w:tcPr>
            <w:tcW w:w="708" w:type="dxa"/>
            <w:vAlign w:val="center"/>
          </w:tcPr>
          <w:p w14:paraId="46BDD3DA">
            <w:pPr>
              <w:pStyle w:val="84"/>
              <w:rPr>
                <w:color w:val="auto"/>
              </w:rPr>
            </w:pPr>
          </w:p>
        </w:tc>
      </w:tr>
      <w:tr w14:paraId="55F8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291FB44">
            <w:pPr>
              <w:pStyle w:val="84"/>
              <w:rPr>
                <w:color w:val="auto"/>
              </w:rPr>
            </w:pPr>
            <w:r>
              <w:rPr>
                <w:rFonts w:hint="eastAsia"/>
                <w:color w:val="auto"/>
              </w:rPr>
              <w:t>5</w:t>
            </w:r>
          </w:p>
        </w:tc>
        <w:tc>
          <w:tcPr>
            <w:tcW w:w="1078" w:type="dxa"/>
            <w:gridSpan w:val="2"/>
            <w:vAlign w:val="center"/>
          </w:tcPr>
          <w:p w14:paraId="535A1F43">
            <w:pPr>
              <w:pStyle w:val="84"/>
              <w:rPr>
                <w:color w:val="auto"/>
              </w:rPr>
            </w:pPr>
          </w:p>
        </w:tc>
        <w:tc>
          <w:tcPr>
            <w:tcW w:w="426" w:type="dxa"/>
            <w:vAlign w:val="center"/>
          </w:tcPr>
          <w:p w14:paraId="0E248836">
            <w:pPr>
              <w:pStyle w:val="84"/>
              <w:rPr>
                <w:color w:val="auto"/>
              </w:rPr>
            </w:pPr>
          </w:p>
        </w:tc>
        <w:tc>
          <w:tcPr>
            <w:tcW w:w="631" w:type="dxa"/>
            <w:vAlign w:val="center"/>
          </w:tcPr>
          <w:p w14:paraId="164BB3D2">
            <w:pPr>
              <w:pStyle w:val="84"/>
              <w:rPr>
                <w:color w:val="auto"/>
              </w:rPr>
            </w:pPr>
          </w:p>
        </w:tc>
        <w:tc>
          <w:tcPr>
            <w:tcW w:w="676" w:type="dxa"/>
            <w:vAlign w:val="center"/>
          </w:tcPr>
          <w:p w14:paraId="2E008D59">
            <w:pPr>
              <w:pStyle w:val="84"/>
              <w:rPr>
                <w:color w:val="auto"/>
              </w:rPr>
            </w:pPr>
          </w:p>
        </w:tc>
        <w:tc>
          <w:tcPr>
            <w:tcW w:w="481" w:type="dxa"/>
            <w:vAlign w:val="center"/>
          </w:tcPr>
          <w:p w14:paraId="481F134B">
            <w:pPr>
              <w:pStyle w:val="84"/>
              <w:rPr>
                <w:color w:val="auto"/>
              </w:rPr>
            </w:pPr>
          </w:p>
        </w:tc>
        <w:tc>
          <w:tcPr>
            <w:tcW w:w="426" w:type="dxa"/>
            <w:vAlign w:val="center"/>
          </w:tcPr>
          <w:p w14:paraId="3BB17E20">
            <w:pPr>
              <w:pStyle w:val="84"/>
              <w:rPr>
                <w:color w:val="auto"/>
              </w:rPr>
            </w:pPr>
          </w:p>
        </w:tc>
        <w:tc>
          <w:tcPr>
            <w:tcW w:w="708" w:type="dxa"/>
            <w:vAlign w:val="center"/>
          </w:tcPr>
          <w:p w14:paraId="56FF4C98">
            <w:pPr>
              <w:pStyle w:val="84"/>
              <w:rPr>
                <w:color w:val="auto"/>
              </w:rPr>
            </w:pPr>
          </w:p>
        </w:tc>
        <w:tc>
          <w:tcPr>
            <w:tcW w:w="426" w:type="dxa"/>
            <w:vAlign w:val="center"/>
          </w:tcPr>
          <w:p w14:paraId="14C89206">
            <w:pPr>
              <w:pStyle w:val="84"/>
              <w:rPr>
                <w:color w:val="auto"/>
              </w:rPr>
            </w:pPr>
          </w:p>
        </w:tc>
        <w:tc>
          <w:tcPr>
            <w:tcW w:w="567" w:type="dxa"/>
            <w:vAlign w:val="center"/>
          </w:tcPr>
          <w:p w14:paraId="07E31251">
            <w:pPr>
              <w:pStyle w:val="84"/>
              <w:rPr>
                <w:color w:val="auto"/>
              </w:rPr>
            </w:pPr>
          </w:p>
        </w:tc>
        <w:tc>
          <w:tcPr>
            <w:tcW w:w="708" w:type="dxa"/>
            <w:gridSpan w:val="2"/>
            <w:vAlign w:val="center"/>
          </w:tcPr>
          <w:p w14:paraId="08D5FDAD">
            <w:pPr>
              <w:pStyle w:val="84"/>
              <w:rPr>
                <w:color w:val="auto"/>
              </w:rPr>
            </w:pPr>
          </w:p>
        </w:tc>
        <w:tc>
          <w:tcPr>
            <w:tcW w:w="567" w:type="dxa"/>
            <w:vAlign w:val="center"/>
          </w:tcPr>
          <w:p w14:paraId="3B9A1571">
            <w:pPr>
              <w:pStyle w:val="84"/>
              <w:rPr>
                <w:color w:val="auto"/>
              </w:rPr>
            </w:pPr>
          </w:p>
        </w:tc>
        <w:tc>
          <w:tcPr>
            <w:tcW w:w="532" w:type="dxa"/>
            <w:vAlign w:val="center"/>
          </w:tcPr>
          <w:p w14:paraId="5E292F40">
            <w:pPr>
              <w:pStyle w:val="84"/>
              <w:rPr>
                <w:color w:val="auto"/>
              </w:rPr>
            </w:pPr>
          </w:p>
        </w:tc>
        <w:tc>
          <w:tcPr>
            <w:tcW w:w="708" w:type="dxa"/>
            <w:vAlign w:val="center"/>
          </w:tcPr>
          <w:p w14:paraId="347195D4">
            <w:pPr>
              <w:pStyle w:val="84"/>
              <w:rPr>
                <w:color w:val="auto"/>
              </w:rPr>
            </w:pPr>
          </w:p>
        </w:tc>
      </w:tr>
      <w:tr w14:paraId="6798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2CF34113">
            <w:pPr>
              <w:pStyle w:val="84"/>
              <w:rPr>
                <w:color w:val="auto"/>
              </w:rPr>
            </w:pPr>
            <w:r>
              <w:rPr>
                <w:rFonts w:hint="eastAsia"/>
                <w:color w:val="auto"/>
              </w:rPr>
              <w:t>6</w:t>
            </w:r>
          </w:p>
        </w:tc>
        <w:tc>
          <w:tcPr>
            <w:tcW w:w="1078" w:type="dxa"/>
            <w:gridSpan w:val="2"/>
            <w:vAlign w:val="center"/>
          </w:tcPr>
          <w:p w14:paraId="4E756538">
            <w:pPr>
              <w:pStyle w:val="84"/>
              <w:rPr>
                <w:color w:val="auto"/>
              </w:rPr>
            </w:pPr>
          </w:p>
        </w:tc>
        <w:tc>
          <w:tcPr>
            <w:tcW w:w="426" w:type="dxa"/>
            <w:vAlign w:val="center"/>
          </w:tcPr>
          <w:p w14:paraId="785A6B6E">
            <w:pPr>
              <w:pStyle w:val="84"/>
              <w:rPr>
                <w:color w:val="auto"/>
              </w:rPr>
            </w:pPr>
          </w:p>
        </w:tc>
        <w:tc>
          <w:tcPr>
            <w:tcW w:w="631" w:type="dxa"/>
            <w:vAlign w:val="center"/>
          </w:tcPr>
          <w:p w14:paraId="239D0F88">
            <w:pPr>
              <w:pStyle w:val="84"/>
              <w:rPr>
                <w:color w:val="auto"/>
              </w:rPr>
            </w:pPr>
          </w:p>
        </w:tc>
        <w:tc>
          <w:tcPr>
            <w:tcW w:w="676" w:type="dxa"/>
            <w:vAlign w:val="center"/>
          </w:tcPr>
          <w:p w14:paraId="058D295F">
            <w:pPr>
              <w:pStyle w:val="84"/>
              <w:rPr>
                <w:color w:val="auto"/>
              </w:rPr>
            </w:pPr>
          </w:p>
        </w:tc>
        <w:tc>
          <w:tcPr>
            <w:tcW w:w="481" w:type="dxa"/>
            <w:vAlign w:val="center"/>
          </w:tcPr>
          <w:p w14:paraId="6A6CA097">
            <w:pPr>
              <w:pStyle w:val="84"/>
              <w:rPr>
                <w:color w:val="auto"/>
              </w:rPr>
            </w:pPr>
          </w:p>
        </w:tc>
        <w:tc>
          <w:tcPr>
            <w:tcW w:w="426" w:type="dxa"/>
            <w:vAlign w:val="center"/>
          </w:tcPr>
          <w:p w14:paraId="548F240C">
            <w:pPr>
              <w:pStyle w:val="84"/>
              <w:rPr>
                <w:color w:val="auto"/>
              </w:rPr>
            </w:pPr>
          </w:p>
        </w:tc>
        <w:tc>
          <w:tcPr>
            <w:tcW w:w="708" w:type="dxa"/>
            <w:vAlign w:val="center"/>
          </w:tcPr>
          <w:p w14:paraId="4D131860">
            <w:pPr>
              <w:pStyle w:val="84"/>
              <w:rPr>
                <w:color w:val="auto"/>
              </w:rPr>
            </w:pPr>
          </w:p>
        </w:tc>
        <w:tc>
          <w:tcPr>
            <w:tcW w:w="426" w:type="dxa"/>
            <w:vAlign w:val="center"/>
          </w:tcPr>
          <w:p w14:paraId="713C22B2">
            <w:pPr>
              <w:pStyle w:val="84"/>
              <w:rPr>
                <w:color w:val="auto"/>
              </w:rPr>
            </w:pPr>
          </w:p>
        </w:tc>
        <w:tc>
          <w:tcPr>
            <w:tcW w:w="567" w:type="dxa"/>
            <w:vAlign w:val="center"/>
          </w:tcPr>
          <w:p w14:paraId="66697302">
            <w:pPr>
              <w:pStyle w:val="84"/>
              <w:rPr>
                <w:color w:val="auto"/>
              </w:rPr>
            </w:pPr>
          </w:p>
        </w:tc>
        <w:tc>
          <w:tcPr>
            <w:tcW w:w="708" w:type="dxa"/>
            <w:gridSpan w:val="2"/>
            <w:vAlign w:val="center"/>
          </w:tcPr>
          <w:p w14:paraId="31F1B0C7">
            <w:pPr>
              <w:pStyle w:val="84"/>
              <w:rPr>
                <w:color w:val="auto"/>
              </w:rPr>
            </w:pPr>
          </w:p>
        </w:tc>
        <w:tc>
          <w:tcPr>
            <w:tcW w:w="567" w:type="dxa"/>
            <w:vAlign w:val="center"/>
          </w:tcPr>
          <w:p w14:paraId="501624BF">
            <w:pPr>
              <w:pStyle w:val="84"/>
              <w:rPr>
                <w:color w:val="auto"/>
              </w:rPr>
            </w:pPr>
          </w:p>
        </w:tc>
        <w:tc>
          <w:tcPr>
            <w:tcW w:w="532" w:type="dxa"/>
            <w:vAlign w:val="center"/>
          </w:tcPr>
          <w:p w14:paraId="57232EC0">
            <w:pPr>
              <w:pStyle w:val="84"/>
              <w:rPr>
                <w:color w:val="auto"/>
              </w:rPr>
            </w:pPr>
          </w:p>
        </w:tc>
        <w:tc>
          <w:tcPr>
            <w:tcW w:w="708" w:type="dxa"/>
            <w:vAlign w:val="center"/>
          </w:tcPr>
          <w:p w14:paraId="49A86AAC">
            <w:pPr>
              <w:pStyle w:val="84"/>
              <w:rPr>
                <w:color w:val="auto"/>
              </w:rPr>
            </w:pPr>
          </w:p>
        </w:tc>
      </w:tr>
      <w:tr w14:paraId="0868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vAlign w:val="center"/>
          </w:tcPr>
          <w:p w14:paraId="5DFBF489">
            <w:pPr>
              <w:pStyle w:val="84"/>
              <w:rPr>
                <w:color w:val="auto"/>
              </w:rPr>
            </w:pPr>
            <w:r>
              <w:rPr>
                <w:rFonts w:hint="eastAsia"/>
                <w:color w:val="auto"/>
              </w:rPr>
              <w:t>7</w:t>
            </w:r>
          </w:p>
        </w:tc>
        <w:tc>
          <w:tcPr>
            <w:tcW w:w="1078" w:type="dxa"/>
            <w:gridSpan w:val="2"/>
            <w:vAlign w:val="center"/>
          </w:tcPr>
          <w:p w14:paraId="3C7CC495">
            <w:pPr>
              <w:pStyle w:val="84"/>
              <w:rPr>
                <w:color w:val="auto"/>
              </w:rPr>
            </w:pPr>
          </w:p>
        </w:tc>
        <w:tc>
          <w:tcPr>
            <w:tcW w:w="426" w:type="dxa"/>
            <w:vAlign w:val="center"/>
          </w:tcPr>
          <w:p w14:paraId="738D350B">
            <w:pPr>
              <w:pStyle w:val="84"/>
              <w:rPr>
                <w:color w:val="auto"/>
              </w:rPr>
            </w:pPr>
          </w:p>
        </w:tc>
        <w:tc>
          <w:tcPr>
            <w:tcW w:w="631" w:type="dxa"/>
            <w:vAlign w:val="center"/>
          </w:tcPr>
          <w:p w14:paraId="4F1228BC">
            <w:pPr>
              <w:pStyle w:val="84"/>
              <w:rPr>
                <w:color w:val="auto"/>
              </w:rPr>
            </w:pPr>
          </w:p>
        </w:tc>
        <w:tc>
          <w:tcPr>
            <w:tcW w:w="676" w:type="dxa"/>
            <w:vAlign w:val="center"/>
          </w:tcPr>
          <w:p w14:paraId="2F312827">
            <w:pPr>
              <w:pStyle w:val="84"/>
              <w:rPr>
                <w:color w:val="auto"/>
              </w:rPr>
            </w:pPr>
          </w:p>
        </w:tc>
        <w:tc>
          <w:tcPr>
            <w:tcW w:w="481" w:type="dxa"/>
            <w:vAlign w:val="center"/>
          </w:tcPr>
          <w:p w14:paraId="25A8A423">
            <w:pPr>
              <w:pStyle w:val="84"/>
              <w:rPr>
                <w:color w:val="auto"/>
              </w:rPr>
            </w:pPr>
          </w:p>
        </w:tc>
        <w:tc>
          <w:tcPr>
            <w:tcW w:w="426" w:type="dxa"/>
            <w:vAlign w:val="center"/>
          </w:tcPr>
          <w:p w14:paraId="5EA68EEE">
            <w:pPr>
              <w:pStyle w:val="84"/>
              <w:rPr>
                <w:color w:val="auto"/>
              </w:rPr>
            </w:pPr>
          </w:p>
        </w:tc>
        <w:tc>
          <w:tcPr>
            <w:tcW w:w="708" w:type="dxa"/>
            <w:vAlign w:val="center"/>
          </w:tcPr>
          <w:p w14:paraId="6D80DB2C">
            <w:pPr>
              <w:pStyle w:val="84"/>
              <w:rPr>
                <w:color w:val="auto"/>
              </w:rPr>
            </w:pPr>
          </w:p>
        </w:tc>
        <w:tc>
          <w:tcPr>
            <w:tcW w:w="426" w:type="dxa"/>
            <w:vAlign w:val="center"/>
          </w:tcPr>
          <w:p w14:paraId="2411A0D6">
            <w:pPr>
              <w:pStyle w:val="84"/>
              <w:rPr>
                <w:color w:val="auto"/>
              </w:rPr>
            </w:pPr>
          </w:p>
        </w:tc>
        <w:tc>
          <w:tcPr>
            <w:tcW w:w="567" w:type="dxa"/>
            <w:vAlign w:val="center"/>
          </w:tcPr>
          <w:p w14:paraId="7135DF61">
            <w:pPr>
              <w:pStyle w:val="84"/>
              <w:rPr>
                <w:color w:val="auto"/>
              </w:rPr>
            </w:pPr>
          </w:p>
        </w:tc>
        <w:tc>
          <w:tcPr>
            <w:tcW w:w="708" w:type="dxa"/>
            <w:gridSpan w:val="2"/>
            <w:vAlign w:val="center"/>
          </w:tcPr>
          <w:p w14:paraId="77680D1B">
            <w:pPr>
              <w:pStyle w:val="84"/>
              <w:rPr>
                <w:color w:val="auto"/>
              </w:rPr>
            </w:pPr>
          </w:p>
        </w:tc>
        <w:tc>
          <w:tcPr>
            <w:tcW w:w="567" w:type="dxa"/>
            <w:vAlign w:val="center"/>
          </w:tcPr>
          <w:p w14:paraId="3A1AB777">
            <w:pPr>
              <w:pStyle w:val="84"/>
              <w:rPr>
                <w:color w:val="auto"/>
              </w:rPr>
            </w:pPr>
          </w:p>
        </w:tc>
        <w:tc>
          <w:tcPr>
            <w:tcW w:w="532" w:type="dxa"/>
            <w:vAlign w:val="center"/>
          </w:tcPr>
          <w:p w14:paraId="01EE3D74">
            <w:pPr>
              <w:pStyle w:val="84"/>
              <w:rPr>
                <w:color w:val="auto"/>
              </w:rPr>
            </w:pPr>
          </w:p>
        </w:tc>
        <w:tc>
          <w:tcPr>
            <w:tcW w:w="708" w:type="dxa"/>
            <w:vAlign w:val="center"/>
          </w:tcPr>
          <w:p w14:paraId="57931022">
            <w:pPr>
              <w:pStyle w:val="84"/>
              <w:rPr>
                <w:color w:val="auto"/>
              </w:rPr>
            </w:pPr>
          </w:p>
        </w:tc>
      </w:tr>
      <w:tr w14:paraId="12D9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566" w:type="dxa"/>
            <w:vAlign w:val="center"/>
          </w:tcPr>
          <w:p w14:paraId="7BB28CEE">
            <w:pPr>
              <w:pStyle w:val="84"/>
              <w:rPr>
                <w:color w:val="auto"/>
              </w:rPr>
            </w:pPr>
            <w:r>
              <w:rPr>
                <w:rFonts w:hint="eastAsia"/>
                <w:color w:val="auto"/>
              </w:rPr>
              <w:t>沉降观测点示意图</w:t>
            </w:r>
          </w:p>
        </w:tc>
        <w:tc>
          <w:tcPr>
            <w:tcW w:w="7934" w:type="dxa"/>
            <w:gridSpan w:val="15"/>
          </w:tcPr>
          <w:p w14:paraId="76FDA415">
            <w:pPr>
              <w:pStyle w:val="84"/>
              <w:rPr>
                <w:color w:val="auto"/>
              </w:rPr>
            </w:pPr>
          </w:p>
        </w:tc>
      </w:tr>
      <w:tr w14:paraId="3051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0" w:type="dxa"/>
            <w:gridSpan w:val="16"/>
            <w:vAlign w:val="center"/>
          </w:tcPr>
          <w:p w14:paraId="74B03887">
            <w:pPr>
              <w:pStyle w:val="84"/>
              <w:rPr>
                <w:color w:val="auto"/>
              </w:rPr>
            </w:pPr>
            <w:r>
              <w:rPr>
                <w:rFonts w:hint="eastAsia"/>
                <w:color w:val="auto"/>
              </w:rPr>
              <w:t>备注：沉降观测高程为假定高程。</w:t>
            </w:r>
          </w:p>
        </w:tc>
      </w:tr>
      <w:tr w14:paraId="6D84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3960A949">
            <w:pPr>
              <w:pStyle w:val="84"/>
              <w:rPr>
                <w:color w:val="auto"/>
              </w:rPr>
            </w:pPr>
            <w:r>
              <w:rPr>
                <w:rFonts w:hint="eastAsia"/>
                <w:color w:val="auto"/>
              </w:rPr>
              <w:t>观测单位</w:t>
            </w:r>
          </w:p>
        </w:tc>
        <w:tc>
          <w:tcPr>
            <w:tcW w:w="2693" w:type="dxa"/>
            <w:gridSpan w:val="5"/>
            <w:vAlign w:val="center"/>
          </w:tcPr>
          <w:p w14:paraId="0DF877EA">
            <w:pPr>
              <w:pStyle w:val="84"/>
              <w:rPr>
                <w:color w:val="auto"/>
              </w:rPr>
            </w:pPr>
          </w:p>
        </w:tc>
        <w:tc>
          <w:tcPr>
            <w:tcW w:w="2156" w:type="dxa"/>
            <w:gridSpan w:val="5"/>
            <w:vAlign w:val="center"/>
          </w:tcPr>
          <w:p w14:paraId="6DF86911">
            <w:pPr>
              <w:pStyle w:val="84"/>
              <w:rPr>
                <w:color w:val="auto"/>
              </w:rPr>
            </w:pPr>
            <w:r>
              <w:rPr>
                <w:rFonts w:hint="eastAsia"/>
                <w:color w:val="auto"/>
              </w:rPr>
              <w:t>使用仪器</w:t>
            </w:r>
          </w:p>
        </w:tc>
        <w:tc>
          <w:tcPr>
            <w:tcW w:w="2486" w:type="dxa"/>
            <w:gridSpan w:val="4"/>
            <w:vAlign w:val="center"/>
          </w:tcPr>
          <w:p w14:paraId="2B2963FC">
            <w:pPr>
              <w:pStyle w:val="84"/>
              <w:rPr>
                <w:color w:val="auto"/>
              </w:rPr>
            </w:pPr>
          </w:p>
        </w:tc>
      </w:tr>
      <w:tr w14:paraId="2F43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5" w:type="dxa"/>
            <w:gridSpan w:val="2"/>
            <w:vAlign w:val="center"/>
          </w:tcPr>
          <w:p w14:paraId="4597D24B">
            <w:pPr>
              <w:pStyle w:val="84"/>
              <w:rPr>
                <w:color w:val="auto"/>
              </w:rPr>
            </w:pPr>
            <w:r>
              <w:rPr>
                <w:rFonts w:hint="eastAsia"/>
                <w:color w:val="auto"/>
              </w:rPr>
              <w:t>观测人员</w:t>
            </w:r>
          </w:p>
        </w:tc>
        <w:tc>
          <w:tcPr>
            <w:tcW w:w="2693" w:type="dxa"/>
            <w:gridSpan w:val="5"/>
            <w:vAlign w:val="center"/>
          </w:tcPr>
          <w:p w14:paraId="5D2EE38A">
            <w:pPr>
              <w:pStyle w:val="84"/>
              <w:rPr>
                <w:color w:val="auto"/>
              </w:rPr>
            </w:pPr>
          </w:p>
        </w:tc>
        <w:tc>
          <w:tcPr>
            <w:tcW w:w="2156" w:type="dxa"/>
            <w:gridSpan w:val="5"/>
            <w:vAlign w:val="center"/>
          </w:tcPr>
          <w:p w14:paraId="0326912F">
            <w:pPr>
              <w:pStyle w:val="84"/>
              <w:rPr>
                <w:color w:val="auto"/>
              </w:rPr>
            </w:pPr>
            <w:r>
              <w:rPr>
                <w:rFonts w:hint="eastAsia"/>
                <w:color w:val="auto"/>
              </w:rPr>
              <w:t>审核人员</w:t>
            </w:r>
          </w:p>
        </w:tc>
        <w:tc>
          <w:tcPr>
            <w:tcW w:w="2486" w:type="dxa"/>
            <w:gridSpan w:val="4"/>
            <w:vAlign w:val="center"/>
          </w:tcPr>
          <w:p w14:paraId="561486A8">
            <w:pPr>
              <w:pStyle w:val="84"/>
              <w:rPr>
                <w:color w:val="auto"/>
              </w:rPr>
            </w:pPr>
          </w:p>
        </w:tc>
      </w:tr>
    </w:tbl>
    <w:p w14:paraId="1C87B937">
      <w:pPr>
        <w:ind w:firstLine="480"/>
        <w:jc w:val="center"/>
        <w:rPr>
          <w:rFonts w:hint="eastAsia"/>
          <w:color w:val="auto"/>
        </w:rPr>
      </w:pPr>
      <w:r>
        <w:rPr>
          <w:rFonts w:hint="eastAsia"/>
          <w:color w:val="auto"/>
        </w:rPr>
        <w:t>表6</w:t>
      </w:r>
      <w:r>
        <w:rPr>
          <w:color w:val="auto"/>
        </w:rPr>
        <w:t xml:space="preserve">.10-3  </w:t>
      </w:r>
      <w:r>
        <w:rPr>
          <w:rFonts w:hint="eastAsia"/>
          <w:color w:val="auto"/>
        </w:rPr>
        <w:t>塔式基础沉降预警值表</w:t>
      </w:r>
    </w:p>
    <w:p w14:paraId="5E2FEBE9">
      <w:pPr>
        <w:ind w:firstLine="480"/>
        <w:rPr>
          <w:rFonts w:hint="eastAsia"/>
          <w:color w:val="auto"/>
        </w:rPr>
      </w:pPr>
      <w:r>
        <w:rPr>
          <w:rFonts w:hint="eastAsia"/>
          <w:color w:val="auto"/>
        </w:rPr>
        <w:t xml:space="preserve">工程名称：                                              编号：         </w:t>
      </w:r>
    </w:p>
    <w:tbl>
      <w:tblPr>
        <w:tblStyle w:val="28"/>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8"/>
        <w:gridCol w:w="3556"/>
        <w:gridCol w:w="4217"/>
      </w:tblGrid>
      <w:tr w14:paraId="660B6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5FDDE666">
            <w:pPr>
              <w:pStyle w:val="84"/>
              <w:rPr>
                <w:color w:val="auto"/>
              </w:rPr>
            </w:pPr>
            <w:r>
              <w:rPr>
                <w:rFonts w:hint="eastAsia"/>
                <w:color w:val="auto"/>
              </w:rPr>
              <w:t>项目及内容</w:t>
            </w:r>
          </w:p>
        </w:tc>
        <w:tc>
          <w:tcPr>
            <w:tcW w:w="3556" w:type="dxa"/>
            <w:vAlign w:val="center"/>
          </w:tcPr>
          <w:p w14:paraId="28492146">
            <w:pPr>
              <w:pStyle w:val="84"/>
              <w:rPr>
                <w:color w:val="auto"/>
              </w:rPr>
            </w:pPr>
            <w:r>
              <w:rPr>
                <w:rFonts w:hint="eastAsia"/>
                <w:color w:val="auto"/>
              </w:rPr>
              <w:t>基础沉降预警值</w:t>
            </w:r>
          </w:p>
        </w:tc>
        <w:tc>
          <w:tcPr>
            <w:tcW w:w="4217" w:type="dxa"/>
            <w:vAlign w:val="center"/>
          </w:tcPr>
          <w:p w14:paraId="4A171D2D">
            <w:pPr>
              <w:pStyle w:val="84"/>
              <w:rPr>
                <w:color w:val="auto"/>
              </w:rPr>
            </w:pPr>
            <w:r>
              <w:rPr>
                <w:rFonts w:hint="eastAsia"/>
                <w:color w:val="auto"/>
              </w:rPr>
              <w:t>基础沉降危险值</w:t>
            </w:r>
          </w:p>
        </w:tc>
      </w:tr>
      <w:tr w14:paraId="0933F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08" w:type="dxa"/>
            <w:vAlign w:val="center"/>
          </w:tcPr>
          <w:p w14:paraId="19D72B00">
            <w:pPr>
              <w:pStyle w:val="84"/>
              <w:rPr>
                <w:color w:val="auto"/>
              </w:rPr>
            </w:pPr>
            <w:r>
              <w:rPr>
                <w:rFonts w:hint="eastAsia"/>
                <w:color w:val="auto"/>
              </w:rPr>
              <w:t>数值</w:t>
            </w:r>
          </w:p>
        </w:tc>
        <w:tc>
          <w:tcPr>
            <w:tcW w:w="3556" w:type="dxa"/>
            <w:vAlign w:val="center"/>
          </w:tcPr>
          <w:p w14:paraId="3794D60D">
            <w:pPr>
              <w:pStyle w:val="84"/>
              <w:rPr>
                <w:color w:val="auto"/>
              </w:rPr>
            </w:pPr>
            <w:r>
              <w:rPr>
                <w:rFonts w:hint="eastAsia"/>
                <w:color w:val="auto"/>
              </w:rPr>
              <w:t>3.3mm</w:t>
            </w:r>
          </w:p>
        </w:tc>
        <w:tc>
          <w:tcPr>
            <w:tcW w:w="4217" w:type="dxa"/>
            <w:vAlign w:val="center"/>
          </w:tcPr>
          <w:p w14:paraId="5BB6877D">
            <w:pPr>
              <w:pStyle w:val="84"/>
              <w:rPr>
                <w:color w:val="auto"/>
              </w:rPr>
            </w:pPr>
            <w:r>
              <w:rPr>
                <w:rFonts w:hint="eastAsia"/>
                <w:color w:val="auto"/>
              </w:rPr>
              <w:t>6.7mm</w:t>
            </w:r>
          </w:p>
        </w:tc>
      </w:tr>
      <w:tr w14:paraId="7B8B4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4" w:hRule="atLeast"/>
        </w:trPr>
        <w:tc>
          <w:tcPr>
            <w:tcW w:w="9181" w:type="dxa"/>
            <w:gridSpan w:val="3"/>
          </w:tcPr>
          <w:p w14:paraId="103D08BE">
            <w:pPr>
              <w:pStyle w:val="84"/>
              <w:jc w:val="both"/>
              <w:rPr>
                <w:color w:val="auto"/>
              </w:rPr>
            </w:pPr>
            <w:r>
              <w:rPr>
                <w:rFonts w:hint="eastAsia"/>
                <w:color w:val="auto"/>
              </w:rPr>
              <w:t>数值依据：</w:t>
            </w:r>
          </w:p>
          <w:p w14:paraId="4DAB86AA">
            <w:pPr>
              <w:pStyle w:val="84"/>
              <w:jc w:val="both"/>
              <w:rPr>
                <w:color w:val="auto"/>
              </w:rPr>
            </w:pPr>
          </w:p>
          <w:p w14:paraId="07CCC287">
            <w:pPr>
              <w:pStyle w:val="84"/>
              <w:jc w:val="both"/>
              <w:rPr>
                <w:color w:val="auto"/>
              </w:rPr>
            </w:pPr>
          </w:p>
        </w:tc>
      </w:tr>
    </w:tbl>
    <w:p w14:paraId="1B85AF85">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19" w:name="_Toc30132"/>
      <w:bookmarkStart w:id="320" w:name="_Toc60523138"/>
      <w:bookmarkStart w:id="321" w:name="_Toc32033"/>
      <w:bookmarkStart w:id="322" w:name="_Toc102171861"/>
      <w:bookmarkStart w:id="323" w:name="_Toc21257"/>
      <w:r>
        <w:rPr>
          <w:rFonts w:hint="eastAsia" w:ascii="宋体" w:hAnsi="宋体" w:eastAsia="宋体"/>
          <w:color w:val="auto"/>
          <w:sz w:val="24"/>
          <w:szCs w:val="24"/>
        </w:rPr>
        <w:t>检测仪器与精度</w:t>
      </w:r>
      <w:bookmarkEnd w:id="319"/>
      <w:bookmarkEnd w:id="320"/>
      <w:bookmarkEnd w:id="321"/>
      <w:bookmarkEnd w:id="322"/>
      <w:bookmarkEnd w:id="323"/>
    </w:p>
    <w:p w14:paraId="2EBFEB18">
      <w:pPr>
        <w:ind w:firstLine="480"/>
        <w:rPr>
          <w:rFonts w:hint="eastAsia"/>
          <w:color w:val="auto"/>
        </w:rPr>
      </w:pPr>
      <w:r>
        <w:rPr>
          <w:rFonts w:hint="eastAsia"/>
          <w:color w:val="auto"/>
        </w:rPr>
        <w:t>工作仪器设备的精度、稳定性直接关系到测量数据的准确性、可靠性，是测量项目能否成功的关键因素之一。本脚手架监测使用仪器设备如表所示：</w:t>
      </w:r>
    </w:p>
    <w:p w14:paraId="1F6E01A4">
      <w:pPr>
        <w:ind w:firstLine="480"/>
        <w:jc w:val="center"/>
        <w:rPr>
          <w:rFonts w:hint="eastAsia"/>
          <w:color w:val="auto"/>
        </w:rPr>
      </w:pPr>
      <w:r>
        <w:rPr>
          <w:rFonts w:hint="eastAsia"/>
          <w:color w:val="auto"/>
        </w:rPr>
        <w:t>表6</w:t>
      </w:r>
      <w:r>
        <w:rPr>
          <w:color w:val="auto"/>
        </w:rPr>
        <w:t xml:space="preserve">.10-4  </w:t>
      </w:r>
      <w:r>
        <w:rPr>
          <w:rFonts w:hint="eastAsia"/>
          <w:color w:val="auto"/>
        </w:rPr>
        <w:t>监测仪器设备表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342"/>
        <w:gridCol w:w="1506"/>
        <w:gridCol w:w="1917"/>
        <w:gridCol w:w="1361"/>
        <w:gridCol w:w="1117"/>
      </w:tblGrid>
      <w:tr w14:paraId="5A63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0E609FF6">
            <w:pPr>
              <w:pStyle w:val="84"/>
              <w:rPr>
                <w:color w:val="auto"/>
              </w:rPr>
            </w:pPr>
            <w:r>
              <w:rPr>
                <w:rFonts w:hint="eastAsia"/>
                <w:color w:val="auto"/>
              </w:rPr>
              <w:t>序号</w:t>
            </w:r>
          </w:p>
        </w:tc>
        <w:tc>
          <w:tcPr>
            <w:tcW w:w="2342" w:type="dxa"/>
            <w:vAlign w:val="center"/>
          </w:tcPr>
          <w:p w14:paraId="677AC0C7">
            <w:pPr>
              <w:pStyle w:val="84"/>
              <w:rPr>
                <w:color w:val="auto"/>
              </w:rPr>
            </w:pPr>
            <w:r>
              <w:rPr>
                <w:rFonts w:hint="eastAsia"/>
                <w:color w:val="auto"/>
              </w:rPr>
              <w:t>监测项目</w:t>
            </w:r>
          </w:p>
        </w:tc>
        <w:tc>
          <w:tcPr>
            <w:tcW w:w="1506" w:type="dxa"/>
            <w:vAlign w:val="center"/>
          </w:tcPr>
          <w:p w14:paraId="0AEB3795">
            <w:pPr>
              <w:pStyle w:val="84"/>
              <w:rPr>
                <w:color w:val="auto"/>
              </w:rPr>
            </w:pPr>
            <w:r>
              <w:rPr>
                <w:rFonts w:hint="eastAsia"/>
                <w:color w:val="auto"/>
              </w:rPr>
              <w:t>仪器名称</w:t>
            </w:r>
          </w:p>
        </w:tc>
        <w:tc>
          <w:tcPr>
            <w:tcW w:w="1917" w:type="dxa"/>
            <w:vAlign w:val="center"/>
          </w:tcPr>
          <w:p w14:paraId="377527BE">
            <w:pPr>
              <w:pStyle w:val="84"/>
              <w:rPr>
                <w:color w:val="auto"/>
              </w:rPr>
            </w:pPr>
            <w:r>
              <w:rPr>
                <w:rFonts w:hint="eastAsia"/>
                <w:color w:val="auto"/>
              </w:rPr>
              <w:t>仪器型号</w:t>
            </w:r>
          </w:p>
        </w:tc>
        <w:tc>
          <w:tcPr>
            <w:tcW w:w="1361" w:type="dxa"/>
            <w:vAlign w:val="center"/>
          </w:tcPr>
          <w:p w14:paraId="3E073FBA">
            <w:pPr>
              <w:pStyle w:val="84"/>
              <w:rPr>
                <w:color w:val="auto"/>
              </w:rPr>
            </w:pPr>
            <w:r>
              <w:rPr>
                <w:rFonts w:hint="eastAsia"/>
                <w:color w:val="auto"/>
              </w:rPr>
              <w:t>监测精度</w:t>
            </w:r>
          </w:p>
        </w:tc>
        <w:tc>
          <w:tcPr>
            <w:tcW w:w="1117" w:type="dxa"/>
            <w:vAlign w:val="center"/>
          </w:tcPr>
          <w:p w14:paraId="574215E2">
            <w:pPr>
              <w:pStyle w:val="84"/>
              <w:rPr>
                <w:color w:val="auto"/>
              </w:rPr>
            </w:pPr>
            <w:r>
              <w:rPr>
                <w:rFonts w:hint="eastAsia"/>
                <w:color w:val="auto"/>
              </w:rPr>
              <w:t>数量</w:t>
            </w:r>
          </w:p>
        </w:tc>
      </w:tr>
      <w:tr w14:paraId="7702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E580C9D">
            <w:pPr>
              <w:pStyle w:val="84"/>
              <w:rPr>
                <w:color w:val="auto"/>
              </w:rPr>
            </w:pPr>
            <w:r>
              <w:rPr>
                <w:rFonts w:hint="eastAsia"/>
                <w:color w:val="auto"/>
              </w:rPr>
              <w:t>1</w:t>
            </w:r>
          </w:p>
        </w:tc>
        <w:tc>
          <w:tcPr>
            <w:tcW w:w="2342" w:type="dxa"/>
            <w:vAlign w:val="center"/>
          </w:tcPr>
          <w:p w14:paraId="5E8F51DF">
            <w:pPr>
              <w:pStyle w:val="84"/>
              <w:rPr>
                <w:color w:val="auto"/>
              </w:rPr>
            </w:pPr>
            <w:r>
              <w:rPr>
                <w:rFonts w:hint="eastAsia"/>
                <w:color w:val="auto"/>
              </w:rPr>
              <w:t>高度、标高观测</w:t>
            </w:r>
          </w:p>
        </w:tc>
        <w:tc>
          <w:tcPr>
            <w:tcW w:w="1506" w:type="dxa"/>
            <w:vAlign w:val="center"/>
          </w:tcPr>
          <w:p w14:paraId="1F65C281">
            <w:pPr>
              <w:pStyle w:val="84"/>
              <w:rPr>
                <w:color w:val="auto"/>
              </w:rPr>
            </w:pPr>
            <w:r>
              <w:rPr>
                <w:rFonts w:hint="eastAsia"/>
                <w:color w:val="auto"/>
              </w:rPr>
              <w:t>全站仪</w:t>
            </w:r>
          </w:p>
        </w:tc>
        <w:tc>
          <w:tcPr>
            <w:tcW w:w="1917" w:type="dxa"/>
            <w:vAlign w:val="center"/>
          </w:tcPr>
          <w:p w14:paraId="7A024577">
            <w:pPr>
              <w:pStyle w:val="84"/>
              <w:rPr>
                <w:color w:val="auto"/>
              </w:rPr>
            </w:pPr>
            <w:r>
              <w:rPr>
                <w:rFonts w:hint="eastAsia"/>
                <w:color w:val="auto"/>
              </w:rPr>
              <w:t>TZ05</w:t>
            </w:r>
          </w:p>
        </w:tc>
        <w:tc>
          <w:tcPr>
            <w:tcW w:w="1361" w:type="dxa"/>
            <w:vAlign w:val="center"/>
          </w:tcPr>
          <w:p w14:paraId="2AA9A760">
            <w:pPr>
              <w:pStyle w:val="84"/>
              <w:rPr>
                <w:color w:val="auto"/>
              </w:rPr>
            </w:pPr>
            <w:r>
              <w:rPr>
                <w:rFonts w:hint="eastAsia"/>
                <w:color w:val="auto"/>
              </w:rPr>
              <w:t>测角中误差±2″2+2ppm</w:t>
            </w:r>
          </w:p>
        </w:tc>
        <w:tc>
          <w:tcPr>
            <w:tcW w:w="1117" w:type="dxa"/>
            <w:vAlign w:val="center"/>
          </w:tcPr>
          <w:p w14:paraId="06073EB5">
            <w:pPr>
              <w:pStyle w:val="84"/>
              <w:rPr>
                <w:color w:val="auto"/>
              </w:rPr>
            </w:pPr>
            <w:r>
              <w:rPr>
                <w:rFonts w:hint="eastAsia"/>
                <w:color w:val="auto"/>
              </w:rPr>
              <w:t>1</w:t>
            </w:r>
          </w:p>
        </w:tc>
      </w:tr>
      <w:tr w14:paraId="6EBC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69BC49F">
            <w:pPr>
              <w:pStyle w:val="84"/>
              <w:rPr>
                <w:color w:val="auto"/>
              </w:rPr>
            </w:pPr>
            <w:r>
              <w:rPr>
                <w:rFonts w:hint="eastAsia"/>
                <w:color w:val="auto"/>
              </w:rPr>
              <w:t>2</w:t>
            </w:r>
          </w:p>
        </w:tc>
        <w:tc>
          <w:tcPr>
            <w:tcW w:w="2342" w:type="dxa"/>
            <w:vAlign w:val="center"/>
          </w:tcPr>
          <w:p w14:paraId="357179C8">
            <w:pPr>
              <w:pStyle w:val="84"/>
              <w:rPr>
                <w:color w:val="auto"/>
              </w:rPr>
            </w:pPr>
            <w:r>
              <w:rPr>
                <w:rFonts w:hint="eastAsia"/>
                <w:color w:val="auto"/>
              </w:rPr>
              <w:t>水平位移、垂直度观测</w:t>
            </w:r>
          </w:p>
        </w:tc>
        <w:tc>
          <w:tcPr>
            <w:tcW w:w="1506" w:type="dxa"/>
            <w:vAlign w:val="center"/>
          </w:tcPr>
          <w:p w14:paraId="55ABD920">
            <w:pPr>
              <w:pStyle w:val="84"/>
              <w:rPr>
                <w:color w:val="auto"/>
              </w:rPr>
            </w:pPr>
            <w:r>
              <w:rPr>
                <w:rFonts w:hint="eastAsia"/>
                <w:color w:val="auto"/>
              </w:rPr>
              <w:t>水准仪</w:t>
            </w:r>
          </w:p>
        </w:tc>
        <w:tc>
          <w:tcPr>
            <w:tcW w:w="1917" w:type="dxa"/>
            <w:vAlign w:val="center"/>
          </w:tcPr>
          <w:p w14:paraId="2F1DF3A0">
            <w:pPr>
              <w:pStyle w:val="84"/>
              <w:rPr>
                <w:color w:val="auto"/>
              </w:rPr>
            </w:pPr>
            <w:r>
              <w:rPr>
                <w:rFonts w:hint="eastAsia"/>
                <w:color w:val="auto"/>
              </w:rPr>
              <w:t>DZ-3级</w:t>
            </w:r>
          </w:p>
        </w:tc>
        <w:tc>
          <w:tcPr>
            <w:tcW w:w="1361" w:type="dxa"/>
            <w:vAlign w:val="center"/>
          </w:tcPr>
          <w:p w14:paraId="55A67A2F">
            <w:pPr>
              <w:pStyle w:val="84"/>
              <w:rPr>
                <w:color w:val="auto"/>
              </w:rPr>
            </w:pPr>
            <w:r>
              <w:rPr>
                <w:rFonts w:hint="eastAsia"/>
                <w:color w:val="auto"/>
              </w:rPr>
              <w:t>±3mm</w:t>
            </w:r>
          </w:p>
        </w:tc>
        <w:tc>
          <w:tcPr>
            <w:tcW w:w="1117" w:type="dxa"/>
            <w:vAlign w:val="center"/>
          </w:tcPr>
          <w:p w14:paraId="13FFF2AF">
            <w:pPr>
              <w:pStyle w:val="84"/>
              <w:rPr>
                <w:color w:val="auto"/>
              </w:rPr>
            </w:pPr>
            <w:r>
              <w:rPr>
                <w:rFonts w:hint="eastAsia"/>
                <w:color w:val="auto"/>
              </w:rPr>
              <w:t>1</w:t>
            </w:r>
          </w:p>
        </w:tc>
      </w:tr>
      <w:tr w14:paraId="2B1E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vAlign w:val="center"/>
          </w:tcPr>
          <w:p w14:paraId="63578DD2">
            <w:pPr>
              <w:pStyle w:val="84"/>
              <w:rPr>
                <w:color w:val="auto"/>
              </w:rPr>
            </w:pPr>
            <w:r>
              <w:rPr>
                <w:rFonts w:hint="eastAsia"/>
                <w:color w:val="auto"/>
              </w:rPr>
              <w:t>3</w:t>
            </w:r>
          </w:p>
        </w:tc>
        <w:tc>
          <w:tcPr>
            <w:tcW w:w="2342" w:type="dxa"/>
            <w:vAlign w:val="center"/>
          </w:tcPr>
          <w:p w14:paraId="0FFAFEA7">
            <w:pPr>
              <w:pStyle w:val="84"/>
              <w:rPr>
                <w:color w:val="auto"/>
              </w:rPr>
            </w:pPr>
            <w:r>
              <w:rPr>
                <w:rFonts w:hint="eastAsia"/>
                <w:color w:val="auto"/>
              </w:rPr>
              <w:t>距离</w:t>
            </w:r>
          </w:p>
        </w:tc>
        <w:tc>
          <w:tcPr>
            <w:tcW w:w="1506" w:type="dxa"/>
            <w:vAlign w:val="center"/>
          </w:tcPr>
          <w:p w14:paraId="072070C7">
            <w:pPr>
              <w:pStyle w:val="84"/>
              <w:rPr>
                <w:color w:val="auto"/>
              </w:rPr>
            </w:pPr>
            <w:r>
              <w:rPr>
                <w:rFonts w:hint="eastAsia"/>
                <w:color w:val="auto"/>
              </w:rPr>
              <w:t>卷尺</w:t>
            </w:r>
          </w:p>
        </w:tc>
        <w:tc>
          <w:tcPr>
            <w:tcW w:w="1917" w:type="dxa"/>
            <w:vAlign w:val="center"/>
          </w:tcPr>
          <w:p w14:paraId="09A067C5">
            <w:pPr>
              <w:pStyle w:val="84"/>
              <w:rPr>
                <w:color w:val="auto"/>
              </w:rPr>
            </w:pPr>
            <w:r>
              <w:rPr>
                <w:rFonts w:hint="eastAsia"/>
                <w:color w:val="auto"/>
              </w:rPr>
              <w:t>10M</w:t>
            </w:r>
          </w:p>
        </w:tc>
        <w:tc>
          <w:tcPr>
            <w:tcW w:w="1361" w:type="dxa"/>
            <w:vAlign w:val="center"/>
          </w:tcPr>
          <w:p w14:paraId="71DB1598">
            <w:pPr>
              <w:pStyle w:val="84"/>
              <w:rPr>
                <w:color w:val="auto"/>
              </w:rPr>
            </w:pPr>
          </w:p>
        </w:tc>
        <w:tc>
          <w:tcPr>
            <w:tcW w:w="1117" w:type="dxa"/>
            <w:vAlign w:val="center"/>
          </w:tcPr>
          <w:p w14:paraId="394258F6">
            <w:pPr>
              <w:pStyle w:val="84"/>
              <w:rPr>
                <w:color w:val="auto"/>
              </w:rPr>
            </w:pPr>
            <w:r>
              <w:rPr>
                <w:rFonts w:hint="eastAsia"/>
                <w:color w:val="auto"/>
              </w:rPr>
              <w:t>1</w:t>
            </w:r>
          </w:p>
        </w:tc>
      </w:tr>
    </w:tbl>
    <w:p w14:paraId="36F993A7">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24" w:name="_Toc18822"/>
      <w:bookmarkStart w:id="325" w:name="_Toc102171862"/>
      <w:bookmarkStart w:id="326" w:name="_Toc60523139"/>
      <w:bookmarkStart w:id="327" w:name="_Toc5644"/>
      <w:bookmarkStart w:id="328" w:name="_Toc29268"/>
      <w:r>
        <w:rPr>
          <w:rFonts w:hint="eastAsia" w:ascii="宋体" w:hAnsi="宋体" w:eastAsia="宋体"/>
          <w:color w:val="auto"/>
          <w:sz w:val="24"/>
          <w:szCs w:val="24"/>
        </w:rPr>
        <w:t>数据处理及信息反馈</w:t>
      </w:r>
      <w:bookmarkEnd w:id="324"/>
      <w:bookmarkEnd w:id="325"/>
      <w:bookmarkEnd w:id="326"/>
      <w:bookmarkEnd w:id="327"/>
      <w:bookmarkEnd w:id="328"/>
    </w:p>
    <w:p w14:paraId="52B16896">
      <w:pPr>
        <w:ind w:firstLine="480"/>
        <w:rPr>
          <w:rFonts w:hint="eastAsia"/>
          <w:color w:val="auto"/>
        </w:rPr>
      </w:pPr>
      <w:r>
        <w:rPr>
          <w:rFonts w:hint="eastAsia"/>
          <w:color w:val="auto"/>
        </w:rPr>
        <w:t>（1）当次完成的测量内容，及时对数据进行处理，正常情况下第二个工作日提交上一工作日的观测结果（监测简报）。</w:t>
      </w:r>
    </w:p>
    <w:p w14:paraId="58575B86">
      <w:pPr>
        <w:ind w:firstLine="480"/>
        <w:rPr>
          <w:rFonts w:hint="eastAsia"/>
          <w:color w:val="auto"/>
        </w:rPr>
      </w:pPr>
      <w:r>
        <w:rPr>
          <w:rFonts w:hint="eastAsia"/>
          <w:color w:val="auto"/>
        </w:rPr>
        <w:t>（2）观测结果异常时，立即口头向甲方单位汇报，随后提交书面报告，书面报告加盖公章，做好交接手续。监测简报提交业主共四份。</w:t>
      </w:r>
    </w:p>
    <w:p w14:paraId="4E71CE88">
      <w:pPr>
        <w:ind w:firstLine="480"/>
        <w:rPr>
          <w:rFonts w:hint="eastAsia"/>
          <w:color w:val="auto"/>
        </w:rPr>
      </w:pPr>
      <w:r>
        <w:rPr>
          <w:rFonts w:hint="eastAsia"/>
          <w:color w:val="auto"/>
        </w:rPr>
        <w:t>（3）全部监测工作完成后，提交监测工作报告，一式六份。</w:t>
      </w:r>
    </w:p>
    <w:p w14:paraId="4810A32D">
      <w:pPr>
        <w:ind w:firstLine="480"/>
        <w:rPr>
          <w:rFonts w:hint="eastAsia"/>
          <w:color w:val="auto"/>
        </w:rPr>
      </w:pPr>
      <w:r>
        <w:rPr>
          <w:rFonts w:hint="eastAsia"/>
          <w:color w:val="auto"/>
        </w:rPr>
        <w:t>（4）在提交的资料中，文字部分一般使用Word软件，表格数据和曲线图使用Excel软件编制。</w:t>
      </w:r>
    </w:p>
    <w:p w14:paraId="0BAB9081">
      <w:pPr>
        <w:pStyle w:val="4"/>
        <w:numPr>
          <w:ilvl w:val="2"/>
          <w:numId w:val="12"/>
        </w:numPr>
        <w:tabs>
          <w:tab w:val="clear" w:pos="0"/>
        </w:tabs>
        <w:ind w:left="709" w:leftChars="0" w:hanging="709" w:firstLineChars="0"/>
        <w:rPr>
          <w:rFonts w:hint="eastAsia" w:ascii="宋体" w:hAnsi="宋体" w:eastAsia="宋体"/>
          <w:color w:val="auto"/>
          <w:sz w:val="24"/>
          <w:szCs w:val="24"/>
        </w:rPr>
      </w:pPr>
      <w:bookmarkStart w:id="329" w:name="_Toc10601"/>
      <w:bookmarkStart w:id="330" w:name="_Toc22388"/>
      <w:r>
        <w:rPr>
          <w:rFonts w:hint="eastAsia" w:ascii="宋体" w:hAnsi="宋体" w:eastAsia="宋体"/>
          <w:color w:val="auto"/>
          <w:sz w:val="24"/>
          <w:szCs w:val="24"/>
          <w:lang w:val="en-US" w:eastAsia="zh-CN"/>
        </w:rPr>
        <w:t>监控报警及措施</w:t>
      </w:r>
      <w:bookmarkEnd w:id="329"/>
      <w:bookmarkEnd w:id="330"/>
    </w:p>
    <w:p w14:paraId="7871731B">
      <w:pPr>
        <w:ind w:firstLine="480"/>
        <w:rPr>
          <w:rFonts w:hint="eastAsia" w:ascii="宋体" w:hAnsi="宋体" w:eastAsia="宋体"/>
          <w:color w:val="auto"/>
        </w:rPr>
      </w:pPr>
      <w:r>
        <w:rPr>
          <w:rFonts w:hint="eastAsia" w:ascii="宋体" w:hAnsi="宋体" w:eastAsia="宋体"/>
          <w:color w:val="auto"/>
        </w:rPr>
        <w:t>塔机水平沉降报警值设为50mm，水平位移速率报警值设为连续三日大于2mm/d。</w:t>
      </w:r>
    </w:p>
    <w:p w14:paraId="5E63B881">
      <w:pPr>
        <w:ind w:firstLine="480"/>
        <w:rPr>
          <w:rFonts w:hint="eastAsia" w:ascii="宋体" w:hAnsi="宋体" w:eastAsia="宋体"/>
          <w:color w:val="auto"/>
        </w:rPr>
      </w:pPr>
      <w:r>
        <w:rPr>
          <w:rFonts w:hint="eastAsia" w:ascii="宋体" w:hAnsi="宋体" w:eastAsia="宋体"/>
          <w:color w:val="auto"/>
        </w:rPr>
        <w:t>塔机独立状态下塔身（附着状态下最高附着点以上塔身）轴心线的侧向垂直度允差为4/1000，最高附着点以下塔身轴心线的垂直度允差为2/1000。</w:t>
      </w:r>
    </w:p>
    <w:p w14:paraId="2634403C">
      <w:pPr>
        <w:ind w:firstLine="480"/>
        <w:rPr>
          <w:rFonts w:hint="eastAsia" w:ascii="宋体" w:hAnsi="宋体" w:eastAsia="宋体"/>
          <w:color w:val="auto"/>
        </w:rPr>
      </w:pPr>
      <w:r>
        <w:rPr>
          <w:rFonts w:hint="eastAsia" w:ascii="宋体" w:hAnsi="宋体" w:eastAsia="宋体"/>
          <w:color w:val="auto"/>
        </w:rPr>
        <w:t>当出现上述情况时，应立即报警，并应采取以下措施：</w:t>
      </w:r>
    </w:p>
    <w:p w14:paraId="414A6498">
      <w:pPr>
        <w:ind w:firstLine="480"/>
        <w:rPr>
          <w:rFonts w:hint="eastAsia" w:ascii="宋体" w:hAnsi="宋体" w:eastAsia="宋体"/>
          <w:color w:val="auto"/>
        </w:rPr>
      </w:pPr>
      <w:r>
        <w:rPr>
          <w:rFonts w:hint="eastAsia" w:ascii="宋体" w:hAnsi="宋体" w:eastAsia="宋体"/>
          <w:color w:val="auto"/>
        </w:rPr>
        <w:t>（1）疏散施工现场作业人员，拉设警戒带，并设专人旁站监护，严禁无关人员进入。</w:t>
      </w:r>
    </w:p>
    <w:p w14:paraId="482B790C">
      <w:pPr>
        <w:ind w:firstLine="480"/>
        <w:rPr>
          <w:rFonts w:hint="eastAsia" w:ascii="宋体" w:hAnsi="宋体" w:eastAsia="宋体"/>
          <w:color w:val="auto"/>
        </w:rPr>
      </w:pPr>
      <w:r>
        <w:rPr>
          <w:rFonts w:hint="eastAsia" w:ascii="宋体" w:hAnsi="宋体" w:eastAsia="宋体"/>
          <w:color w:val="auto"/>
        </w:rPr>
        <w:t>（2）应立即停止作业，并将回转机构锁住，限制其转动。根据情况设置地锚，控制塔机的倾斜。</w:t>
      </w:r>
    </w:p>
    <w:p w14:paraId="581453C8">
      <w:pPr>
        <w:ind w:firstLine="480"/>
        <w:rPr>
          <w:rFonts w:hint="eastAsia" w:ascii="宋体" w:hAnsi="宋体" w:eastAsia="宋体"/>
          <w:color w:val="auto"/>
        </w:rPr>
      </w:pPr>
      <w:r>
        <w:rPr>
          <w:rFonts w:hint="eastAsia" w:ascii="宋体" w:hAnsi="宋体" w:eastAsia="宋体"/>
          <w:color w:val="auto"/>
        </w:rPr>
        <w:t>（3）对塔机采取加固措施，如情况较为严重时选用适量吨位起重机将塔机拆除。</w:t>
      </w:r>
    </w:p>
    <w:bookmarkEnd w:id="146"/>
    <w:bookmarkEnd w:id="147"/>
    <w:bookmarkEnd w:id="148"/>
    <w:bookmarkEnd w:id="149"/>
    <w:bookmarkEnd w:id="150"/>
    <w:bookmarkEnd w:id="151"/>
    <w:p w14:paraId="7162915A">
      <w:pPr>
        <w:pStyle w:val="2"/>
        <w:rPr>
          <w:rFonts w:hint="default" w:eastAsia="宋体" w:asciiTheme="minorEastAsia" w:hAnsiTheme="minorEastAsia"/>
          <w:color w:val="auto"/>
          <w:szCs w:val="28"/>
          <w:lang w:val="en-US" w:eastAsia="zh-CN"/>
        </w:rPr>
      </w:pPr>
      <w:bookmarkStart w:id="331" w:name="_Toc9380_WPSOffice_Level2"/>
      <w:bookmarkStart w:id="332" w:name="_Toc525111837"/>
      <w:bookmarkStart w:id="333" w:name="_Toc7122_WPSOffice_Level2"/>
      <w:bookmarkStart w:id="334" w:name="_Toc182895414"/>
      <w:bookmarkStart w:id="335" w:name="_Toc13526"/>
      <w:bookmarkStart w:id="336" w:name="_Toc16786"/>
      <w:bookmarkStart w:id="337" w:name="_Toc30740"/>
      <w:bookmarkStart w:id="338" w:name="_Toc17021"/>
      <w:r>
        <w:rPr>
          <w:rFonts w:hint="eastAsia" w:eastAsia="宋体" w:asciiTheme="minorEastAsia" w:hAnsiTheme="minorEastAsia"/>
          <w:color w:val="auto"/>
          <w:szCs w:val="28"/>
        </w:rPr>
        <w:t>7</w:t>
      </w:r>
      <w:bookmarkEnd w:id="331"/>
      <w:bookmarkEnd w:id="332"/>
      <w:bookmarkEnd w:id="333"/>
      <w:bookmarkEnd w:id="334"/>
      <w:bookmarkEnd w:id="335"/>
      <w:bookmarkEnd w:id="336"/>
      <w:bookmarkEnd w:id="337"/>
      <w:bookmarkStart w:id="339" w:name="_Toc24043"/>
      <w:bookmarkStart w:id="340" w:name="_Toc21650"/>
      <w:bookmarkStart w:id="341" w:name="_Toc20105_WPSOffice_Level2"/>
      <w:bookmarkStart w:id="342" w:name="_Toc525111840"/>
      <w:bookmarkStart w:id="343" w:name="_Toc7722"/>
      <w:bookmarkStart w:id="344" w:name="_Toc8798"/>
      <w:bookmarkStart w:id="345" w:name="_Toc26486_WPSOffice_Level2"/>
      <w:r>
        <w:rPr>
          <w:rFonts w:hint="eastAsia" w:eastAsia="宋体" w:asciiTheme="minorEastAsia" w:hAnsiTheme="minorEastAsia"/>
          <w:color w:val="auto"/>
          <w:szCs w:val="28"/>
          <w:lang w:val="en-US" w:eastAsia="zh-CN"/>
        </w:rPr>
        <w:t>.</w:t>
      </w:r>
      <w:r>
        <w:rPr>
          <w:rFonts w:hint="eastAsia" w:eastAsia="宋体" w:asciiTheme="minorEastAsia" w:hAnsiTheme="minorEastAsia"/>
          <w:color w:val="auto"/>
          <w:szCs w:val="28"/>
        </w:rPr>
        <w:t>塔机拆除</w:t>
      </w:r>
      <w:bookmarkEnd w:id="339"/>
      <w:r>
        <w:rPr>
          <w:rFonts w:hint="eastAsia" w:eastAsia="宋体" w:asciiTheme="minorEastAsia" w:hAnsiTheme="minorEastAsia"/>
          <w:color w:val="auto"/>
          <w:szCs w:val="28"/>
          <w:lang w:val="en-US" w:eastAsia="zh-CN"/>
        </w:rPr>
        <w:t>施工方案</w:t>
      </w:r>
      <w:bookmarkEnd w:id="338"/>
    </w:p>
    <w:p w14:paraId="30DA7750">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46" w:name="_Toc10248"/>
      <w:bookmarkStart w:id="347" w:name="_Toc18390"/>
      <w:r>
        <w:rPr>
          <w:rFonts w:hint="eastAsia" w:ascii="宋体" w:hAnsi="宋体" w:eastAsia="宋体"/>
          <w:color w:val="auto"/>
          <w:lang w:val="en-US" w:eastAsia="zh-CN"/>
        </w:rPr>
        <w:t>施工前准备</w:t>
      </w:r>
      <w:bookmarkEnd w:id="346"/>
      <w:bookmarkEnd w:id="347"/>
    </w:p>
    <w:p w14:paraId="715F9CC7">
      <w:pPr>
        <w:ind w:firstLine="480"/>
        <w:rPr>
          <w:rFonts w:hint="eastAsia" w:ascii="宋体" w:hAnsi="宋体" w:eastAsia="宋体"/>
          <w:color w:val="auto"/>
        </w:rPr>
      </w:pPr>
      <w:bookmarkStart w:id="348" w:name="_Toc525111838"/>
      <w:r>
        <w:rPr>
          <w:rFonts w:hint="eastAsia" w:ascii="宋体" w:hAnsi="宋体" w:eastAsia="宋体"/>
          <w:color w:val="auto"/>
        </w:rPr>
        <w:t>（1）</w:t>
      </w:r>
      <w:r>
        <w:rPr>
          <w:rFonts w:ascii="宋体" w:hAnsi="宋体" w:eastAsia="宋体"/>
          <w:color w:val="auto"/>
        </w:rPr>
        <w:t>由塔机使用单位对施工现场的道路进行铺设与平整，并清除障碍等。</w:t>
      </w:r>
    </w:p>
    <w:p w14:paraId="057C493E">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由塔机质检人员对塔机进行检查，检查内容如下：</w:t>
      </w:r>
    </w:p>
    <w:p w14:paraId="03A11C85">
      <w:pPr>
        <w:ind w:firstLine="480"/>
        <w:rPr>
          <w:rFonts w:hint="eastAsia" w:ascii="宋体" w:hAnsi="宋体" w:eastAsia="宋体"/>
          <w:color w:val="auto"/>
        </w:rPr>
      </w:pPr>
      <w:r>
        <w:rPr>
          <w:rFonts w:hint="eastAsia" w:ascii="宋体" w:hAnsi="宋体" w:eastAsia="宋体"/>
          <w:color w:val="auto"/>
        </w:rPr>
        <w:t>1）</w:t>
      </w:r>
      <w:r>
        <w:rPr>
          <w:rFonts w:ascii="宋体" w:hAnsi="宋体" w:eastAsia="宋体"/>
          <w:color w:val="auto"/>
        </w:rPr>
        <w:t>钢结构件有无严重锈蚀变形开裂与脱焊；</w:t>
      </w:r>
    </w:p>
    <w:p w14:paraId="121500F9">
      <w:pPr>
        <w:ind w:firstLine="480"/>
        <w:rPr>
          <w:rFonts w:hint="eastAsia" w:ascii="宋体" w:hAnsi="宋体" w:eastAsia="宋体"/>
          <w:color w:val="auto"/>
        </w:rPr>
      </w:pPr>
      <w:r>
        <w:rPr>
          <w:rFonts w:hint="eastAsia" w:ascii="宋体" w:hAnsi="宋体" w:eastAsia="宋体"/>
          <w:color w:val="auto"/>
        </w:rPr>
        <w:t>2）</w:t>
      </w:r>
      <w:r>
        <w:rPr>
          <w:rFonts w:ascii="宋体" w:hAnsi="宋体" w:eastAsia="宋体"/>
          <w:color w:val="auto"/>
        </w:rPr>
        <w:t>钢丝绳是否牢固可靠，是否合乎要求，绳扎头是否可靠；</w:t>
      </w:r>
    </w:p>
    <w:p w14:paraId="58AF36B8">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各部电路及电气元件是否正常；</w:t>
      </w:r>
    </w:p>
    <w:p w14:paraId="4F2F221E">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爬升机构导向轮是否转动灵活，与塔机间隙是否合乎要求</w:t>
      </w:r>
    </w:p>
    <w:p w14:paraId="4BEDC475">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顶升液压装置是否正常；</w:t>
      </w:r>
    </w:p>
    <w:p w14:paraId="2BC97924">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对需拆卸的螺栓及销轴提前3-5天用除锈剂进行除锈处理，埋在地下部分要清除泥土；</w:t>
      </w:r>
    </w:p>
    <w:p w14:paraId="4BFC640B">
      <w:pPr>
        <w:ind w:firstLine="480"/>
        <w:rPr>
          <w:rFonts w:hint="eastAsia" w:ascii="宋体" w:hAnsi="宋体" w:eastAsia="宋体"/>
          <w:color w:val="auto"/>
        </w:rPr>
      </w:pPr>
      <w:r>
        <w:rPr>
          <w:rFonts w:hint="eastAsia" w:ascii="宋体" w:hAnsi="宋体" w:eastAsia="宋体"/>
          <w:color w:val="auto"/>
        </w:rPr>
        <w:t>7）</w:t>
      </w:r>
      <w:r>
        <w:rPr>
          <w:rFonts w:ascii="宋体" w:hAnsi="宋体" w:eastAsia="宋体"/>
          <w:color w:val="auto"/>
        </w:rPr>
        <w:t>转动塔机安装前应认真进行检修、保养，对变形件及时修复，必要时全机作油漆。</w:t>
      </w:r>
    </w:p>
    <w:p w14:paraId="1BF5E759">
      <w:pPr>
        <w:ind w:firstLine="480"/>
        <w:rPr>
          <w:rFonts w:hint="eastAsia" w:ascii="宋体" w:hAnsi="宋体" w:eastAsia="宋体"/>
          <w:color w:val="auto"/>
        </w:rPr>
      </w:pPr>
      <w:r>
        <w:rPr>
          <w:rFonts w:hint="eastAsia" w:ascii="宋体" w:hAnsi="宋体" w:eastAsia="宋体"/>
          <w:color w:val="auto"/>
        </w:rPr>
        <w:t>（3）</w:t>
      </w:r>
      <w:r>
        <w:rPr>
          <w:rFonts w:ascii="宋体" w:hAnsi="宋体" w:eastAsia="宋体"/>
          <w:color w:val="auto"/>
        </w:rPr>
        <w:t>按要求做好人员的组织工作。</w:t>
      </w:r>
    </w:p>
    <w:p w14:paraId="24BDC0FF">
      <w:pPr>
        <w:ind w:firstLine="480"/>
        <w:rPr>
          <w:rFonts w:hint="eastAsia" w:ascii="宋体" w:hAnsi="宋体" w:eastAsia="宋体"/>
          <w:color w:val="auto"/>
        </w:rPr>
      </w:pPr>
      <w:r>
        <w:rPr>
          <w:rFonts w:hint="eastAsia" w:ascii="宋体" w:hAnsi="宋体" w:eastAsia="宋体"/>
          <w:color w:val="auto"/>
        </w:rPr>
        <w:t>（4）</w:t>
      </w:r>
      <w:r>
        <w:rPr>
          <w:rFonts w:ascii="宋体" w:hAnsi="宋体" w:eastAsia="宋体"/>
          <w:color w:val="auto"/>
        </w:rPr>
        <w:t>按要求做好常用工具、索具及材料的配备。</w:t>
      </w:r>
    </w:p>
    <w:p w14:paraId="79451310">
      <w:pPr>
        <w:ind w:firstLine="480"/>
        <w:rPr>
          <w:rFonts w:hint="eastAsia" w:ascii="宋体" w:hAnsi="宋体" w:eastAsia="宋体"/>
          <w:color w:val="auto"/>
        </w:rPr>
      </w:pPr>
      <w:r>
        <w:rPr>
          <w:rFonts w:hint="eastAsia" w:ascii="宋体" w:hAnsi="宋体" w:eastAsia="宋体"/>
          <w:color w:val="auto"/>
        </w:rPr>
        <w:t>（5）</w:t>
      </w:r>
      <w:r>
        <w:rPr>
          <w:rFonts w:ascii="宋体" w:hAnsi="宋体" w:eastAsia="宋体"/>
          <w:color w:val="auto"/>
        </w:rPr>
        <w:t>由技术负责人对全体作业人员进行技术交底。</w:t>
      </w:r>
    </w:p>
    <w:p w14:paraId="3C1DB97D">
      <w:pPr>
        <w:ind w:firstLine="480"/>
        <w:rPr>
          <w:rFonts w:hint="eastAsia" w:ascii="宋体" w:hAnsi="宋体" w:eastAsia="宋体"/>
          <w:color w:val="auto"/>
        </w:rPr>
      </w:pPr>
      <w:r>
        <w:rPr>
          <w:rFonts w:hint="eastAsia" w:ascii="宋体" w:hAnsi="宋体" w:eastAsia="宋体"/>
          <w:color w:val="auto"/>
        </w:rPr>
        <w:t>（6）</w:t>
      </w:r>
      <w:r>
        <w:rPr>
          <w:rFonts w:ascii="宋体" w:hAnsi="宋体" w:eastAsia="宋体"/>
          <w:color w:val="auto"/>
        </w:rPr>
        <w:t>由安全监护人员对全体作业人员进行安全交底。</w:t>
      </w:r>
    </w:p>
    <w:p w14:paraId="2E999FE8">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49" w:name="_Toc26135"/>
      <w:bookmarkStart w:id="350" w:name="_Toc4559"/>
      <w:bookmarkStart w:id="351" w:name="_Toc13807_WPSOffice_Level2"/>
      <w:bookmarkStart w:id="352" w:name="_Toc22390"/>
      <w:bookmarkStart w:id="353" w:name="_Toc22519"/>
      <w:bookmarkStart w:id="354" w:name="_Toc182895415"/>
      <w:bookmarkStart w:id="355" w:name="_Toc25442"/>
      <w:bookmarkStart w:id="356" w:name="_Toc32045_WPSOffice_Level2"/>
      <w:r>
        <w:rPr>
          <w:rFonts w:hint="eastAsia" w:ascii="宋体" w:hAnsi="宋体" w:eastAsia="宋体"/>
          <w:color w:val="auto"/>
          <w:lang w:val="en-US" w:eastAsia="zh-CN"/>
        </w:rPr>
        <w:t>拆塔注意事项</w:t>
      </w:r>
      <w:bookmarkEnd w:id="348"/>
      <w:bookmarkEnd w:id="349"/>
      <w:bookmarkEnd w:id="350"/>
      <w:bookmarkEnd w:id="351"/>
      <w:bookmarkEnd w:id="352"/>
      <w:bookmarkEnd w:id="353"/>
      <w:bookmarkEnd w:id="354"/>
      <w:bookmarkEnd w:id="355"/>
      <w:bookmarkEnd w:id="356"/>
    </w:p>
    <w:p w14:paraId="3AF88428">
      <w:pPr>
        <w:ind w:firstLine="480"/>
        <w:rPr>
          <w:rFonts w:hint="eastAsia" w:ascii="宋体" w:hAnsi="宋体" w:eastAsia="宋体"/>
          <w:color w:val="auto"/>
        </w:rPr>
      </w:pPr>
      <w:r>
        <w:rPr>
          <w:rFonts w:hint="eastAsia" w:ascii="宋体" w:hAnsi="宋体" w:eastAsia="宋体"/>
          <w:color w:val="auto"/>
        </w:rPr>
        <w:t>（1）塔机拆塔之前，由于顶升机构长时间停止使用，应对各机构特别是对顶升机构进行保养和试运转。</w:t>
      </w:r>
    </w:p>
    <w:p w14:paraId="1A7A0BD3">
      <w:pPr>
        <w:ind w:firstLine="480"/>
        <w:rPr>
          <w:rFonts w:hint="eastAsia" w:ascii="宋体" w:hAnsi="宋体" w:eastAsia="宋体"/>
          <w:color w:val="auto"/>
        </w:rPr>
      </w:pPr>
      <w:r>
        <w:rPr>
          <w:rFonts w:hint="eastAsia" w:ascii="宋体" w:hAnsi="宋体" w:eastAsia="宋体"/>
          <w:color w:val="auto"/>
        </w:rPr>
        <w:t>（2）在试运转过程中，应该有目的对限位器回转机构的制动器等进行可靠性检查。</w:t>
      </w:r>
    </w:p>
    <w:p w14:paraId="3ACAD91B">
      <w:pPr>
        <w:ind w:firstLine="480"/>
        <w:rPr>
          <w:rFonts w:hint="eastAsia" w:ascii="宋体" w:hAnsi="宋体" w:eastAsia="宋体"/>
          <w:color w:val="auto"/>
        </w:rPr>
      </w:pPr>
      <w:r>
        <w:rPr>
          <w:rFonts w:hint="eastAsia" w:ascii="宋体" w:hAnsi="宋体" w:eastAsia="宋体"/>
          <w:color w:val="auto"/>
        </w:rPr>
        <w:t>（3）塔机标准节拆除，下支座没有用销轴与塔身连接好前，严禁使用回转机构、牵引机构和起升机构。</w:t>
      </w:r>
    </w:p>
    <w:p w14:paraId="25F667E2">
      <w:pPr>
        <w:ind w:firstLine="480"/>
        <w:rPr>
          <w:rFonts w:hint="eastAsia" w:ascii="宋体" w:hAnsi="宋体" w:eastAsia="宋体"/>
          <w:color w:val="auto"/>
        </w:rPr>
      </w:pPr>
      <w:r>
        <w:rPr>
          <w:rFonts w:hint="eastAsia" w:ascii="宋体" w:hAnsi="宋体" w:eastAsia="宋体"/>
          <w:color w:val="auto"/>
        </w:rPr>
        <w:t>（4）塔机拆卸对顶升机构来说是重载连续作业，应对顶升机构的主要受力件经常检查。</w:t>
      </w:r>
    </w:p>
    <w:p w14:paraId="4E849379">
      <w:pPr>
        <w:ind w:firstLine="480"/>
        <w:rPr>
          <w:rFonts w:hint="eastAsia" w:ascii="宋体" w:hAnsi="宋体" w:eastAsia="宋体"/>
          <w:color w:val="auto"/>
        </w:rPr>
      </w:pPr>
      <w:r>
        <w:rPr>
          <w:rFonts w:hint="eastAsia" w:ascii="宋体" w:hAnsi="宋体" w:eastAsia="宋体"/>
          <w:color w:val="auto"/>
        </w:rPr>
        <w:t>（5）顶升机构工作时，所有的操作人员应集中精力观察各相对运动件的相对位置是否正常，是否有阻碍爬升架运动的物件。</w:t>
      </w:r>
    </w:p>
    <w:p w14:paraId="3014E878">
      <w:pPr>
        <w:ind w:firstLine="480"/>
        <w:rPr>
          <w:rFonts w:hint="eastAsia" w:ascii="宋体" w:hAnsi="宋体" w:eastAsia="宋体"/>
          <w:color w:val="auto"/>
        </w:rPr>
      </w:pPr>
      <w:r>
        <w:rPr>
          <w:rFonts w:hint="eastAsia" w:ascii="宋体" w:hAnsi="宋体" w:eastAsia="宋体"/>
          <w:color w:val="auto"/>
        </w:rPr>
        <w:t>（6）拆塔时塔机最高处风速应低于</w:t>
      </w:r>
      <w:r>
        <w:rPr>
          <w:rFonts w:hint="eastAsia" w:ascii="宋体" w:hAnsi="宋体" w:eastAsia="宋体"/>
          <w:color w:val="auto"/>
          <w:lang w:val="en-US" w:eastAsia="zh-CN"/>
        </w:rPr>
        <w:t>13</w:t>
      </w:r>
      <w:r>
        <w:rPr>
          <w:rFonts w:hint="eastAsia" w:ascii="宋体" w:hAnsi="宋体" w:eastAsia="宋体"/>
          <w:color w:val="auto"/>
        </w:rPr>
        <w:t>m/s，四级风以上不可进行顶升作业，由于拆塔时，墩身已封顶，工作场地受限制，应注意工作程序和吊装堆放位置，不可马虎大意，否则容易发生人身安全事故。</w:t>
      </w:r>
    </w:p>
    <w:p w14:paraId="340CCDE9">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57" w:name="_Toc20777"/>
      <w:bookmarkStart w:id="358" w:name="_Toc28201_WPSOffice_Level2"/>
      <w:bookmarkStart w:id="359" w:name="_Toc525111839"/>
      <w:bookmarkStart w:id="360" w:name="_Toc524357829"/>
      <w:bookmarkStart w:id="361" w:name="_Toc12941"/>
      <w:bookmarkStart w:id="362" w:name="_Toc14749"/>
      <w:bookmarkStart w:id="363" w:name="_Toc8679"/>
      <w:bookmarkStart w:id="364" w:name="_Toc182895416"/>
      <w:bookmarkStart w:id="365" w:name="_Toc3834_WPSOffice_Level2"/>
      <w:bookmarkStart w:id="366" w:name="_Toc15098"/>
      <w:r>
        <w:rPr>
          <w:rFonts w:hint="eastAsia" w:ascii="宋体" w:hAnsi="宋体" w:eastAsia="宋体"/>
          <w:color w:val="auto"/>
          <w:lang w:val="en-US" w:eastAsia="zh-CN"/>
        </w:rPr>
        <w:t>塔机拆卸步骤</w:t>
      </w:r>
      <w:bookmarkEnd w:id="357"/>
      <w:bookmarkEnd w:id="358"/>
      <w:bookmarkEnd w:id="359"/>
      <w:bookmarkEnd w:id="360"/>
      <w:bookmarkEnd w:id="361"/>
      <w:bookmarkEnd w:id="362"/>
      <w:bookmarkEnd w:id="363"/>
      <w:bookmarkEnd w:id="364"/>
      <w:bookmarkEnd w:id="365"/>
      <w:bookmarkEnd w:id="366"/>
    </w:p>
    <w:p w14:paraId="321E8348">
      <w:pPr>
        <w:ind w:firstLine="480"/>
        <w:rPr>
          <w:rFonts w:hint="eastAsia" w:ascii="宋体" w:hAnsi="宋体" w:eastAsia="宋体"/>
          <w:color w:val="auto"/>
        </w:rPr>
      </w:pPr>
      <w:r>
        <w:rPr>
          <w:rFonts w:hint="eastAsia" w:ascii="宋体" w:hAnsi="宋体" w:eastAsia="宋体"/>
          <w:color w:val="auto"/>
        </w:rPr>
        <w:t>将塔机旋转至拆卸区域，保证该区域无影响拆卸作业的任何障碍。按下述顺序，进行塔机拆卸。其步骤与立塔组装的步骤相反。</w:t>
      </w:r>
    </w:p>
    <w:p w14:paraId="2981417E">
      <w:pPr>
        <w:ind w:firstLine="480"/>
        <w:rPr>
          <w:rFonts w:hint="eastAsia" w:ascii="宋体" w:hAnsi="宋体" w:eastAsia="宋体"/>
          <w:color w:val="auto"/>
        </w:rPr>
      </w:pPr>
      <w:r>
        <w:rPr>
          <w:rFonts w:hint="eastAsia"/>
          <w:color w:val="auto"/>
          <w:lang w:eastAsia="zh-CN"/>
        </w:rPr>
        <w:t>XGT6</w:t>
      </w:r>
      <w:r>
        <w:rPr>
          <w:rFonts w:hint="eastAsia"/>
          <w:color w:val="auto"/>
          <w:lang w:val="en-US" w:eastAsia="zh-CN"/>
        </w:rPr>
        <w:t>0</w:t>
      </w:r>
      <w:r>
        <w:rPr>
          <w:rFonts w:hint="eastAsia"/>
          <w:color w:val="auto"/>
          <w:lang w:eastAsia="zh-CN"/>
        </w:rPr>
        <w:t>15-</w:t>
      </w:r>
      <w:r>
        <w:rPr>
          <w:rFonts w:hint="eastAsia"/>
          <w:color w:val="auto"/>
          <w:lang w:val="en-US" w:eastAsia="zh-CN"/>
        </w:rPr>
        <w:t>8</w:t>
      </w:r>
      <w:r>
        <w:rPr>
          <w:rFonts w:hint="eastAsia"/>
          <w:color w:val="auto"/>
          <w:lang w:eastAsia="zh-CN"/>
        </w:rPr>
        <w:t>S</w:t>
      </w:r>
      <w:r>
        <w:rPr>
          <w:rFonts w:hint="eastAsia"/>
          <w:color w:val="auto"/>
          <w:lang w:val="en-US" w:eastAsia="zh-CN"/>
        </w:rPr>
        <w:t>塔机</w:t>
      </w:r>
      <w:r>
        <w:rPr>
          <w:rFonts w:hint="eastAsia" w:ascii="宋体" w:hAnsi="宋体" w:eastAsia="宋体"/>
          <w:color w:val="auto"/>
        </w:rPr>
        <w:t>拆塔具体程序如下：</w:t>
      </w:r>
    </w:p>
    <w:p w14:paraId="3606239E">
      <w:pPr>
        <w:numPr>
          <w:ilvl w:val="0"/>
          <w:numId w:val="14"/>
        </w:numPr>
        <w:ind w:firstLine="480"/>
        <w:rPr>
          <w:rFonts w:hint="eastAsia"/>
          <w:color w:val="auto"/>
        </w:rPr>
      </w:pPr>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7679055E">
      <w:pPr>
        <w:numPr>
          <w:ilvl w:val="0"/>
          <w:numId w:val="14"/>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667AAB11">
      <w:pPr>
        <w:numPr>
          <w:ilvl w:val="0"/>
          <w:numId w:val="14"/>
        </w:numPr>
        <w:ind w:firstLine="480"/>
        <w:rPr>
          <w:rFonts w:hint="eastAsia"/>
          <w:color w:val="auto"/>
        </w:rPr>
      </w:pPr>
      <w:r>
        <w:rPr>
          <w:rFonts w:hint="eastAsia"/>
          <w:color w:val="auto"/>
          <w:lang w:val="en-US" w:eastAsia="zh-CN"/>
        </w:rPr>
        <w:t>拆卸电气系统；</w:t>
      </w:r>
    </w:p>
    <w:p w14:paraId="3F168B61">
      <w:pPr>
        <w:numPr>
          <w:ilvl w:val="0"/>
          <w:numId w:val="14"/>
        </w:numPr>
        <w:ind w:firstLine="480"/>
        <w:rPr>
          <w:rFonts w:hint="eastAsia"/>
          <w:color w:val="auto"/>
        </w:rPr>
      </w:pPr>
      <w:r>
        <w:rPr>
          <w:rFonts w:hint="eastAsia"/>
          <w:color w:val="auto"/>
        </w:rPr>
        <w:t>拆卸平衡重，保留</w:t>
      </w:r>
      <w:r>
        <w:rPr>
          <w:rFonts w:hint="eastAsia"/>
          <w:color w:val="auto"/>
          <w:lang w:val="en-US" w:eastAsia="zh-CN"/>
        </w:rPr>
        <w:t>两</w:t>
      </w:r>
      <w:r>
        <w:rPr>
          <w:rFonts w:hint="eastAsia"/>
          <w:color w:val="auto"/>
        </w:rPr>
        <w:t>块</w:t>
      </w:r>
      <w:r>
        <w:rPr>
          <w:rFonts w:hint="eastAsia"/>
          <w:color w:val="auto"/>
          <w:lang w:val="en-US" w:eastAsia="zh-CN"/>
        </w:rPr>
        <w:t>3.2</w:t>
      </w:r>
      <w:r>
        <w:rPr>
          <w:color w:val="auto"/>
        </w:rPr>
        <w:t xml:space="preserve">t </w:t>
      </w:r>
      <w:r>
        <w:rPr>
          <w:rFonts w:hint="eastAsia"/>
          <w:color w:val="auto"/>
        </w:rPr>
        <w:t>的平衡重</w:t>
      </w:r>
      <w:r>
        <w:rPr>
          <w:rFonts w:hint="eastAsia"/>
          <w:color w:val="auto"/>
          <w:lang w:eastAsia="zh-CN"/>
        </w:rPr>
        <w:t>；</w:t>
      </w:r>
    </w:p>
    <w:p w14:paraId="559A1E63">
      <w:pPr>
        <w:numPr>
          <w:ilvl w:val="0"/>
          <w:numId w:val="14"/>
        </w:numPr>
        <w:ind w:firstLine="480"/>
        <w:rPr>
          <w:rFonts w:hint="eastAsia"/>
          <w:color w:val="auto"/>
        </w:rPr>
      </w:pPr>
      <w:r>
        <w:rPr>
          <w:rFonts w:hint="eastAsia"/>
          <w:color w:val="auto"/>
          <w:lang w:val="en-US" w:eastAsia="zh-CN"/>
        </w:rPr>
        <w:t>拆卸起重臂，保留臂根节；</w:t>
      </w:r>
    </w:p>
    <w:p w14:paraId="108F5CEA">
      <w:pPr>
        <w:numPr>
          <w:ilvl w:val="0"/>
          <w:numId w:val="14"/>
        </w:numPr>
        <w:ind w:firstLine="480"/>
        <w:rPr>
          <w:rFonts w:hint="eastAsia"/>
          <w:color w:val="auto"/>
        </w:rPr>
      </w:pPr>
      <w:r>
        <w:rPr>
          <w:rFonts w:hint="eastAsia"/>
          <w:color w:val="auto"/>
        </w:rPr>
        <w:t>拆卸</w:t>
      </w:r>
      <w:r>
        <w:rPr>
          <w:rFonts w:hint="eastAsia"/>
          <w:color w:val="auto"/>
          <w:lang w:val="en-US" w:eastAsia="zh-CN"/>
        </w:rPr>
        <w:t>剩余两</w:t>
      </w:r>
      <w:r>
        <w:rPr>
          <w:rFonts w:hint="eastAsia"/>
          <w:color w:val="auto"/>
        </w:rPr>
        <w:t>块平衡重；</w:t>
      </w:r>
    </w:p>
    <w:p w14:paraId="50B047ED">
      <w:pPr>
        <w:numPr>
          <w:ilvl w:val="0"/>
          <w:numId w:val="14"/>
        </w:numPr>
        <w:ind w:firstLine="480"/>
        <w:rPr>
          <w:rFonts w:hint="eastAsia"/>
          <w:color w:val="auto"/>
        </w:rPr>
      </w:pPr>
      <w:r>
        <w:rPr>
          <w:rFonts w:hint="eastAsia"/>
          <w:color w:val="auto"/>
          <w:lang w:val="en-US" w:eastAsia="zh-CN"/>
        </w:rPr>
        <w:t>拆卸平衡臂；</w:t>
      </w:r>
    </w:p>
    <w:p w14:paraId="1A026403">
      <w:pPr>
        <w:numPr>
          <w:ilvl w:val="0"/>
          <w:numId w:val="14"/>
        </w:numPr>
        <w:ind w:firstLine="480"/>
        <w:rPr>
          <w:rFonts w:hint="eastAsia"/>
          <w:color w:val="auto"/>
        </w:rPr>
      </w:pPr>
      <w:r>
        <w:rPr>
          <w:rFonts w:hint="eastAsia"/>
          <w:color w:val="auto"/>
          <w:lang w:val="en-US" w:eastAsia="zh-CN"/>
        </w:rPr>
        <w:t>拆卸起重臂臂根节；</w:t>
      </w:r>
    </w:p>
    <w:p w14:paraId="0FC4AD74">
      <w:pPr>
        <w:numPr>
          <w:ilvl w:val="0"/>
          <w:numId w:val="14"/>
        </w:numPr>
        <w:ind w:firstLine="480"/>
        <w:rPr>
          <w:rFonts w:hint="eastAsia"/>
          <w:color w:val="auto"/>
        </w:rPr>
      </w:pPr>
      <w:r>
        <w:rPr>
          <w:rFonts w:hint="eastAsia"/>
          <w:color w:val="auto"/>
          <w:lang w:val="en-US" w:eastAsia="zh-CN"/>
        </w:rPr>
        <w:t>拆卸回转总成；</w:t>
      </w:r>
    </w:p>
    <w:p w14:paraId="6385BEA7">
      <w:pPr>
        <w:numPr>
          <w:ilvl w:val="0"/>
          <w:numId w:val="14"/>
        </w:numPr>
        <w:ind w:firstLine="480"/>
        <w:rPr>
          <w:rFonts w:hint="eastAsia"/>
          <w:color w:val="auto"/>
        </w:rPr>
      </w:pPr>
      <w:r>
        <w:rPr>
          <w:rFonts w:hint="eastAsia"/>
          <w:color w:val="auto"/>
          <w:lang w:val="en-US" w:eastAsia="zh-CN"/>
        </w:rPr>
        <w:t>拆卸特殊节；</w:t>
      </w:r>
    </w:p>
    <w:p w14:paraId="0A0CB2E7">
      <w:pPr>
        <w:numPr>
          <w:ilvl w:val="0"/>
          <w:numId w:val="14"/>
        </w:numPr>
        <w:ind w:firstLine="480"/>
        <w:rPr>
          <w:rFonts w:hint="eastAsia"/>
          <w:color w:val="auto"/>
        </w:rPr>
      </w:pPr>
      <w:r>
        <w:rPr>
          <w:rFonts w:hint="eastAsia"/>
          <w:color w:val="auto"/>
        </w:rPr>
        <w:t>拆卸爬升架；</w:t>
      </w:r>
    </w:p>
    <w:p w14:paraId="1B5351C8">
      <w:pPr>
        <w:numPr>
          <w:ilvl w:val="0"/>
          <w:numId w:val="14"/>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7A758DF6">
      <w:pPr>
        <w:ind w:firstLine="480"/>
        <w:rPr>
          <w:rFonts w:hint="eastAsia" w:ascii="宋体" w:hAnsi="宋体" w:eastAsia="宋体"/>
          <w:color w:val="auto"/>
        </w:rPr>
      </w:pPr>
      <w:r>
        <w:rPr>
          <w:rFonts w:hint="eastAsia"/>
          <w:color w:val="auto"/>
          <w:lang w:eastAsia="zh-CN"/>
        </w:rPr>
        <w:t>XGT6515</w:t>
      </w:r>
      <w:r>
        <w:rPr>
          <w:rFonts w:hint="eastAsia"/>
          <w:color w:val="auto"/>
          <w:lang w:val="en-US" w:eastAsia="zh-CN"/>
        </w:rPr>
        <w:t>D</w:t>
      </w:r>
      <w:r>
        <w:rPr>
          <w:rFonts w:hint="eastAsia"/>
          <w:color w:val="auto"/>
          <w:lang w:eastAsia="zh-CN"/>
        </w:rPr>
        <w:t>-10S</w:t>
      </w:r>
      <w:r>
        <w:rPr>
          <w:rFonts w:hint="eastAsia"/>
          <w:color w:val="auto"/>
          <w:lang w:val="en-US" w:eastAsia="zh-CN"/>
        </w:rPr>
        <w:t>/</w:t>
      </w:r>
      <w:r>
        <w:rPr>
          <w:rFonts w:hint="eastAsia"/>
          <w:color w:val="auto"/>
          <w:lang w:eastAsia="zh-CN"/>
        </w:rPr>
        <w:t>XGT6515-10S</w:t>
      </w:r>
      <w:r>
        <w:rPr>
          <w:rFonts w:hint="eastAsia"/>
          <w:color w:val="auto"/>
          <w:lang w:val="en-US" w:eastAsia="zh-CN"/>
        </w:rPr>
        <w:t>塔机</w:t>
      </w:r>
      <w:r>
        <w:rPr>
          <w:rFonts w:hint="eastAsia" w:ascii="宋体" w:hAnsi="宋体" w:eastAsia="宋体"/>
          <w:color w:val="auto"/>
        </w:rPr>
        <w:t>拆塔具体程序如下：</w:t>
      </w:r>
    </w:p>
    <w:p w14:paraId="1BB6F209">
      <w:pPr>
        <w:numPr>
          <w:ilvl w:val="0"/>
          <w:numId w:val="14"/>
        </w:numPr>
        <w:ind w:firstLine="480"/>
        <w:rPr>
          <w:rFonts w:hint="eastAsia"/>
          <w:color w:val="auto"/>
        </w:rPr>
      </w:pPr>
      <w:r>
        <w:rPr>
          <w:rFonts w:hint="eastAsia"/>
          <w:color w:val="auto"/>
          <w:lang w:val="en-US" w:eastAsia="zh-CN"/>
        </w:rPr>
        <w:t>降塔身</w:t>
      </w:r>
      <w:r>
        <w:rPr>
          <w:rFonts w:hint="eastAsia"/>
          <w:color w:val="auto"/>
        </w:rPr>
        <w:t>标准节</w:t>
      </w:r>
      <w:r>
        <w:rPr>
          <w:rFonts w:hint="eastAsia"/>
          <w:color w:val="auto"/>
          <w:lang w:eastAsia="zh-CN"/>
        </w:rPr>
        <w:t>，如有附着装置，相应地也拆卸</w:t>
      </w:r>
      <w:r>
        <w:rPr>
          <w:rFonts w:hint="eastAsia"/>
          <w:color w:val="auto"/>
        </w:rPr>
        <w:t>；</w:t>
      </w:r>
    </w:p>
    <w:p w14:paraId="511F020E">
      <w:pPr>
        <w:numPr>
          <w:ilvl w:val="0"/>
          <w:numId w:val="14"/>
        </w:numPr>
        <w:ind w:firstLine="480"/>
        <w:rPr>
          <w:rFonts w:hint="eastAsia"/>
          <w:color w:val="auto"/>
        </w:rPr>
      </w:pPr>
      <w:r>
        <w:rPr>
          <w:rFonts w:hint="eastAsia"/>
          <w:color w:val="auto"/>
          <w:lang w:val="en-US" w:eastAsia="zh-CN"/>
        </w:rPr>
        <w:t>拆卸电气系统；</w:t>
      </w:r>
    </w:p>
    <w:p w14:paraId="61A3FD8D">
      <w:pPr>
        <w:numPr>
          <w:ilvl w:val="0"/>
          <w:numId w:val="14"/>
        </w:numPr>
        <w:ind w:firstLine="480"/>
        <w:rPr>
          <w:rFonts w:hint="eastAsia"/>
          <w:color w:val="auto"/>
        </w:rPr>
      </w:pPr>
      <w:r>
        <w:rPr>
          <w:rFonts w:hint="eastAsia"/>
          <w:color w:val="auto"/>
        </w:rPr>
        <w:t>拆卸</w:t>
      </w:r>
      <w:r>
        <w:rPr>
          <w:rFonts w:hint="eastAsia"/>
          <w:color w:val="auto"/>
          <w:lang w:val="en-US" w:eastAsia="zh-CN"/>
        </w:rPr>
        <w:t>吊钩和</w:t>
      </w:r>
      <w:r>
        <w:rPr>
          <w:rFonts w:hint="eastAsia"/>
          <w:color w:val="auto"/>
        </w:rPr>
        <w:t>钢丝绳</w:t>
      </w:r>
      <w:r>
        <w:rPr>
          <w:rFonts w:hint="eastAsia"/>
          <w:color w:val="auto"/>
          <w:lang w:eastAsia="zh-CN"/>
        </w:rPr>
        <w:t>；</w:t>
      </w:r>
    </w:p>
    <w:p w14:paraId="1CEB3F55">
      <w:pPr>
        <w:numPr>
          <w:ilvl w:val="0"/>
          <w:numId w:val="14"/>
        </w:numPr>
        <w:ind w:firstLine="480"/>
        <w:rPr>
          <w:rFonts w:hint="eastAsia"/>
          <w:color w:val="auto"/>
        </w:rPr>
      </w:pPr>
      <w:r>
        <w:rPr>
          <w:rFonts w:hint="eastAsia"/>
          <w:color w:val="auto"/>
        </w:rPr>
        <w:t>拆卸平衡重，保留一块</w:t>
      </w:r>
      <w:r>
        <w:rPr>
          <w:rFonts w:hint="eastAsia"/>
          <w:color w:val="auto"/>
          <w:lang w:val="en-US" w:eastAsia="zh-CN"/>
        </w:rPr>
        <w:t>3.2</w:t>
      </w:r>
      <w:r>
        <w:rPr>
          <w:color w:val="auto"/>
        </w:rPr>
        <w:t xml:space="preserve">t </w:t>
      </w:r>
      <w:r>
        <w:rPr>
          <w:rFonts w:hint="eastAsia"/>
          <w:color w:val="auto"/>
        </w:rPr>
        <w:t>的平衡重</w:t>
      </w:r>
      <w:r>
        <w:rPr>
          <w:rFonts w:hint="eastAsia"/>
          <w:color w:val="auto"/>
          <w:lang w:eastAsia="zh-CN"/>
        </w:rPr>
        <w:t>；</w:t>
      </w:r>
    </w:p>
    <w:p w14:paraId="38D7FAFF">
      <w:pPr>
        <w:numPr>
          <w:ilvl w:val="0"/>
          <w:numId w:val="14"/>
        </w:numPr>
        <w:ind w:firstLine="480"/>
        <w:rPr>
          <w:rFonts w:hint="eastAsia"/>
          <w:color w:val="auto"/>
        </w:rPr>
      </w:pPr>
      <w:r>
        <w:rPr>
          <w:rFonts w:hint="eastAsia"/>
          <w:color w:val="auto"/>
          <w:lang w:val="en-US" w:eastAsia="zh-CN"/>
        </w:rPr>
        <w:t>拆卸起重臂，保留臂根节；</w:t>
      </w:r>
    </w:p>
    <w:p w14:paraId="44B50543">
      <w:pPr>
        <w:numPr>
          <w:ilvl w:val="0"/>
          <w:numId w:val="14"/>
        </w:numPr>
        <w:ind w:firstLine="480"/>
        <w:rPr>
          <w:rFonts w:hint="eastAsia"/>
          <w:color w:val="auto"/>
        </w:rPr>
      </w:pPr>
      <w:r>
        <w:rPr>
          <w:rFonts w:hint="eastAsia"/>
          <w:color w:val="auto"/>
        </w:rPr>
        <w:t>拆卸最后一块平衡重；</w:t>
      </w:r>
    </w:p>
    <w:p w14:paraId="7A2231BD">
      <w:pPr>
        <w:numPr>
          <w:ilvl w:val="0"/>
          <w:numId w:val="14"/>
        </w:numPr>
        <w:ind w:firstLine="480"/>
        <w:rPr>
          <w:rFonts w:hint="eastAsia"/>
          <w:color w:val="auto"/>
        </w:rPr>
      </w:pPr>
      <w:r>
        <w:rPr>
          <w:rFonts w:hint="eastAsia"/>
          <w:color w:val="auto"/>
          <w:lang w:val="en-US" w:eastAsia="zh-CN"/>
        </w:rPr>
        <w:t>拆卸平衡臂；</w:t>
      </w:r>
    </w:p>
    <w:p w14:paraId="36004425">
      <w:pPr>
        <w:numPr>
          <w:ilvl w:val="0"/>
          <w:numId w:val="14"/>
        </w:numPr>
        <w:ind w:firstLine="480"/>
        <w:rPr>
          <w:rFonts w:hint="eastAsia"/>
          <w:color w:val="auto"/>
        </w:rPr>
      </w:pPr>
      <w:r>
        <w:rPr>
          <w:rFonts w:hint="eastAsia"/>
          <w:color w:val="auto"/>
          <w:lang w:val="en-US" w:eastAsia="zh-CN"/>
        </w:rPr>
        <w:t>拆卸起重臂臂根节；</w:t>
      </w:r>
    </w:p>
    <w:p w14:paraId="4CBC4CDF">
      <w:pPr>
        <w:numPr>
          <w:ilvl w:val="0"/>
          <w:numId w:val="14"/>
        </w:numPr>
        <w:ind w:firstLine="480"/>
        <w:rPr>
          <w:rFonts w:hint="eastAsia"/>
          <w:color w:val="auto"/>
        </w:rPr>
      </w:pPr>
      <w:r>
        <w:rPr>
          <w:rFonts w:hint="eastAsia"/>
          <w:color w:val="auto"/>
          <w:lang w:val="en-US" w:eastAsia="zh-CN"/>
        </w:rPr>
        <w:t>拆卸回转总成；</w:t>
      </w:r>
    </w:p>
    <w:p w14:paraId="10ED9CB1">
      <w:pPr>
        <w:numPr>
          <w:ilvl w:val="0"/>
          <w:numId w:val="14"/>
        </w:numPr>
        <w:ind w:firstLine="480"/>
        <w:rPr>
          <w:rFonts w:hint="eastAsia"/>
          <w:color w:val="auto"/>
        </w:rPr>
      </w:pPr>
      <w:r>
        <w:rPr>
          <w:rFonts w:hint="eastAsia"/>
          <w:color w:val="auto"/>
          <w:lang w:val="en-US" w:eastAsia="zh-CN"/>
        </w:rPr>
        <w:t>拆卸特殊节；</w:t>
      </w:r>
    </w:p>
    <w:p w14:paraId="7288E29A">
      <w:pPr>
        <w:numPr>
          <w:ilvl w:val="0"/>
          <w:numId w:val="14"/>
        </w:numPr>
        <w:ind w:firstLine="480"/>
        <w:rPr>
          <w:rFonts w:hint="eastAsia"/>
          <w:color w:val="auto"/>
        </w:rPr>
      </w:pPr>
      <w:r>
        <w:rPr>
          <w:rFonts w:hint="eastAsia"/>
          <w:color w:val="auto"/>
        </w:rPr>
        <w:t>拆卸爬升架；</w:t>
      </w:r>
    </w:p>
    <w:p w14:paraId="5EB7B9EB">
      <w:pPr>
        <w:numPr>
          <w:ilvl w:val="0"/>
          <w:numId w:val="14"/>
        </w:numPr>
        <w:ind w:firstLine="480"/>
        <w:rPr>
          <w:rFonts w:hint="eastAsia"/>
          <w:color w:val="auto"/>
        </w:rPr>
      </w:pPr>
      <w:r>
        <w:rPr>
          <w:rFonts w:hint="eastAsia"/>
          <w:color w:val="auto"/>
        </w:rPr>
        <w:t>剩余标准节和</w:t>
      </w:r>
      <w:r>
        <w:rPr>
          <w:rFonts w:hint="eastAsia"/>
          <w:color w:val="auto"/>
          <w:lang w:val="en-US" w:eastAsia="zh-CN"/>
        </w:rPr>
        <w:t>基础</w:t>
      </w:r>
      <w:r>
        <w:rPr>
          <w:rFonts w:hint="eastAsia"/>
          <w:color w:val="auto"/>
        </w:rPr>
        <w:t>节</w:t>
      </w:r>
    </w:p>
    <w:p w14:paraId="74CB20AA">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67" w:name="_Toc15620"/>
      <w:bookmarkStart w:id="368" w:name="_Toc21605"/>
      <w:r>
        <w:rPr>
          <w:rFonts w:hint="eastAsia" w:ascii="宋体" w:hAnsi="宋体" w:eastAsia="宋体"/>
          <w:color w:val="auto"/>
          <w:lang w:val="en-US" w:eastAsia="zh-CN"/>
        </w:rPr>
        <w:t>XGT6015A-8S拆除工序</w:t>
      </w:r>
      <w:bookmarkEnd w:id="367"/>
      <w:bookmarkEnd w:id="368"/>
    </w:p>
    <w:p w14:paraId="52B6A900">
      <w:pPr>
        <w:pStyle w:val="4"/>
        <w:numPr>
          <w:ilvl w:val="2"/>
          <w:numId w:val="15"/>
        </w:numPr>
        <w:ind w:left="709" w:leftChars="0" w:hanging="709" w:firstLineChars="0"/>
        <w:rPr>
          <w:rFonts w:hint="eastAsia"/>
          <w:color w:val="auto"/>
        </w:rPr>
      </w:pPr>
      <w:bookmarkStart w:id="369" w:name="_Toc19843"/>
      <w:bookmarkStart w:id="370" w:name="_Toc13972"/>
      <w:r>
        <w:rPr>
          <w:rFonts w:hint="eastAsia"/>
          <w:color w:val="auto"/>
        </w:rPr>
        <w:t>降标准节</w:t>
      </w:r>
      <w:bookmarkEnd w:id="369"/>
      <w:bookmarkEnd w:id="370"/>
    </w:p>
    <w:p w14:paraId="2E6FCBA4">
      <w:pPr>
        <w:numPr>
          <w:ilvl w:val="0"/>
          <w:numId w:val="16"/>
        </w:numPr>
        <w:ind w:left="0" w:leftChars="0" w:firstLine="400" w:firstLineChars="0"/>
        <w:rPr>
          <w:rFonts w:hint="eastAsia" w:ascii="宋体" w:hAnsi="宋体" w:eastAsia="宋体" w:cs="宋体"/>
          <w:lang w:val="en-US" w:eastAsia="zh-CN"/>
        </w:rPr>
      </w:pPr>
      <w:bookmarkStart w:id="371" w:name="_Toc7049"/>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451A79AF">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6FA15BF7">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71EC9DF6">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25117603">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434624EB">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12467C90">
      <w:pPr>
        <w:numPr>
          <w:ilvl w:val="0"/>
          <w:numId w:val="16"/>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071EF332">
      <w:pPr>
        <w:ind w:left="0" w:leftChars="0" w:firstLine="0" w:firstLineChars="0"/>
        <w:jc w:val="center"/>
      </w:pPr>
      <w:r>
        <w:drawing>
          <wp:inline distT="0" distB="0" distL="114300" distR="114300">
            <wp:extent cx="3956050" cy="4090035"/>
            <wp:effectExtent l="0" t="0" r="6350" b="9525"/>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131"/>
                    <a:stretch>
                      <a:fillRect/>
                    </a:stretch>
                  </pic:blipFill>
                  <pic:spPr>
                    <a:xfrm>
                      <a:off x="0" y="0"/>
                      <a:ext cx="3956050" cy="4090035"/>
                    </a:xfrm>
                    <a:prstGeom prst="rect">
                      <a:avLst/>
                    </a:prstGeom>
                    <a:noFill/>
                    <a:ln>
                      <a:noFill/>
                    </a:ln>
                  </pic:spPr>
                </pic:pic>
              </a:graphicData>
            </a:graphic>
          </wp:inline>
        </w:drawing>
      </w:r>
    </w:p>
    <w:p w14:paraId="55E88255">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ascii="宋体" w:hAnsi="宋体" w:eastAsia="宋体"/>
        </w:rPr>
        <w:t>7.4.1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bookmarkEnd w:id="371"/>
    <w:p w14:paraId="344DFB9D">
      <w:pPr>
        <w:pStyle w:val="4"/>
        <w:numPr>
          <w:ilvl w:val="2"/>
          <w:numId w:val="15"/>
        </w:numPr>
        <w:ind w:left="709" w:leftChars="0" w:hanging="709" w:firstLineChars="0"/>
        <w:rPr>
          <w:rFonts w:hint="eastAsia"/>
          <w:color w:val="auto"/>
        </w:rPr>
      </w:pPr>
      <w:bookmarkStart w:id="372" w:name="_Toc21750"/>
      <w:bookmarkStart w:id="373" w:name="_Toc15469"/>
      <w:r>
        <w:rPr>
          <w:rFonts w:hint="eastAsia" w:cs="宋体"/>
          <w:color w:val="auto"/>
          <w:kern w:val="0"/>
          <w:szCs w:val="24"/>
        </w:rPr>
        <w:t>拆卸吊钩和</w:t>
      </w:r>
      <w:r>
        <w:rPr>
          <w:rFonts w:hint="eastAsia" w:cs="宋体"/>
          <w:color w:val="auto"/>
          <w:kern w:val="0"/>
          <w:szCs w:val="24"/>
          <w:lang w:val="en-US" w:eastAsia="zh-CN"/>
        </w:rPr>
        <w:t>钢丝绳</w:t>
      </w:r>
      <w:bookmarkEnd w:id="372"/>
      <w:bookmarkEnd w:id="373"/>
    </w:p>
    <w:p w14:paraId="2DADA8F0">
      <w:pPr>
        <w:autoSpaceDE w:val="0"/>
        <w:autoSpaceDN w:val="0"/>
        <w:adjustRightInd w:val="0"/>
        <w:ind w:firstLine="480"/>
        <w:jc w:val="left"/>
        <w:rPr>
          <w:rFonts w:hint="eastAsia" w:cs="宋体"/>
          <w:color w:val="auto"/>
          <w:kern w:val="0"/>
          <w:szCs w:val="24"/>
        </w:rPr>
      </w:pPr>
      <w:r>
        <w:rPr>
          <w:rFonts w:hint="eastAsia" w:cs="宋体"/>
          <w:color w:val="auto"/>
          <w:kern w:val="0"/>
          <w:szCs w:val="24"/>
        </w:rPr>
        <w:t>放下吊钩至地面，拆除起重钢丝绳与起重臂前端上的防扭装置的连接，开动起升机构，回收全部钢丝绳。</w:t>
      </w:r>
    </w:p>
    <w:p w14:paraId="1396C7B0">
      <w:pPr>
        <w:pStyle w:val="4"/>
        <w:numPr>
          <w:ilvl w:val="2"/>
          <w:numId w:val="15"/>
        </w:numPr>
        <w:ind w:left="709" w:leftChars="0" w:hanging="709" w:firstLineChars="0"/>
        <w:rPr>
          <w:rFonts w:hint="eastAsia"/>
          <w:color w:val="auto"/>
          <w:szCs w:val="24"/>
        </w:rPr>
      </w:pPr>
      <w:bookmarkStart w:id="374" w:name="_Toc5675"/>
      <w:bookmarkStart w:id="375" w:name="_Toc5490"/>
      <w:r>
        <w:rPr>
          <w:rFonts w:hint="eastAsia" w:cs="宋体"/>
          <w:color w:val="auto"/>
          <w:kern w:val="0"/>
          <w:szCs w:val="24"/>
        </w:rPr>
        <w:t>拆卸电控系统接线</w:t>
      </w:r>
      <w:bookmarkEnd w:id="374"/>
      <w:bookmarkEnd w:id="375"/>
    </w:p>
    <w:p w14:paraId="6D456CF3">
      <w:pPr>
        <w:autoSpaceDE w:val="0"/>
        <w:autoSpaceDN w:val="0"/>
        <w:adjustRightInd w:val="0"/>
        <w:ind w:firstLine="480"/>
        <w:jc w:val="left"/>
        <w:rPr>
          <w:rFonts w:hint="eastAsia" w:cs="宋体"/>
          <w:color w:val="auto"/>
          <w:kern w:val="0"/>
          <w:szCs w:val="24"/>
        </w:rPr>
      </w:pPr>
      <w:r>
        <w:rPr>
          <w:rFonts w:hint="eastAsia" w:cs="宋体"/>
          <w:color w:val="auto"/>
          <w:kern w:val="0"/>
          <w:szCs w:val="24"/>
        </w:rPr>
        <w:t>将影响塔机部件吊装的电控系统线路断开，并向一端缠绕收拢。</w:t>
      </w:r>
    </w:p>
    <w:p w14:paraId="0F9C7D78">
      <w:pPr>
        <w:pStyle w:val="4"/>
        <w:numPr>
          <w:ilvl w:val="2"/>
          <w:numId w:val="15"/>
        </w:numPr>
        <w:ind w:left="709" w:leftChars="0" w:hanging="709" w:firstLineChars="0"/>
        <w:rPr>
          <w:rFonts w:hint="eastAsia"/>
          <w:color w:val="auto"/>
          <w:szCs w:val="24"/>
        </w:rPr>
      </w:pPr>
      <w:bookmarkStart w:id="376" w:name="_Toc31761"/>
      <w:bookmarkStart w:id="377" w:name="_Toc17444"/>
      <w:r>
        <w:rPr>
          <w:rFonts w:hint="eastAsia" w:cs="宋体"/>
          <w:color w:val="auto"/>
          <w:kern w:val="0"/>
          <w:szCs w:val="24"/>
        </w:rPr>
        <w:t>拆卸部分平衡重</w:t>
      </w:r>
      <w:bookmarkEnd w:id="376"/>
      <w:bookmarkEnd w:id="377"/>
    </w:p>
    <w:p w14:paraId="7736C1AF">
      <w:pPr>
        <w:autoSpaceDE w:val="0"/>
        <w:autoSpaceDN w:val="0"/>
        <w:adjustRightInd w:val="0"/>
        <w:ind w:firstLine="480"/>
        <w:jc w:val="left"/>
        <w:rPr>
          <w:rFonts w:hint="eastAsia" w:cs="宋体"/>
          <w:color w:val="auto"/>
          <w:kern w:val="0"/>
          <w:szCs w:val="24"/>
        </w:rPr>
      </w:pPr>
      <w:r>
        <w:rPr>
          <w:rFonts w:hint="eastAsia" w:cs="宋体"/>
          <w:color w:val="auto"/>
          <w:kern w:val="0"/>
          <w:szCs w:val="24"/>
        </w:rPr>
        <w:t>按照安装平衡重的相反顺序，将各块平衡重依次卸下，仅保留</w:t>
      </w:r>
      <w:r>
        <w:rPr>
          <w:rFonts w:hint="eastAsia" w:cs="宋体"/>
          <w:color w:val="auto"/>
          <w:kern w:val="0"/>
          <w:szCs w:val="24"/>
          <w:lang w:val="en-US" w:eastAsia="zh-CN"/>
        </w:rPr>
        <w:t>2</w:t>
      </w:r>
      <w:r>
        <w:rPr>
          <w:rFonts w:hint="eastAsia" w:cs="宋体"/>
          <w:color w:val="auto"/>
          <w:kern w:val="0"/>
          <w:szCs w:val="24"/>
        </w:rPr>
        <w:t>块</w:t>
      </w:r>
      <w:r>
        <w:rPr>
          <w:rFonts w:hint="eastAsia" w:cs="宋体"/>
          <w:color w:val="auto"/>
          <w:kern w:val="0"/>
          <w:szCs w:val="24"/>
          <w:lang w:val="en-US" w:eastAsia="zh-CN"/>
        </w:rPr>
        <w:t>3.2</w:t>
      </w:r>
      <w:r>
        <w:rPr>
          <w:rFonts w:cs="宋体"/>
          <w:color w:val="auto"/>
          <w:kern w:val="0"/>
          <w:szCs w:val="24"/>
        </w:rPr>
        <w:t>t</w:t>
      </w:r>
      <w:r>
        <w:rPr>
          <w:rFonts w:hint="eastAsia" w:cs="宋体"/>
          <w:color w:val="auto"/>
          <w:kern w:val="0"/>
          <w:szCs w:val="24"/>
        </w:rPr>
        <w:t>平衡重。</w:t>
      </w:r>
    </w:p>
    <w:p w14:paraId="5E1FA6CB">
      <w:pPr>
        <w:pStyle w:val="4"/>
        <w:numPr>
          <w:ilvl w:val="2"/>
          <w:numId w:val="15"/>
        </w:numPr>
        <w:ind w:left="709" w:leftChars="0" w:hanging="709" w:firstLineChars="0"/>
        <w:rPr>
          <w:rFonts w:hint="eastAsia"/>
          <w:color w:val="auto"/>
        </w:rPr>
      </w:pPr>
      <w:bookmarkStart w:id="378" w:name="_Toc32064"/>
      <w:bookmarkStart w:id="379" w:name="_Toc24188"/>
      <w:r>
        <w:rPr>
          <w:rFonts w:hint="eastAsia" w:cs="宋体"/>
          <w:color w:val="auto"/>
          <w:kern w:val="0"/>
          <w:szCs w:val="24"/>
        </w:rPr>
        <w:t>拆卸起重臂总成</w:t>
      </w:r>
      <w:bookmarkEnd w:id="378"/>
      <w:bookmarkEnd w:id="379"/>
    </w:p>
    <w:p w14:paraId="6985A989">
      <w:pPr>
        <w:autoSpaceDE w:val="0"/>
        <w:autoSpaceDN w:val="0"/>
        <w:adjustRightInd w:val="0"/>
        <w:ind w:firstLine="480"/>
        <w:jc w:val="left"/>
        <w:rPr>
          <w:rFonts w:hint="eastAsia" w:cs="宋体"/>
          <w:color w:val="auto"/>
          <w:kern w:val="0"/>
          <w:szCs w:val="24"/>
        </w:rPr>
      </w:pPr>
      <w:r>
        <w:rPr>
          <w:rFonts w:hint="eastAsia" w:cs="宋体"/>
          <w:color w:val="auto"/>
          <w:kern w:val="0"/>
          <w:szCs w:val="24"/>
        </w:rPr>
        <w:t>（1）将小车固定在起重臂根部。</w:t>
      </w:r>
    </w:p>
    <w:p w14:paraId="1614333B">
      <w:pPr>
        <w:autoSpaceDE w:val="0"/>
        <w:autoSpaceDN w:val="0"/>
        <w:adjustRightInd w:val="0"/>
        <w:ind w:firstLine="480"/>
        <w:jc w:val="left"/>
        <w:rPr>
          <w:rFonts w:hint="eastAsia" w:cs="宋体"/>
          <w:color w:val="auto"/>
          <w:kern w:val="0"/>
          <w:szCs w:val="24"/>
        </w:rPr>
      </w:pPr>
      <w:r>
        <w:rPr>
          <w:rFonts w:hint="eastAsia" w:cs="宋体"/>
          <w:color w:val="auto"/>
          <w:kern w:val="0"/>
          <w:szCs w:val="24"/>
        </w:rPr>
        <w:t>（2）参照图示和表中所示的吊装点布置吊绳（参考安装时起重臂上做有记号的重心位置），吊住起重臂。</w:t>
      </w:r>
    </w:p>
    <w:p w14:paraId="03E9D2C0">
      <w:pPr>
        <w:pStyle w:val="20"/>
        <w:ind w:firstLine="0" w:firstLineChars="0"/>
        <w:jc w:val="center"/>
        <w:rPr>
          <w:rFonts w:hint="eastAsia"/>
          <w:color w:val="auto"/>
          <w:sz w:val="24"/>
          <w:szCs w:val="24"/>
        </w:rPr>
      </w:pPr>
      <w:r>
        <w:drawing>
          <wp:inline distT="0" distB="0" distL="114300" distR="114300">
            <wp:extent cx="5485130" cy="1514475"/>
            <wp:effectExtent l="0" t="0" r="1270" b="9525"/>
            <wp:docPr id="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4"/>
                    <pic:cNvPicPr>
                      <a:picLocks noChangeAspect="1"/>
                    </pic:cNvPicPr>
                  </pic:nvPicPr>
                  <pic:blipFill>
                    <a:blip r:embed="rId67"/>
                    <a:stretch>
                      <a:fillRect/>
                    </a:stretch>
                  </pic:blipFill>
                  <pic:spPr>
                    <a:xfrm>
                      <a:off x="0" y="0"/>
                      <a:ext cx="5485130" cy="1514475"/>
                    </a:xfrm>
                    <a:prstGeom prst="rect">
                      <a:avLst/>
                    </a:prstGeom>
                    <a:noFill/>
                    <a:ln>
                      <a:noFill/>
                    </a:ln>
                  </pic:spPr>
                </pic:pic>
              </a:graphicData>
            </a:graphic>
          </wp:inline>
        </w:drawing>
      </w:r>
      <w:r>
        <w:drawing>
          <wp:inline distT="0" distB="0" distL="114300" distR="114300">
            <wp:extent cx="5334000" cy="1114425"/>
            <wp:effectExtent l="0" t="0" r="0" b="13335"/>
            <wp:docPr id="9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5"/>
                    <pic:cNvPicPr>
                      <a:picLocks noChangeAspect="1"/>
                    </pic:cNvPicPr>
                  </pic:nvPicPr>
                  <pic:blipFill>
                    <a:blip r:embed="rId68"/>
                    <a:stretch>
                      <a:fillRect/>
                    </a:stretch>
                  </pic:blipFill>
                  <pic:spPr>
                    <a:xfrm>
                      <a:off x="0" y="0"/>
                      <a:ext cx="5334000" cy="1114425"/>
                    </a:xfrm>
                    <a:prstGeom prst="rect">
                      <a:avLst/>
                    </a:prstGeom>
                    <a:noFill/>
                    <a:ln>
                      <a:noFill/>
                    </a:ln>
                  </pic:spPr>
                </pic:pic>
              </a:graphicData>
            </a:graphic>
          </wp:inline>
        </w:drawing>
      </w:r>
    </w:p>
    <w:p w14:paraId="07E94FB6">
      <w:pPr>
        <w:autoSpaceDE w:val="0"/>
        <w:autoSpaceDN w:val="0"/>
        <w:adjustRightInd w:val="0"/>
        <w:ind w:firstLine="480"/>
        <w:jc w:val="left"/>
        <w:rPr>
          <w:rFonts w:hint="eastAsia" w:cs="宋体"/>
          <w:color w:val="auto"/>
          <w:kern w:val="0"/>
          <w:szCs w:val="24"/>
        </w:rPr>
      </w:pPr>
      <w:r>
        <w:rPr>
          <w:rFonts w:hint="eastAsia" w:cs="宋体"/>
          <w:color w:val="auto"/>
          <w:kern w:val="0"/>
          <w:szCs w:val="24"/>
        </w:rPr>
        <w:t>（3）拆去</w:t>
      </w:r>
      <w:r>
        <w:rPr>
          <w:rFonts w:hint="eastAsia" w:cs="宋体"/>
          <w:color w:val="auto"/>
          <w:kern w:val="0"/>
          <w:szCs w:val="24"/>
          <w:lang w:val="en-US" w:eastAsia="zh-CN"/>
        </w:rPr>
        <w:t>起重臂</w:t>
      </w:r>
      <w:r>
        <w:rPr>
          <w:rFonts w:hint="eastAsia" w:cs="宋体"/>
          <w:color w:val="auto"/>
          <w:kern w:val="0"/>
          <w:szCs w:val="24"/>
        </w:rPr>
        <w:t>与臂根节下弦连接的螺栓及上弦的销轴。</w:t>
      </w:r>
    </w:p>
    <w:p w14:paraId="5B2B711A">
      <w:pPr>
        <w:autoSpaceDE w:val="0"/>
        <w:autoSpaceDN w:val="0"/>
        <w:adjustRightInd w:val="0"/>
        <w:ind w:firstLine="480"/>
        <w:jc w:val="left"/>
        <w:rPr>
          <w:rFonts w:hint="eastAsia" w:cs="宋体"/>
          <w:color w:val="auto"/>
          <w:kern w:val="0"/>
          <w:szCs w:val="24"/>
        </w:rPr>
      </w:pPr>
      <w:r>
        <w:rPr>
          <w:rFonts w:hint="eastAsia" w:cs="宋体"/>
          <w:color w:val="auto"/>
          <w:kern w:val="0"/>
          <w:szCs w:val="24"/>
        </w:rPr>
        <w:t>（4）放下起重臂，并将其放置在预先准备好的支架上</w:t>
      </w:r>
      <w:r>
        <w:rPr>
          <w:rFonts w:hint="eastAsia" w:cs="宋体"/>
          <w:color w:val="auto"/>
          <w:kern w:val="0"/>
          <w:szCs w:val="24"/>
          <w:lang w:eastAsia="zh-CN"/>
        </w:rPr>
        <w:t>，</w:t>
      </w:r>
      <w:r>
        <w:rPr>
          <w:rFonts w:hint="eastAsia" w:cs="宋体"/>
          <w:color w:val="auto"/>
          <w:kern w:val="0"/>
          <w:szCs w:val="24"/>
          <w:lang w:val="en-US" w:eastAsia="zh-CN"/>
        </w:rPr>
        <w:t>拆除变幅钢丝绳后将起重臂分节拆散</w:t>
      </w:r>
      <w:r>
        <w:rPr>
          <w:rFonts w:hint="eastAsia" w:cs="宋体"/>
          <w:color w:val="auto"/>
          <w:kern w:val="0"/>
          <w:szCs w:val="24"/>
        </w:rPr>
        <w:t>。</w:t>
      </w:r>
    </w:p>
    <w:p w14:paraId="70F3550B">
      <w:pPr>
        <w:pStyle w:val="4"/>
        <w:numPr>
          <w:ilvl w:val="2"/>
          <w:numId w:val="15"/>
        </w:numPr>
        <w:ind w:left="709" w:leftChars="0" w:hanging="709" w:firstLineChars="0"/>
        <w:rPr>
          <w:rFonts w:hint="eastAsia"/>
          <w:color w:val="auto"/>
        </w:rPr>
      </w:pPr>
      <w:bookmarkStart w:id="380" w:name="_Toc24861"/>
      <w:bookmarkStart w:id="381" w:name="_Toc4802"/>
      <w:r>
        <w:rPr>
          <w:rFonts w:hint="eastAsia" w:cs="宋体"/>
          <w:color w:val="auto"/>
          <w:kern w:val="0"/>
          <w:szCs w:val="24"/>
        </w:rPr>
        <w:t>拆卸剩余的</w:t>
      </w:r>
      <w:r>
        <w:rPr>
          <w:rFonts w:hint="eastAsia" w:cs="宋体"/>
          <w:color w:val="auto"/>
          <w:kern w:val="0"/>
          <w:szCs w:val="24"/>
          <w:lang w:val="en-US" w:eastAsia="zh-CN"/>
        </w:rPr>
        <w:t>两</w:t>
      </w:r>
      <w:r>
        <w:rPr>
          <w:rFonts w:hint="eastAsia" w:cs="宋体"/>
          <w:color w:val="auto"/>
          <w:kern w:val="0"/>
          <w:szCs w:val="24"/>
        </w:rPr>
        <w:t>块平衡重</w:t>
      </w:r>
      <w:bookmarkEnd w:id="380"/>
      <w:bookmarkEnd w:id="381"/>
    </w:p>
    <w:p w14:paraId="73703B25">
      <w:pPr>
        <w:autoSpaceDE w:val="0"/>
        <w:autoSpaceDN w:val="0"/>
        <w:adjustRightInd w:val="0"/>
        <w:ind w:firstLine="480"/>
        <w:rPr>
          <w:rFonts w:hint="eastAsia" w:cs="宋体"/>
          <w:color w:val="auto"/>
          <w:kern w:val="0"/>
        </w:rPr>
      </w:pPr>
      <w:r>
        <w:rPr>
          <w:rFonts w:hint="eastAsia" w:cs="宋体"/>
          <w:color w:val="auto"/>
          <w:kern w:val="0"/>
          <w:szCs w:val="24"/>
        </w:rPr>
        <w:t>拆卸</w:t>
      </w:r>
      <w:r>
        <w:rPr>
          <w:rFonts w:hint="eastAsia" w:cs="宋体"/>
          <w:color w:val="auto"/>
          <w:kern w:val="0"/>
          <w:szCs w:val="24"/>
          <w:lang w:val="en-US" w:eastAsia="zh-CN"/>
        </w:rPr>
        <w:t>剩余</w:t>
      </w:r>
      <w:r>
        <w:rPr>
          <w:rFonts w:hint="eastAsia" w:cs="宋体"/>
          <w:color w:val="auto"/>
          <w:kern w:val="0"/>
          <w:szCs w:val="24"/>
        </w:rPr>
        <w:t>平衡重，将其吊起放置在地面适当位置。</w:t>
      </w:r>
    </w:p>
    <w:p w14:paraId="46D6C980">
      <w:pPr>
        <w:pStyle w:val="4"/>
        <w:numPr>
          <w:ilvl w:val="2"/>
          <w:numId w:val="15"/>
        </w:numPr>
        <w:ind w:left="709" w:leftChars="0" w:hanging="709" w:firstLineChars="0"/>
        <w:rPr>
          <w:rFonts w:hint="eastAsia"/>
          <w:color w:val="auto"/>
        </w:rPr>
      </w:pPr>
      <w:bookmarkStart w:id="382" w:name="_Toc24627"/>
      <w:bookmarkStart w:id="383" w:name="_Toc12801"/>
      <w:bookmarkStart w:id="384" w:name="_Toc21866"/>
      <w:r>
        <w:rPr>
          <w:rFonts w:hint="eastAsia"/>
          <w:color w:val="auto"/>
        </w:rPr>
        <w:t>拆除</w:t>
      </w:r>
      <w:bookmarkEnd w:id="382"/>
      <w:r>
        <w:rPr>
          <w:rFonts w:hint="eastAsia"/>
          <w:color w:val="auto"/>
        </w:rPr>
        <w:t>平衡臂</w:t>
      </w:r>
      <w:bookmarkEnd w:id="383"/>
      <w:bookmarkEnd w:id="384"/>
    </w:p>
    <w:p w14:paraId="28CB669A">
      <w:pPr>
        <w:autoSpaceDE w:val="0"/>
        <w:autoSpaceDN w:val="0"/>
        <w:adjustRightInd w:val="0"/>
        <w:ind w:firstLine="480"/>
        <w:rPr>
          <w:rFonts w:hint="eastAsia" w:cs="宋体"/>
          <w:color w:val="auto"/>
          <w:kern w:val="0"/>
          <w:szCs w:val="24"/>
        </w:rPr>
      </w:pPr>
      <w:r>
        <w:rPr>
          <w:rFonts w:hint="eastAsia" w:cs="宋体"/>
          <w:color w:val="auto"/>
          <w:kern w:val="0"/>
          <w:szCs w:val="24"/>
        </w:rPr>
        <w:t>（1）吊住平衡臂，将平衡臂拉杆的撑架立起并用销轴固定好。</w:t>
      </w:r>
    </w:p>
    <w:p w14:paraId="1A1D9B2F">
      <w:pPr>
        <w:autoSpaceDE w:val="0"/>
        <w:autoSpaceDN w:val="0"/>
        <w:adjustRightInd w:val="0"/>
        <w:ind w:firstLine="480"/>
        <w:rPr>
          <w:rFonts w:hint="eastAsia" w:cs="宋体"/>
          <w:color w:val="auto"/>
          <w:kern w:val="0"/>
          <w:szCs w:val="24"/>
        </w:rPr>
      </w:pPr>
      <w:r>
        <w:rPr>
          <w:rFonts w:hint="eastAsia" w:cs="宋体"/>
          <w:color w:val="auto"/>
          <w:kern w:val="0"/>
          <w:szCs w:val="24"/>
        </w:rPr>
        <w:t>（2）以平衡臂上弦杆和</w:t>
      </w:r>
      <w:r>
        <w:rPr>
          <w:rFonts w:hint="eastAsia" w:cs="宋体"/>
          <w:color w:val="auto"/>
          <w:kern w:val="0"/>
          <w:szCs w:val="24"/>
          <w:lang w:val="en-US" w:eastAsia="zh-CN"/>
        </w:rPr>
        <w:t>臂根节</w:t>
      </w:r>
      <w:r>
        <w:rPr>
          <w:rFonts w:hint="eastAsia" w:cs="宋体"/>
          <w:color w:val="auto"/>
          <w:kern w:val="0"/>
          <w:szCs w:val="24"/>
        </w:rPr>
        <w:t>的固定销为支点，缓慢吊起平衡臂绕支点转动，使拉杆处于放松状态，使长拉杆落在撑架上，拆除长拉杆与短拉杆之间的连接销轴。</w:t>
      </w:r>
    </w:p>
    <w:p w14:paraId="656AF0BE">
      <w:pPr>
        <w:autoSpaceDE w:val="0"/>
        <w:autoSpaceDN w:val="0"/>
        <w:adjustRightInd w:val="0"/>
        <w:ind w:firstLine="480"/>
        <w:rPr>
          <w:rFonts w:hint="eastAsia" w:cs="宋体"/>
          <w:color w:val="auto"/>
          <w:kern w:val="0"/>
          <w:szCs w:val="24"/>
        </w:rPr>
      </w:pPr>
      <w:r>
        <w:rPr>
          <w:rFonts w:hint="eastAsia" w:cs="宋体"/>
          <w:color w:val="auto"/>
          <w:kern w:val="0"/>
          <w:szCs w:val="24"/>
        </w:rPr>
        <w:t>（3）吊起平衡臂，将其放置在地面适当位置。</w:t>
      </w:r>
    </w:p>
    <w:p w14:paraId="00F49A59">
      <w:pPr>
        <w:pStyle w:val="4"/>
        <w:numPr>
          <w:ilvl w:val="2"/>
          <w:numId w:val="15"/>
        </w:numPr>
        <w:ind w:left="709" w:leftChars="0" w:hanging="709" w:firstLineChars="0"/>
        <w:rPr>
          <w:rFonts w:hint="eastAsia" w:ascii="宋体" w:hAnsi="宋体" w:eastAsia="宋体" w:cstheme="minorBidi"/>
          <w:b/>
          <w:bCs/>
          <w:color w:val="auto"/>
          <w:kern w:val="2"/>
          <w:sz w:val="24"/>
          <w:szCs w:val="32"/>
          <w:lang w:val="en-US" w:eastAsia="zh-CN" w:bidi="ar-SA"/>
        </w:rPr>
      </w:pPr>
      <w:bookmarkStart w:id="385" w:name="_Toc29729"/>
      <w:bookmarkStart w:id="386" w:name="_Toc28771"/>
      <w:bookmarkStart w:id="387" w:name="_Toc26662"/>
      <w:r>
        <w:rPr>
          <w:rFonts w:hint="eastAsia" w:cstheme="minorBidi"/>
          <w:b/>
          <w:bCs/>
          <w:color w:val="auto"/>
          <w:kern w:val="2"/>
          <w:sz w:val="24"/>
          <w:szCs w:val="32"/>
          <w:lang w:val="en-US" w:eastAsia="zh-CN" w:bidi="ar-SA"/>
        </w:rPr>
        <w:t>拆除臂根节</w:t>
      </w:r>
      <w:bookmarkEnd w:id="385"/>
      <w:bookmarkEnd w:id="386"/>
    </w:p>
    <w:p w14:paraId="350B4E2A">
      <w:pPr>
        <w:rPr>
          <w:rFonts w:hint="eastAsia"/>
          <w:lang w:val="en-US" w:eastAsia="zh-CN"/>
        </w:rPr>
      </w:pPr>
      <w:r>
        <w:rPr>
          <w:rFonts w:hint="eastAsia"/>
          <w:lang w:val="en-US" w:eastAsia="zh-CN"/>
        </w:rPr>
        <w:t>吊装平衡臂臂根节和起重臂臂根节钢丝绳刚处于紧绷状态时候，拆去平衡臂臂根节与上支座连接的销轴，缓慢吊起臂根节放置放有垫子或是木质的分割板上。</w:t>
      </w:r>
    </w:p>
    <w:bookmarkEnd w:id="387"/>
    <w:p w14:paraId="66001836">
      <w:pPr>
        <w:pStyle w:val="4"/>
        <w:numPr>
          <w:ilvl w:val="2"/>
          <w:numId w:val="15"/>
        </w:numPr>
        <w:ind w:left="709" w:leftChars="0" w:hanging="709" w:firstLineChars="0"/>
        <w:rPr>
          <w:rFonts w:hint="eastAsia"/>
          <w:color w:val="auto"/>
        </w:rPr>
      </w:pPr>
      <w:bookmarkStart w:id="388" w:name="_Toc20631"/>
      <w:bookmarkStart w:id="389" w:name="_Toc12940"/>
      <w:r>
        <w:rPr>
          <w:rFonts w:hint="eastAsia" w:cs="宋体"/>
          <w:color w:val="auto"/>
          <w:kern w:val="0"/>
          <w:szCs w:val="24"/>
        </w:rPr>
        <w:t>拆卸回转总成</w:t>
      </w:r>
      <w:bookmarkEnd w:id="388"/>
      <w:bookmarkEnd w:id="389"/>
    </w:p>
    <w:p w14:paraId="7C39E9E8">
      <w:pPr>
        <w:autoSpaceDE w:val="0"/>
        <w:autoSpaceDN w:val="0"/>
        <w:adjustRightInd w:val="0"/>
        <w:ind w:firstLine="480"/>
        <w:rPr>
          <w:rFonts w:hint="eastAsia" w:cs="宋体"/>
          <w:color w:val="auto"/>
          <w:kern w:val="0"/>
          <w:szCs w:val="24"/>
        </w:rPr>
      </w:pPr>
      <w:r>
        <w:rPr>
          <w:rFonts w:hint="eastAsia" w:cs="宋体"/>
          <w:color w:val="auto"/>
          <w:kern w:val="0"/>
          <w:szCs w:val="24"/>
        </w:rPr>
        <w:t>吊住回转总成，拆卸下支座与</w:t>
      </w:r>
      <w:r>
        <w:rPr>
          <w:rFonts w:hint="eastAsia" w:cs="宋体"/>
          <w:color w:val="auto"/>
          <w:kern w:val="0"/>
          <w:szCs w:val="24"/>
          <w:lang w:eastAsia="zh-CN"/>
        </w:rPr>
        <w:t>特殊节</w:t>
      </w:r>
      <w:r>
        <w:rPr>
          <w:rFonts w:hint="eastAsia" w:cs="宋体"/>
          <w:color w:val="auto"/>
          <w:kern w:val="0"/>
          <w:szCs w:val="24"/>
        </w:rPr>
        <w:t>的连接销轴，吊起回转总成放至地面适当位置。</w:t>
      </w:r>
    </w:p>
    <w:p w14:paraId="10078194">
      <w:pPr>
        <w:pStyle w:val="4"/>
        <w:numPr>
          <w:ilvl w:val="2"/>
          <w:numId w:val="15"/>
        </w:numPr>
        <w:ind w:left="709" w:leftChars="0" w:hanging="709" w:firstLineChars="0"/>
        <w:rPr>
          <w:rFonts w:hint="eastAsia" w:eastAsia="宋体"/>
          <w:color w:val="auto"/>
          <w:lang w:eastAsia="zh-CN"/>
        </w:rPr>
      </w:pPr>
      <w:bookmarkStart w:id="390" w:name="_Toc2913"/>
      <w:bookmarkStart w:id="391" w:name="_Toc712"/>
      <w:r>
        <w:rPr>
          <w:rFonts w:hint="eastAsia"/>
          <w:color w:val="auto"/>
        </w:rPr>
        <w:t>拆卸</w:t>
      </w:r>
      <w:r>
        <w:rPr>
          <w:rFonts w:hint="eastAsia"/>
          <w:color w:val="auto"/>
          <w:lang w:eastAsia="zh-CN"/>
        </w:rPr>
        <w:t>特殊节</w:t>
      </w:r>
      <w:bookmarkEnd w:id="390"/>
      <w:bookmarkEnd w:id="391"/>
    </w:p>
    <w:p w14:paraId="2CDB4E9D">
      <w:pPr>
        <w:autoSpaceDE w:val="0"/>
        <w:autoSpaceDN w:val="0"/>
        <w:adjustRightInd w:val="0"/>
        <w:ind w:firstLine="480"/>
        <w:rPr>
          <w:rFonts w:hint="eastAsia" w:cs="宋体"/>
          <w:color w:val="auto"/>
          <w:kern w:val="0"/>
          <w:szCs w:val="24"/>
        </w:rPr>
      </w:pPr>
      <w:r>
        <w:rPr>
          <w:rFonts w:hint="eastAsia" w:cs="宋体"/>
          <w:color w:val="auto"/>
          <w:kern w:val="0"/>
          <w:szCs w:val="24"/>
        </w:rPr>
        <w:t>（1）通过伸缩油缸，将爬升架顶升挂板落在塔身节上；</w:t>
      </w:r>
    </w:p>
    <w:p w14:paraId="7093B510">
      <w:pPr>
        <w:autoSpaceDE w:val="0"/>
        <w:autoSpaceDN w:val="0"/>
        <w:adjustRightInd w:val="0"/>
        <w:ind w:firstLine="480"/>
        <w:rPr>
          <w:rFonts w:hint="eastAsia" w:cs="宋体"/>
          <w:color w:val="auto"/>
          <w:kern w:val="0"/>
          <w:szCs w:val="24"/>
        </w:rPr>
      </w:pPr>
      <w:r>
        <w:rPr>
          <w:rFonts w:hint="eastAsia" w:cs="宋体"/>
          <w:color w:val="auto"/>
          <w:kern w:val="0"/>
          <w:szCs w:val="24"/>
        </w:rPr>
        <w:t>（2）吊住</w:t>
      </w:r>
      <w:r>
        <w:rPr>
          <w:rFonts w:hint="eastAsia" w:cs="宋体"/>
          <w:color w:val="auto"/>
          <w:kern w:val="0"/>
          <w:szCs w:val="24"/>
          <w:lang w:eastAsia="zh-CN"/>
        </w:rPr>
        <w:t>特殊节</w:t>
      </w:r>
      <w:r>
        <w:rPr>
          <w:rFonts w:hint="eastAsia" w:cs="宋体"/>
          <w:color w:val="auto"/>
          <w:kern w:val="0"/>
          <w:szCs w:val="24"/>
        </w:rPr>
        <w:t>，拆除</w:t>
      </w:r>
      <w:r>
        <w:rPr>
          <w:rFonts w:hint="eastAsia" w:cs="宋体"/>
          <w:color w:val="auto"/>
          <w:kern w:val="0"/>
          <w:szCs w:val="24"/>
          <w:lang w:eastAsia="zh-CN"/>
        </w:rPr>
        <w:t>特殊节</w:t>
      </w:r>
      <w:r>
        <w:rPr>
          <w:rFonts w:hint="eastAsia" w:cs="宋体"/>
          <w:color w:val="auto"/>
          <w:kern w:val="0"/>
          <w:szCs w:val="24"/>
        </w:rPr>
        <w:t>与爬升架和标准节的连接螺栓。</w:t>
      </w:r>
    </w:p>
    <w:p w14:paraId="2811FD3B">
      <w:pPr>
        <w:autoSpaceDE w:val="0"/>
        <w:autoSpaceDN w:val="0"/>
        <w:adjustRightInd w:val="0"/>
        <w:ind w:firstLine="480"/>
        <w:rPr>
          <w:rFonts w:hint="eastAsia" w:cs="宋体"/>
          <w:color w:val="auto"/>
          <w:kern w:val="0"/>
          <w:szCs w:val="24"/>
        </w:rPr>
      </w:pPr>
      <w:r>
        <w:rPr>
          <w:rFonts w:hint="eastAsia" w:cs="宋体"/>
          <w:color w:val="auto"/>
          <w:kern w:val="0"/>
          <w:szCs w:val="24"/>
        </w:rPr>
        <w:t>（3）吊起</w:t>
      </w:r>
      <w:r>
        <w:rPr>
          <w:rFonts w:hint="eastAsia" w:cs="宋体"/>
          <w:color w:val="auto"/>
          <w:kern w:val="0"/>
          <w:szCs w:val="24"/>
          <w:lang w:eastAsia="zh-CN"/>
        </w:rPr>
        <w:t>特殊节</w:t>
      </w:r>
      <w:r>
        <w:rPr>
          <w:rFonts w:hint="eastAsia" w:cs="宋体"/>
          <w:color w:val="auto"/>
          <w:kern w:val="0"/>
          <w:szCs w:val="24"/>
        </w:rPr>
        <w:t>放至地面适当位置。</w:t>
      </w:r>
    </w:p>
    <w:p w14:paraId="0553E128">
      <w:pPr>
        <w:pStyle w:val="4"/>
        <w:numPr>
          <w:ilvl w:val="2"/>
          <w:numId w:val="15"/>
        </w:numPr>
        <w:ind w:left="709" w:leftChars="0" w:hanging="709" w:firstLineChars="0"/>
        <w:rPr>
          <w:rFonts w:hint="eastAsia"/>
          <w:color w:val="auto"/>
        </w:rPr>
      </w:pPr>
      <w:bookmarkStart w:id="392" w:name="_Toc109"/>
      <w:bookmarkStart w:id="393" w:name="_Toc7713"/>
      <w:r>
        <w:rPr>
          <w:rFonts w:hint="eastAsia"/>
          <w:color w:val="auto"/>
        </w:rPr>
        <w:t>拆卸爬升架和标准节</w:t>
      </w:r>
      <w:bookmarkEnd w:id="392"/>
      <w:bookmarkEnd w:id="393"/>
    </w:p>
    <w:p w14:paraId="1DF2A56C">
      <w:pPr>
        <w:autoSpaceDE w:val="0"/>
        <w:autoSpaceDN w:val="0"/>
        <w:adjustRightInd w:val="0"/>
        <w:ind w:firstLine="480"/>
        <w:rPr>
          <w:rFonts w:hint="eastAsia" w:cs="宋体"/>
          <w:color w:val="auto"/>
          <w:kern w:val="0"/>
          <w:szCs w:val="24"/>
        </w:rPr>
      </w:pPr>
      <w:r>
        <w:rPr>
          <w:rFonts w:hint="eastAsia" w:cs="宋体"/>
          <w:color w:val="auto"/>
          <w:kern w:val="0"/>
          <w:szCs w:val="24"/>
        </w:rPr>
        <w:t>（1）吊起爬升架，缓缓地沿标准节主弦杆吊出，放至地面。</w:t>
      </w:r>
    </w:p>
    <w:p w14:paraId="0B5556A9">
      <w:pPr>
        <w:bidi w:val="0"/>
        <w:rPr>
          <w:rFonts w:hint="eastAsia"/>
        </w:rPr>
      </w:pPr>
      <w:r>
        <w:rPr>
          <w:rFonts w:hint="eastAsia" w:cs="宋体"/>
          <w:color w:val="auto"/>
          <w:kern w:val="0"/>
          <w:szCs w:val="24"/>
        </w:rPr>
        <w:t>（2）依次拆除剩余的</w:t>
      </w:r>
      <w:r>
        <w:rPr>
          <w:rFonts w:hint="eastAsia" w:cs="宋体"/>
          <w:color w:val="auto"/>
          <w:kern w:val="0"/>
          <w:szCs w:val="24"/>
          <w:lang w:val="en-US" w:eastAsia="zh-CN"/>
        </w:rPr>
        <w:t>标准节</w:t>
      </w:r>
      <w:r>
        <w:rPr>
          <w:rFonts w:hint="eastAsia" w:cs="宋体"/>
          <w:color w:val="auto"/>
          <w:kern w:val="0"/>
          <w:szCs w:val="24"/>
        </w:rPr>
        <w:t>节和</w:t>
      </w:r>
      <w:r>
        <w:rPr>
          <w:rFonts w:hint="eastAsia" w:cs="宋体"/>
          <w:color w:val="auto"/>
          <w:kern w:val="0"/>
          <w:szCs w:val="24"/>
          <w:lang w:val="en-US" w:eastAsia="zh-CN"/>
        </w:rPr>
        <w:t>基础节</w:t>
      </w:r>
      <w:r>
        <w:rPr>
          <w:rFonts w:hint="eastAsia" w:cs="宋体"/>
          <w:color w:val="auto"/>
          <w:kern w:val="0"/>
          <w:szCs w:val="24"/>
        </w:rPr>
        <w:t>。</w:t>
      </w:r>
    </w:p>
    <w:p w14:paraId="4D855291">
      <w:pPr>
        <w:pStyle w:val="3"/>
        <w:numPr>
          <w:ilvl w:val="1"/>
          <w:numId w:val="13"/>
        </w:numPr>
        <w:spacing w:before="120"/>
        <w:ind w:left="1047" w:leftChars="0" w:hanging="567" w:firstLineChars="0"/>
        <w:outlineLvl w:val="1"/>
        <w:rPr>
          <w:rFonts w:hint="eastAsia" w:ascii="宋体" w:hAnsi="宋体" w:eastAsia="宋体"/>
          <w:color w:val="auto"/>
          <w:lang w:val="en-US" w:eastAsia="zh-CN"/>
        </w:rPr>
      </w:pPr>
      <w:bookmarkStart w:id="394" w:name="_Toc30558"/>
      <w:bookmarkStart w:id="395" w:name="_Toc27924"/>
      <w:r>
        <w:rPr>
          <w:rFonts w:hint="eastAsia" w:ascii="宋体" w:hAnsi="宋体" w:eastAsia="宋体"/>
          <w:color w:val="auto"/>
          <w:lang w:val="en-US" w:eastAsia="zh-CN"/>
        </w:rPr>
        <w:t>XGT6515D-10S/XGT6515-10S拆除工序</w:t>
      </w:r>
      <w:bookmarkEnd w:id="394"/>
      <w:bookmarkEnd w:id="395"/>
    </w:p>
    <w:p w14:paraId="72A58DD6">
      <w:pPr>
        <w:pStyle w:val="4"/>
        <w:numPr>
          <w:ilvl w:val="2"/>
          <w:numId w:val="0"/>
        </w:numPr>
        <w:ind w:left="709" w:leftChars="0" w:hanging="709" w:firstLineChars="0"/>
        <w:rPr>
          <w:rFonts w:hint="default" w:ascii="宋体" w:hAnsi="宋体" w:eastAsia="宋体" w:cstheme="minorBidi"/>
          <w:b/>
          <w:bCs/>
          <w:color w:val="auto"/>
          <w:kern w:val="2"/>
          <w:sz w:val="24"/>
          <w:szCs w:val="32"/>
          <w:lang w:val="en-US" w:eastAsia="zh-CN" w:bidi="ar-SA"/>
        </w:rPr>
      </w:pPr>
      <w:bookmarkStart w:id="396" w:name="_Toc15227"/>
      <w:bookmarkStart w:id="397" w:name="_Toc586"/>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w:t>
      </w:r>
      <w:r>
        <w:rPr>
          <w:rFonts w:hint="eastAsia" w:ascii="宋体" w:hAnsi="宋体" w:eastAsia="宋体" w:cstheme="minorBidi"/>
          <w:b/>
          <w:bCs/>
          <w:color w:val="auto"/>
          <w:kern w:val="2"/>
          <w:sz w:val="24"/>
          <w:szCs w:val="32"/>
          <w:lang w:val="en-US" w:eastAsia="zh-CN" w:bidi="ar-SA"/>
        </w:rPr>
        <w:t>降塔</w:t>
      </w:r>
      <w:bookmarkEnd w:id="396"/>
      <w:bookmarkEnd w:id="397"/>
    </w:p>
    <w:p w14:paraId="7725559C">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585F3A4D">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螺栓，伸长顶升油缸，将顶升横梁顶在从上往下数第三个踏步的圆弧槽内，插好防脱销，稍稍向上顶升，将引进轮按规定方向放至到标准节下方，并保证安全可靠:然后拆掉最上面的塔身标准节与下一节标准节的连接螺栓;</w:t>
      </w:r>
    </w:p>
    <w:p w14:paraId="4881B737">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4509B174">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p>
    <w:p w14:paraId="42588D34">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391AED05">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将特殊节与塔身标准节之间用高强螺栓紧固牢，用小车吊钩将标准节吊至地面:</w:t>
      </w:r>
    </w:p>
    <w:p w14:paraId="580E9AE6">
      <w:pPr>
        <w:numPr>
          <w:ilvl w:val="0"/>
          <w:numId w:val="17"/>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重复上述动作，将塔身标准节依次拆下。</w:t>
      </w:r>
    </w:p>
    <w:p w14:paraId="36048830">
      <w:pPr>
        <w:ind w:left="0" w:leftChars="0" w:firstLine="0" w:firstLineChars="0"/>
        <w:jc w:val="center"/>
      </w:pPr>
      <w:r>
        <w:drawing>
          <wp:inline distT="0" distB="0" distL="114300" distR="114300">
            <wp:extent cx="2541905" cy="3310890"/>
            <wp:effectExtent l="0" t="0" r="3175" b="11430"/>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32"/>
                    <a:srcRect l="1497"/>
                    <a:stretch>
                      <a:fillRect/>
                    </a:stretch>
                  </pic:blipFill>
                  <pic:spPr>
                    <a:xfrm>
                      <a:off x="0" y="0"/>
                      <a:ext cx="2541905" cy="3310890"/>
                    </a:xfrm>
                    <a:prstGeom prst="rect">
                      <a:avLst/>
                    </a:prstGeom>
                    <a:noFill/>
                    <a:ln>
                      <a:noFill/>
                    </a:ln>
                  </pic:spPr>
                </pic:pic>
              </a:graphicData>
            </a:graphic>
          </wp:inline>
        </w:drawing>
      </w:r>
    </w:p>
    <w:p w14:paraId="6A135342">
      <w:pPr>
        <w:ind w:firstLine="480"/>
        <w:jc w:val="center"/>
        <w:rPr>
          <w:rFonts w:hint="eastAsia" w:ascii="宋体" w:hAnsi="宋体" w:eastAsia="宋体"/>
        </w:rPr>
      </w:pPr>
      <w:r>
        <w:rPr>
          <w:rFonts w:ascii="宋体" w:hAnsi="宋体" w:eastAsia="宋体"/>
        </w:rPr>
        <w:t xml:space="preserve">图 </w:t>
      </w:r>
      <w:r>
        <w:rPr>
          <w:rFonts w:ascii="宋体" w:hAnsi="宋体" w:eastAsia="宋体"/>
        </w:rPr>
        <w:fldChar w:fldCharType="begin"/>
      </w:r>
      <w:r>
        <w:rPr>
          <w:rFonts w:ascii="宋体" w:hAnsi="宋体" w:eastAsia="宋体"/>
        </w:rPr>
        <w:instrText xml:space="preserve"> STYLEREF 3 \s </w:instrText>
      </w:r>
      <w:r>
        <w:rPr>
          <w:rFonts w:ascii="宋体" w:hAnsi="宋体" w:eastAsia="宋体"/>
        </w:rPr>
        <w:fldChar w:fldCharType="separate"/>
      </w:r>
      <w:r>
        <w:rPr>
          <w:rFonts w:hint="eastAsia" w:ascii="宋体" w:hAnsi="宋体" w:eastAsia="宋体"/>
          <w:lang w:eastAsia="zh-CN"/>
        </w:rPr>
        <w:t>7.5</w:t>
      </w:r>
      <w:r>
        <w:rPr>
          <w:rFonts w:ascii="宋体" w:hAnsi="宋体" w:eastAsia="宋体"/>
        </w:rPr>
        <w:t>.1</w:t>
      </w:r>
      <w:r>
        <w:rPr>
          <w:rFonts w:ascii="宋体" w:hAnsi="宋体" w:eastAsia="宋体"/>
        </w:rPr>
        <w:fldChar w:fldCharType="end"/>
      </w:r>
      <w:r>
        <w:rPr>
          <w:rFonts w:hint="eastAsia" w:ascii="宋体" w:hAnsi="宋体" w:eastAsia="宋体"/>
          <w:lang w:eastAsia="zh-CN"/>
        </w:rPr>
        <w:t>-</w:t>
      </w:r>
      <w:r>
        <w:rPr>
          <w:rFonts w:ascii="宋体" w:hAnsi="宋体" w:eastAsia="宋体"/>
        </w:rPr>
        <w:fldChar w:fldCharType="begin"/>
      </w:r>
      <w:r>
        <w:rPr>
          <w:rFonts w:ascii="宋体" w:hAnsi="宋体" w:eastAsia="宋体"/>
        </w:rPr>
        <w:instrText xml:space="preserve"> SEQ 图 \* ARABIC \s 3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hint="eastAsia" w:ascii="宋体" w:hAnsi="宋体" w:eastAsia="宋体"/>
          <w:lang w:val="en-US" w:eastAsia="zh-CN"/>
        </w:rPr>
        <w:t>降塔示意图</w:t>
      </w:r>
    </w:p>
    <w:p w14:paraId="33359F48">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398" w:name="_Toc15287"/>
      <w:bookmarkStart w:id="399" w:name="_Toc19090"/>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.2.</w:t>
      </w:r>
      <w:r>
        <w:rPr>
          <w:rFonts w:hint="eastAsia" w:ascii="宋体" w:hAnsi="宋体" w:eastAsia="宋体" w:cstheme="minorBidi"/>
          <w:b/>
          <w:bCs/>
          <w:color w:val="auto"/>
          <w:kern w:val="2"/>
          <w:sz w:val="24"/>
          <w:szCs w:val="32"/>
          <w:lang w:val="en-US" w:eastAsia="zh-CN" w:bidi="ar-SA"/>
        </w:rPr>
        <w:t>拆卸电气系统</w:t>
      </w:r>
      <w:bookmarkEnd w:id="398"/>
      <w:bookmarkEnd w:id="399"/>
    </w:p>
    <w:p w14:paraId="78582D92">
      <w:pPr>
        <w:ind w:firstLine="480"/>
        <w:rPr>
          <w:rFonts w:hint="eastAsia" w:ascii="宋体" w:hAnsi="宋体" w:eastAsia="宋体"/>
          <w:color w:val="auto"/>
          <w:lang w:val="en-US" w:eastAsia="zh-CN"/>
        </w:rPr>
      </w:pPr>
      <w:r>
        <w:rPr>
          <w:rFonts w:hint="eastAsia" w:ascii="宋体" w:hAnsi="宋体" w:eastAsia="宋体"/>
          <w:color w:val="auto"/>
        </w:rPr>
        <w:t>将影响塔机部件吊装的电控系统线路断开，并向一端缠绕收拢。</w:t>
      </w:r>
    </w:p>
    <w:p w14:paraId="6A22B404">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0" w:name="_Toc27187"/>
      <w:bookmarkStart w:id="401" w:name="_Toc3571"/>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.3.</w:t>
      </w:r>
      <w:r>
        <w:rPr>
          <w:rFonts w:hint="eastAsia" w:ascii="宋体" w:hAnsi="宋体" w:eastAsia="宋体" w:cstheme="minorBidi"/>
          <w:b/>
          <w:bCs/>
          <w:color w:val="auto"/>
          <w:kern w:val="2"/>
          <w:sz w:val="24"/>
          <w:szCs w:val="32"/>
          <w:lang w:val="en-US" w:eastAsia="zh-CN" w:bidi="ar-SA"/>
        </w:rPr>
        <w:t>拆卸吊钩和钢丝绳</w:t>
      </w:r>
      <w:bookmarkEnd w:id="400"/>
      <w:bookmarkEnd w:id="401"/>
    </w:p>
    <w:p w14:paraId="69035ED3">
      <w:pPr>
        <w:pStyle w:val="5"/>
        <w:numPr>
          <w:ilvl w:val="3"/>
          <w:numId w:val="0"/>
        </w:numPr>
        <w:ind w:firstLine="663" w:firstLineChars="275"/>
        <w:rPr>
          <w:rFonts w:hint="default" w:asciiTheme="minorEastAsia" w:hAnsiTheme="minorEastAsia" w:eastAsiaTheme="minorEastAsia" w:cstheme="minorEastAsia"/>
          <w:b/>
          <w:bCs/>
          <w:kern w:val="2"/>
          <w:sz w:val="24"/>
          <w:szCs w:val="28"/>
          <w:lang w:val="en-US" w:eastAsia="zh-CN" w:bidi="ar-SA"/>
        </w:rPr>
      </w:pPr>
      <w:r>
        <w:rPr>
          <w:rFonts w:hint="eastAsia" w:asciiTheme="minorEastAsia" w:hAnsiTheme="minorEastAsia" w:eastAsiaTheme="minorEastAsia" w:cstheme="minorEastAsia"/>
          <w:b/>
          <w:bCs/>
          <w:kern w:val="2"/>
          <w:sz w:val="24"/>
          <w:szCs w:val="28"/>
          <w:lang w:val="en-US" w:eastAsia="zh-CN" w:bidi="ar-SA"/>
        </w:rPr>
        <w:t>7.5.3.1拆除吊钩和起升钢丝绳</w:t>
      </w:r>
    </w:p>
    <w:p w14:paraId="7B2A1297">
      <w:pPr>
        <w:numPr>
          <w:ilvl w:val="0"/>
          <w:numId w:val="18"/>
        </w:numPr>
        <w:ind w:firstLine="480"/>
      </w:pPr>
      <w:r>
        <w:rPr>
          <w:rFonts w:hint="eastAsia"/>
        </w:rPr>
        <w:t>起升钢丝绳的拆卸与穿绕步骤相反。</w:t>
      </w:r>
    </w:p>
    <w:p w14:paraId="19EC0A11">
      <w:pPr>
        <w:numPr>
          <w:ilvl w:val="0"/>
          <w:numId w:val="18"/>
        </w:numPr>
        <w:ind w:firstLine="480"/>
      </w:pPr>
      <w:r>
        <w:rPr>
          <w:rFonts w:hint="eastAsia"/>
        </w:rPr>
        <w:t>用变幅机构将载重小车开至起重臂臂尖并放下吊钩至地面准备好的临时支架上，使起升绳不受力。</w:t>
      </w:r>
    </w:p>
    <w:p w14:paraId="2B6502C5">
      <w:pPr>
        <w:numPr>
          <w:ilvl w:val="0"/>
          <w:numId w:val="18"/>
        </w:numPr>
        <w:ind w:firstLine="480"/>
      </w:pPr>
      <w:r>
        <w:rPr>
          <w:rFonts w:hint="eastAsia"/>
        </w:rPr>
        <w:t>用固定绳夹将起升绳固定在载重小车上，并从防扭装置上拆下防扭装置上的楔形接头。</w:t>
      </w:r>
    </w:p>
    <w:p w14:paraId="0079273F">
      <w:pPr>
        <w:numPr>
          <w:ilvl w:val="0"/>
          <w:numId w:val="18"/>
        </w:numPr>
        <w:ind w:firstLine="480"/>
      </w:pPr>
      <w:r>
        <w:rPr>
          <w:rFonts w:hint="eastAsia"/>
        </w:rPr>
        <w:t>缓慢开动起升机构提升吊钩离地面约1米处，检查起升绳是否固定牢固。</w:t>
      </w:r>
    </w:p>
    <w:p w14:paraId="06DF1E4F">
      <w:pPr>
        <w:numPr>
          <w:ilvl w:val="0"/>
          <w:numId w:val="18"/>
        </w:numPr>
        <w:ind w:firstLine="480"/>
      </w:pPr>
      <w:r>
        <w:rPr>
          <w:rFonts w:hint="eastAsia"/>
        </w:rPr>
        <w:t>用变幅机构将载重小车开至起重臂臂根，放下吊钩将其固定在临时支架上。</w:t>
      </w:r>
    </w:p>
    <w:p w14:paraId="39D3D716">
      <w:pPr>
        <w:numPr>
          <w:ilvl w:val="0"/>
          <w:numId w:val="18"/>
        </w:numPr>
        <w:ind w:firstLine="480"/>
      </w:pPr>
      <w:r>
        <w:rPr>
          <w:rFonts w:hint="eastAsia"/>
        </w:rPr>
        <w:t>拆除起升绳与楔形接头的连接，然后松开固定绳夹。</w:t>
      </w:r>
    </w:p>
    <w:p w14:paraId="4C6858BC">
      <w:pPr>
        <w:numPr>
          <w:ilvl w:val="0"/>
          <w:numId w:val="18"/>
        </w:numPr>
        <w:ind w:firstLine="480"/>
      </w:pPr>
      <w:r>
        <w:rPr>
          <w:rFonts w:hint="eastAsia"/>
        </w:rPr>
        <w:t>缓慢启动起升机构，依次从吊钩和载重小车的滑轮组及导向滑轮轮、起重量限制器滑、托辊拆除起升绳，最后将其收至起升机构。注意收绳时钢丝绳端用麻绳溜放，防止甩绳。</w:t>
      </w:r>
    </w:p>
    <w:p w14:paraId="194C51A9">
      <w:pPr>
        <w:pStyle w:val="5"/>
        <w:numPr>
          <w:ilvl w:val="3"/>
          <w:numId w:val="0"/>
        </w:numPr>
        <w:ind w:firstLine="663" w:firstLineChars="275"/>
        <w:rPr>
          <w:rFonts w:hint="eastAsia" w:asciiTheme="minorEastAsia" w:hAnsiTheme="minorEastAsia" w:eastAsiaTheme="minorEastAsia" w:cstheme="minorEastAsia"/>
          <w:b/>
          <w:bCs/>
          <w:kern w:val="2"/>
          <w:sz w:val="24"/>
          <w:szCs w:val="28"/>
          <w:lang w:val="en-US" w:eastAsia="zh-CN" w:bidi="ar-SA"/>
        </w:rPr>
      </w:pPr>
      <w:r>
        <w:rPr>
          <w:rFonts w:hint="eastAsia" w:asciiTheme="minorEastAsia" w:hAnsiTheme="minorEastAsia" w:eastAsiaTheme="minorEastAsia" w:cstheme="minorEastAsia"/>
          <w:b/>
          <w:bCs/>
          <w:kern w:val="2"/>
          <w:sz w:val="24"/>
          <w:szCs w:val="28"/>
          <w:lang w:val="en-US" w:eastAsia="zh-CN" w:bidi="ar-SA"/>
        </w:rPr>
        <w:t>7.5.3.2拆除变幅钢丝绳</w:t>
      </w:r>
    </w:p>
    <w:p w14:paraId="329E32C1">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作业人员通过塔身内爬梯上到回转</w:t>
      </w:r>
      <w:r>
        <w:rPr>
          <w:rFonts w:hint="eastAsia"/>
          <w:lang w:val="en-US" w:eastAsia="zh-CN"/>
        </w:rPr>
        <w:t>总成</w:t>
      </w:r>
      <w:r>
        <w:t>平台，将安全带交替系挂在起重臂</w:t>
      </w:r>
      <w:r>
        <w:rPr>
          <w:rFonts w:hint="eastAsia"/>
        </w:rPr>
        <w:t>栏杆</w:t>
      </w:r>
      <w:r>
        <w:t>上，行走至载重小车处解除后变幅钢丝绳与载重小车的连接。</w:t>
      </w:r>
    </w:p>
    <w:p w14:paraId="0961422E">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启动变幅卷筒缓慢回收钢丝绳，回收时作业人员随钢丝绳同步行进，避免钢丝绳掉落，直到后起升钢丝绳全部收至变幅卷筒处。</w:t>
      </w:r>
    </w:p>
    <w:p w14:paraId="726A8A32">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pPr>
      <w:r>
        <w:t>作业人员将安全带交替系挂在起重臂</w:t>
      </w:r>
      <w:r>
        <w:rPr>
          <w:rFonts w:hint="eastAsia"/>
        </w:rPr>
        <w:t>栏杆</w:t>
      </w:r>
      <w:r>
        <w:t>上，行走至载重小车处解除前变幅钢丝绳与载重小车的连接。</w:t>
      </w:r>
    </w:p>
    <w:p w14:paraId="3771AAC0">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eastAsia"/>
          <w:lang w:val="en-US" w:eastAsia="zh-CN"/>
        </w:rPr>
      </w:pPr>
      <w:r>
        <w:t>启动变幅卷筒缓慢回收钢丝绳，回收时作业人员随钢丝绳同步行进，避免钢丝绳掉落，直到前起升钢丝绳全部收至变幅卷筒处。</w:t>
      </w:r>
    </w:p>
    <w:p w14:paraId="6848ABC8">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2" w:name="_Toc7844"/>
      <w:bookmarkStart w:id="403" w:name="_Toc18190"/>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.4.</w:t>
      </w:r>
      <w:r>
        <w:rPr>
          <w:rFonts w:hint="eastAsia" w:ascii="宋体" w:hAnsi="宋体" w:eastAsia="宋体" w:cstheme="minorBidi"/>
          <w:b/>
          <w:bCs/>
          <w:color w:val="auto"/>
          <w:kern w:val="2"/>
          <w:sz w:val="24"/>
          <w:szCs w:val="32"/>
          <w:lang w:val="en-US" w:eastAsia="zh-CN" w:bidi="ar-SA"/>
        </w:rPr>
        <w:t>拆卸部分平衡重</w:t>
      </w:r>
      <w:bookmarkEnd w:id="402"/>
      <w:bookmarkEnd w:id="403"/>
    </w:p>
    <w:p w14:paraId="3EE3B423">
      <w:pPr>
        <w:ind w:firstLine="480"/>
        <w:rPr>
          <w:rFonts w:hint="eastAsia" w:ascii="宋体" w:hAnsi="宋体" w:eastAsia="宋体"/>
          <w:color w:val="auto"/>
          <w:lang w:val="en-US" w:eastAsia="zh-CN"/>
        </w:rPr>
      </w:pPr>
      <w:r>
        <w:rPr>
          <w:rFonts w:hint="eastAsia" w:ascii="宋体" w:hAnsi="宋体" w:eastAsia="宋体"/>
          <w:color w:val="auto"/>
          <w:lang w:val="en-US" w:eastAsia="zh-CN"/>
        </w:rPr>
        <w:t>50</w:t>
      </w:r>
      <w:r>
        <w:rPr>
          <w:rFonts w:hint="eastAsia" w:ascii="宋体" w:hAnsi="宋体" w:eastAsia="宋体"/>
          <w:color w:val="auto"/>
        </w:rPr>
        <w:t>米臂长平衡重配置由</w:t>
      </w:r>
      <w:r>
        <w:rPr>
          <w:rFonts w:hint="eastAsia" w:ascii="宋体" w:hAnsi="宋体" w:eastAsia="宋体"/>
          <w:color w:val="auto"/>
          <w:lang w:val="en-US" w:eastAsia="zh-CN"/>
        </w:rPr>
        <w:t>3</w:t>
      </w:r>
      <w:r>
        <w:rPr>
          <w:rFonts w:hint="eastAsia" w:ascii="宋体" w:hAnsi="宋体" w:eastAsia="宋体"/>
          <w:color w:val="auto"/>
        </w:rPr>
        <w:t>块3.2吨平衡重、</w:t>
      </w:r>
      <w:r>
        <w:rPr>
          <w:rFonts w:hint="eastAsia" w:ascii="宋体" w:hAnsi="宋体" w:eastAsia="宋体"/>
          <w:color w:val="auto"/>
          <w:lang w:val="en-US" w:eastAsia="zh-CN"/>
        </w:rPr>
        <w:t>2</w:t>
      </w:r>
      <w:r>
        <w:rPr>
          <w:rFonts w:hint="eastAsia" w:ascii="宋体" w:hAnsi="宋体" w:eastAsia="宋体"/>
          <w:color w:val="auto"/>
        </w:rPr>
        <w:t>块2.3吨平衡重组成</w:t>
      </w:r>
      <w:r>
        <w:rPr>
          <w:rFonts w:hint="eastAsia" w:ascii="宋体" w:hAnsi="宋体" w:eastAsia="宋体"/>
          <w:color w:val="auto"/>
          <w:lang w:eastAsia="zh-CN"/>
        </w:rPr>
        <w:t>。</w:t>
      </w:r>
      <w:r>
        <w:rPr>
          <w:rFonts w:hint="eastAsia" w:ascii="宋体" w:hAnsi="宋体" w:eastAsia="宋体"/>
          <w:color w:val="auto"/>
          <w:lang w:val="en-US" w:eastAsia="zh-CN"/>
        </w:rPr>
        <w:t>先拆除2块</w:t>
      </w:r>
      <w:r>
        <w:rPr>
          <w:rFonts w:hint="eastAsia" w:ascii="宋体" w:hAnsi="宋体" w:eastAsia="宋体"/>
          <w:color w:val="auto"/>
        </w:rPr>
        <w:t>3.2吨平衡重和</w:t>
      </w:r>
      <w:r>
        <w:rPr>
          <w:rFonts w:hint="eastAsia" w:ascii="宋体" w:hAnsi="宋体" w:eastAsia="宋体"/>
          <w:color w:val="auto"/>
          <w:lang w:val="en-US" w:eastAsia="zh-CN"/>
        </w:rPr>
        <w:t>2</w:t>
      </w:r>
      <w:r>
        <w:rPr>
          <w:rFonts w:hint="eastAsia" w:ascii="宋体" w:hAnsi="宋体" w:eastAsia="宋体"/>
          <w:color w:val="auto"/>
        </w:rPr>
        <w:t>块</w:t>
      </w:r>
      <w:r>
        <w:rPr>
          <w:rFonts w:hint="eastAsia" w:ascii="宋体" w:hAnsi="宋体" w:eastAsia="宋体"/>
          <w:color w:val="auto"/>
          <w:lang w:val="en-US" w:eastAsia="zh-CN"/>
        </w:rPr>
        <w:t>2.3</w:t>
      </w:r>
      <w:r>
        <w:rPr>
          <w:rFonts w:hint="eastAsia" w:ascii="宋体" w:hAnsi="宋体" w:eastAsia="宋体"/>
          <w:color w:val="auto"/>
        </w:rPr>
        <w:t>吨平衡重</w:t>
      </w:r>
      <w:r>
        <w:rPr>
          <w:rFonts w:hint="eastAsia" w:ascii="宋体" w:hAnsi="宋体" w:eastAsia="宋体"/>
          <w:color w:val="auto"/>
          <w:lang w:eastAsia="zh-CN"/>
        </w:rPr>
        <w:t>，</w:t>
      </w:r>
      <w:r>
        <w:rPr>
          <w:rFonts w:hint="eastAsia" w:ascii="宋体" w:hAnsi="宋体" w:eastAsia="宋体"/>
          <w:color w:val="auto"/>
          <w:lang w:val="en-US" w:eastAsia="zh-CN"/>
        </w:rPr>
        <w:t>其中最大起重量为3.2t平衡重&lt;额定起重量7.6t，满足拆除吊装要求。</w:t>
      </w:r>
    </w:p>
    <w:p w14:paraId="618063FF">
      <w:pPr>
        <w:ind w:firstLine="480"/>
        <w:rPr>
          <w:rFonts w:hint="default" w:ascii="宋体" w:hAnsi="宋体" w:eastAsia="宋体"/>
          <w:color w:val="auto"/>
          <w:lang w:val="en-US" w:eastAsia="zh-CN"/>
        </w:rPr>
      </w:pPr>
      <w:r>
        <w:rPr>
          <w:rFonts w:hint="eastAsia" w:ascii="宋体" w:hAnsi="宋体" w:eastAsia="宋体"/>
          <w:color w:val="auto"/>
          <w:lang w:val="en-US" w:eastAsia="zh-CN"/>
        </w:rPr>
        <w:t>平衡重吊装采用两点吊，以平衡重顶部预埋的2个吊耳板作为吊装孔，采用2根16mm6×19W+IWR1870Mpa的钢丝绳配套GB/T 25854-6-DW5卸扣进行起吊。</w:t>
      </w:r>
    </w:p>
    <w:p w14:paraId="25CFAD54">
      <w:pPr>
        <w:ind w:firstLine="480"/>
        <w:rPr>
          <w:rFonts w:hint="eastAsia" w:ascii="宋体" w:hAnsi="宋体" w:eastAsia="宋体"/>
          <w:color w:val="auto"/>
          <w:lang w:val="en-US" w:eastAsia="zh-CN"/>
        </w:rPr>
      </w:pPr>
      <w:r>
        <w:rPr>
          <w:rFonts w:hint="eastAsia" w:ascii="宋体" w:hAnsi="宋体" w:eastAsia="宋体"/>
          <w:color w:val="auto"/>
        </w:rPr>
        <w:t>作业人员在地面上先将钢丝绳一端挂在</w:t>
      </w:r>
      <w:r>
        <w:rPr>
          <w:rFonts w:hint="eastAsia" w:ascii="宋体" w:hAnsi="宋体" w:eastAsia="宋体"/>
          <w:color w:val="auto"/>
          <w:lang w:val="en-US" w:eastAsia="zh-CN"/>
        </w:rPr>
        <w:t>汽车吊</w:t>
      </w:r>
      <w:r>
        <w:rPr>
          <w:rFonts w:hint="eastAsia" w:ascii="宋体" w:hAnsi="宋体" w:eastAsia="宋体"/>
          <w:color w:val="auto"/>
        </w:rPr>
        <w:t>吊钩上，另一端与卸扣连接，启动</w:t>
      </w:r>
      <w:r>
        <w:rPr>
          <w:rFonts w:hint="eastAsia" w:ascii="宋体" w:hAnsi="宋体" w:eastAsia="宋体"/>
          <w:color w:val="auto"/>
          <w:lang w:eastAsia="zh-CN"/>
        </w:rPr>
        <w:t>汽车吊</w:t>
      </w:r>
      <w:r>
        <w:rPr>
          <w:rFonts w:hint="eastAsia" w:ascii="宋体" w:hAnsi="宋体" w:eastAsia="宋体"/>
          <w:color w:val="auto"/>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olor w:val="auto"/>
          <w:lang w:eastAsia="zh-CN"/>
        </w:rPr>
        <w:t>汽车吊</w:t>
      </w:r>
      <w:r>
        <w:rPr>
          <w:rFonts w:hint="eastAsia" w:ascii="宋体" w:hAnsi="宋体" w:eastAsia="宋体"/>
          <w:color w:val="auto"/>
        </w:rPr>
        <w:t>起升吊钩，将平衡重竖直起吊一定高度后，解除平衡重孔的销轴，</w:t>
      </w:r>
      <w:r>
        <w:rPr>
          <w:rFonts w:hint="eastAsia" w:ascii="宋体" w:hAnsi="宋体" w:eastAsia="宋体"/>
          <w:color w:val="auto"/>
          <w:lang w:eastAsia="zh-CN"/>
        </w:rPr>
        <w:t>汽车吊</w:t>
      </w:r>
      <w:r>
        <w:rPr>
          <w:rFonts w:hint="eastAsia" w:ascii="宋体" w:hAnsi="宋体" w:eastAsia="宋体"/>
          <w:color w:val="auto"/>
        </w:rPr>
        <w:t>将平衡重沿平衡臂尾部槽口缓慢向外移出平衡臂，将平衡重下</w:t>
      </w:r>
      <w:r>
        <w:rPr>
          <w:rFonts w:hint="eastAsia" w:ascii="宋体" w:hAnsi="宋体" w:eastAsia="宋体"/>
          <w:color w:val="auto"/>
          <w:lang w:val="en-US" w:eastAsia="zh-CN"/>
        </w:rPr>
        <w:t>放至地面，作业人员在地面上解除卸扣与平衡重吊耳的连接。</w:t>
      </w:r>
    </w:p>
    <w:p w14:paraId="1DD87BCD">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塔式起重机平衡重拆除时设置警戒区，起吊安排专人负责指挥，专人操作，严禁无关人员进入起重作业范围内。</w:t>
      </w:r>
    </w:p>
    <w:p w14:paraId="32885C84">
      <w:pPr>
        <w:numPr>
          <w:ilvl w:val="0"/>
          <w:numId w:val="0"/>
        </w:numPr>
        <w:jc w:val="center"/>
      </w:pPr>
      <w:r>
        <w:drawing>
          <wp:inline distT="0" distB="0" distL="114300" distR="114300">
            <wp:extent cx="3542030" cy="4304030"/>
            <wp:effectExtent l="0" t="0" r="8890" b="8890"/>
            <wp:docPr id="2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3"/>
                    <pic:cNvPicPr>
                      <a:picLocks noChangeAspect="1"/>
                    </pic:cNvPicPr>
                  </pic:nvPicPr>
                  <pic:blipFill>
                    <a:blip r:embed="rId133"/>
                    <a:stretch>
                      <a:fillRect/>
                    </a:stretch>
                  </pic:blipFill>
                  <pic:spPr>
                    <a:xfrm>
                      <a:off x="0" y="0"/>
                      <a:ext cx="3542030" cy="4304030"/>
                    </a:xfrm>
                    <a:prstGeom prst="rect">
                      <a:avLst/>
                    </a:prstGeom>
                    <a:noFill/>
                    <a:ln>
                      <a:noFill/>
                    </a:ln>
                  </pic:spPr>
                </pic:pic>
              </a:graphicData>
            </a:graphic>
          </wp:inline>
        </w:drawing>
      </w:r>
    </w:p>
    <w:p w14:paraId="704E4E24">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拆除部分平衡重平面图</w:t>
      </w:r>
    </w:p>
    <w:p w14:paraId="63BFC1BE">
      <w:pPr>
        <w:numPr>
          <w:ilvl w:val="0"/>
          <w:numId w:val="0"/>
        </w:numPr>
        <w:jc w:val="center"/>
      </w:pPr>
      <w:r>
        <w:drawing>
          <wp:inline distT="0" distB="0" distL="114300" distR="114300">
            <wp:extent cx="4076700" cy="1943735"/>
            <wp:effectExtent l="0" t="0" r="7620" b="6985"/>
            <wp:docPr id="1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0"/>
                    <pic:cNvPicPr>
                      <a:picLocks noChangeAspect="1"/>
                    </pic:cNvPicPr>
                  </pic:nvPicPr>
                  <pic:blipFill>
                    <a:blip r:embed="rId134"/>
                    <a:stretch>
                      <a:fillRect/>
                    </a:stretch>
                  </pic:blipFill>
                  <pic:spPr>
                    <a:xfrm>
                      <a:off x="0" y="0"/>
                      <a:ext cx="4076700" cy="1943735"/>
                    </a:xfrm>
                    <a:prstGeom prst="rect">
                      <a:avLst/>
                    </a:prstGeom>
                    <a:noFill/>
                    <a:ln>
                      <a:noFill/>
                    </a:ln>
                  </pic:spPr>
                </pic:pic>
              </a:graphicData>
            </a:graphic>
          </wp:inline>
        </w:drawing>
      </w:r>
    </w:p>
    <w:p w14:paraId="1E8152F6">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拆除部分平衡重立面图</w:t>
      </w:r>
    </w:p>
    <w:p w14:paraId="7AFE322F">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4" w:name="_Toc3476"/>
      <w:bookmarkStart w:id="405" w:name="_Toc22002"/>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.5.</w:t>
      </w:r>
      <w:r>
        <w:rPr>
          <w:rFonts w:hint="eastAsia" w:ascii="宋体" w:hAnsi="宋体" w:eastAsia="宋体" w:cstheme="minorBidi"/>
          <w:b/>
          <w:bCs/>
          <w:color w:val="auto"/>
          <w:kern w:val="2"/>
          <w:sz w:val="24"/>
          <w:szCs w:val="32"/>
          <w:lang w:val="en-US" w:eastAsia="zh-CN" w:bidi="ar-SA"/>
        </w:rPr>
        <w:t>拆卸部分起重臂</w:t>
      </w:r>
      <w:bookmarkEnd w:id="404"/>
      <w:bookmarkEnd w:id="405"/>
    </w:p>
    <w:p w14:paraId="7F007F66">
      <w:pPr>
        <w:ind w:firstLine="480"/>
        <w:rPr>
          <w:rFonts w:hint="default" w:ascii="宋体" w:hAnsi="宋体" w:eastAsia="宋体"/>
          <w:color w:val="auto"/>
          <w:lang w:val="en-US" w:eastAsia="zh-CN"/>
        </w:rPr>
      </w:pPr>
      <w:r>
        <w:rPr>
          <w:rFonts w:hint="eastAsia" w:ascii="宋体" w:hAnsi="宋体" w:eastAsia="宋体"/>
          <w:color w:val="auto"/>
          <w:lang w:val="en-US" w:eastAsia="zh-CN"/>
        </w:rPr>
        <w:t>50米起重臂由起重臂臂根节T1221、臂节二</w:t>
      </w:r>
      <w:r>
        <w:rPr>
          <w:rFonts w:hint="default" w:ascii="宋体" w:hAnsi="宋体" w:eastAsia="宋体"/>
          <w:color w:val="auto"/>
          <w:lang w:val="en-US" w:eastAsia="zh-CN"/>
        </w:rPr>
        <w:t>T</w:t>
      </w:r>
      <w:r>
        <w:rPr>
          <w:rFonts w:hint="eastAsia" w:ascii="宋体" w:hAnsi="宋体" w:eastAsia="宋体"/>
          <w:color w:val="auto"/>
          <w:lang w:val="en-US" w:eastAsia="zh-CN"/>
        </w:rPr>
        <w:t>1212、臂节三</w:t>
      </w:r>
      <w:r>
        <w:rPr>
          <w:rFonts w:hint="default" w:ascii="宋体" w:hAnsi="宋体" w:eastAsia="宋体"/>
          <w:color w:val="auto"/>
          <w:lang w:val="en-US" w:eastAsia="zh-CN"/>
        </w:rPr>
        <w:t>T</w:t>
      </w:r>
      <w:r>
        <w:rPr>
          <w:rFonts w:hint="eastAsia" w:ascii="宋体" w:hAnsi="宋体" w:eastAsia="宋体"/>
          <w:color w:val="auto"/>
          <w:lang w:val="en-US" w:eastAsia="zh-CN"/>
        </w:rPr>
        <w:t>1203、臂节四</w:t>
      </w:r>
      <w:r>
        <w:rPr>
          <w:rFonts w:hint="default" w:ascii="宋体" w:hAnsi="宋体" w:eastAsia="宋体"/>
          <w:color w:val="auto"/>
          <w:lang w:val="en-US" w:eastAsia="zh-CN"/>
        </w:rPr>
        <w:t>T</w:t>
      </w:r>
      <w:r>
        <w:rPr>
          <w:rFonts w:hint="eastAsia" w:ascii="宋体" w:hAnsi="宋体" w:eastAsia="宋体"/>
          <w:color w:val="auto"/>
          <w:lang w:val="en-US" w:eastAsia="zh-CN"/>
        </w:rPr>
        <w:t>1214、臂节五</w:t>
      </w:r>
      <w:r>
        <w:rPr>
          <w:rFonts w:hint="default" w:ascii="宋体" w:hAnsi="宋体" w:eastAsia="宋体"/>
          <w:color w:val="auto"/>
          <w:lang w:val="en-US" w:eastAsia="zh-CN"/>
        </w:rPr>
        <w:t>T</w:t>
      </w:r>
      <w:r>
        <w:rPr>
          <w:rFonts w:hint="eastAsia" w:ascii="宋体" w:hAnsi="宋体" w:eastAsia="宋体"/>
          <w:color w:val="auto"/>
          <w:lang w:val="en-US" w:eastAsia="zh-CN"/>
        </w:rPr>
        <w:t>1205、臂节六</w:t>
      </w:r>
      <w:r>
        <w:rPr>
          <w:rFonts w:hint="default" w:ascii="宋体" w:hAnsi="宋体" w:eastAsia="宋体"/>
          <w:color w:val="auto"/>
          <w:lang w:val="en-US" w:eastAsia="zh-CN"/>
        </w:rPr>
        <w:t>T</w:t>
      </w:r>
      <w:r>
        <w:rPr>
          <w:rFonts w:hint="eastAsia" w:ascii="宋体" w:hAnsi="宋体" w:eastAsia="宋体"/>
          <w:color w:val="auto"/>
          <w:lang w:val="en-US" w:eastAsia="zh-CN"/>
        </w:rPr>
        <w:t>1206、臂节七</w:t>
      </w:r>
      <w:r>
        <w:rPr>
          <w:rFonts w:hint="default" w:ascii="宋体" w:hAnsi="宋体" w:eastAsia="宋体"/>
          <w:color w:val="auto"/>
          <w:lang w:val="en-US" w:eastAsia="zh-CN"/>
        </w:rPr>
        <w:t>T</w:t>
      </w:r>
      <w:r>
        <w:rPr>
          <w:rFonts w:hint="eastAsia" w:ascii="宋体" w:hAnsi="宋体" w:eastAsia="宋体"/>
          <w:color w:val="auto"/>
          <w:lang w:val="en-US" w:eastAsia="zh-CN"/>
        </w:rPr>
        <w:t>1209和臂头</w:t>
      </w:r>
      <w:r>
        <w:rPr>
          <w:rFonts w:hint="default" w:ascii="宋体" w:hAnsi="宋体" w:eastAsia="宋体"/>
          <w:color w:val="auto"/>
          <w:lang w:val="en-US" w:eastAsia="zh-CN"/>
        </w:rPr>
        <w:t>T1</w:t>
      </w:r>
      <w:r>
        <w:rPr>
          <w:rFonts w:hint="eastAsia" w:ascii="宋体" w:hAnsi="宋体" w:eastAsia="宋体"/>
          <w:color w:val="auto"/>
          <w:lang w:val="en-US" w:eastAsia="zh-CN"/>
        </w:rPr>
        <w:t>2</w:t>
      </w:r>
      <w:r>
        <w:rPr>
          <w:rFonts w:hint="default" w:ascii="宋体" w:hAnsi="宋体" w:eastAsia="宋体"/>
          <w:color w:val="auto"/>
          <w:lang w:val="en-US" w:eastAsia="zh-CN"/>
        </w:rPr>
        <w:t>T</w:t>
      </w:r>
      <w:r>
        <w:rPr>
          <w:rFonts w:hint="eastAsia" w:ascii="宋体" w:hAnsi="宋体" w:eastAsia="宋体"/>
          <w:color w:val="auto"/>
          <w:lang w:val="en-US" w:eastAsia="zh-CN"/>
        </w:rPr>
        <w:t>1。先拆除除起重臂臂根节外的其他起重臂，其中起重臂臂节2-3节的吊幅为11m，最大起重量为起重臂臂节3重量为1.401t&lt;额定起重量7.6t，起重臂臂节4-7节的吊幅为15m，最大起重量为起重臂臂节4重量为1.148t&lt;额定起重量4.5t，满足拆除吊装要求。</w:t>
      </w:r>
    </w:p>
    <w:p w14:paraId="7173A395">
      <w:pPr>
        <w:ind w:firstLine="480"/>
        <w:rPr>
          <w:rFonts w:hint="eastAsia" w:ascii="宋体" w:hAnsi="宋体" w:eastAsia="宋体"/>
          <w:color w:val="auto"/>
          <w:lang w:val="en-US" w:eastAsia="zh-CN"/>
        </w:rPr>
      </w:pPr>
      <w:r>
        <w:rPr>
          <w:rFonts w:hint="eastAsia" w:ascii="宋体" w:hAnsi="宋体" w:eastAsia="宋体"/>
          <w:color w:val="auto"/>
          <w:lang w:val="en-US" w:eastAsia="zh-CN"/>
        </w:rPr>
        <w:t>起重臂臂节吊装采用两点吊，以起重臂顶部2个吊耳板作为吊装孔，采用2根16mm6×19W+IWR1870Mpa的钢丝绳配套GB/T 25854-6-DW5卸扣进行起吊。</w:t>
      </w:r>
    </w:p>
    <w:p w14:paraId="6F7C4F86">
      <w:pPr>
        <w:ind w:firstLine="480"/>
        <w:rPr>
          <w:rFonts w:hint="eastAsia" w:ascii="宋体" w:hAnsi="宋体" w:eastAsia="宋体"/>
          <w:color w:val="auto"/>
        </w:rPr>
      </w:pPr>
      <w:r>
        <w:rPr>
          <w:rFonts w:hint="eastAsia" w:ascii="宋体" w:hAnsi="宋体" w:eastAsia="宋体"/>
          <w:color w:val="auto"/>
        </w:rPr>
        <w:t>作业人员在地面上先将钢丝绳一端挂在</w:t>
      </w:r>
      <w:r>
        <w:rPr>
          <w:rFonts w:hint="eastAsia" w:ascii="宋体" w:hAnsi="宋体" w:eastAsia="宋体"/>
          <w:color w:val="auto"/>
          <w:lang w:eastAsia="zh-CN"/>
        </w:rPr>
        <w:t>汽车吊</w:t>
      </w:r>
      <w:r>
        <w:rPr>
          <w:rFonts w:hint="eastAsia" w:ascii="宋体" w:hAnsi="宋体" w:eastAsia="宋体"/>
          <w:color w:val="auto"/>
        </w:rPr>
        <w:t>吊钩上，启动</w:t>
      </w:r>
      <w:r>
        <w:rPr>
          <w:rFonts w:hint="eastAsia" w:ascii="宋体" w:hAnsi="宋体" w:eastAsia="宋体"/>
          <w:color w:val="auto"/>
          <w:lang w:eastAsia="zh-CN"/>
        </w:rPr>
        <w:t>汽车吊</w:t>
      </w:r>
      <w:r>
        <w:rPr>
          <w:rFonts w:hint="eastAsia" w:ascii="宋体" w:hAnsi="宋体" w:eastAsia="宋体"/>
          <w:color w:val="auto"/>
        </w:rPr>
        <w:t>，将钢丝绳缓慢提升至起重臂上方时，作业人员通过爬梯爬至回转总成平台上，将安全带交替系挂在起重臂安全绳上，沿下弦杆走行至起重臂吊点位置处。</w:t>
      </w:r>
      <w:r>
        <w:rPr>
          <w:rFonts w:hint="eastAsia" w:ascii="宋体" w:hAnsi="宋体" w:eastAsia="宋体"/>
          <w:color w:val="auto"/>
          <w:lang w:eastAsia="zh-CN"/>
        </w:rPr>
        <w:t>汽车吊</w:t>
      </w:r>
      <w:r>
        <w:rPr>
          <w:rFonts w:hint="eastAsia" w:ascii="宋体" w:hAnsi="宋体" w:eastAsia="宋体"/>
          <w:color w:val="auto"/>
        </w:rPr>
        <w:t>放松吊钩，将另一端钢丝绳与起重臂腹杆节点捆绑连接，采用卸扣固定，同时在起重臂腹杆上栓好2根溜绳。作业人员沿下弦杆走行至起重臂臂根节处，</w:t>
      </w:r>
      <w:r>
        <w:rPr>
          <w:rFonts w:hint="eastAsia" w:ascii="宋体" w:hAnsi="宋体" w:eastAsia="宋体"/>
          <w:color w:val="auto"/>
          <w:lang w:eastAsia="zh-CN"/>
        </w:rPr>
        <w:t>汽车吊</w:t>
      </w:r>
      <w:r>
        <w:rPr>
          <w:rFonts w:hint="eastAsia" w:ascii="宋体" w:hAnsi="宋体" w:eastAsia="宋体"/>
          <w:color w:val="auto"/>
        </w:rPr>
        <w:t>轻轻将起重臂往上抬，拆除起重臂和起重臂臂根节的连接销轴，</w:t>
      </w:r>
      <w:r>
        <w:rPr>
          <w:rFonts w:hint="eastAsia" w:ascii="宋体" w:hAnsi="宋体" w:eastAsia="宋体"/>
          <w:color w:val="auto"/>
          <w:lang w:eastAsia="zh-CN"/>
        </w:rPr>
        <w:t>汽车吊</w:t>
      </w:r>
      <w:r>
        <w:rPr>
          <w:rFonts w:hint="eastAsia" w:ascii="宋体" w:hAnsi="宋体" w:eastAsia="宋体"/>
          <w:color w:val="auto"/>
        </w:rPr>
        <w:t>起升吊钩，将起重臂竖直起吊一定安全高度后，再将起重臂下放至地面，稳固后</w:t>
      </w:r>
      <w:r>
        <w:rPr>
          <w:rFonts w:hint="eastAsia" w:ascii="宋体" w:hAnsi="宋体" w:eastAsia="宋体"/>
          <w:color w:val="auto"/>
          <w:lang w:eastAsia="zh-CN"/>
        </w:rPr>
        <w:t>汽车吊</w:t>
      </w:r>
      <w:r>
        <w:rPr>
          <w:rFonts w:hint="eastAsia" w:ascii="宋体" w:hAnsi="宋体" w:eastAsia="宋体"/>
          <w:color w:val="auto"/>
        </w:rPr>
        <w:t>放松吊钩，作业人员在地面上解除钢丝绳与起重臂吊点的连接。</w:t>
      </w:r>
    </w:p>
    <w:p w14:paraId="6FD31B1A">
      <w:pPr>
        <w:ind w:firstLine="480"/>
        <w:rPr>
          <w:rFonts w:hint="default" w:ascii="宋体" w:hAnsi="宋体" w:eastAsia="宋体"/>
          <w:color w:val="auto"/>
          <w:lang w:val="en-US" w:eastAsia="zh-CN"/>
        </w:rPr>
      </w:pPr>
      <w:r>
        <w:rPr>
          <w:rFonts w:hint="eastAsia" w:ascii="宋体" w:hAnsi="宋体" w:eastAsia="宋体"/>
          <w:color w:val="auto"/>
          <w:lang w:val="en-US" w:eastAsia="zh-CN"/>
        </w:rPr>
        <w:t>剩余起重臂拆除步骤同起重臂臂节七及臂头拆除步骤。</w:t>
      </w:r>
    </w:p>
    <w:p w14:paraId="746C8773">
      <w:pPr>
        <w:ind w:firstLine="480"/>
        <w:rPr>
          <w:rFonts w:hint="eastAsia" w:ascii="宋体" w:hAnsi="宋体" w:eastAsia="宋体"/>
          <w:color w:val="auto"/>
          <w:lang w:val="en-US" w:eastAsia="zh-CN"/>
        </w:rPr>
      </w:pPr>
      <w:r>
        <w:rPr>
          <w:rFonts w:hint="eastAsia" w:ascii="宋体" w:hAnsi="宋体" w:eastAsia="宋体"/>
          <w:color w:val="auto"/>
          <w:lang w:val="en-US" w:eastAsia="zh-CN"/>
        </w:rPr>
        <w:t>塔式起重机起重臂臂节七及臂头拆除时设置警戒区，起吊安排专人负责指挥，专人操作，严禁无关人员进入起重作业范围内。</w:t>
      </w:r>
    </w:p>
    <w:p w14:paraId="3FB3D8A5">
      <w:pPr>
        <w:autoSpaceDE w:val="0"/>
        <w:autoSpaceDN w:val="0"/>
        <w:adjustRightInd w:val="0"/>
        <w:ind w:left="0" w:leftChars="0" w:firstLine="0" w:firstLineChars="0"/>
        <w:jc w:val="center"/>
      </w:pPr>
      <w:r>
        <w:drawing>
          <wp:inline distT="0" distB="0" distL="114300" distR="114300">
            <wp:extent cx="3066415" cy="3950335"/>
            <wp:effectExtent l="0" t="0" r="12065" b="12065"/>
            <wp:docPr id="2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4"/>
                    <pic:cNvPicPr>
                      <a:picLocks noChangeAspect="1"/>
                    </pic:cNvPicPr>
                  </pic:nvPicPr>
                  <pic:blipFill>
                    <a:blip r:embed="rId135"/>
                    <a:stretch>
                      <a:fillRect/>
                    </a:stretch>
                  </pic:blipFill>
                  <pic:spPr>
                    <a:xfrm>
                      <a:off x="0" y="0"/>
                      <a:ext cx="3066415" cy="3950335"/>
                    </a:xfrm>
                    <a:prstGeom prst="rect">
                      <a:avLst/>
                    </a:prstGeom>
                    <a:noFill/>
                    <a:ln>
                      <a:noFill/>
                    </a:ln>
                  </pic:spPr>
                </pic:pic>
              </a:graphicData>
            </a:graphic>
          </wp:inline>
        </w:drawing>
      </w:r>
    </w:p>
    <w:p w14:paraId="174621F2">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拆除起重臂臂节7及臂头平面图</w:t>
      </w:r>
    </w:p>
    <w:p w14:paraId="24FC7BC0">
      <w:pPr>
        <w:ind w:left="0" w:leftChars="0" w:firstLine="0" w:firstLineChars="0"/>
        <w:jc w:val="center"/>
      </w:pPr>
      <w:r>
        <w:drawing>
          <wp:inline distT="0" distB="0" distL="114300" distR="114300">
            <wp:extent cx="3622675" cy="2008505"/>
            <wp:effectExtent l="0" t="0" r="4445" b="3175"/>
            <wp:docPr id="15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6"/>
                    <pic:cNvPicPr>
                      <a:picLocks noChangeAspect="1"/>
                    </pic:cNvPicPr>
                  </pic:nvPicPr>
                  <pic:blipFill>
                    <a:blip r:embed="rId136"/>
                    <a:stretch>
                      <a:fillRect/>
                    </a:stretch>
                  </pic:blipFill>
                  <pic:spPr>
                    <a:xfrm>
                      <a:off x="0" y="0"/>
                      <a:ext cx="3622675" cy="2008505"/>
                    </a:xfrm>
                    <a:prstGeom prst="rect">
                      <a:avLst/>
                    </a:prstGeom>
                    <a:noFill/>
                    <a:ln>
                      <a:noFill/>
                    </a:ln>
                  </pic:spPr>
                </pic:pic>
              </a:graphicData>
            </a:graphic>
          </wp:inline>
        </w:drawing>
      </w:r>
    </w:p>
    <w:p w14:paraId="2CB64878">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5</w:t>
      </w:r>
      <w:r>
        <w:fldChar w:fldCharType="end"/>
      </w:r>
      <w:r>
        <w:rPr>
          <w:rFonts w:hint="eastAsia"/>
          <w:lang w:val="en-US" w:eastAsia="zh-CN"/>
        </w:rPr>
        <w:t>拆除起重臂臂节7及臂头立面图</w:t>
      </w:r>
    </w:p>
    <w:p w14:paraId="0997AEFD">
      <w:pPr>
        <w:autoSpaceDE w:val="0"/>
        <w:autoSpaceDN w:val="0"/>
        <w:adjustRightInd w:val="0"/>
        <w:ind w:left="0" w:leftChars="0" w:firstLine="0" w:firstLineChars="0"/>
        <w:jc w:val="center"/>
      </w:pPr>
      <w:r>
        <w:drawing>
          <wp:inline distT="0" distB="0" distL="114300" distR="114300">
            <wp:extent cx="2919730" cy="3742690"/>
            <wp:effectExtent l="0" t="0" r="6350" b="6350"/>
            <wp:docPr id="2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5"/>
                    <pic:cNvPicPr>
                      <a:picLocks noChangeAspect="1"/>
                    </pic:cNvPicPr>
                  </pic:nvPicPr>
                  <pic:blipFill>
                    <a:blip r:embed="rId137"/>
                    <a:stretch>
                      <a:fillRect/>
                    </a:stretch>
                  </pic:blipFill>
                  <pic:spPr>
                    <a:xfrm>
                      <a:off x="0" y="0"/>
                      <a:ext cx="2919730" cy="3742690"/>
                    </a:xfrm>
                    <a:prstGeom prst="rect">
                      <a:avLst/>
                    </a:prstGeom>
                    <a:noFill/>
                    <a:ln>
                      <a:noFill/>
                    </a:ln>
                  </pic:spPr>
                </pic:pic>
              </a:graphicData>
            </a:graphic>
          </wp:inline>
        </w:drawing>
      </w:r>
    </w:p>
    <w:p w14:paraId="6A136931">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6</w:t>
      </w:r>
      <w:r>
        <w:fldChar w:fldCharType="end"/>
      </w:r>
      <w:r>
        <w:rPr>
          <w:rFonts w:hint="eastAsia"/>
          <w:lang w:val="en-US" w:eastAsia="zh-CN"/>
        </w:rPr>
        <w:t>拆除起重臂臂节6平面图</w:t>
      </w:r>
    </w:p>
    <w:p w14:paraId="58CDB5D1">
      <w:pPr>
        <w:ind w:left="0" w:leftChars="0" w:firstLine="0" w:firstLineChars="0"/>
        <w:jc w:val="center"/>
      </w:pPr>
      <w:r>
        <w:drawing>
          <wp:inline distT="0" distB="0" distL="114300" distR="114300">
            <wp:extent cx="3095625" cy="1887855"/>
            <wp:effectExtent l="0" t="0" r="13335" b="1905"/>
            <wp:docPr id="1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4"/>
                    <pic:cNvPicPr>
                      <a:picLocks noChangeAspect="1"/>
                    </pic:cNvPicPr>
                  </pic:nvPicPr>
                  <pic:blipFill>
                    <a:blip r:embed="rId138"/>
                    <a:stretch>
                      <a:fillRect/>
                    </a:stretch>
                  </pic:blipFill>
                  <pic:spPr>
                    <a:xfrm>
                      <a:off x="0" y="0"/>
                      <a:ext cx="3095625" cy="1887855"/>
                    </a:xfrm>
                    <a:prstGeom prst="rect">
                      <a:avLst/>
                    </a:prstGeom>
                    <a:noFill/>
                    <a:ln>
                      <a:noFill/>
                    </a:ln>
                  </pic:spPr>
                </pic:pic>
              </a:graphicData>
            </a:graphic>
          </wp:inline>
        </w:drawing>
      </w:r>
    </w:p>
    <w:p w14:paraId="6BE94C5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7</w:t>
      </w:r>
      <w:r>
        <w:fldChar w:fldCharType="end"/>
      </w:r>
      <w:r>
        <w:rPr>
          <w:rFonts w:hint="eastAsia"/>
          <w:lang w:val="en-US" w:eastAsia="zh-CN"/>
        </w:rPr>
        <w:t>拆除起重臂臂节6立面图</w:t>
      </w:r>
    </w:p>
    <w:p w14:paraId="5E04D96A">
      <w:pPr>
        <w:autoSpaceDE w:val="0"/>
        <w:autoSpaceDN w:val="0"/>
        <w:adjustRightInd w:val="0"/>
        <w:ind w:left="0" w:leftChars="0" w:firstLine="0" w:firstLineChars="0"/>
        <w:jc w:val="center"/>
      </w:pPr>
      <w:r>
        <w:drawing>
          <wp:inline distT="0" distB="0" distL="114300" distR="114300">
            <wp:extent cx="3224530" cy="4072255"/>
            <wp:effectExtent l="0" t="0" r="6350" b="12065"/>
            <wp:docPr id="2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6"/>
                    <pic:cNvPicPr>
                      <a:picLocks noChangeAspect="1"/>
                    </pic:cNvPicPr>
                  </pic:nvPicPr>
                  <pic:blipFill>
                    <a:blip r:embed="rId139"/>
                    <a:stretch>
                      <a:fillRect/>
                    </a:stretch>
                  </pic:blipFill>
                  <pic:spPr>
                    <a:xfrm>
                      <a:off x="0" y="0"/>
                      <a:ext cx="3224530" cy="4072255"/>
                    </a:xfrm>
                    <a:prstGeom prst="rect">
                      <a:avLst/>
                    </a:prstGeom>
                    <a:noFill/>
                    <a:ln>
                      <a:noFill/>
                    </a:ln>
                  </pic:spPr>
                </pic:pic>
              </a:graphicData>
            </a:graphic>
          </wp:inline>
        </w:drawing>
      </w:r>
    </w:p>
    <w:p w14:paraId="31B38D2E">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8</w:t>
      </w:r>
      <w:r>
        <w:fldChar w:fldCharType="end"/>
      </w:r>
      <w:r>
        <w:rPr>
          <w:rFonts w:hint="eastAsia"/>
          <w:lang w:val="en-US" w:eastAsia="zh-CN"/>
        </w:rPr>
        <w:t>拆除起重臂臂节5平面图</w:t>
      </w:r>
    </w:p>
    <w:p w14:paraId="52C1157B">
      <w:pPr>
        <w:ind w:left="0" w:leftChars="0" w:firstLine="0" w:firstLineChars="0"/>
        <w:jc w:val="center"/>
      </w:pPr>
      <w:r>
        <w:drawing>
          <wp:inline distT="0" distB="0" distL="114300" distR="114300">
            <wp:extent cx="4453890" cy="3527425"/>
            <wp:effectExtent l="0" t="0" r="11430" b="8255"/>
            <wp:docPr id="1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2"/>
                    <pic:cNvPicPr>
                      <a:picLocks noChangeAspect="1"/>
                    </pic:cNvPicPr>
                  </pic:nvPicPr>
                  <pic:blipFill>
                    <a:blip r:embed="rId140"/>
                    <a:stretch>
                      <a:fillRect/>
                    </a:stretch>
                  </pic:blipFill>
                  <pic:spPr>
                    <a:xfrm>
                      <a:off x="0" y="0"/>
                      <a:ext cx="4453890" cy="3527425"/>
                    </a:xfrm>
                    <a:prstGeom prst="rect">
                      <a:avLst/>
                    </a:prstGeom>
                    <a:noFill/>
                    <a:ln>
                      <a:noFill/>
                    </a:ln>
                  </pic:spPr>
                </pic:pic>
              </a:graphicData>
            </a:graphic>
          </wp:inline>
        </w:drawing>
      </w:r>
    </w:p>
    <w:p w14:paraId="182EC8D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9</w:t>
      </w:r>
      <w:r>
        <w:fldChar w:fldCharType="end"/>
      </w:r>
      <w:r>
        <w:rPr>
          <w:rFonts w:hint="eastAsia"/>
          <w:lang w:val="en-US" w:eastAsia="zh-CN"/>
        </w:rPr>
        <w:t>拆除起重臂臂节5立面图</w:t>
      </w:r>
    </w:p>
    <w:p w14:paraId="57112682">
      <w:pPr>
        <w:numPr>
          <w:ilvl w:val="0"/>
          <w:numId w:val="0"/>
        </w:numPr>
        <w:ind w:leftChars="200"/>
        <w:jc w:val="center"/>
      </w:pPr>
      <w:r>
        <w:drawing>
          <wp:inline distT="0" distB="0" distL="114300" distR="114300">
            <wp:extent cx="2694305" cy="3706495"/>
            <wp:effectExtent l="0" t="0" r="3175" b="12065"/>
            <wp:docPr id="2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7"/>
                    <pic:cNvPicPr>
                      <a:picLocks noChangeAspect="1"/>
                    </pic:cNvPicPr>
                  </pic:nvPicPr>
                  <pic:blipFill>
                    <a:blip r:embed="rId141"/>
                    <a:stretch>
                      <a:fillRect/>
                    </a:stretch>
                  </pic:blipFill>
                  <pic:spPr>
                    <a:xfrm>
                      <a:off x="0" y="0"/>
                      <a:ext cx="2694305" cy="3706495"/>
                    </a:xfrm>
                    <a:prstGeom prst="rect">
                      <a:avLst/>
                    </a:prstGeom>
                    <a:noFill/>
                    <a:ln>
                      <a:noFill/>
                    </a:ln>
                  </pic:spPr>
                </pic:pic>
              </a:graphicData>
            </a:graphic>
          </wp:inline>
        </w:drawing>
      </w:r>
    </w:p>
    <w:p w14:paraId="67EA28C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10</w:t>
      </w:r>
      <w:r>
        <w:fldChar w:fldCharType="end"/>
      </w:r>
      <w:r>
        <w:rPr>
          <w:rFonts w:hint="eastAsia"/>
          <w:lang w:val="en-US" w:eastAsia="zh-CN"/>
        </w:rPr>
        <w:t>拆除起重臂臂节4平面图</w:t>
      </w:r>
    </w:p>
    <w:p w14:paraId="2243623E">
      <w:pPr>
        <w:ind w:left="0" w:leftChars="0" w:firstLine="0" w:firstLineChars="0"/>
        <w:jc w:val="center"/>
      </w:pPr>
      <w:r>
        <w:drawing>
          <wp:inline distT="0" distB="0" distL="114300" distR="114300">
            <wp:extent cx="4077335" cy="3505200"/>
            <wp:effectExtent l="0" t="0" r="6985" b="0"/>
            <wp:docPr id="1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
                    <pic:cNvPicPr>
                      <a:picLocks noChangeAspect="1"/>
                    </pic:cNvPicPr>
                  </pic:nvPicPr>
                  <pic:blipFill>
                    <a:blip r:embed="rId142"/>
                    <a:stretch>
                      <a:fillRect/>
                    </a:stretch>
                  </pic:blipFill>
                  <pic:spPr>
                    <a:xfrm>
                      <a:off x="0" y="0"/>
                      <a:ext cx="4077335" cy="3505200"/>
                    </a:xfrm>
                    <a:prstGeom prst="rect">
                      <a:avLst/>
                    </a:prstGeom>
                    <a:noFill/>
                    <a:ln>
                      <a:noFill/>
                    </a:ln>
                  </pic:spPr>
                </pic:pic>
              </a:graphicData>
            </a:graphic>
          </wp:inline>
        </w:drawing>
      </w:r>
    </w:p>
    <w:p w14:paraId="26498057">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11</w:t>
      </w:r>
      <w:r>
        <w:fldChar w:fldCharType="end"/>
      </w:r>
      <w:r>
        <w:rPr>
          <w:rFonts w:hint="eastAsia"/>
          <w:lang w:val="en-US" w:eastAsia="zh-CN"/>
        </w:rPr>
        <w:t>拆除起重臂臂节4立面图</w:t>
      </w:r>
    </w:p>
    <w:p w14:paraId="0029FBD3">
      <w:pPr>
        <w:numPr>
          <w:ilvl w:val="0"/>
          <w:numId w:val="0"/>
        </w:numPr>
        <w:ind w:leftChars="200"/>
        <w:jc w:val="center"/>
      </w:pPr>
      <w:r>
        <w:drawing>
          <wp:inline distT="0" distB="0" distL="114300" distR="114300">
            <wp:extent cx="3828415" cy="3041650"/>
            <wp:effectExtent l="0" t="0" r="12065" b="6350"/>
            <wp:docPr id="2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8"/>
                    <pic:cNvPicPr>
                      <a:picLocks noChangeAspect="1"/>
                    </pic:cNvPicPr>
                  </pic:nvPicPr>
                  <pic:blipFill>
                    <a:blip r:embed="rId143"/>
                    <a:stretch>
                      <a:fillRect/>
                    </a:stretch>
                  </pic:blipFill>
                  <pic:spPr>
                    <a:xfrm>
                      <a:off x="0" y="0"/>
                      <a:ext cx="3828415" cy="3041650"/>
                    </a:xfrm>
                    <a:prstGeom prst="rect">
                      <a:avLst/>
                    </a:prstGeom>
                    <a:noFill/>
                    <a:ln>
                      <a:noFill/>
                    </a:ln>
                  </pic:spPr>
                </pic:pic>
              </a:graphicData>
            </a:graphic>
          </wp:inline>
        </w:drawing>
      </w:r>
    </w:p>
    <w:p w14:paraId="6898E0EB">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12</w:t>
      </w:r>
      <w:r>
        <w:fldChar w:fldCharType="end"/>
      </w:r>
      <w:r>
        <w:rPr>
          <w:rFonts w:hint="eastAsia"/>
          <w:lang w:val="en-US" w:eastAsia="zh-CN"/>
        </w:rPr>
        <w:t>拆除起重臂臂节3平面图</w:t>
      </w:r>
    </w:p>
    <w:p w14:paraId="123B10BE">
      <w:pPr>
        <w:ind w:left="0" w:leftChars="0" w:firstLine="0" w:firstLineChars="0"/>
        <w:jc w:val="center"/>
      </w:pPr>
      <w:r>
        <w:drawing>
          <wp:inline distT="0" distB="0" distL="114300" distR="114300">
            <wp:extent cx="2830195" cy="2456180"/>
            <wp:effectExtent l="0" t="0" r="4445" b="12700"/>
            <wp:docPr id="1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6"/>
                    <pic:cNvPicPr>
                      <a:picLocks noChangeAspect="1"/>
                    </pic:cNvPicPr>
                  </pic:nvPicPr>
                  <pic:blipFill>
                    <a:blip r:embed="rId144"/>
                    <a:stretch>
                      <a:fillRect/>
                    </a:stretch>
                  </pic:blipFill>
                  <pic:spPr>
                    <a:xfrm>
                      <a:off x="0" y="0"/>
                      <a:ext cx="2830195" cy="2456180"/>
                    </a:xfrm>
                    <a:prstGeom prst="rect">
                      <a:avLst/>
                    </a:prstGeom>
                    <a:noFill/>
                    <a:ln>
                      <a:noFill/>
                    </a:ln>
                  </pic:spPr>
                </pic:pic>
              </a:graphicData>
            </a:graphic>
          </wp:inline>
        </w:drawing>
      </w:r>
    </w:p>
    <w:p w14:paraId="14523DD4">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13</w:t>
      </w:r>
      <w:r>
        <w:fldChar w:fldCharType="end"/>
      </w:r>
      <w:r>
        <w:rPr>
          <w:rFonts w:hint="eastAsia"/>
          <w:lang w:val="en-US" w:eastAsia="zh-CN"/>
        </w:rPr>
        <w:t>拆除起重臂臂节3立面图</w:t>
      </w:r>
    </w:p>
    <w:p w14:paraId="32621214">
      <w:pPr>
        <w:ind w:firstLine="0" w:firstLineChars="0"/>
        <w:jc w:val="center"/>
      </w:pPr>
      <w:r>
        <w:drawing>
          <wp:inline distT="0" distB="0" distL="114300" distR="114300">
            <wp:extent cx="3627120" cy="2785745"/>
            <wp:effectExtent l="0" t="0" r="0" b="3175"/>
            <wp:docPr id="2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9"/>
                    <pic:cNvPicPr>
                      <a:picLocks noChangeAspect="1"/>
                    </pic:cNvPicPr>
                  </pic:nvPicPr>
                  <pic:blipFill>
                    <a:blip r:embed="rId145"/>
                    <a:stretch>
                      <a:fillRect/>
                    </a:stretch>
                  </pic:blipFill>
                  <pic:spPr>
                    <a:xfrm>
                      <a:off x="0" y="0"/>
                      <a:ext cx="3627120" cy="2785745"/>
                    </a:xfrm>
                    <a:prstGeom prst="rect">
                      <a:avLst/>
                    </a:prstGeom>
                    <a:noFill/>
                    <a:ln>
                      <a:noFill/>
                    </a:ln>
                  </pic:spPr>
                </pic:pic>
              </a:graphicData>
            </a:graphic>
          </wp:inline>
        </w:drawing>
      </w:r>
    </w:p>
    <w:p w14:paraId="2161115D">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14</w:t>
      </w:r>
      <w:r>
        <w:fldChar w:fldCharType="end"/>
      </w:r>
      <w:r>
        <w:rPr>
          <w:rFonts w:hint="eastAsia"/>
          <w:lang w:val="en-US" w:eastAsia="zh-CN"/>
        </w:rPr>
        <w:t>拆除起重臂臂节2平面图</w:t>
      </w:r>
    </w:p>
    <w:p w14:paraId="51F903F9">
      <w:pPr>
        <w:ind w:left="0" w:leftChars="0" w:firstLine="0" w:firstLineChars="0"/>
        <w:jc w:val="center"/>
      </w:pPr>
      <w:r>
        <w:drawing>
          <wp:inline distT="0" distB="0" distL="114300" distR="114300">
            <wp:extent cx="2826385" cy="2942590"/>
            <wp:effectExtent l="0" t="0" r="8255" b="13970"/>
            <wp:docPr id="1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5"/>
                    <pic:cNvPicPr>
                      <a:picLocks noChangeAspect="1"/>
                    </pic:cNvPicPr>
                  </pic:nvPicPr>
                  <pic:blipFill>
                    <a:blip r:embed="rId146"/>
                    <a:stretch>
                      <a:fillRect/>
                    </a:stretch>
                  </pic:blipFill>
                  <pic:spPr>
                    <a:xfrm>
                      <a:off x="0" y="0"/>
                      <a:ext cx="2826385" cy="2942590"/>
                    </a:xfrm>
                    <a:prstGeom prst="rect">
                      <a:avLst/>
                    </a:prstGeom>
                    <a:noFill/>
                    <a:ln>
                      <a:noFill/>
                    </a:ln>
                  </pic:spPr>
                </pic:pic>
              </a:graphicData>
            </a:graphic>
          </wp:inline>
        </w:drawing>
      </w:r>
    </w:p>
    <w:p w14:paraId="39E33CAC">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15</w:t>
      </w:r>
      <w:r>
        <w:fldChar w:fldCharType="end"/>
      </w:r>
      <w:r>
        <w:rPr>
          <w:rFonts w:hint="eastAsia"/>
          <w:lang w:val="en-US" w:eastAsia="zh-CN"/>
        </w:rPr>
        <w:t>拆除起重臂臂节2立面图</w:t>
      </w:r>
    </w:p>
    <w:p w14:paraId="01FF0AD2">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6" w:name="_Toc30761"/>
      <w:bookmarkStart w:id="407" w:name="_Toc2837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.6.</w:t>
      </w:r>
      <w:r>
        <w:rPr>
          <w:rFonts w:hint="eastAsia" w:ascii="宋体" w:hAnsi="宋体" w:eastAsia="宋体" w:cstheme="minorBidi"/>
          <w:b/>
          <w:bCs/>
          <w:color w:val="auto"/>
          <w:kern w:val="2"/>
          <w:sz w:val="24"/>
          <w:szCs w:val="32"/>
          <w:lang w:val="en-US" w:eastAsia="zh-CN" w:bidi="ar-SA"/>
        </w:rPr>
        <w:t>拆卸剩余的一块平衡重</w:t>
      </w:r>
      <w:bookmarkEnd w:id="406"/>
      <w:bookmarkEnd w:id="407"/>
    </w:p>
    <w:p w14:paraId="40889533">
      <w:pPr>
        <w:rPr>
          <w:rFonts w:hint="eastAsia" w:ascii="宋体" w:hAnsi="宋体" w:eastAsia="宋体" w:cs="宋体"/>
          <w:lang w:val="en-US" w:eastAsia="zh-CN"/>
        </w:rPr>
      </w:pPr>
      <w:r>
        <w:rPr>
          <w:rFonts w:hint="eastAsia" w:ascii="宋体" w:hAnsi="宋体" w:eastAsia="宋体" w:cs="宋体"/>
          <w:lang w:val="en-US" w:eastAsia="zh-CN"/>
        </w:rPr>
        <w:t>拆除剩余1块3.2t平衡重，起重量为3.2t平衡重&lt;额定起重量7.6t，满足拆除吊装要求。</w:t>
      </w:r>
    </w:p>
    <w:p w14:paraId="0D775152">
      <w:pPr>
        <w:rPr>
          <w:rFonts w:hint="eastAsia" w:ascii="宋体" w:hAnsi="宋体" w:eastAsia="宋体" w:cs="宋体"/>
          <w:lang w:val="en-US" w:eastAsia="zh-CN"/>
        </w:rPr>
      </w:pPr>
      <w:r>
        <w:rPr>
          <w:rFonts w:hint="eastAsia" w:ascii="宋体" w:hAnsi="宋体" w:eastAsia="宋体" w:cs="宋体"/>
          <w:lang w:val="en-US" w:eastAsia="zh-CN"/>
        </w:rPr>
        <w:t>平衡重吊装采用两点吊，以平衡重顶部预埋的2个吊耳板作为吊装孔，采用2根16mm6×19W+IWR1870Mpa的钢丝绳配套GB/T 25854-6-DW5卸扣进行起吊。</w:t>
      </w:r>
    </w:p>
    <w:p w14:paraId="1C1F0060">
      <w:pPr>
        <w:rPr>
          <w:rFonts w:hint="eastAsia" w:ascii="宋体" w:hAnsi="宋体" w:eastAsia="宋体" w:cs="宋体"/>
          <w:lang w:val="en-US" w:eastAsia="zh-CN"/>
        </w:rPr>
      </w:pPr>
      <w:r>
        <w:rPr>
          <w:rFonts w:hint="eastAsia" w:ascii="宋体" w:hAnsi="宋体" w:eastAsia="宋体" w:cs="宋体"/>
        </w:rPr>
        <w:t>作业人员在地面上先将钢丝绳一端挂在</w:t>
      </w:r>
      <w:r>
        <w:rPr>
          <w:rFonts w:hint="eastAsia" w:ascii="宋体" w:hAnsi="宋体" w:eastAsia="宋体" w:cs="宋体"/>
          <w:lang w:val="en-US" w:eastAsia="zh-CN"/>
        </w:rPr>
        <w:t>汽车吊</w:t>
      </w:r>
      <w:r>
        <w:rPr>
          <w:rFonts w:hint="eastAsia" w:ascii="宋体" w:hAnsi="宋体" w:eastAsia="宋体" w:cs="宋体"/>
        </w:rPr>
        <w:t>吊钩上，另一端与卸扣连接，启动</w:t>
      </w:r>
      <w:r>
        <w:rPr>
          <w:rFonts w:hint="eastAsia" w:ascii="宋体" w:hAnsi="宋体" w:eastAsia="宋体" w:cs="宋体"/>
          <w:lang w:eastAsia="zh-CN"/>
        </w:rPr>
        <w:t>汽车吊</w:t>
      </w:r>
      <w:r>
        <w:rPr>
          <w:rFonts w:hint="eastAsia" w:ascii="宋体" w:hAnsi="宋体" w:eastAsia="宋体" w:cs="宋体"/>
        </w:rPr>
        <w:t>，将卸扣缓慢提升至平衡重上方时，缓慢放松吊钩，作业人员通过平衡臂走道走行至平衡臂尾部，将安全带系挂在平衡臂横杆上，再将卸扣与平衡重吊耳通过销轴连接，打开平衡臂尾部的挡杆。</w:t>
      </w:r>
      <w:r>
        <w:rPr>
          <w:rFonts w:hint="eastAsia" w:ascii="宋体" w:hAnsi="宋体" w:eastAsia="宋体" w:cs="宋体"/>
          <w:lang w:eastAsia="zh-CN"/>
        </w:rPr>
        <w:t>汽车吊</w:t>
      </w:r>
      <w:r>
        <w:rPr>
          <w:rFonts w:hint="eastAsia" w:ascii="宋体" w:hAnsi="宋体" w:eastAsia="宋体" w:cs="宋体"/>
        </w:rPr>
        <w:t>起升吊钩，将平衡重竖直起吊一定高度后，解除平衡重孔的销轴，</w:t>
      </w:r>
      <w:r>
        <w:rPr>
          <w:rFonts w:hint="eastAsia" w:ascii="宋体" w:hAnsi="宋体" w:eastAsia="宋体" w:cs="宋体"/>
          <w:lang w:eastAsia="zh-CN"/>
        </w:rPr>
        <w:t>汽车吊</w:t>
      </w:r>
      <w:r>
        <w:rPr>
          <w:rFonts w:hint="eastAsia" w:ascii="宋体" w:hAnsi="宋体" w:eastAsia="宋体" w:cs="宋体"/>
        </w:rPr>
        <w:t>将平衡重沿平衡臂尾部槽口缓慢向外移出平衡臂，将平衡重下</w:t>
      </w:r>
      <w:r>
        <w:rPr>
          <w:rFonts w:hint="eastAsia" w:ascii="宋体" w:hAnsi="宋体" w:eastAsia="宋体" w:cs="宋体"/>
          <w:lang w:val="en-US" w:eastAsia="zh-CN"/>
        </w:rPr>
        <w:t>放至地面，作业人员在地面上解除卸扣与平衡重吊耳的连接。</w:t>
      </w:r>
    </w:p>
    <w:p w14:paraId="7816A37B">
      <w:pPr>
        <w:autoSpaceDE w:val="0"/>
        <w:autoSpaceDN w:val="0"/>
        <w:adjustRightInd w:val="0"/>
        <w:ind w:firstLine="480"/>
        <w:rPr>
          <w:rFonts w:hint="eastAsia" w:ascii="宋体" w:hAnsi="宋体" w:eastAsia="宋体" w:cs="宋体"/>
          <w:lang w:val="en-US" w:eastAsia="zh-CN"/>
        </w:rPr>
      </w:pPr>
      <w:r>
        <w:rPr>
          <w:rFonts w:hint="eastAsia" w:ascii="宋体" w:hAnsi="宋体" w:eastAsia="宋体" w:cs="宋体"/>
          <w:lang w:val="en-US" w:eastAsia="zh-CN"/>
        </w:rPr>
        <w:t>塔式起重机平衡重拆除时设置警戒区，起吊安排专人负责指挥，专人操作，严禁无关人员进入起重作业范围内。</w:t>
      </w:r>
    </w:p>
    <w:p w14:paraId="4EC93283">
      <w:pPr>
        <w:ind w:left="0" w:leftChars="0" w:firstLine="0" w:firstLineChars="0"/>
        <w:jc w:val="center"/>
      </w:pPr>
      <w:r>
        <w:drawing>
          <wp:inline distT="0" distB="0" distL="114300" distR="114300">
            <wp:extent cx="4486910" cy="2706370"/>
            <wp:effectExtent l="0" t="0" r="8890" b="6350"/>
            <wp:docPr id="2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0"/>
                    <pic:cNvPicPr>
                      <a:picLocks noChangeAspect="1"/>
                    </pic:cNvPicPr>
                  </pic:nvPicPr>
                  <pic:blipFill>
                    <a:blip r:embed="rId147"/>
                    <a:stretch>
                      <a:fillRect/>
                    </a:stretch>
                  </pic:blipFill>
                  <pic:spPr>
                    <a:xfrm>
                      <a:off x="0" y="0"/>
                      <a:ext cx="4486910" cy="2706370"/>
                    </a:xfrm>
                    <a:prstGeom prst="rect">
                      <a:avLst/>
                    </a:prstGeom>
                    <a:noFill/>
                    <a:ln>
                      <a:noFill/>
                    </a:ln>
                  </pic:spPr>
                </pic:pic>
              </a:graphicData>
            </a:graphic>
          </wp:inline>
        </w:drawing>
      </w:r>
    </w:p>
    <w:p w14:paraId="42D65C93">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16</w:t>
      </w:r>
      <w:r>
        <w:fldChar w:fldCharType="end"/>
      </w:r>
      <w:r>
        <w:rPr>
          <w:rFonts w:hint="eastAsia"/>
          <w:lang w:val="en-US" w:eastAsia="zh-CN"/>
        </w:rPr>
        <w:t>拆除剩余平衡重平面图</w:t>
      </w:r>
    </w:p>
    <w:p w14:paraId="270B8F30">
      <w:pPr>
        <w:ind w:left="0" w:leftChars="0" w:firstLine="0" w:firstLineChars="0"/>
        <w:jc w:val="center"/>
        <w:rPr>
          <w:rFonts w:hint="eastAsia" w:ascii="Times New Roman" w:hAnsi="Times New Roman"/>
          <w:lang w:val="en-US" w:eastAsia="zh-CN"/>
        </w:rPr>
      </w:pPr>
      <w:r>
        <w:drawing>
          <wp:inline distT="0" distB="0" distL="114300" distR="114300">
            <wp:extent cx="3630295" cy="2811145"/>
            <wp:effectExtent l="0" t="0" r="12065" b="8255"/>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3"/>
                    <pic:cNvPicPr>
                      <a:picLocks noChangeAspect="1"/>
                    </pic:cNvPicPr>
                  </pic:nvPicPr>
                  <pic:blipFill>
                    <a:blip r:embed="rId148"/>
                    <a:stretch>
                      <a:fillRect/>
                    </a:stretch>
                  </pic:blipFill>
                  <pic:spPr>
                    <a:xfrm>
                      <a:off x="0" y="0"/>
                      <a:ext cx="3630295" cy="2811145"/>
                    </a:xfrm>
                    <a:prstGeom prst="rect">
                      <a:avLst/>
                    </a:prstGeom>
                    <a:noFill/>
                    <a:ln>
                      <a:noFill/>
                    </a:ln>
                  </pic:spPr>
                </pic:pic>
              </a:graphicData>
            </a:graphic>
          </wp:inline>
        </w:drawing>
      </w:r>
    </w:p>
    <w:p w14:paraId="48123EF9">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17</w:t>
      </w:r>
      <w:r>
        <w:fldChar w:fldCharType="end"/>
      </w:r>
      <w:r>
        <w:rPr>
          <w:rFonts w:hint="eastAsia"/>
          <w:lang w:val="en-US" w:eastAsia="zh-CN"/>
        </w:rPr>
        <w:t>拆除剩余平衡重立面图</w:t>
      </w:r>
    </w:p>
    <w:p w14:paraId="6B436D04">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08" w:name="_Toc29088"/>
      <w:bookmarkStart w:id="409" w:name="_Toc749"/>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.7.</w:t>
      </w:r>
      <w:r>
        <w:rPr>
          <w:rFonts w:hint="eastAsia" w:ascii="宋体" w:hAnsi="宋体" w:eastAsia="宋体" w:cstheme="minorBidi"/>
          <w:b/>
          <w:bCs/>
          <w:color w:val="auto"/>
          <w:kern w:val="2"/>
          <w:sz w:val="24"/>
          <w:szCs w:val="32"/>
          <w:lang w:val="en-US" w:eastAsia="zh-CN" w:bidi="ar-SA"/>
        </w:rPr>
        <w:t>拆卸平衡臂</w:t>
      </w:r>
      <w:bookmarkEnd w:id="408"/>
      <w:bookmarkEnd w:id="409"/>
    </w:p>
    <w:p w14:paraId="31552245">
      <w:pPr>
        <w:rPr>
          <w:rFonts w:hint="eastAsia" w:ascii="宋体" w:hAnsi="宋体" w:eastAsia="宋体" w:cs="宋体"/>
          <w:lang w:val="en-US" w:eastAsia="zh-CN"/>
        </w:rPr>
      </w:pPr>
      <w:r>
        <w:rPr>
          <w:rFonts w:hint="eastAsia" w:ascii="宋体" w:hAnsi="宋体" w:eastAsia="宋体" w:cs="宋体"/>
          <w:lang w:val="en-US" w:eastAsia="zh-CN"/>
        </w:rPr>
        <w:t>平衡臂重量为5.2t，25t汽车吊位置不变，额定起重量为7.6</w:t>
      </w:r>
      <w:r>
        <w:rPr>
          <w:rFonts w:hint="eastAsia" w:ascii="宋体" w:hAnsi="宋体" w:eastAsia="宋体" w:cs="宋体"/>
        </w:rPr>
        <w:t>t&gt;</w:t>
      </w:r>
      <w:r>
        <w:rPr>
          <w:rFonts w:hint="eastAsia" w:ascii="宋体" w:hAnsi="宋体" w:eastAsia="宋体" w:cs="宋体"/>
          <w:lang w:val="en-US" w:eastAsia="zh-CN"/>
        </w:rPr>
        <w:t>5.2</w:t>
      </w:r>
      <w:r>
        <w:rPr>
          <w:rFonts w:hint="eastAsia" w:ascii="宋体" w:hAnsi="宋体" w:eastAsia="宋体" w:cs="宋体"/>
        </w:rPr>
        <w:t>t</w:t>
      </w:r>
      <w:r>
        <w:rPr>
          <w:rFonts w:hint="eastAsia" w:ascii="宋体" w:hAnsi="宋体" w:eastAsia="宋体" w:cs="宋体"/>
          <w:lang w:val="en-US" w:eastAsia="zh-CN"/>
        </w:rPr>
        <w:t>，满足拆除吊装要求。</w:t>
      </w:r>
    </w:p>
    <w:p w14:paraId="6664F25D">
      <w:pPr>
        <w:rPr>
          <w:rFonts w:hint="eastAsia" w:ascii="宋体" w:hAnsi="宋体" w:eastAsia="宋体" w:cs="宋体"/>
          <w:lang w:val="en-US" w:eastAsia="zh-CN"/>
        </w:rPr>
      </w:pPr>
      <w:r>
        <w:rPr>
          <w:rFonts w:hint="eastAsia" w:ascii="宋体" w:hAnsi="宋体" w:eastAsia="宋体" w:cs="宋体"/>
          <w:lang w:val="en-US" w:eastAsia="zh-CN"/>
        </w:rPr>
        <w:t>平衡臂吊装采用四点吊，以平衡臂顶部4个吊耳板作为吊装孔，采用4根18mm6×19W+IWR1870Mpa的钢丝绳配套GB/T 25854-6-DW5卸扣进行起吊。</w:t>
      </w:r>
    </w:p>
    <w:p w14:paraId="257AD8D9">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栓好2根溜绳。作业人员通过平衡臂走道走行至起重臂臂根节处，将安全带系挂在起重臂臂根节的横杆上，汽车吊稍微提起平衡臂，使吊装钢丝绳和平衡臂处于紧绷状态，拆除拉杆和起重臂臂根节的连接销轴，采用汽车吊提升平衡臂，使平衡臂与起重臂臂根节倾斜至一定角度，拆除平衡臂和起重臂臂根节连接销轴。汽车吊起升吊钩，将平衡臂提升至一定安全高度后，再将平衡臂下放至地面，作业人员在地面上解除卸扣与平衡臂吊耳的连接。</w:t>
      </w:r>
    </w:p>
    <w:p w14:paraId="27840F44">
      <w:pPr>
        <w:rPr>
          <w:rFonts w:hint="eastAsia" w:ascii="宋体" w:hAnsi="宋体" w:eastAsia="宋体" w:cs="宋体"/>
          <w:lang w:val="en-US" w:eastAsia="zh-CN"/>
        </w:rPr>
      </w:pPr>
      <w:r>
        <w:rPr>
          <w:rFonts w:hint="eastAsia" w:ascii="宋体" w:hAnsi="宋体" w:eastAsia="宋体" w:cs="宋体"/>
          <w:lang w:val="en-US" w:eastAsia="zh-CN"/>
        </w:rPr>
        <w:t>塔式起重机平衡臂拆除时设置警戒区，起吊安排专人负责指挥，专人操作，严禁无关人员进入起重作业范围内。</w:t>
      </w:r>
    </w:p>
    <w:p w14:paraId="34F52035">
      <w:pPr>
        <w:numPr>
          <w:ilvl w:val="0"/>
          <w:numId w:val="0"/>
        </w:numPr>
        <w:ind w:leftChars="200"/>
        <w:jc w:val="center"/>
      </w:pPr>
      <w:r>
        <w:drawing>
          <wp:inline distT="0" distB="0" distL="114300" distR="114300">
            <wp:extent cx="4486910" cy="2706370"/>
            <wp:effectExtent l="0" t="0" r="8890" b="6350"/>
            <wp:docPr id="2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1"/>
                    <pic:cNvPicPr>
                      <a:picLocks noChangeAspect="1"/>
                    </pic:cNvPicPr>
                  </pic:nvPicPr>
                  <pic:blipFill>
                    <a:blip r:embed="rId147"/>
                    <a:stretch>
                      <a:fillRect/>
                    </a:stretch>
                  </pic:blipFill>
                  <pic:spPr>
                    <a:xfrm>
                      <a:off x="0" y="0"/>
                      <a:ext cx="4486910" cy="2706370"/>
                    </a:xfrm>
                    <a:prstGeom prst="rect">
                      <a:avLst/>
                    </a:prstGeom>
                    <a:noFill/>
                    <a:ln>
                      <a:noFill/>
                    </a:ln>
                  </pic:spPr>
                </pic:pic>
              </a:graphicData>
            </a:graphic>
          </wp:inline>
        </w:drawing>
      </w:r>
    </w:p>
    <w:p w14:paraId="4FF39F1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18</w:t>
      </w:r>
      <w:r>
        <w:fldChar w:fldCharType="end"/>
      </w:r>
      <w:r>
        <w:rPr>
          <w:rFonts w:hint="eastAsia"/>
          <w:lang w:val="en-US" w:eastAsia="zh-CN"/>
        </w:rPr>
        <w:t>拆除平衡臂平面图</w:t>
      </w:r>
    </w:p>
    <w:p w14:paraId="71FE9BEE">
      <w:pPr>
        <w:autoSpaceDE w:val="0"/>
        <w:autoSpaceDN w:val="0"/>
        <w:adjustRightInd w:val="0"/>
        <w:ind w:firstLine="0" w:firstLineChars="0"/>
        <w:jc w:val="center"/>
      </w:pPr>
      <w:r>
        <w:drawing>
          <wp:inline distT="0" distB="0" distL="114300" distR="114300">
            <wp:extent cx="3197860" cy="2923540"/>
            <wp:effectExtent l="0" t="0" r="2540" b="2540"/>
            <wp:docPr id="1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2"/>
                    <pic:cNvPicPr>
                      <a:picLocks noChangeAspect="1"/>
                    </pic:cNvPicPr>
                  </pic:nvPicPr>
                  <pic:blipFill>
                    <a:blip r:embed="rId149"/>
                    <a:stretch>
                      <a:fillRect/>
                    </a:stretch>
                  </pic:blipFill>
                  <pic:spPr>
                    <a:xfrm>
                      <a:off x="0" y="0"/>
                      <a:ext cx="3197860" cy="2923540"/>
                    </a:xfrm>
                    <a:prstGeom prst="rect">
                      <a:avLst/>
                    </a:prstGeom>
                    <a:noFill/>
                    <a:ln>
                      <a:noFill/>
                    </a:ln>
                  </pic:spPr>
                </pic:pic>
              </a:graphicData>
            </a:graphic>
          </wp:inline>
        </w:drawing>
      </w:r>
    </w:p>
    <w:p w14:paraId="217EA73F">
      <w:pPr>
        <w:numPr>
          <w:ilvl w:val="0"/>
          <w:numId w:val="0"/>
        </w:numPr>
        <w:ind w:leftChars="200"/>
        <w:jc w:val="center"/>
        <w:rPr>
          <w:rFonts w:hint="eastAsia" w:ascii="Times New Roman" w:hAnsi="Times New Roman" w:eastAsia="宋体" w:cs="Times New Roman"/>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19</w:t>
      </w:r>
      <w:r>
        <w:fldChar w:fldCharType="end"/>
      </w:r>
      <w:r>
        <w:rPr>
          <w:rFonts w:hint="eastAsia"/>
          <w:lang w:val="en-US" w:eastAsia="zh-CN"/>
        </w:rPr>
        <w:t>拆除平衡臂立面图</w:t>
      </w:r>
    </w:p>
    <w:p w14:paraId="2415CFE6">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0" w:name="_Toc28937"/>
      <w:bookmarkStart w:id="411" w:name="_Toc2618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.8.</w:t>
      </w:r>
      <w:r>
        <w:rPr>
          <w:rFonts w:hint="eastAsia" w:ascii="宋体" w:hAnsi="宋体" w:eastAsia="宋体" w:cstheme="minorBidi"/>
          <w:b/>
          <w:bCs/>
          <w:color w:val="auto"/>
          <w:kern w:val="2"/>
          <w:sz w:val="24"/>
          <w:szCs w:val="32"/>
          <w:lang w:val="en-US" w:eastAsia="zh-CN" w:bidi="ar-SA"/>
        </w:rPr>
        <w:t>拆卸起重臂臂根节</w:t>
      </w:r>
      <w:bookmarkEnd w:id="410"/>
      <w:bookmarkEnd w:id="411"/>
    </w:p>
    <w:p w14:paraId="0A69C265">
      <w:pPr>
        <w:rPr>
          <w:rFonts w:hint="eastAsia" w:ascii="宋体" w:hAnsi="宋体" w:eastAsia="宋体" w:cs="宋体"/>
          <w:lang w:val="en-US" w:eastAsia="zh-CN"/>
        </w:rPr>
      </w:pPr>
      <w:r>
        <w:rPr>
          <w:rFonts w:hint="eastAsia" w:ascii="宋体" w:hAnsi="宋体" w:eastAsia="宋体" w:cs="宋体"/>
        </w:rPr>
        <w:t>起重臂臂根节</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3.8</w:t>
      </w:r>
      <w:r>
        <w:rPr>
          <w:rFonts w:hint="eastAsia" w:ascii="宋体" w:hAnsi="宋体" w:eastAsia="宋体" w:cs="宋体"/>
        </w:rPr>
        <w:t>t</w:t>
      </w:r>
      <w:r>
        <w:rPr>
          <w:rFonts w:hint="eastAsia" w:ascii="宋体" w:hAnsi="宋体" w:eastAsia="宋体" w:cs="宋体"/>
          <w:lang w:val="en-US" w:eastAsia="zh-CN"/>
        </w:rPr>
        <w:t>，满足拆除吊装要求。</w:t>
      </w:r>
    </w:p>
    <w:p w14:paraId="3DF57252">
      <w:pPr>
        <w:rPr>
          <w:rFonts w:hint="eastAsia" w:ascii="宋体" w:hAnsi="宋体" w:eastAsia="宋体" w:cs="宋体"/>
          <w:highlight w:val="none"/>
        </w:rPr>
      </w:pPr>
      <w:r>
        <w:rPr>
          <w:rFonts w:hint="eastAsia" w:ascii="宋体" w:hAnsi="宋体" w:eastAsia="宋体" w:cs="宋体"/>
          <w:lang w:val="en-US" w:eastAsia="zh-CN"/>
        </w:rPr>
        <w:t>臂根节吊装采用四点吊，以平衡臂顶部4个吊耳板作为吊装孔，采用4根18mm6×19W+IWR1870Mpa的钢丝绳配套GB/T 25854-6-DW5卸扣进行起吊。</w:t>
      </w:r>
    </w:p>
    <w:p w14:paraId="17865F92">
      <w:pPr>
        <w:rPr>
          <w:rFonts w:hint="eastAsia" w:ascii="宋体" w:hAnsi="宋体" w:eastAsia="宋体" w:cs="宋体"/>
          <w:lang w:val="en-US" w:eastAsia="zh-CN"/>
        </w:rPr>
      </w:pPr>
      <w:r>
        <w:rPr>
          <w:rFonts w:hint="eastAsia" w:ascii="宋体" w:hAnsi="宋体" w:eastAsia="宋体" w:cs="宋体"/>
          <w:highlight w:val="none"/>
        </w:rPr>
        <w:t>作业人员在地面上先将钢丝绳一端挂在</w:t>
      </w:r>
      <w:r>
        <w:rPr>
          <w:rFonts w:hint="eastAsia" w:ascii="宋体" w:hAnsi="宋体" w:eastAsia="宋体" w:cs="宋体"/>
          <w:highlight w:val="none"/>
          <w:lang w:eastAsia="zh-CN"/>
        </w:rPr>
        <w:t>汽车吊</w:t>
      </w:r>
      <w:r>
        <w:rPr>
          <w:rFonts w:hint="eastAsia" w:ascii="宋体" w:hAnsi="宋体" w:eastAsia="宋体" w:cs="宋体"/>
          <w:highlight w:val="none"/>
        </w:rPr>
        <w:t>吊钩上，启动</w:t>
      </w:r>
      <w:r>
        <w:rPr>
          <w:rFonts w:hint="eastAsia" w:ascii="宋体" w:hAnsi="宋体" w:eastAsia="宋体" w:cs="宋体"/>
          <w:highlight w:val="none"/>
          <w:lang w:eastAsia="zh-CN"/>
        </w:rPr>
        <w:t>汽车吊</w:t>
      </w:r>
      <w:r>
        <w:rPr>
          <w:rFonts w:hint="eastAsia" w:ascii="宋体" w:hAnsi="宋体" w:eastAsia="宋体" w:cs="宋体"/>
          <w:highlight w:val="none"/>
        </w:rPr>
        <w:t>，将钢丝绳缓慢提升至</w:t>
      </w:r>
      <w:r>
        <w:rPr>
          <w:rFonts w:hint="eastAsia" w:ascii="宋体" w:hAnsi="宋体" w:eastAsia="宋体" w:cs="宋体"/>
          <w:highlight w:val="none"/>
          <w:lang w:val="en-US" w:eastAsia="zh-CN"/>
        </w:rPr>
        <w:t>臂根节</w:t>
      </w:r>
      <w:r>
        <w:rPr>
          <w:rFonts w:hint="eastAsia" w:ascii="宋体" w:hAnsi="宋体" w:eastAsia="宋体" w:cs="宋体"/>
          <w:highlight w:val="none"/>
        </w:rPr>
        <w:t>上方时，作业人员通过爬梯爬至回转总成平台上，将安全带交替系挂在</w:t>
      </w:r>
      <w:r>
        <w:rPr>
          <w:rFonts w:hint="eastAsia" w:ascii="宋体" w:hAnsi="宋体" w:eastAsia="宋体" w:cs="宋体"/>
          <w:highlight w:val="none"/>
          <w:lang w:val="en-US" w:eastAsia="zh-CN"/>
        </w:rPr>
        <w:t>臂根节</w:t>
      </w:r>
      <w:r>
        <w:rPr>
          <w:rFonts w:hint="eastAsia" w:ascii="宋体" w:hAnsi="宋体" w:eastAsia="宋体" w:cs="宋体"/>
          <w:highlight w:val="none"/>
        </w:rPr>
        <w:t>安全绳上，沿下弦杆走行至</w:t>
      </w:r>
      <w:r>
        <w:rPr>
          <w:rFonts w:hint="eastAsia" w:ascii="宋体" w:hAnsi="宋体" w:eastAsia="宋体" w:cs="宋体"/>
          <w:highlight w:val="none"/>
          <w:lang w:val="en-US" w:eastAsia="zh-CN"/>
        </w:rPr>
        <w:t>臂根节</w:t>
      </w:r>
      <w:r>
        <w:rPr>
          <w:rFonts w:hint="eastAsia" w:ascii="宋体" w:hAnsi="宋体" w:eastAsia="宋体" w:cs="宋体"/>
          <w:highlight w:val="none"/>
        </w:rPr>
        <w:t>吊点位置处。</w:t>
      </w:r>
      <w:r>
        <w:rPr>
          <w:rFonts w:hint="eastAsia" w:ascii="宋体" w:hAnsi="宋体" w:eastAsia="宋体" w:cs="宋体"/>
          <w:highlight w:val="none"/>
          <w:lang w:eastAsia="zh-CN"/>
        </w:rPr>
        <w:t>汽车吊</w:t>
      </w:r>
      <w:r>
        <w:rPr>
          <w:rFonts w:hint="eastAsia" w:ascii="宋体" w:hAnsi="宋体" w:eastAsia="宋体" w:cs="宋体"/>
          <w:highlight w:val="none"/>
        </w:rPr>
        <w:t>放松吊钩，将另一端钢丝绳与</w:t>
      </w:r>
      <w:r>
        <w:rPr>
          <w:rFonts w:hint="eastAsia" w:ascii="宋体" w:hAnsi="宋体" w:eastAsia="宋体" w:cs="宋体"/>
          <w:highlight w:val="none"/>
          <w:lang w:val="en-US" w:eastAsia="zh-CN"/>
        </w:rPr>
        <w:t>臂根节</w:t>
      </w:r>
      <w:r>
        <w:rPr>
          <w:rFonts w:hint="eastAsia" w:ascii="宋体" w:hAnsi="宋体" w:eastAsia="宋体" w:cs="宋体"/>
          <w:highlight w:val="none"/>
        </w:rPr>
        <w:t>腹杆节点捆绑连接，采用卸扣固定，同时在</w:t>
      </w:r>
      <w:r>
        <w:rPr>
          <w:rFonts w:hint="eastAsia" w:ascii="宋体" w:hAnsi="宋体" w:eastAsia="宋体" w:cs="宋体"/>
          <w:highlight w:val="none"/>
          <w:lang w:val="en-US" w:eastAsia="zh-CN"/>
        </w:rPr>
        <w:t>臂根节</w:t>
      </w:r>
      <w:r>
        <w:rPr>
          <w:rFonts w:hint="eastAsia" w:ascii="宋体" w:hAnsi="宋体" w:eastAsia="宋体" w:cs="宋体"/>
          <w:highlight w:val="none"/>
        </w:rPr>
        <w:t>腹杆上栓好2根溜绳。作业人员沿下弦杆走行至</w:t>
      </w:r>
      <w:r>
        <w:rPr>
          <w:rFonts w:hint="eastAsia" w:ascii="宋体" w:hAnsi="宋体" w:eastAsia="宋体" w:cs="宋体"/>
          <w:highlight w:val="none"/>
          <w:lang w:val="en-US" w:eastAsia="zh-CN"/>
        </w:rPr>
        <w:t>回转总成平台上</w:t>
      </w:r>
      <w:r>
        <w:rPr>
          <w:rFonts w:hint="eastAsia" w:ascii="宋体" w:hAnsi="宋体" w:eastAsia="宋体" w:cs="宋体"/>
          <w:highlight w:val="none"/>
        </w:rPr>
        <w:t>，</w:t>
      </w:r>
      <w:r>
        <w:rPr>
          <w:rFonts w:hint="eastAsia" w:ascii="宋体" w:hAnsi="宋体" w:eastAsia="宋体" w:cs="宋体"/>
          <w:highlight w:val="none"/>
          <w:lang w:eastAsia="zh-CN"/>
        </w:rPr>
        <w:t>汽车吊</w:t>
      </w:r>
      <w:r>
        <w:rPr>
          <w:rFonts w:hint="eastAsia" w:ascii="宋体" w:hAnsi="宋体" w:eastAsia="宋体" w:cs="宋体"/>
          <w:highlight w:val="none"/>
        </w:rPr>
        <w:t>轻轻将</w:t>
      </w:r>
      <w:r>
        <w:rPr>
          <w:rFonts w:hint="eastAsia" w:ascii="宋体" w:hAnsi="宋体" w:eastAsia="宋体" w:cs="宋体"/>
          <w:highlight w:val="none"/>
          <w:lang w:val="en-US" w:eastAsia="zh-CN"/>
        </w:rPr>
        <w:t>臂根节</w:t>
      </w:r>
      <w:r>
        <w:rPr>
          <w:rFonts w:hint="eastAsia" w:ascii="宋体" w:hAnsi="宋体" w:eastAsia="宋体" w:cs="宋体"/>
          <w:highlight w:val="none"/>
        </w:rPr>
        <w:t>往上抬，拆除</w:t>
      </w:r>
      <w:r>
        <w:rPr>
          <w:rFonts w:hint="eastAsia" w:ascii="宋体" w:hAnsi="宋体" w:eastAsia="宋体" w:cs="宋体"/>
          <w:highlight w:val="none"/>
          <w:lang w:val="en-US" w:eastAsia="zh-CN"/>
        </w:rPr>
        <w:t>臂根节</w:t>
      </w:r>
      <w:r>
        <w:rPr>
          <w:rFonts w:hint="eastAsia" w:ascii="宋体" w:hAnsi="宋体" w:eastAsia="宋体" w:cs="宋体"/>
          <w:highlight w:val="none"/>
        </w:rPr>
        <w:t>和</w:t>
      </w:r>
      <w:r>
        <w:rPr>
          <w:rFonts w:hint="eastAsia" w:ascii="宋体" w:hAnsi="宋体" w:eastAsia="宋体" w:cs="宋体"/>
          <w:highlight w:val="none"/>
          <w:lang w:val="en-US" w:eastAsia="zh-CN"/>
        </w:rPr>
        <w:t>回转上支座</w:t>
      </w:r>
      <w:r>
        <w:rPr>
          <w:rFonts w:hint="eastAsia" w:ascii="宋体" w:hAnsi="宋体" w:eastAsia="宋体" w:cs="宋体"/>
          <w:highlight w:val="none"/>
        </w:rPr>
        <w:t>的连接销轴，</w:t>
      </w:r>
      <w:r>
        <w:rPr>
          <w:rFonts w:hint="eastAsia" w:ascii="宋体" w:hAnsi="宋体" w:eastAsia="宋体" w:cs="宋体"/>
          <w:highlight w:val="none"/>
          <w:lang w:eastAsia="zh-CN"/>
        </w:rPr>
        <w:t>汽车吊</w:t>
      </w:r>
      <w:r>
        <w:rPr>
          <w:rFonts w:hint="eastAsia" w:ascii="宋体" w:hAnsi="宋体" w:eastAsia="宋体" w:cs="宋体"/>
          <w:highlight w:val="none"/>
        </w:rPr>
        <w:t>起升吊钩，将起重臂竖直起吊一定安全高度后，再将</w:t>
      </w:r>
      <w:r>
        <w:rPr>
          <w:rFonts w:hint="eastAsia" w:ascii="宋体" w:hAnsi="宋体" w:eastAsia="宋体" w:cs="宋体"/>
          <w:highlight w:val="none"/>
          <w:lang w:val="en-US" w:eastAsia="zh-CN"/>
        </w:rPr>
        <w:t>臂根节</w:t>
      </w:r>
      <w:r>
        <w:rPr>
          <w:rFonts w:hint="eastAsia" w:ascii="宋体" w:hAnsi="宋体" w:eastAsia="宋体" w:cs="宋体"/>
          <w:highlight w:val="none"/>
        </w:rPr>
        <w:t>下放至地面，稳固后</w:t>
      </w:r>
      <w:r>
        <w:rPr>
          <w:rFonts w:hint="eastAsia" w:ascii="宋体" w:hAnsi="宋体" w:eastAsia="宋体" w:cs="宋体"/>
          <w:highlight w:val="none"/>
          <w:lang w:eastAsia="zh-CN"/>
        </w:rPr>
        <w:t>汽车吊</w:t>
      </w:r>
      <w:r>
        <w:rPr>
          <w:rFonts w:hint="eastAsia" w:ascii="宋体" w:hAnsi="宋体" w:eastAsia="宋体" w:cs="宋体"/>
          <w:highlight w:val="none"/>
        </w:rPr>
        <w:t>放松吊钩，作业人员在地面上解除钢丝绳与</w:t>
      </w:r>
      <w:r>
        <w:rPr>
          <w:rFonts w:hint="eastAsia" w:ascii="宋体" w:hAnsi="宋体" w:eastAsia="宋体" w:cs="宋体"/>
          <w:highlight w:val="none"/>
          <w:lang w:val="en-US" w:eastAsia="zh-CN"/>
        </w:rPr>
        <w:t>臂根节</w:t>
      </w:r>
      <w:r>
        <w:rPr>
          <w:rFonts w:hint="eastAsia" w:ascii="宋体" w:hAnsi="宋体" w:eastAsia="宋体" w:cs="宋体"/>
          <w:lang w:val="en-US" w:eastAsia="zh-CN"/>
        </w:rPr>
        <w:t>吊点的连接。</w:t>
      </w:r>
    </w:p>
    <w:p w14:paraId="7804B643">
      <w:pPr>
        <w:rPr>
          <w:rFonts w:hint="eastAsia" w:ascii="宋体" w:hAnsi="宋体" w:eastAsia="宋体" w:cs="宋体"/>
          <w:lang w:val="en-US" w:eastAsia="zh-CN"/>
        </w:rPr>
      </w:pPr>
      <w:r>
        <w:rPr>
          <w:rFonts w:hint="eastAsia" w:ascii="宋体" w:hAnsi="宋体" w:eastAsia="宋体" w:cs="宋体"/>
          <w:lang w:val="en-US" w:eastAsia="zh-CN"/>
        </w:rPr>
        <w:t>塔式起重机臂根节拆除时设置警戒区，起吊安排专人负责指挥，专人操作，严禁无关人员进入起重作业范围内。</w:t>
      </w:r>
    </w:p>
    <w:p w14:paraId="7B075CC2">
      <w:pPr>
        <w:pStyle w:val="20"/>
        <w:ind w:firstLine="0" w:firstLineChars="0"/>
        <w:jc w:val="center"/>
      </w:pPr>
      <w:r>
        <w:drawing>
          <wp:inline distT="0" distB="0" distL="114300" distR="114300">
            <wp:extent cx="3486785" cy="2121535"/>
            <wp:effectExtent l="0" t="0" r="3175" b="12065"/>
            <wp:docPr id="2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2"/>
                    <pic:cNvPicPr>
                      <a:picLocks noChangeAspect="1"/>
                    </pic:cNvPicPr>
                  </pic:nvPicPr>
                  <pic:blipFill>
                    <a:blip r:embed="rId150"/>
                    <a:stretch>
                      <a:fillRect/>
                    </a:stretch>
                  </pic:blipFill>
                  <pic:spPr>
                    <a:xfrm>
                      <a:off x="0" y="0"/>
                      <a:ext cx="3486785" cy="2121535"/>
                    </a:xfrm>
                    <a:prstGeom prst="rect">
                      <a:avLst/>
                    </a:prstGeom>
                    <a:noFill/>
                    <a:ln>
                      <a:noFill/>
                    </a:ln>
                  </pic:spPr>
                </pic:pic>
              </a:graphicData>
            </a:graphic>
          </wp:inline>
        </w:drawing>
      </w:r>
    </w:p>
    <w:p w14:paraId="6F76FD98">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20</w:t>
      </w:r>
      <w:r>
        <w:fldChar w:fldCharType="end"/>
      </w:r>
      <w:r>
        <w:rPr>
          <w:rFonts w:hint="eastAsia"/>
          <w:lang w:val="en-US" w:eastAsia="zh-CN"/>
        </w:rPr>
        <w:t>拆除臂根节平面图</w:t>
      </w:r>
    </w:p>
    <w:p w14:paraId="68167C62">
      <w:pPr>
        <w:pStyle w:val="20"/>
        <w:ind w:firstLine="0" w:firstLineChars="0"/>
        <w:jc w:val="center"/>
        <w:rPr>
          <w:rFonts w:hint="eastAsia"/>
          <w:color w:val="auto"/>
          <w:sz w:val="24"/>
          <w:szCs w:val="24"/>
        </w:rPr>
      </w:pPr>
      <w:r>
        <w:drawing>
          <wp:inline distT="0" distB="0" distL="114300" distR="114300">
            <wp:extent cx="3322955" cy="3313430"/>
            <wp:effectExtent l="0" t="0" r="14605" b="889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151"/>
                    <a:stretch>
                      <a:fillRect/>
                    </a:stretch>
                  </pic:blipFill>
                  <pic:spPr>
                    <a:xfrm>
                      <a:off x="0" y="0"/>
                      <a:ext cx="3322955" cy="3313430"/>
                    </a:xfrm>
                    <a:prstGeom prst="rect">
                      <a:avLst/>
                    </a:prstGeom>
                    <a:noFill/>
                    <a:ln>
                      <a:noFill/>
                    </a:ln>
                  </pic:spPr>
                </pic:pic>
              </a:graphicData>
            </a:graphic>
          </wp:inline>
        </w:drawing>
      </w:r>
    </w:p>
    <w:p w14:paraId="47B3A209">
      <w:pPr>
        <w:numPr>
          <w:ilvl w:val="0"/>
          <w:numId w:val="0"/>
        </w:numPr>
        <w:ind w:leftChars="200"/>
        <w:jc w:val="center"/>
        <w:rPr>
          <w:rFonts w:hint="eastAsia"/>
          <w:lang w:val="en-US" w:eastAsia="zh-CN"/>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21</w:t>
      </w:r>
      <w:r>
        <w:fldChar w:fldCharType="end"/>
      </w:r>
      <w:r>
        <w:rPr>
          <w:rFonts w:hint="eastAsia"/>
          <w:lang w:val="en-US" w:eastAsia="zh-CN"/>
        </w:rPr>
        <w:t>拆除臂根节立面图</w:t>
      </w:r>
    </w:p>
    <w:p w14:paraId="725F807C">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2" w:name="_Toc29102"/>
      <w:bookmarkStart w:id="413" w:name="_Toc8441"/>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.9.</w:t>
      </w:r>
      <w:r>
        <w:rPr>
          <w:rFonts w:hint="eastAsia" w:ascii="宋体" w:hAnsi="宋体" w:eastAsia="宋体" w:cstheme="minorBidi"/>
          <w:b/>
          <w:bCs/>
          <w:color w:val="auto"/>
          <w:kern w:val="2"/>
          <w:sz w:val="24"/>
          <w:szCs w:val="32"/>
          <w:lang w:val="en-US" w:eastAsia="zh-CN" w:bidi="ar-SA"/>
        </w:rPr>
        <w:t>拆卸回转总成</w:t>
      </w:r>
      <w:bookmarkEnd w:id="412"/>
      <w:bookmarkEnd w:id="413"/>
    </w:p>
    <w:p w14:paraId="6CD4A53D">
      <w:pPr>
        <w:rPr>
          <w:rFonts w:hint="eastAsia" w:ascii="宋体" w:hAnsi="宋体" w:eastAsia="宋体" w:cs="宋体"/>
          <w:lang w:val="en-US" w:eastAsia="zh-CN"/>
        </w:rPr>
      </w:pPr>
      <w:r>
        <w:rPr>
          <w:rFonts w:hint="eastAsia" w:ascii="宋体" w:hAnsi="宋体" w:eastAsia="宋体" w:cs="宋体"/>
        </w:rPr>
        <w:t>回转总成</w:t>
      </w:r>
      <w:r>
        <w:rPr>
          <w:rFonts w:hint="eastAsia" w:ascii="宋体" w:hAnsi="宋体" w:eastAsia="宋体" w:cs="宋体"/>
          <w:lang w:val="en-US" w:eastAsia="zh-CN"/>
        </w:rPr>
        <w:t>重量</w:t>
      </w:r>
      <w:r>
        <w:rPr>
          <w:rFonts w:hint="eastAsia" w:ascii="宋体" w:hAnsi="宋体" w:eastAsia="宋体" w:cs="宋体"/>
        </w:rPr>
        <w:t>为</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4.758</w:t>
      </w:r>
      <w:r>
        <w:rPr>
          <w:rFonts w:hint="eastAsia" w:ascii="宋体" w:hAnsi="宋体" w:eastAsia="宋体" w:cs="宋体"/>
        </w:rPr>
        <w:t>t</w:t>
      </w:r>
      <w:r>
        <w:rPr>
          <w:rFonts w:hint="eastAsia" w:ascii="宋体" w:hAnsi="宋体" w:eastAsia="宋体" w:cs="宋体"/>
          <w:lang w:val="en-US" w:eastAsia="zh-CN"/>
        </w:rPr>
        <w:t>，满足拆除吊装要求。</w:t>
      </w:r>
    </w:p>
    <w:p w14:paraId="1D8B7DFE">
      <w:pPr>
        <w:rPr>
          <w:rFonts w:hint="eastAsia" w:ascii="宋体" w:hAnsi="宋体" w:eastAsia="宋体" w:cs="宋体"/>
          <w:lang w:val="en-US" w:eastAsia="zh-CN"/>
        </w:rPr>
      </w:pPr>
      <w:r>
        <w:rPr>
          <w:rFonts w:hint="eastAsia" w:ascii="宋体" w:hAnsi="宋体" w:eastAsia="宋体" w:cs="宋体"/>
          <w:lang w:val="en-US" w:eastAsia="zh-CN"/>
        </w:rPr>
        <w:t>回转总成吊装采用四点吊，以回转总成顶部4个吊耳板作为吊装孔，采用4根18mm6×19W+IWR1870Mpa的钢丝绳配套GB/T 25854-6-DW5卸扣进行起吊。</w:t>
      </w:r>
    </w:p>
    <w:p w14:paraId="62BE3D9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p w14:paraId="3036C66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回转总成</w:t>
      </w:r>
      <w:r>
        <w:rPr>
          <w:rFonts w:hint="eastAsia" w:ascii="宋体" w:hAnsi="宋体" w:eastAsia="宋体" w:cs="宋体"/>
        </w:rPr>
        <w:t>拆除时设置警戒区，起吊安排专人负责指挥，专人操作，严禁无关人员进入起重作业范围内。</w:t>
      </w:r>
    </w:p>
    <w:p w14:paraId="6C652EBC">
      <w:pPr>
        <w:spacing w:line="240" w:lineRule="auto"/>
        <w:ind w:firstLine="0" w:firstLineChars="0"/>
        <w:jc w:val="center"/>
      </w:pPr>
      <w:r>
        <w:drawing>
          <wp:inline distT="0" distB="0" distL="114300" distR="114300">
            <wp:extent cx="4011295" cy="2639695"/>
            <wp:effectExtent l="0" t="0" r="12065" b="12065"/>
            <wp:docPr id="2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3"/>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71F38EC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22</w:t>
      </w:r>
      <w:r>
        <w:fldChar w:fldCharType="end"/>
      </w:r>
      <w:r>
        <w:rPr>
          <w:rFonts w:hint="eastAsia"/>
          <w:lang w:val="en-US" w:eastAsia="zh-CN"/>
        </w:rPr>
        <w:t>拆除回转总成平面图</w:t>
      </w:r>
    </w:p>
    <w:p w14:paraId="3DEFA0C6">
      <w:pPr>
        <w:spacing w:line="240" w:lineRule="auto"/>
        <w:ind w:firstLine="0" w:firstLineChars="0"/>
        <w:jc w:val="center"/>
      </w:pPr>
      <w:r>
        <w:drawing>
          <wp:inline distT="0" distB="0" distL="114300" distR="114300">
            <wp:extent cx="2768600" cy="3043555"/>
            <wp:effectExtent l="0" t="0" r="5080" b="4445"/>
            <wp:docPr id="1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7"/>
                    <pic:cNvPicPr>
                      <a:picLocks noChangeAspect="1"/>
                    </pic:cNvPicPr>
                  </pic:nvPicPr>
                  <pic:blipFill>
                    <a:blip r:embed="rId153"/>
                    <a:stretch>
                      <a:fillRect/>
                    </a:stretch>
                  </pic:blipFill>
                  <pic:spPr>
                    <a:xfrm>
                      <a:off x="0" y="0"/>
                      <a:ext cx="2768600" cy="3043555"/>
                    </a:xfrm>
                    <a:prstGeom prst="rect">
                      <a:avLst/>
                    </a:prstGeom>
                    <a:noFill/>
                    <a:ln>
                      <a:noFill/>
                    </a:ln>
                  </pic:spPr>
                </pic:pic>
              </a:graphicData>
            </a:graphic>
          </wp:inline>
        </w:drawing>
      </w:r>
    </w:p>
    <w:p w14:paraId="5AAD2CD0">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23</w:t>
      </w:r>
      <w:r>
        <w:fldChar w:fldCharType="end"/>
      </w:r>
      <w:r>
        <w:rPr>
          <w:rFonts w:hint="eastAsia"/>
          <w:lang w:val="en-US" w:eastAsia="zh-CN"/>
        </w:rPr>
        <w:t>拆除回转总成立面图</w:t>
      </w:r>
    </w:p>
    <w:p w14:paraId="032318A6">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4" w:name="_Toc14288"/>
      <w:bookmarkStart w:id="415" w:name="_Toc27717"/>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.10.</w:t>
      </w:r>
      <w:r>
        <w:rPr>
          <w:rFonts w:hint="eastAsia" w:ascii="宋体" w:hAnsi="宋体" w:eastAsia="宋体" w:cstheme="minorBidi"/>
          <w:b/>
          <w:bCs/>
          <w:color w:val="auto"/>
          <w:kern w:val="2"/>
          <w:sz w:val="24"/>
          <w:szCs w:val="32"/>
          <w:lang w:val="en-US" w:eastAsia="zh-CN" w:bidi="ar-SA"/>
        </w:rPr>
        <w:t>拆卸特殊节</w:t>
      </w:r>
      <w:bookmarkEnd w:id="414"/>
      <w:bookmarkEnd w:id="415"/>
    </w:p>
    <w:p w14:paraId="7233D9EA">
      <w:pPr>
        <w:rPr>
          <w:rFonts w:hint="eastAsia" w:ascii="宋体" w:hAnsi="宋体" w:eastAsia="宋体" w:cs="宋体"/>
          <w:lang w:val="en-US" w:eastAsia="zh-CN"/>
        </w:rPr>
      </w:pPr>
      <w:r>
        <w:rPr>
          <w:rFonts w:hint="eastAsia" w:ascii="宋体" w:hAnsi="宋体" w:eastAsia="宋体" w:cs="宋体"/>
          <w:lang w:val="en-US" w:eastAsia="zh-CN"/>
        </w:rPr>
        <w:t>特殊节重量为3t，25t汽车吊位置不变，额定起重量为7.6</w:t>
      </w:r>
      <w:r>
        <w:rPr>
          <w:rFonts w:hint="eastAsia" w:ascii="宋体" w:hAnsi="宋体" w:eastAsia="宋体" w:cs="宋体"/>
        </w:rPr>
        <w:t>t&gt;</w:t>
      </w:r>
      <w:r>
        <w:rPr>
          <w:rFonts w:hint="eastAsia" w:ascii="宋体" w:hAnsi="宋体" w:eastAsia="宋体" w:cs="宋体"/>
          <w:lang w:val="en-US" w:eastAsia="zh-CN"/>
        </w:rPr>
        <w:t>3</w:t>
      </w:r>
      <w:r>
        <w:rPr>
          <w:rFonts w:hint="eastAsia" w:ascii="宋体" w:hAnsi="宋体" w:eastAsia="宋体" w:cs="宋体"/>
        </w:rPr>
        <w:t>t</w:t>
      </w:r>
      <w:r>
        <w:rPr>
          <w:rFonts w:hint="eastAsia" w:ascii="宋体" w:hAnsi="宋体" w:eastAsia="宋体" w:cs="宋体"/>
          <w:lang w:val="en-US" w:eastAsia="zh-CN"/>
        </w:rPr>
        <w:t>，满足拆除吊装要求。</w:t>
      </w:r>
    </w:p>
    <w:p w14:paraId="4C5B6A81">
      <w:pPr>
        <w:rPr>
          <w:rFonts w:hint="eastAsia" w:ascii="宋体" w:hAnsi="宋体" w:eastAsia="宋体" w:cs="宋体"/>
          <w:lang w:val="en-US" w:eastAsia="zh-CN"/>
        </w:rPr>
      </w:pPr>
      <w:r>
        <w:rPr>
          <w:rFonts w:hint="eastAsia" w:ascii="宋体" w:hAnsi="宋体" w:eastAsia="宋体" w:cs="宋体"/>
          <w:lang w:val="en-US" w:eastAsia="zh-CN"/>
        </w:rPr>
        <w:t>特殊节吊装采用四点吊，以特殊节顶部4个吊耳板作为吊装孔，采用4根18mm6×19W+IWR1870Mpa的钢丝绳配套GB/T 25854-6-DW5卸扣进行起吊。</w:t>
      </w:r>
    </w:p>
    <w:p w14:paraId="16B17AAA">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特殊节上方，作业人员通过爬梯爬至特殊节顶部，将安全带系挂在特殊节顶部横杆上，位于特殊节顶部平台上。汽车吊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汽车吊起升吊钩，将特殊节提升一定安全高度后，再将特殊节下放至地面，作业人员在地面上解除卸扣与特殊节的连接。</w:t>
      </w:r>
    </w:p>
    <w:p w14:paraId="7E28A998">
      <w:r>
        <w:rPr>
          <w:rFonts w:hint="eastAsia" w:ascii="宋体" w:hAnsi="宋体" w:eastAsia="宋体" w:cs="宋体"/>
        </w:rPr>
        <w:t>塔式起重机</w:t>
      </w:r>
      <w:r>
        <w:rPr>
          <w:rFonts w:hint="eastAsia" w:ascii="宋体" w:hAnsi="宋体" w:eastAsia="宋体" w:cs="宋体"/>
          <w:lang w:val="en-US" w:eastAsia="zh-CN"/>
        </w:rPr>
        <w:t>特殊节</w:t>
      </w:r>
      <w:r>
        <w:rPr>
          <w:rFonts w:hint="eastAsia" w:ascii="宋体" w:hAnsi="宋体" w:eastAsia="宋体" w:cs="宋体"/>
        </w:rPr>
        <w:t>拆除时设置警戒区，起吊安排专人负责指挥，专人操作，严禁无关人员进入起重作业范围内。</w:t>
      </w:r>
    </w:p>
    <w:p w14:paraId="5BC19995">
      <w:pPr>
        <w:pStyle w:val="16"/>
        <w:spacing w:after="0"/>
        <w:ind w:left="0" w:leftChars="0" w:right="0" w:rightChars="0" w:firstLine="0" w:firstLineChars="0"/>
        <w:jc w:val="center"/>
      </w:pPr>
      <w:r>
        <w:drawing>
          <wp:inline distT="0" distB="0" distL="114300" distR="114300">
            <wp:extent cx="4011295" cy="2639695"/>
            <wp:effectExtent l="0" t="0" r="12065" b="12065"/>
            <wp:docPr id="2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4"/>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67355D27">
      <w:pPr>
        <w:numPr>
          <w:ilvl w:val="0"/>
          <w:numId w:val="0"/>
        </w:numPr>
        <w:ind w:leftChars="200"/>
        <w:jc w:val="center"/>
        <w:rPr>
          <w:rFonts w:hint="eastAsia"/>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24</w:t>
      </w:r>
      <w:r>
        <w:fldChar w:fldCharType="end"/>
      </w:r>
      <w:r>
        <w:rPr>
          <w:rFonts w:hint="eastAsia"/>
          <w:lang w:val="en-US" w:eastAsia="zh-CN"/>
        </w:rPr>
        <w:t>拆除特殊节平面图</w:t>
      </w:r>
    </w:p>
    <w:p w14:paraId="37551077">
      <w:pPr>
        <w:pStyle w:val="20"/>
        <w:ind w:firstLine="0" w:firstLineChars="0"/>
        <w:jc w:val="center"/>
        <w:rPr>
          <w:rFonts w:hint="eastAsia"/>
          <w:color w:val="auto"/>
          <w:sz w:val="24"/>
          <w:szCs w:val="24"/>
        </w:rPr>
      </w:pPr>
      <w:r>
        <w:drawing>
          <wp:inline distT="0" distB="0" distL="114300" distR="114300">
            <wp:extent cx="2979420" cy="3064510"/>
            <wp:effectExtent l="0" t="0" r="7620" b="13970"/>
            <wp:docPr id="1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6"/>
                    <pic:cNvPicPr>
                      <a:picLocks noChangeAspect="1"/>
                    </pic:cNvPicPr>
                  </pic:nvPicPr>
                  <pic:blipFill>
                    <a:blip r:embed="rId154"/>
                    <a:stretch>
                      <a:fillRect/>
                    </a:stretch>
                  </pic:blipFill>
                  <pic:spPr>
                    <a:xfrm>
                      <a:off x="0" y="0"/>
                      <a:ext cx="2979420" cy="3064510"/>
                    </a:xfrm>
                    <a:prstGeom prst="rect">
                      <a:avLst/>
                    </a:prstGeom>
                    <a:noFill/>
                    <a:ln>
                      <a:noFill/>
                    </a:ln>
                  </pic:spPr>
                </pic:pic>
              </a:graphicData>
            </a:graphic>
          </wp:inline>
        </w:drawing>
      </w:r>
    </w:p>
    <w:p w14:paraId="047F5E6C">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25</w:t>
      </w:r>
      <w:r>
        <w:fldChar w:fldCharType="end"/>
      </w:r>
      <w:r>
        <w:rPr>
          <w:rFonts w:hint="eastAsia"/>
          <w:lang w:val="en-US" w:eastAsia="zh-CN"/>
        </w:rPr>
        <w:t>拆除特殊节平面图</w:t>
      </w:r>
    </w:p>
    <w:p w14:paraId="74026E57">
      <w:pPr>
        <w:pStyle w:val="4"/>
        <w:numPr>
          <w:ilvl w:val="2"/>
          <w:numId w:val="0"/>
        </w:numPr>
        <w:ind w:left="709" w:leftChars="0" w:hanging="709" w:firstLineChars="0"/>
        <w:rPr>
          <w:rFonts w:hint="eastAsia" w:ascii="宋体" w:hAnsi="宋体" w:eastAsia="宋体" w:cstheme="minorBidi"/>
          <w:b/>
          <w:bCs/>
          <w:color w:val="auto"/>
          <w:kern w:val="2"/>
          <w:sz w:val="24"/>
          <w:szCs w:val="32"/>
          <w:lang w:val="en-US" w:eastAsia="zh-CN" w:bidi="ar-SA"/>
        </w:rPr>
      </w:pPr>
      <w:bookmarkStart w:id="416" w:name="_Toc11223"/>
      <w:bookmarkStart w:id="417" w:name="_Toc11934"/>
      <w:r>
        <w:rPr>
          <w:rFonts w:hint="eastAsia" w:ascii="宋体" w:hAnsi="宋体" w:eastAsia="宋体" w:cstheme="minorBidi"/>
          <w:b/>
          <w:bCs/>
          <w:color w:val="auto"/>
          <w:kern w:val="2"/>
          <w:sz w:val="24"/>
          <w:szCs w:val="32"/>
          <w:lang w:val="en-US" w:eastAsia="zh-CN" w:bidi="ar-SA"/>
        </w:rPr>
        <w:t>7.5</w:t>
      </w:r>
      <w:r>
        <w:rPr>
          <w:rFonts w:hint="default" w:ascii="宋体" w:hAnsi="宋体" w:eastAsia="宋体" w:cstheme="minorBidi"/>
          <w:b/>
          <w:bCs/>
          <w:color w:val="auto"/>
          <w:kern w:val="2"/>
          <w:sz w:val="24"/>
          <w:szCs w:val="32"/>
          <w:lang w:val="en-US" w:eastAsia="zh-CN" w:bidi="ar-SA"/>
        </w:rPr>
        <w:t>.11.</w:t>
      </w:r>
      <w:r>
        <w:rPr>
          <w:rFonts w:hint="eastAsia" w:ascii="宋体" w:hAnsi="宋体" w:eastAsia="宋体" w:cstheme="minorBidi"/>
          <w:b/>
          <w:bCs/>
          <w:color w:val="auto"/>
          <w:kern w:val="2"/>
          <w:sz w:val="24"/>
          <w:szCs w:val="32"/>
          <w:lang w:val="en-US" w:eastAsia="zh-CN" w:bidi="ar-SA"/>
        </w:rPr>
        <w:t>拆卸爬升架</w:t>
      </w:r>
      <w:bookmarkEnd w:id="416"/>
      <w:bookmarkEnd w:id="417"/>
    </w:p>
    <w:p w14:paraId="266FDDCB">
      <w:pPr>
        <w:rPr>
          <w:rFonts w:hint="eastAsia" w:ascii="宋体" w:hAnsi="宋体" w:eastAsia="宋体" w:cs="宋体"/>
          <w:lang w:val="en-US" w:eastAsia="zh-CN"/>
        </w:rPr>
      </w:pPr>
      <w:r>
        <w:rPr>
          <w:rFonts w:hint="eastAsia" w:ascii="宋体" w:hAnsi="宋体" w:eastAsia="宋体" w:cs="宋体"/>
          <w:lang w:val="en-US" w:eastAsia="zh-CN"/>
        </w:rPr>
        <w:t>爬升架</w:t>
      </w:r>
      <w:r>
        <w:rPr>
          <w:rFonts w:hint="eastAsia" w:ascii="宋体" w:hAnsi="宋体" w:eastAsia="宋体" w:cs="宋体"/>
        </w:rPr>
        <w:t>吊重为</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25t汽车吊位置不变，额定起重量为7.6</w:t>
      </w:r>
      <w:r>
        <w:rPr>
          <w:rFonts w:hint="eastAsia" w:ascii="宋体" w:hAnsi="宋体" w:eastAsia="宋体" w:cs="宋体"/>
        </w:rPr>
        <w:t>t&gt;</w:t>
      </w:r>
      <w:r>
        <w:rPr>
          <w:rFonts w:hint="eastAsia" w:ascii="宋体" w:hAnsi="宋体" w:eastAsia="宋体" w:cs="宋体"/>
          <w:lang w:val="en-US" w:eastAsia="zh-CN"/>
        </w:rPr>
        <w:t>5.35</w:t>
      </w:r>
      <w:r>
        <w:rPr>
          <w:rFonts w:hint="eastAsia" w:ascii="宋体" w:hAnsi="宋体" w:eastAsia="宋体" w:cs="宋体"/>
        </w:rPr>
        <w:t>t</w:t>
      </w:r>
      <w:r>
        <w:rPr>
          <w:rFonts w:hint="eastAsia" w:ascii="宋体" w:hAnsi="宋体" w:eastAsia="宋体" w:cs="宋体"/>
          <w:lang w:val="en-US" w:eastAsia="zh-CN"/>
        </w:rPr>
        <w:t>，满足拆除吊装要求。</w:t>
      </w:r>
    </w:p>
    <w:p w14:paraId="719C7F72">
      <w:pPr>
        <w:rPr>
          <w:rFonts w:hint="eastAsia" w:ascii="宋体" w:hAnsi="宋体" w:eastAsia="宋体" w:cs="宋体"/>
          <w:lang w:val="en-US" w:eastAsia="zh-CN"/>
        </w:rPr>
      </w:pPr>
      <w:r>
        <w:rPr>
          <w:rFonts w:hint="eastAsia" w:ascii="宋体" w:hAnsi="宋体" w:eastAsia="宋体" w:cs="宋体"/>
          <w:lang w:val="en-US" w:eastAsia="zh-CN"/>
        </w:rPr>
        <w:t>爬升架吊装采用四点吊，以爬升架顶部4个吊耳板作为吊装孔，采用4根18mm6×19W+IWR1870Mpa的钢丝绳配套GB/T 25854-6-DW5卸扣进行起吊。</w:t>
      </w:r>
    </w:p>
    <w:p w14:paraId="32824F75">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栓好2根溜绳，作业人员解除安全带，作业人员通过爬梯爬至标准节对应的爬升架爬爪处，将安全带系挂在标准节横杆上，解除爬升架与标准节之间的约束。汽车吊起升吊钩，将爬升架提升一定安全高度后，再将爬升架下放至地面，作业人员在地面上解除卸扣与爬升架的连接。</w:t>
      </w:r>
    </w:p>
    <w:p w14:paraId="25E0E68C">
      <w:r>
        <w:rPr>
          <w:rFonts w:hint="eastAsia" w:ascii="宋体" w:hAnsi="宋体" w:eastAsia="宋体" w:cs="宋体"/>
        </w:rPr>
        <w:t>塔式起重机</w:t>
      </w:r>
      <w:r>
        <w:rPr>
          <w:rFonts w:hint="eastAsia" w:ascii="宋体" w:hAnsi="宋体" w:eastAsia="宋体" w:cs="宋体"/>
          <w:lang w:val="en-US" w:eastAsia="zh-CN"/>
        </w:rPr>
        <w:t>爬升架</w:t>
      </w:r>
      <w:r>
        <w:rPr>
          <w:rFonts w:hint="eastAsia" w:ascii="宋体" w:hAnsi="宋体" w:eastAsia="宋体" w:cs="宋体"/>
        </w:rPr>
        <w:t>拆除时设置警戒区，起吊安排专人负责指挥，专人操作，严禁无关人员进入起重作业范围内。</w:t>
      </w:r>
    </w:p>
    <w:p w14:paraId="08C0E596">
      <w:pPr>
        <w:numPr>
          <w:ilvl w:val="0"/>
          <w:numId w:val="0"/>
        </w:numPr>
        <w:ind w:leftChars="200"/>
        <w:jc w:val="center"/>
      </w:pPr>
      <w:r>
        <w:drawing>
          <wp:inline distT="0" distB="0" distL="114300" distR="114300">
            <wp:extent cx="4011295" cy="2639695"/>
            <wp:effectExtent l="0" t="0" r="12065" b="12065"/>
            <wp:docPr id="2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5"/>
                    <pic:cNvPicPr>
                      <a:picLocks noChangeAspect="1"/>
                    </pic:cNvPicPr>
                  </pic:nvPicPr>
                  <pic:blipFill>
                    <a:blip r:embed="rId152"/>
                    <a:stretch>
                      <a:fillRect/>
                    </a:stretch>
                  </pic:blipFill>
                  <pic:spPr>
                    <a:xfrm>
                      <a:off x="0" y="0"/>
                      <a:ext cx="4011295" cy="2639695"/>
                    </a:xfrm>
                    <a:prstGeom prst="rect">
                      <a:avLst/>
                    </a:prstGeom>
                    <a:noFill/>
                    <a:ln>
                      <a:noFill/>
                    </a:ln>
                  </pic:spPr>
                </pic:pic>
              </a:graphicData>
            </a:graphic>
          </wp:inline>
        </w:drawing>
      </w:r>
    </w:p>
    <w:p w14:paraId="7199AB82">
      <w:pPr>
        <w:numPr>
          <w:ilvl w:val="0"/>
          <w:numId w:val="0"/>
        </w:numPr>
        <w:ind w:leftChars="200"/>
        <w:jc w:val="cente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26</w:t>
      </w:r>
      <w:r>
        <w:fldChar w:fldCharType="end"/>
      </w:r>
      <w:r>
        <w:rPr>
          <w:rFonts w:hint="eastAsia"/>
          <w:lang w:val="en-US" w:eastAsia="zh-CN"/>
        </w:rPr>
        <w:t>拆除爬升架平面图</w:t>
      </w:r>
    </w:p>
    <w:p w14:paraId="30C1AE4C">
      <w:pPr>
        <w:autoSpaceDE w:val="0"/>
        <w:autoSpaceDN w:val="0"/>
        <w:adjustRightInd w:val="0"/>
        <w:ind w:firstLine="0" w:firstLineChars="0"/>
        <w:jc w:val="center"/>
        <w:rPr>
          <w:rFonts w:hint="eastAsia" w:cs="宋体"/>
          <w:color w:val="auto"/>
          <w:kern w:val="0"/>
          <w:szCs w:val="24"/>
        </w:rPr>
      </w:pPr>
      <w:r>
        <w:drawing>
          <wp:inline distT="0" distB="0" distL="114300" distR="114300">
            <wp:extent cx="2731135" cy="3289935"/>
            <wp:effectExtent l="0" t="0" r="12065" b="1905"/>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pic:cNvPicPr>
                      <a:picLocks noChangeAspect="1"/>
                    </pic:cNvPicPr>
                  </pic:nvPicPr>
                  <pic:blipFill>
                    <a:blip r:embed="rId155"/>
                    <a:stretch>
                      <a:fillRect/>
                    </a:stretch>
                  </pic:blipFill>
                  <pic:spPr>
                    <a:xfrm>
                      <a:off x="0" y="0"/>
                      <a:ext cx="2731135" cy="3289935"/>
                    </a:xfrm>
                    <a:prstGeom prst="rect">
                      <a:avLst/>
                    </a:prstGeom>
                    <a:noFill/>
                    <a:ln>
                      <a:noFill/>
                    </a:ln>
                  </pic:spPr>
                </pic:pic>
              </a:graphicData>
            </a:graphic>
          </wp:inline>
        </w:drawing>
      </w:r>
    </w:p>
    <w:p w14:paraId="03EE4D8C">
      <w:pPr>
        <w:numPr>
          <w:ilvl w:val="0"/>
          <w:numId w:val="0"/>
        </w:numPr>
        <w:ind w:leftChars="200"/>
        <w:jc w:val="center"/>
        <w:rPr>
          <w:rFonts w:hint="eastAsia" w:cs="宋体"/>
          <w:color w:val="auto"/>
          <w:kern w:val="0"/>
          <w:szCs w:val="24"/>
        </w:rPr>
      </w:pPr>
      <w:r>
        <w:t xml:space="preserve">图 </w:t>
      </w:r>
      <w:r>
        <w:fldChar w:fldCharType="begin"/>
      </w:r>
      <w:r>
        <w:instrText xml:space="preserve"> STYLEREF 2 \s </w:instrText>
      </w:r>
      <w:r>
        <w:fldChar w:fldCharType="separate"/>
      </w:r>
      <w:r>
        <w:t>7.4</w:t>
      </w:r>
      <w:r>
        <w:fldChar w:fldCharType="end"/>
      </w:r>
      <w:r>
        <w:rPr>
          <w:rFonts w:hint="eastAsia"/>
          <w:lang w:eastAsia="zh-CN"/>
        </w:rPr>
        <w:t>-</w:t>
      </w:r>
      <w:r>
        <w:fldChar w:fldCharType="begin"/>
      </w:r>
      <w:r>
        <w:instrText xml:space="preserve"> SEQ 图 \* ARABIC \s 2 </w:instrText>
      </w:r>
      <w:r>
        <w:fldChar w:fldCharType="separate"/>
      </w:r>
      <w:r>
        <w:t>27</w:t>
      </w:r>
      <w:r>
        <w:fldChar w:fldCharType="end"/>
      </w:r>
      <w:r>
        <w:rPr>
          <w:rFonts w:hint="eastAsia"/>
          <w:lang w:val="en-US" w:eastAsia="zh-CN"/>
        </w:rPr>
        <w:t>拆除爬升架平面图</w:t>
      </w:r>
    </w:p>
    <w:p w14:paraId="245C6C5F">
      <w:pPr>
        <w:pStyle w:val="4"/>
        <w:numPr>
          <w:ilvl w:val="2"/>
          <w:numId w:val="0"/>
        </w:numPr>
        <w:rPr>
          <w:rFonts w:hint="eastAsia" w:ascii="宋体" w:hAnsi="宋体" w:eastAsia="宋体"/>
          <w:color w:val="auto"/>
          <w:lang w:val="en-US" w:eastAsia="zh-CN"/>
        </w:rPr>
      </w:pPr>
      <w:bookmarkStart w:id="418" w:name="_Toc6697"/>
      <w:bookmarkStart w:id="419" w:name="_Toc16014"/>
      <w:r>
        <w:rPr>
          <w:rFonts w:hint="default" w:ascii="宋体" w:hAnsi="宋体" w:eastAsia="宋体" w:cstheme="minorBidi"/>
          <w:b/>
          <w:bCs/>
          <w:color w:val="auto"/>
          <w:kern w:val="2"/>
          <w:sz w:val="24"/>
          <w:szCs w:val="32"/>
          <w:lang w:val="en-US" w:eastAsia="zh-CN" w:bidi="ar-SA"/>
        </w:rPr>
        <w:t>7.</w:t>
      </w:r>
      <w:r>
        <w:rPr>
          <w:rFonts w:hint="eastAsia" w:ascii="宋体" w:hAnsi="宋体" w:eastAsia="宋体" w:cstheme="minorBidi"/>
          <w:b/>
          <w:bCs/>
          <w:color w:val="auto"/>
          <w:kern w:val="2"/>
          <w:sz w:val="24"/>
          <w:szCs w:val="32"/>
          <w:lang w:val="en-US" w:eastAsia="zh-CN" w:bidi="ar-SA"/>
        </w:rPr>
        <w:t>5</w:t>
      </w:r>
      <w:r>
        <w:rPr>
          <w:rFonts w:hint="default" w:ascii="宋体" w:hAnsi="宋体" w:eastAsia="宋体" w:cstheme="minorBidi"/>
          <w:b/>
          <w:bCs/>
          <w:color w:val="auto"/>
          <w:kern w:val="2"/>
          <w:sz w:val="24"/>
          <w:szCs w:val="32"/>
          <w:lang w:val="en-US" w:eastAsia="zh-CN" w:bidi="ar-SA"/>
        </w:rPr>
        <w:t>.12.</w:t>
      </w:r>
      <w:r>
        <w:rPr>
          <w:rFonts w:hint="eastAsia" w:ascii="宋体" w:hAnsi="宋体" w:eastAsia="宋体"/>
          <w:color w:val="auto"/>
          <w:lang w:val="en-US" w:eastAsia="zh-CN"/>
        </w:rPr>
        <w:t>拆卸标准节及基础节</w:t>
      </w:r>
      <w:bookmarkEnd w:id="418"/>
      <w:bookmarkEnd w:id="419"/>
    </w:p>
    <w:p w14:paraId="0478D983">
      <w:pPr>
        <w:rPr>
          <w:rFonts w:hint="eastAsia" w:ascii="宋体" w:hAnsi="宋体" w:eastAsia="宋体" w:cs="宋体"/>
          <w:lang w:val="en-US" w:eastAsia="zh-CN"/>
        </w:rPr>
      </w:pPr>
      <w:r>
        <w:rPr>
          <w:rFonts w:hint="eastAsia" w:ascii="宋体" w:hAnsi="宋体" w:eastAsia="宋体" w:cs="宋体"/>
          <w:lang w:val="en-US" w:eastAsia="zh-CN"/>
        </w:rPr>
        <w:t>标准节重量为1.8t，25t汽车吊位置不变，额定起重量为7.6</w:t>
      </w:r>
      <w:r>
        <w:rPr>
          <w:rFonts w:hint="eastAsia" w:ascii="宋体" w:hAnsi="宋体" w:eastAsia="宋体" w:cs="宋体"/>
        </w:rPr>
        <w:t>t&gt;</w:t>
      </w:r>
      <w:r>
        <w:rPr>
          <w:rFonts w:hint="eastAsia" w:ascii="宋体" w:hAnsi="宋体" w:eastAsia="宋体" w:cs="宋体"/>
          <w:lang w:val="en-US" w:eastAsia="zh-CN"/>
        </w:rPr>
        <w:t>1.8</w:t>
      </w:r>
      <w:r>
        <w:rPr>
          <w:rFonts w:hint="eastAsia" w:ascii="宋体" w:hAnsi="宋体" w:eastAsia="宋体" w:cs="宋体"/>
        </w:rPr>
        <w:t>t</w:t>
      </w:r>
      <w:r>
        <w:rPr>
          <w:rFonts w:hint="eastAsia" w:ascii="宋体" w:hAnsi="宋体" w:eastAsia="宋体" w:cs="宋体"/>
          <w:lang w:val="en-US" w:eastAsia="zh-CN"/>
        </w:rPr>
        <w:t>，满足拆除吊装要求。</w:t>
      </w:r>
    </w:p>
    <w:p w14:paraId="5DC08C35">
      <w:pPr>
        <w:rPr>
          <w:rFonts w:hint="eastAsia" w:ascii="宋体" w:hAnsi="宋体" w:eastAsia="宋体" w:cs="宋体"/>
          <w:lang w:val="en-US" w:eastAsia="zh-CN"/>
        </w:rPr>
      </w:pPr>
      <w:r>
        <w:rPr>
          <w:rFonts w:hint="eastAsia" w:ascii="宋体" w:hAnsi="宋体" w:eastAsia="宋体" w:cs="宋体"/>
          <w:lang w:val="en-US" w:eastAsia="zh-CN"/>
        </w:rPr>
        <w:t>标准节吊装采用四点吊，以标准节顶部4个吊耳板作为吊装孔，采用4根18mm6×19W+IWR1870Mpa的钢丝绳配套GB/T 25854-6-DW5卸扣进行起吊。</w:t>
      </w:r>
    </w:p>
    <w:p w14:paraId="2128E80E">
      <w:pPr>
        <w:rPr>
          <w:rFonts w:hint="eastAsia" w:ascii="宋体" w:hAnsi="宋体" w:eastAsia="宋体" w:cs="宋体"/>
          <w:lang w:val="en-US" w:eastAsia="zh-CN"/>
        </w:rPr>
      </w:pPr>
      <w:r>
        <w:rPr>
          <w:rFonts w:hint="eastAsia" w:ascii="宋体" w:hAnsi="宋体" w:eastAsia="宋体" w:cs="宋体"/>
          <w:lang w:val="en-US" w:eastAsia="zh-CN"/>
        </w:rPr>
        <w:t>作业人员在地面上先将钢丝绳一端挂在汽车吊吊钩上，另一端与卸扣连接，启动汽车吊，将卸扣缓慢提升至标准节上方，作业人员通过爬梯爬至标准节顶部，将安全带系挂在标准节顶部。汽车吊放松吊钩，作业人员将卸扣与标准节连接，同时在标准节杆件上栓好2根溜绳，作业人员解除安全带，作业人员通过爬梯爬至基础节对应的爬升架爬爪处，将安全带系挂在基础节横杆上，解除标准节与基础节之间的约束。汽车吊起升吊钩，将标准节提升一定安全高度后，再将标准节下放至地面，作业人员在地面上解除卸扣与标准节的连接。</w:t>
      </w:r>
    </w:p>
    <w:p w14:paraId="7ADA2E37">
      <w:pPr>
        <w:rPr>
          <w:rFonts w:hint="eastAsia" w:ascii="宋体" w:hAnsi="宋体" w:eastAsia="宋体" w:cs="宋体"/>
          <w:lang w:val="en-US" w:eastAsia="zh-CN"/>
        </w:rPr>
      </w:pPr>
      <w:r>
        <w:rPr>
          <w:rFonts w:hint="eastAsia" w:ascii="宋体" w:hAnsi="宋体" w:eastAsia="宋体" w:cs="宋体"/>
          <w:lang w:val="en-US" w:eastAsia="zh-CN"/>
        </w:rPr>
        <w:t>基础节拆卸方法同标准节。</w:t>
      </w:r>
    </w:p>
    <w:p w14:paraId="07E31E75">
      <w:pPr>
        <w:rPr>
          <w:rFonts w:hint="eastAsia" w:ascii="宋体" w:hAnsi="宋体" w:eastAsia="宋体" w:cs="宋体"/>
        </w:rPr>
      </w:pPr>
      <w:r>
        <w:rPr>
          <w:rFonts w:hint="eastAsia" w:ascii="宋体" w:hAnsi="宋体" w:eastAsia="宋体" w:cs="宋体"/>
        </w:rPr>
        <w:t>塔式起重机</w:t>
      </w:r>
      <w:r>
        <w:rPr>
          <w:rFonts w:hint="eastAsia" w:ascii="宋体" w:hAnsi="宋体" w:eastAsia="宋体" w:cs="宋体"/>
          <w:lang w:val="en-US" w:eastAsia="zh-CN"/>
        </w:rPr>
        <w:t>标准节、基础节</w:t>
      </w:r>
      <w:r>
        <w:rPr>
          <w:rFonts w:hint="eastAsia" w:ascii="宋体" w:hAnsi="宋体" w:eastAsia="宋体" w:cs="宋体"/>
        </w:rPr>
        <w:t>拆除时设置警戒区，起吊安排专人负责指挥，专人操作，严禁无关人员进入起重作业范围内。</w:t>
      </w:r>
    </w:p>
    <w:p w14:paraId="32F21272">
      <w:pPr>
        <w:pStyle w:val="3"/>
        <w:numPr>
          <w:ilvl w:val="1"/>
          <w:numId w:val="0"/>
        </w:numPr>
        <w:ind w:left="567" w:leftChars="0" w:hanging="567" w:firstLineChars="0"/>
        <w:rPr>
          <w:rFonts w:hint="eastAsia"/>
          <w:color w:val="auto"/>
        </w:rPr>
      </w:pPr>
      <w:bookmarkStart w:id="420" w:name="_Toc8476"/>
      <w:bookmarkStart w:id="421" w:name="_Toc12464"/>
      <w:r>
        <w:rPr>
          <w:rFonts w:hint="default" w:ascii="宋体" w:hAnsi="宋体" w:eastAsia="宋体" w:cstheme="majorBidi"/>
          <w:b/>
          <w:bCs/>
          <w:color w:val="auto"/>
          <w:kern w:val="2"/>
          <w:sz w:val="24"/>
          <w:szCs w:val="32"/>
          <w:lang w:val="en-US" w:eastAsia="zh-CN" w:bidi="ar-SA"/>
        </w:rPr>
        <w:t>7.6.</w:t>
      </w:r>
      <w:r>
        <w:rPr>
          <w:rFonts w:hint="eastAsia"/>
          <w:color w:val="auto"/>
        </w:rPr>
        <w:t>安全施工技术措施</w:t>
      </w:r>
      <w:bookmarkEnd w:id="420"/>
      <w:bookmarkEnd w:id="421"/>
    </w:p>
    <w:p w14:paraId="0EC14BF5">
      <w:pPr>
        <w:ind w:firstLine="480"/>
        <w:rPr>
          <w:rFonts w:hint="eastAsia"/>
          <w:color w:val="auto"/>
          <w:kern w:val="0"/>
        </w:rPr>
      </w:pPr>
      <w:r>
        <w:rPr>
          <w:rFonts w:hint="eastAsia"/>
          <w:color w:val="auto"/>
          <w:kern w:val="0"/>
        </w:rPr>
        <w:t>根据现场情况和本工程的施工特点，施工期重点是做好以下几个方面的安全施工技术措施。</w:t>
      </w:r>
    </w:p>
    <w:p w14:paraId="04F9879F">
      <w:pPr>
        <w:pStyle w:val="4"/>
        <w:numPr>
          <w:ilvl w:val="2"/>
          <w:numId w:val="0"/>
        </w:numPr>
        <w:ind w:left="709" w:leftChars="0" w:hanging="709" w:firstLineChars="0"/>
        <w:rPr>
          <w:rFonts w:hint="eastAsia"/>
          <w:color w:val="auto"/>
        </w:rPr>
      </w:pPr>
      <w:bookmarkStart w:id="422" w:name="_Toc18297"/>
      <w:bookmarkStart w:id="423" w:name="_Toc14185"/>
      <w:r>
        <w:rPr>
          <w:rFonts w:hint="default" w:ascii="宋体" w:hAnsi="宋体" w:eastAsia="宋体" w:cstheme="minorBidi"/>
          <w:b/>
          <w:bCs/>
          <w:color w:val="auto"/>
          <w:kern w:val="2"/>
          <w:sz w:val="24"/>
          <w:szCs w:val="32"/>
          <w:lang w:val="en-US" w:eastAsia="zh-CN" w:bidi="ar-SA"/>
        </w:rPr>
        <w:t>7.6.1.</w:t>
      </w:r>
      <w:r>
        <w:rPr>
          <w:rFonts w:hint="eastAsia"/>
          <w:color w:val="auto"/>
        </w:rPr>
        <w:t>防物体打击技术措施</w:t>
      </w:r>
      <w:bookmarkEnd w:id="422"/>
      <w:bookmarkEnd w:id="423"/>
    </w:p>
    <w:p w14:paraId="281005F9">
      <w:pPr>
        <w:ind w:firstLine="480"/>
        <w:rPr>
          <w:rFonts w:hint="eastAsia"/>
          <w:color w:val="auto"/>
          <w:kern w:val="0"/>
        </w:rPr>
      </w:pPr>
      <w:r>
        <w:rPr>
          <w:rFonts w:hint="eastAsia"/>
          <w:color w:val="auto"/>
          <w:kern w:val="0"/>
        </w:rPr>
        <w:t>（1）工人进入施工现场必须戴好安全帽。</w:t>
      </w:r>
    </w:p>
    <w:p w14:paraId="54A4686E">
      <w:pPr>
        <w:ind w:firstLine="480"/>
        <w:rPr>
          <w:rFonts w:hint="eastAsia"/>
          <w:color w:val="auto"/>
          <w:kern w:val="0"/>
        </w:rPr>
      </w:pPr>
      <w:r>
        <w:rPr>
          <w:rFonts w:hint="eastAsia"/>
          <w:color w:val="auto"/>
          <w:kern w:val="0"/>
        </w:rPr>
        <w:t>（2）施工中应妥善安排，同一立面应避免同时施工，以免落物伤人。</w:t>
      </w:r>
    </w:p>
    <w:p w14:paraId="6727941F">
      <w:pPr>
        <w:ind w:firstLine="480"/>
        <w:rPr>
          <w:rFonts w:hint="eastAsia"/>
          <w:color w:val="auto"/>
          <w:kern w:val="0"/>
        </w:rPr>
      </w:pPr>
      <w:r>
        <w:rPr>
          <w:rFonts w:hint="eastAsia"/>
          <w:color w:val="auto"/>
          <w:kern w:val="0"/>
        </w:rPr>
        <w:t>（3）施工垃圾应集中收集，定时集中清放，严禁乱扔乱放。</w:t>
      </w:r>
    </w:p>
    <w:p w14:paraId="751AFE0B">
      <w:pPr>
        <w:ind w:firstLine="480"/>
        <w:rPr>
          <w:rFonts w:hint="eastAsia"/>
          <w:color w:val="auto"/>
          <w:kern w:val="0"/>
        </w:rPr>
      </w:pPr>
      <w:r>
        <w:rPr>
          <w:rFonts w:hint="eastAsia"/>
          <w:color w:val="auto"/>
          <w:kern w:val="0"/>
        </w:rPr>
        <w:t>（4）大型物件吊装应派专人指挥，非安全区域内严禁站人。</w:t>
      </w:r>
    </w:p>
    <w:p w14:paraId="1DE1AF73">
      <w:pPr>
        <w:pStyle w:val="4"/>
        <w:numPr>
          <w:ilvl w:val="2"/>
          <w:numId w:val="0"/>
        </w:numPr>
        <w:ind w:left="709" w:leftChars="0" w:hanging="709" w:firstLineChars="0"/>
        <w:rPr>
          <w:rFonts w:hint="eastAsia"/>
          <w:color w:val="auto"/>
        </w:rPr>
      </w:pPr>
      <w:bookmarkStart w:id="424" w:name="_Toc627"/>
      <w:bookmarkStart w:id="425" w:name="_Toc14356"/>
      <w:r>
        <w:rPr>
          <w:rFonts w:hint="default" w:ascii="宋体" w:hAnsi="宋体" w:eastAsia="宋体" w:cstheme="minorBidi"/>
          <w:b/>
          <w:bCs/>
          <w:color w:val="auto"/>
          <w:kern w:val="2"/>
          <w:sz w:val="24"/>
          <w:szCs w:val="32"/>
          <w:lang w:val="en-US" w:eastAsia="zh-CN" w:bidi="ar-SA"/>
        </w:rPr>
        <w:t>7.6.2.</w:t>
      </w:r>
      <w:r>
        <w:rPr>
          <w:rFonts w:hint="eastAsia"/>
          <w:color w:val="auto"/>
        </w:rPr>
        <w:t>防机械伤害技术措施</w:t>
      </w:r>
      <w:bookmarkEnd w:id="424"/>
      <w:bookmarkEnd w:id="425"/>
    </w:p>
    <w:p w14:paraId="4F637890">
      <w:pPr>
        <w:ind w:firstLine="480"/>
        <w:rPr>
          <w:rFonts w:hint="eastAsia"/>
          <w:color w:val="auto"/>
          <w:kern w:val="0"/>
        </w:rPr>
      </w:pPr>
      <w:r>
        <w:rPr>
          <w:rFonts w:hint="eastAsia"/>
          <w:color w:val="auto"/>
          <w:kern w:val="0"/>
        </w:rPr>
        <w:t>施工机械安全防护一般规定</w:t>
      </w:r>
    </w:p>
    <w:p w14:paraId="4D59EAFD">
      <w:pPr>
        <w:ind w:firstLine="480"/>
        <w:rPr>
          <w:rFonts w:hint="eastAsia"/>
          <w:color w:val="auto"/>
          <w:kern w:val="0"/>
        </w:rPr>
      </w:pPr>
      <w:r>
        <w:rPr>
          <w:rFonts w:hint="eastAsia"/>
          <w:color w:val="auto"/>
          <w:kern w:val="0"/>
        </w:rPr>
        <w:t>（1）各种机械设备的操作人员，都必须经过专业与安全技术培训，经有关部门考核合格方准上岗。严禁无证人员操作。</w:t>
      </w:r>
    </w:p>
    <w:p w14:paraId="042735AC">
      <w:pPr>
        <w:adjustRightInd w:val="0"/>
        <w:snapToGrid w:val="0"/>
        <w:ind w:firstLine="480"/>
        <w:rPr>
          <w:rFonts w:hint="eastAsia"/>
          <w:color w:val="auto"/>
        </w:rPr>
      </w:pPr>
      <w:r>
        <w:rPr>
          <w:rFonts w:hint="eastAsia"/>
          <w:color w:val="auto"/>
          <w:kern w:val="0"/>
        </w:rPr>
        <w:t>（2）各种机械操作人员，必须懂得所操作机械的性能、安全装置。熟悉安全操作规程，</w:t>
      </w:r>
      <w:r>
        <w:rPr>
          <w:rFonts w:hint="eastAsia"/>
          <w:color w:val="auto"/>
        </w:rPr>
        <w:t>能排除一般故障和日常维护保养。</w:t>
      </w:r>
    </w:p>
    <w:p w14:paraId="4FC94ABA">
      <w:pPr>
        <w:adjustRightInd w:val="0"/>
        <w:snapToGrid w:val="0"/>
        <w:ind w:firstLine="480"/>
        <w:rPr>
          <w:rFonts w:hint="eastAsia"/>
          <w:color w:val="auto"/>
          <w:kern w:val="0"/>
        </w:rPr>
      </w:pPr>
      <w:r>
        <w:rPr>
          <w:rFonts w:hint="eastAsia"/>
          <w:color w:val="auto"/>
          <w:kern w:val="0"/>
        </w:rPr>
        <w:t>（3）工作时，操作人员必须穿戴好防护用品，集中思想、服从指挥、谨慎操作，不得擅离职守或将机械随意交给他人操作。</w:t>
      </w:r>
    </w:p>
    <w:p w14:paraId="26A75ACA">
      <w:pPr>
        <w:adjustRightInd w:val="0"/>
        <w:snapToGrid w:val="0"/>
        <w:ind w:firstLine="480"/>
        <w:rPr>
          <w:rFonts w:hint="eastAsia"/>
          <w:color w:val="auto"/>
          <w:kern w:val="0"/>
        </w:rPr>
      </w:pPr>
      <w:r>
        <w:rPr>
          <w:rFonts w:hint="eastAsia"/>
          <w:color w:val="auto"/>
          <w:kern w:val="0"/>
        </w:rPr>
        <w:t>（4）交付现场使用的机械设备，必须性能良好，防护装置齐全，生产及安全所需备品配套，并经设备部门和现场负责人认可，方能使用。</w:t>
      </w:r>
    </w:p>
    <w:p w14:paraId="2D765C3B">
      <w:pPr>
        <w:adjustRightInd w:val="0"/>
        <w:snapToGrid w:val="0"/>
        <w:ind w:firstLine="480"/>
        <w:rPr>
          <w:rFonts w:hint="eastAsia"/>
          <w:color w:val="auto"/>
          <w:kern w:val="0"/>
        </w:rPr>
      </w:pPr>
      <w:r>
        <w:rPr>
          <w:rFonts w:hint="eastAsia"/>
          <w:color w:val="auto"/>
          <w:kern w:val="0"/>
        </w:rPr>
        <w:t>（5）机械设备进入作业点，单位工程负责人应向操作人员进行作业任务和安全技术措施的详细交底。</w:t>
      </w:r>
    </w:p>
    <w:p w14:paraId="757308D0">
      <w:pPr>
        <w:pStyle w:val="4"/>
        <w:numPr>
          <w:ilvl w:val="2"/>
          <w:numId w:val="0"/>
        </w:numPr>
        <w:ind w:left="709" w:leftChars="0" w:hanging="709" w:firstLineChars="0"/>
        <w:rPr>
          <w:rFonts w:hint="eastAsia"/>
          <w:color w:val="auto"/>
        </w:rPr>
      </w:pPr>
      <w:bookmarkStart w:id="426" w:name="_Toc13051"/>
      <w:bookmarkStart w:id="427" w:name="_Toc18569"/>
      <w:r>
        <w:rPr>
          <w:rFonts w:hint="default" w:ascii="宋体" w:hAnsi="宋体" w:eastAsia="宋体" w:cstheme="minorBidi"/>
          <w:b/>
          <w:bCs/>
          <w:color w:val="auto"/>
          <w:kern w:val="2"/>
          <w:sz w:val="24"/>
          <w:szCs w:val="32"/>
          <w:lang w:val="en-US" w:eastAsia="zh-CN" w:bidi="ar-SA"/>
        </w:rPr>
        <w:t>7.6.3.</w:t>
      </w:r>
      <w:r>
        <w:rPr>
          <w:rFonts w:hint="eastAsia"/>
          <w:color w:val="auto"/>
        </w:rPr>
        <w:t>汽车吊装作业危险源控制措施</w:t>
      </w:r>
      <w:bookmarkEnd w:id="426"/>
      <w:bookmarkEnd w:id="427"/>
    </w:p>
    <w:p w14:paraId="3B65165B">
      <w:pPr>
        <w:adjustRightInd w:val="0"/>
        <w:snapToGrid w:val="0"/>
        <w:ind w:firstLine="480"/>
        <w:rPr>
          <w:rFonts w:hint="eastAsia"/>
          <w:color w:val="auto"/>
          <w:kern w:val="0"/>
        </w:rPr>
      </w:pPr>
      <w:r>
        <w:rPr>
          <w:rFonts w:hint="eastAsia"/>
          <w:color w:val="auto"/>
          <w:kern w:val="0"/>
        </w:rPr>
        <w:t>（1）汽车吊使用范围：塔吊安装、拆除。</w:t>
      </w:r>
    </w:p>
    <w:p w14:paraId="23E20230">
      <w:pPr>
        <w:adjustRightInd w:val="0"/>
        <w:snapToGrid w:val="0"/>
        <w:ind w:firstLine="480"/>
        <w:rPr>
          <w:rFonts w:hint="eastAsia"/>
          <w:color w:val="auto"/>
          <w:kern w:val="0"/>
        </w:rPr>
      </w:pPr>
      <w:r>
        <w:rPr>
          <w:rFonts w:hint="eastAsia"/>
          <w:color w:val="auto"/>
          <w:kern w:val="0"/>
        </w:rPr>
        <w:t>（2）根据现场作业条件分析，吊运前必须协调现场其它相关班组配合施工，尽量减少大构件堆放，避免工作空间狭小造成安全事故，吊运前必须通知各相关班组，作业区域及详细的吊运时间计划。</w:t>
      </w:r>
    </w:p>
    <w:p w14:paraId="6A0B50B8">
      <w:pPr>
        <w:adjustRightInd w:val="0"/>
        <w:snapToGrid w:val="0"/>
        <w:ind w:firstLine="480"/>
        <w:rPr>
          <w:rFonts w:hint="eastAsia"/>
          <w:color w:val="auto"/>
          <w:kern w:val="0"/>
        </w:rPr>
      </w:pPr>
      <w:r>
        <w:rPr>
          <w:rFonts w:hint="eastAsia"/>
          <w:color w:val="auto"/>
          <w:kern w:val="0"/>
        </w:rPr>
        <w:t>（2）汽车吊的操作人员，都必须经过专业与安全技术培训，经有关部门考核合格方准上岗。严禁无证人员上岗操作。集中思想、服从指挥、谨慎操作，不得擅离职守或将机械随意交给他人操作。</w:t>
      </w:r>
    </w:p>
    <w:p w14:paraId="4133E3FA">
      <w:pPr>
        <w:adjustRightInd w:val="0"/>
        <w:snapToGrid w:val="0"/>
        <w:ind w:firstLine="480"/>
        <w:rPr>
          <w:rFonts w:hint="eastAsia"/>
          <w:color w:val="auto"/>
          <w:kern w:val="0"/>
        </w:rPr>
      </w:pPr>
      <w:r>
        <w:rPr>
          <w:rFonts w:hint="eastAsia"/>
          <w:color w:val="auto"/>
          <w:kern w:val="0"/>
        </w:rPr>
        <w:t>（3）汽车吊必须性能良好，防护装置齐全，汽车吊进入作业点，班组负责人应向操作人员进行作业任务和安全技术措施的详细交底。</w:t>
      </w:r>
    </w:p>
    <w:p w14:paraId="5C1C65E2">
      <w:pPr>
        <w:adjustRightInd w:val="0"/>
        <w:snapToGrid w:val="0"/>
        <w:ind w:firstLine="480"/>
        <w:rPr>
          <w:rFonts w:hint="eastAsia"/>
          <w:color w:val="auto"/>
          <w:kern w:val="0"/>
        </w:rPr>
      </w:pPr>
      <w:r>
        <w:rPr>
          <w:rFonts w:hint="eastAsia"/>
          <w:color w:val="auto"/>
          <w:kern w:val="0"/>
        </w:rPr>
        <w:t>（4）为了保证起重吊运不出安全事故，特要求汽车吊装严格执行以下措施:</w:t>
      </w:r>
    </w:p>
    <w:p w14:paraId="77B4652B">
      <w:pPr>
        <w:adjustRightInd w:val="0"/>
        <w:snapToGrid w:val="0"/>
        <w:ind w:firstLine="480"/>
        <w:rPr>
          <w:rFonts w:hint="eastAsia"/>
          <w:color w:val="auto"/>
          <w:kern w:val="0"/>
        </w:rPr>
      </w:pPr>
      <w:r>
        <w:rPr>
          <w:rFonts w:hint="eastAsia"/>
          <w:color w:val="auto"/>
          <w:kern w:val="0"/>
        </w:rPr>
        <w:t>1）吊运采用的25T汽车吊在进入施工现场行驶时候，应认真执行交通管理部门的有关规定。起重机行驶和工作场地应平坦坚实，不得在倾斜的地面作业，离管沟，基坑有必要的安全距离。</w:t>
      </w:r>
    </w:p>
    <w:p w14:paraId="729302D9">
      <w:pPr>
        <w:adjustRightInd w:val="0"/>
        <w:snapToGrid w:val="0"/>
        <w:ind w:firstLine="480"/>
        <w:rPr>
          <w:rFonts w:hint="eastAsia"/>
          <w:color w:val="auto"/>
          <w:kern w:val="0"/>
        </w:rPr>
      </w:pPr>
      <w:r>
        <w:rPr>
          <w:rFonts w:hint="eastAsia"/>
          <w:color w:val="auto"/>
          <w:kern w:val="0"/>
        </w:rPr>
        <w:t>2）操作人员在作业前必须对工作现场环境、行驶道路、建筑物以及构件重量和分布情况进行全面了解。</w:t>
      </w:r>
    </w:p>
    <w:p w14:paraId="1DFAF67A">
      <w:pPr>
        <w:adjustRightInd w:val="0"/>
        <w:snapToGrid w:val="0"/>
        <w:ind w:firstLine="480"/>
        <w:rPr>
          <w:rFonts w:hint="eastAsia"/>
          <w:color w:val="auto"/>
          <w:kern w:val="0"/>
        </w:rPr>
      </w:pPr>
      <w:r>
        <w:rPr>
          <w:rFonts w:hint="eastAsia"/>
          <w:color w:val="auto"/>
          <w:kern w:val="0"/>
        </w:rPr>
        <w:t>3）现场施工负责人应为起重机作业提供足够的工作场地，清除或避开起重臂起落及回转半径内的障碍物。</w:t>
      </w:r>
    </w:p>
    <w:p w14:paraId="0E2F3F00">
      <w:pPr>
        <w:adjustRightInd w:val="0"/>
        <w:snapToGrid w:val="0"/>
        <w:ind w:firstLine="480"/>
        <w:rPr>
          <w:rFonts w:hint="eastAsia"/>
          <w:color w:val="auto"/>
          <w:kern w:val="0"/>
        </w:rPr>
      </w:pPr>
      <w:r>
        <w:rPr>
          <w:rFonts w:hint="eastAsia"/>
          <w:color w:val="auto"/>
          <w:kern w:val="0"/>
        </w:rPr>
        <w:t>4）汽车吊在起重臂、吊钩、平衡重等转动体上应标以鲜明的色彩标志。</w:t>
      </w:r>
    </w:p>
    <w:p w14:paraId="0C5738B5">
      <w:pPr>
        <w:adjustRightInd w:val="0"/>
        <w:snapToGrid w:val="0"/>
        <w:ind w:firstLine="480"/>
        <w:rPr>
          <w:rFonts w:hint="eastAsia"/>
          <w:color w:val="auto"/>
          <w:kern w:val="0"/>
        </w:rPr>
      </w:pPr>
      <w:r>
        <w:rPr>
          <w:rFonts w:hint="eastAsia"/>
          <w:color w:val="auto"/>
          <w:kern w:val="0"/>
        </w:rPr>
        <w:t>5）起重吊装的指挥人员作业时应与操作人员密切配合，执行规定的指挥信号。操作人员应按照指挥人员的信号进行作业，当信号不清或错误时，操作人员可拒绝执行。</w:t>
      </w:r>
    </w:p>
    <w:p w14:paraId="0F70CE0D">
      <w:pPr>
        <w:adjustRightInd w:val="0"/>
        <w:snapToGrid w:val="0"/>
        <w:ind w:firstLine="480"/>
        <w:rPr>
          <w:rFonts w:hint="eastAsia"/>
          <w:color w:val="auto"/>
          <w:kern w:val="0"/>
        </w:rPr>
      </w:pPr>
      <w:r>
        <w:rPr>
          <w:rFonts w:hint="eastAsia"/>
          <w:color w:val="auto"/>
          <w:kern w:val="0"/>
        </w:rPr>
        <w:t>6）用彩条旗对安装施工现场进行封闭，设置警戒人员，现场设置安全警示牌。同时用警示带设置公共安全通道，规定通行时间。</w:t>
      </w:r>
    </w:p>
    <w:p w14:paraId="63FA94B8">
      <w:pPr>
        <w:adjustRightInd w:val="0"/>
        <w:snapToGrid w:val="0"/>
        <w:ind w:firstLine="480"/>
        <w:rPr>
          <w:rFonts w:hint="eastAsia"/>
          <w:color w:val="auto"/>
          <w:kern w:val="0"/>
        </w:rPr>
      </w:pPr>
      <w:r>
        <w:rPr>
          <w:rFonts w:hint="eastAsia"/>
          <w:color w:val="auto"/>
          <w:kern w:val="0"/>
        </w:rPr>
        <w:t>7）操作人员进行起重机回转、变幅、行走和吊钩升降等动作前，应发出音响信号示意。</w:t>
      </w:r>
    </w:p>
    <w:p w14:paraId="367DB777">
      <w:pPr>
        <w:adjustRightInd w:val="0"/>
        <w:snapToGrid w:val="0"/>
        <w:ind w:firstLine="480"/>
        <w:rPr>
          <w:rFonts w:hint="eastAsia"/>
          <w:color w:val="auto"/>
          <w:kern w:val="0"/>
        </w:rPr>
      </w:pPr>
      <w:r>
        <w:rPr>
          <w:rFonts w:hint="eastAsia"/>
          <w:color w:val="auto"/>
          <w:kern w:val="0"/>
        </w:rPr>
        <w:t>8）起重机作业时，起重臂和重物下方严禁有人停留、工作或通过。重物吊运时，严禁从人上方通过。严禁用起重机载运人员。</w:t>
      </w:r>
    </w:p>
    <w:p w14:paraId="7690297C">
      <w:pPr>
        <w:adjustRightInd w:val="0"/>
        <w:snapToGrid w:val="0"/>
        <w:ind w:firstLine="480"/>
        <w:rPr>
          <w:rFonts w:hint="eastAsia"/>
          <w:color w:val="auto"/>
          <w:kern w:val="0"/>
        </w:rPr>
      </w:pPr>
      <w:r>
        <w:rPr>
          <w:rFonts w:hint="eastAsia"/>
          <w:color w:val="auto"/>
          <w:kern w:val="0"/>
        </w:rPr>
        <w:t>9）操作人员应按规定的起重性能作业，不得超载。有专人在现场监护下，方可作业。</w:t>
      </w:r>
    </w:p>
    <w:p w14:paraId="26284A54">
      <w:pPr>
        <w:adjustRightInd w:val="0"/>
        <w:snapToGrid w:val="0"/>
        <w:ind w:firstLine="480"/>
        <w:rPr>
          <w:rFonts w:hint="eastAsia"/>
          <w:color w:val="auto"/>
          <w:kern w:val="0"/>
        </w:rPr>
      </w:pPr>
      <w:r>
        <w:rPr>
          <w:rFonts w:hint="eastAsia"/>
          <w:color w:val="auto"/>
          <w:kern w:val="0"/>
        </w:rPr>
        <w:t>10）严禁使用起重机进行斜拉、斜吊和起吊地下埋设或凝固在地面上的重物以及其他不明重量的物体。</w:t>
      </w:r>
    </w:p>
    <w:p w14:paraId="712EFB86">
      <w:pPr>
        <w:adjustRightInd w:val="0"/>
        <w:snapToGrid w:val="0"/>
        <w:ind w:firstLine="480"/>
        <w:rPr>
          <w:rFonts w:hint="eastAsia"/>
          <w:color w:val="auto"/>
          <w:kern w:val="0"/>
        </w:rPr>
      </w:pPr>
      <w:r>
        <w:rPr>
          <w:rFonts w:hint="eastAsia"/>
          <w:color w:val="auto"/>
          <w:kern w:val="0"/>
        </w:rPr>
        <w:t>11）起吊施工各种构件应绑扎平稳、牢固，不得在重物上再堆放或悬挂零星物件。吊索与物件的夹角宜采用45°～60°，且不得小于30°，吊索与物件梭角之间应加垫块。</w:t>
      </w:r>
    </w:p>
    <w:p w14:paraId="45C8E2C1">
      <w:pPr>
        <w:adjustRightInd w:val="0"/>
        <w:snapToGrid w:val="0"/>
        <w:ind w:firstLine="480"/>
        <w:rPr>
          <w:rFonts w:hint="eastAsia"/>
          <w:color w:val="auto"/>
          <w:kern w:val="0"/>
        </w:rPr>
      </w:pPr>
      <w:r>
        <w:rPr>
          <w:rFonts w:hint="eastAsia"/>
          <w:color w:val="auto"/>
          <w:kern w:val="0"/>
        </w:rPr>
        <w:t>12）起吊载荷达到起重机额定起重量的90%及以上时，应先将重物吊离地面200～500mm后，检查起重机的稳定性、制动器的可靠性、重物的平稳性、绑扎的牢固性，确认无误后方可继续起吊。对易晃动的重物应拴牵引绳。</w:t>
      </w:r>
    </w:p>
    <w:p w14:paraId="61C2A8EC">
      <w:pPr>
        <w:adjustRightInd w:val="0"/>
        <w:snapToGrid w:val="0"/>
        <w:ind w:firstLine="480"/>
        <w:rPr>
          <w:rFonts w:hint="eastAsia"/>
          <w:color w:val="auto"/>
          <w:kern w:val="0"/>
        </w:rPr>
      </w:pPr>
      <w:r>
        <w:rPr>
          <w:rFonts w:hint="eastAsia"/>
          <w:color w:val="auto"/>
          <w:kern w:val="0"/>
        </w:rPr>
        <w:t>13）重物起升和下降速度应平稳、均匀，不得突然制动。左右回转应平稳，当回转未停稳前不得作反向动作。</w:t>
      </w:r>
    </w:p>
    <w:p w14:paraId="6E3A0295">
      <w:pPr>
        <w:adjustRightInd w:val="0"/>
        <w:snapToGrid w:val="0"/>
        <w:ind w:firstLine="480"/>
        <w:rPr>
          <w:rFonts w:hint="eastAsia"/>
          <w:color w:val="auto"/>
          <w:kern w:val="0"/>
        </w:rPr>
      </w:pPr>
      <w:r>
        <w:rPr>
          <w:rFonts w:hint="eastAsia"/>
          <w:color w:val="auto"/>
          <w:kern w:val="0"/>
        </w:rPr>
        <w:t>14）严禁起吊重物长时间悬挂在空中，作业中遇突发故障，应采取措施将重物降落到安全地方，并关闭发动机或切断电源后进行检修。并采取措施使重物降到地面。</w:t>
      </w:r>
    </w:p>
    <w:p w14:paraId="14A552B1">
      <w:pPr>
        <w:adjustRightInd w:val="0"/>
        <w:snapToGrid w:val="0"/>
        <w:ind w:firstLine="480"/>
        <w:rPr>
          <w:rFonts w:hint="eastAsia"/>
          <w:color w:val="auto"/>
          <w:kern w:val="0"/>
        </w:rPr>
      </w:pPr>
      <w:r>
        <w:rPr>
          <w:rFonts w:hint="eastAsia"/>
          <w:color w:val="auto"/>
          <w:kern w:val="0"/>
        </w:rPr>
        <w:t>15）起重机使用的钢丝绳，其结构形式、规格及强度应符合该型起重机使用说明书的要求。安装操作前必须进行仔细核实。</w:t>
      </w:r>
    </w:p>
    <w:p w14:paraId="40F35190">
      <w:pPr>
        <w:adjustRightInd w:val="0"/>
        <w:snapToGrid w:val="0"/>
        <w:ind w:firstLine="480"/>
        <w:rPr>
          <w:rFonts w:hint="eastAsia"/>
          <w:color w:val="auto"/>
          <w:kern w:val="0"/>
        </w:rPr>
      </w:pPr>
      <w:r>
        <w:rPr>
          <w:rFonts w:hint="eastAsia"/>
          <w:color w:val="auto"/>
          <w:kern w:val="0"/>
        </w:rPr>
        <w:t>16）起重机的吊钩和吊环严禁补焊。当出现下列的情况之一时应更换：</w:t>
      </w:r>
    </w:p>
    <w:p w14:paraId="18981D3F">
      <w:pPr>
        <w:adjustRightInd w:val="0"/>
        <w:snapToGrid w:val="0"/>
        <w:ind w:firstLine="480"/>
        <w:rPr>
          <w:rFonts w:hint="eastAsia"/>
          <w:color w:val="auto"/>
          <w:kern w:val="0"/>
        </w:rPr>
      </w:pPr>
      <w:r>
        <w:rPr>
          <w:rFonts w:hint="eastAsia"/>
          <w:color w:val="auto"/>
          <w:kern w:val="0"/>
        </w:rPr>
        <w:t>①表面有裂纹、破口；</w:t>
      </w:r>
    </w:p>
    <w:p w14:paraId="1109BFC3">
      <w:pPr>
        <w:adjustRightInd w:val="0"/>
        <w:snapToGrid w:val="0"/>
        <w:ind w:firstLine="480"/>
        <w:rPr>
          <w:rFonts w:hint="eastAsia"/>
          <w:color w:val="auto"/>
          <w:kern w:val="0"/>
        </w:rPr>
      </w:pPr>
      <w:r>
        <w:rPr>
          <w:rFonts w:hint="eastAsia"/>
          <w:color w:val="auto"/>
          <w:kern w:val="0"/>
        </w:rPr>
        <w:t>②危险断面及钩颈有永久变形；</w:t>
      </w:r>
    </w:p>
    <w:p w14:paraId="5CA8E384">
      <w:pPr>
        <w:adjustRightInd w:val="0"/>
        <w:snapToGrid w:val="0"/>
        <w:ind w:firstLine="480"/>
        <w:rPr>
          <w:rFonts w:hint="eastAsia"/>
          <w:color w:val="auto"/>
          <w:kern w:val="0"/>
        </w:rPr>
      </w:pPr>
      <w:r>
        <w:rPr>
          <w:rFonts w:hint="eastAsia"/>
          <w:color w:val="auto"/>
          <w:kern w:val="0"/>
        </w:rPr>
        <w:t>③挂绳处断面磨损超过高度10%；</w:t>
      </w:r>
    </w:p>
    <w:p w14:paraId="2851DED8">
      <w:pPr>
        <w:adjustRightInd w:val="0"/>
        <w:snapToGrid w:val="0"/>
        <w:ind w:firstLine="480"/>
        <w:rPr>
          <w:rFonts w:hint="eastAsia"/>
          <w:color w:val="auto"/>
          <w:kern w:val="0"/>
        </w:rPr>
      </w:pPr>
      <w:r>
        <w:rPr>
          <w:rFonts w:hint="eastAsia"/>
          <w:color w:val="auto"/>
          <w:kern w:val="0"/>
        </w:rPr>
        <w:t>④吊钩衬套磨损超过原厚度50%；</w:t>
      </w:r>
    </w:p>
    <w:p w14:paraId="0F4D2D6E">
      <w:pPr>
        <w:adjustRightInd w:val="0"/>
        <w:snapToGrid w:val="0"/>
        <w:ind w:firstLine="480"/>
        <w:rPr>
          <w:rFonts w:hint="eastAsia"/>
          <w:color w:val="auto"/>
          <w:kern w:val="0"/>
        </w:rPr>
      </w:pPr>
      <w:r>
        <w:rPr>
          <w:rFonts w:hint="eastAsia"/>
          <w:color w:val="auto"/>
          <w:kern w:val="0"/>
        </w:rPr>
        <w:t>⑤心轴（销子）磨损超过其直径的3%～5%。</w:t>
      </w:r>
    </w:p>
    <w:p w14:paraId="695344B7">
      <w:pPr>
        <w:pStyle w:val="4"/>
        <w:numPr>
          <w:ilvl w:val="2"/>
          <w:numId w:val="0"/>
        </w:numPr>
        <w:ind w:left="709" w:leftChars="0" w:hanging="709" w:firstLineChars="0"/>
        <w:rPr>
          <w:rFonts w:hint="eastAsia"/>
          <w:color w:val="auto"/>
        </w:rPr>
      </w:pPr>
      <w:bookmarkStart w:id="428" w:name="_Toc22847"/>
      <w:bookmarkStart w:id="429" w:name="_Toc19880"/>
      <w:r>
        <w:rPr>
          <w:rFonts w:hint="default" w:ascii="宋体" w:hAnsi="宋体" w:eastAsia="宋体" w:cstheme="minorBidi"/>
          <w:b/>
          <w:bCs/>
          <w:color w:val="auto"/>
          <w:kern w:val="2"/>
          <w:sz w:val="24"/>
          <w:szCs w:val="32"/>
          <w:lang w:val="en-US" w:eastAsia="zh-CN" w:bidi="ar-SA"/>
        </w:rPr>
        <w:t>7.6.4.</w:t>
      </w:r>
      <w:r>
        <w:rPr>
          <w:rFonts w:hint="eastAsia"/>
          <w:color w:val="auto"/>
        </w:rPr>
        <w:t>其它安全施工技术措施</w:t>
      </w:r>
      <w:bookmarkEnd w:id="428"/>
      <w:bookmarkEnd w:id="429"/>
    </w:p>
    <w:p w14:paraId="1EA83BA8">
      <w:pPr>
        <w:adjustRightInd w:val="0"/>
        <w:snapToGrid w:val="0"/>
        <w:ind w:firstLine="480"/>
        <w:rPr>
          <w:rFonts w:hint="eastAsia"/>
          <w:color w:val="auto"/>
          <w:kern w:val="0"/>
        </w:rPr>
      </w:pPr>
      <w:r>
        <w:rPr>
          <w:rFonts w:hint="eastAsia"/>
          <w:color w:val="auto"/>
          <w:kern w:val="0"/>
        </w:rPr>
        <w:t>（1）由项目部自行完成工程的操作工艺无先天安全缺陷。各级管理人员应当向下级职工进行安全技术交底，交底分工种交底、分部分项工程交底、机械使用交底。</w:t>
      </w:r>
    </w:p>
    <w:p w14:paraId="7F1AC998">
      <w:pPr>
        <w:adjustRightInd w:val="0"/>
        <w:snapToGrid w:val="0"/>
        <w:ind w:firstLine="480"/>
        <w:rPr>
          <w:rFonts w:hint="eastAsia"/>
          <w:color w:val="auto"/>
          <w:kern w:val="0"/>
        </w:rPr>
      </w:pPr>
      <w:r>
        <w:rPr>
          <w:rFonts w:hint="eastAsia"/>
          <w:color w:val="auto"/>
          <w:kern w:val="0"/>
        </w:rPr>
        <w:t>（2）大型机械必须由持证人员操作，并严格遵守本工种操作规程。</w:t>
      </w:r>
    </w:p>
    <w:p w14:paraId="1799977C">
      <w:pPr>
        <w:adjustRightInd w:val="0"/>
        <w:snapToGrid w:val="0"/>
        <w:ind w:firstLine="480"/>
        <w:rPr>
          <w:rFonts w:hint="eastAsia"/>
          <w:color w:val="auto"/>
          <w:kern w:val="0"/>
        </w:rPr>
      </w:pPr>
      <w:r>
        <w:rPr>
          <w:rFonts w:hint="eastAsia"/>
          <w:color w:val="auto"/>
          <w:kern w:val="0"/>
        </w:rPr>
        <w:t>（3）使用机械、机具严禁戴手套。</w:t>
      </w:r>
    </w:p>
    <w:p w14:paraId="0D8E2183">
      <w:pPr>
        <w:adjustRightInd w:val="0"/>
        <w:snapToGrid w:val="0"/>
        <w:ind w:firstLine="480"/>
        <w:rPr>
          <w:rFonts w:hint="eastAsia" w:ascii="宋体" w:hAnsi="宋体" w:eastAsia="宋体"/>
          <w:color w:val="auto"/>
          <w:kern w:val="0"/>
        </w:rPr>
      </w:pPr>
      <w:r>
        <w:rPr>
          <w:rFonts w:hint="eastAsia"/>
          <w:color w:val="auto"/>
          <w:kern w:val="0"/>
        </w:rPr>
        <w:t>（4）禁止与工程无关人员进入施工现场。</w:t>
      </w:r>
    </w:p>
    <w:p w14:paraId="50FB0104">
      <w:pPr>
        <w:pStyle w:val="20"/>
        <w:ind w:firstLine="0" w:firstLineChars="0"/>
        <w:rPr>
          <w:rFonts w:hint="eastAsia"/>
          <w:color w:val="auto"/>
          <w:sz w:val="24"/>
          <w:szCs w:val="24"/>
        </w:rPr>
      </w:pPr>
      <w:r>
        <w:rPr>
          <w:color w:val="auto"/>
          <w:sz w:val="24"/>
          <w:szCs w:val="24"/>
        </w:rPr>
        <w:br w:type="page"/>
      </w:r>
    </w:p>
    <w:bookmarkEnd w:id="340"/>
    <w:bookmarkEnd w:id="341"/>
    <w:bookmarkEnd w:id="342"/>
    <w:bookmarkEnd w:id="343"/>
    <w:bookmarkEnd w:id="344"/>
    <w:bookmarkEnd w:id="345"/>
    <w:p w14:paraId="4862E546">
      <w:pPr>
        <w:pStyle w:val="2"/>
        <w:rPr>
          <w:rFonts w:hint="eastAsia"/>
          <w:color w:val="auto"/>
        </w:rPr>
      </w:pPr>
      <w:bookmarkStart w:id="430" w:name="_Toc30923"/>
      <w:bookmarkStart w:id="431" w:name="_Toc533610108"/>
      <w:bookmarkStart w:id="432" w:name="_Toc17593"/>
      <w:bookmarkStart w:id="433" w:name="_Toc7014_WPSOffice_Level1"/>
      <w:bookmarkStart w:id="434" w:name="_Toc182895418"/>
      <w:bookmarkStart w:id="435" w:name="_Toc1644_WPSOffice_Level1"/>
      <w:bookmarkStart w:id="436" w:name="_Toc8781"/>
      <w:bookmarkStart w:id="437" w:name="_Toc17255"/>
      <w:bookmarkStart w:id="438" w:name="_Toc326854323"/>
      <w:bookmarkStart w:id="439" w:name="_Toc26064"/>
      <w:bookmarkStart w:id="440" w:name="_Toc25588"/>
      <w:bookmarkStart w:id="441" w:name="_Toc12698"/>
      <w:bookmarkStart w:id="442" w:name="_Toc14457"/>
      <w:r>
        <w:rPr>
          <w:rFonts w:hint="eastAsia"/>
          <w:color w:val="auto"/>
        </w:rPr>
        <w:t xml:space="preserve">8 </w:t>
      </w:r>
      <w:bookmarkEnd w:id="430"/>
      <w:bookmarkEnd w:id="431"/>
      <w:bookmarkEnd w:id="432"/>
      <w:bookmarkEnd w:id="433"/>
      <w:bookmarkEnd w:id="434"/>
      <w:bookmarkEnd w:id="435"/>
      <w:bookmarkEnd w:id="436"/>
      <w:bookmarkEnd w:id="437"/>
      <w:bookmarkEnd w:id="438"/>
      <w:bookmarkEnd w:id="439"/>
      <w:bookmarkEnd w:id="440"/>
      <w:bookmarkEnd w:id="441"/>
      <w:r>
        <w:rPr>
          <w:rFonts w:hint="eastAsia"/>
        </w:rPr>
        <w:t>施工安全技术保障措施</w:t>
      </w:r>
      <w:bookmarkEnd w:id="442"/>
    </w:p>
    <w:p w14:paraId="15027AB6">
      <w:pPr>
        <w:pStyle w:val="3"/>
        <w:ind w:left="480"/>
        <w:rPr>
          <w:rFonts w:hint="eastAsia"/>
          <w:color w:val="auto"/>
        </w:rPr>
      </w:pPr>
      <w:bookmarkStart w:id="443" w:name="_Toc4838_WPSOffice_Level2"/>
      <w:bookmarkStart w:id="444" w:name="_Toc24378"/>
      <w:bookmarkStart w:id="445" w:name="_Toc18645"/>
      <w:bookmarkStart w:id="446" w:name="_Toc30323"/>
      <w:bookmarkStart w:id="447" w:name="_Toc326854324"/>
      <w:bookmarkStart w:id="448" w:name="_Toc7586"/>
      <w:bookmarkStart w:id="449" w:name="_Toc182895419"/>
      <w:bookmarkStart w:id="450" w:name="_Toc13454_WPSOffice_Level2"/>
      <w:bookmarkStart w:id="451" w:name="_Toc26694"/>
      <w:bookmarkStart w:id="452" w:name="_Toc11582"/>
      <w:bookmarkStart w:id="453" w:name="_Toc533610109"/>
      <w:bookmarkStart w:id="454" w:name="_Toc8172"/>
      <w:r>
        <w:rPr>
          <w:rFonts w:hint="eastAsia"/>
          <w:color w:val="auto"/>
        </w:rPr>
        <w:t>8.1</w:t>
      </w:r>
      <w:r>
        <w:rPr>
          <w:color w:val="auto"/>
        </w:rPr>
        <w:t xml:space="preserve"> </w:t>
      </w:r>
      <w:r>
        <w:rPr>
          <w:rFonts w:hint="eastAsia"/>
          <w:color w:val="auto"/>
        </w:rPr>
        <w:t>健康</w:t>
      </w:r>
      <w:bookmarkEnd w:id="443"/>
      <w:bookmarkEnd w:id="444"/>
      <w:bookmarkEnd w:id="445"/>
      <w:bookmarkEnd w:id="446"/>
      <w:bookmarkEnd w:id="447"/>
      <w:bookmarkEnd w:id="448"/>
      <w:bookmarkEnd w:id="449"/>
      <w:bookmarkEnd w:id="450"/>
      <w:bookmarkEnd w:id="451"/>
      <w:bookmarkEnd w:id="452"/>
      <w:bookmarkEnd w:id="453"/>
      <w:r>
        <w:rPr>
          <w:rFonts w:hint="eastAsia"/>
          <w:color w:val="auto"/>
        </w:rPr>
        <w:t>管理</w:t>
      </w:r>
      <w:bookmarkEnd w:id="454"/>
    </w:p>
    <w:p w14:paraId="1B2A4826">
      <w:pPr>
        <w:pStyle w:val="4"/>
        <w:ind w:firstLine="482"/>
        <w:rPr>
          <w:rFonts w:hint="eastAsia"/>
          <w:color w:val="auto"/>
        </w:rPr>
      </w:pPr>
      <w:bookmarkStart w:id="455" w:name="_Toc10399"/>
      <w:bookmarkStart w:id="456" w:name="_Toc3894"/>
      <w:r>
        <w:rPr>
          <w:rFonts w:hint="eastAsia"/>
          <w:color w:val="auto"/>
        </w:rPr>
        <w:t>8.</w:t>
      </w:r>
      <w:r>
        <w:rPr>
          <w:color w:val="auto"/>
        </w:rPr>
        <w:t xml:space="preserve">1.1 </w:t>
      </w:r>
      <w:r>
        <w:rPr>
          <w:rFonts w:hint="eastAsia"/>
          <w:color w:val="auto"/>
        </w:rPr>
        <w:t>健康管理目标</w:t>
      </w:r>
      <w:bookmarkEnd w:id="455"/>
      <w:bookmarkEnd w:id="456"/>
    </w:p>
    <w:p w14:paraId="401E9DD7">
      <w:pPr>
        <w:ind w:firstLine="480"/>
        <w:rPr>
          <w:rFonts w:hint="eastAsia"/>
          <w:color w:val="auto"/>
        </w:rPr>
      </w:pPr>
      <w:r>
        <w:rPr>
          <w:rFonts w:hint="eastAsia"/>
          <w:color w:val="auto"/>
        </w:rPr>
        <w:t>（1）</w:t>
      </w:r>
      <w:r>
        <w:rPr>
          <w:color w:val="auto"/>
        </w:rPr>
        <w:t xml:space="preserve">不发生轻伤以上的人身伤害事故。 </w:t>
      </w:r>
    </w:p>
    <w:p w14:paraId="719A183F">
      <w:pPr>
        <w:ind w:firstLine="480"/>
        <w:rPr>
          <w:rFonts w:hint="eastAsia"/>
          <w:color w:val="auto"/>
        </w:rPr>
      </w:pPr>
      <w:r>
        <w:rPr>
          <w:rFonts w:hint="eastAsia"/>
          <w:color w:val="auto"/>
        </w:rPr>
        <w:t>（2）</w:t>
      </w:r>
      <w:r>
        <w:rPr>
          <w:color w:val="auto"/>
        </w:rPr>
        <w:t>不发生因天气原因造成的中暑现象。</w:t>
      </w:r>
    </w:p>
    <w:p w14:paraId="3FA10C3E">
      <w:pPr>
        <w:ind w:firstLine="480"/>
        <w:rPr>
          <w:rFonts w:hint="eastAsia"/>
          <w:color w:val="auto"/>
        </w:rPr>
      </w:pPr>
      <w:r>
        <w:rPr>
          <w:rFonts w:hint="eastAsia"/>
          <w:color w:val="auto"/>
        </w:rPr>
        <w:t>（3）</w:t>
      </w:r>
      <w:r>
        <w:rPr>
          <w:color w:val="auto"/>
        </w:rPr>
        <w:t>不发生施工过程中的职业病伤害。</w:t>
      </w:r>
    </w:p>
    <w:p w14:paraId="205F7AF8">
      <w:pPr>
        <w:pStyle w:val="4"/>
        <w:ind w:firstLine="482"/>
        <w:rPr>
          <w:rFonts w:hint="eastAsia"/>
          <w:color w:val="auto"/>
        </w:rPr>
      </w:pPr>
      <w:bookmarkStart w:id="457" w:name="_Toc8136"/>
      <w:bookmarkStart w:id="458" w:name="_Toc9743"/>
      <w:r>
        <w:rPr>
          <w:rFonts w:hint="eastAsia"/>
          <w:color w:val="auto"/>
        </w:rPr>
        <w:t>8.</w:t>
      </w:r>
      <w:r>
        <w:rPr>
          <w:color w:val="auto"/>
        </w:rPr>
        <w:t>1.2 健康管理措施</w:t>
      </w:r>
      <w:bookmarkEnd w:id="457"/>
      <w:bookmarkEnd w:id="458"/>
    </w:p>
    <w:p w14:paraId="09FD4AC6">
      <w:pPr>
        <w:ind w:firstLine="480"/>
        <w:rPr>
          <w:rFonts w:hint="eastAsia"/>
          <w:color w:val="auto"/>
        </w:rPr>
      </w:pPr>
      <w:r>
        <w:rPr>
          <w:rFonts w:hint="eastAsia"/>
          <w:color w:val="auto"/>
        </w:rPr>
        <w:t>（1）</w:t>
      </w:r>
      <w:r>
        <w:rPr>
          <w:color w:val="auto"/>
        </w:rPr>
        <w:t>施工前应检查确保每个施工人员均投保了意外伤害保险。</w:t>
      </w:r>
    </w:p>
    <w:p w14:paraId="552A36C4">
      <w:pPr>
        <w:ind w:firstLine="480"/>
        <w:rPr>
          <w:rFonts w:hint="eastAsia"/>
          <w:color w:val="auto"/>
        </w:rPr>
      </w:pPr>
      <w:r>
        <w:rPr>
          <w:rFonts w:hint="eastAsia"/>
          <w:color w:val="auto"/>
        </w:rPr>
        <w:t>（2）</w:t>
      </w:r>
      <w:r>
        <w:rPr>
          <w:color w:val="auto"/>
        </w:rPr>
        <w:t>入场前施工人员应进行体验，确保每个人都没有不能进行高空作业的职业病。</w:t>
      </w:r>
    </w:p>
    <w:p w14:paraId="4F83D6D1">
      <w:pPr>
        <w:ind w:firstLine="480"/>
        <w:rPr>
          <w:rFonts w:hint="eastAsia"/>
          <w:color w:val="auto"/>
        </w:rPr>
      </w:pPr>
      <w:r>
        <w:rPr>
          <w:rFonts w:hint="eastAsia"/>
          <w:color w:val="auto"/>
        </w:rPr>
        <w:t>（3）</w:t>
      </w:r>
      <w:r>
        <w:rPr>
          <w:color w:val="auto"/>
        </w:rPr>
        <w:t>每日施工前检查施工人员身体状况，身体不适者严禁进行拆除作业。</w:t>
      </w:r>
    </w:p>
    <w:p w14:paraId="0FD4F30F">
      <w:pPr>
        <w:ind w:firstLine="480"/>
        <w:rPr>
          <w:rFonts w:hint="eastAsia"/>
          <w:color w:val="auto"/>
        </w:rPr>
      </w:pPr>
      <w:r>
        <w:rPr>
          <w:rFonts w:hint="eastAsia"/>
          <w:color w:val="auto"/>
        </w:rPr>
        <w:t>（4）</w:t>
      </w:r>
      <w:r>
        <w:rPr>
          <w:color w:val="auto"/>
        </w:rPr>
        <w:t>冬季施工注意防寒保暖，防止冻伤。</w:t>
      </w:r>
    </w:p>
    <w:p w14:paraId="777D45D6">
      <w:pPr>
        <w:ind w:firstLine="480"/>
        <w:rPr>
          <w:rFonts w:hint="eastAsia"/>
          <w:color w:val="auto"/>
        </w:rPr>
      </w:pPr>
      <w:r>
        <w:rPr>
          <w:rFonts w:hint="eastAsia"/>
          <w:color w:val="auto"/>
        </w:rPr>
        <w:t>（5）</w:t>
      </w:r>
      <w:r>
        <w:rPr>
          <w:color w:val="auto"/>
        </w:rPr>
        <w:t>检查确认每位施工人员都配备足够的劳动防护用品，以杜绝施工过程中的人身伤害及高处坠落事故发生。</w:t>
      </w:r>
    </w:p>
    <w:p w14:paraId="1BED1636">
      <w:pPr>
        <w:ind w:firstLine="480"/>
        <w:rPr>
          <w:rFonts w:hint="eastAsia"/>
          <w:color w:val="auto"/>
        </w:rPr>
      </w:pPr>
      <w:r>
        <w:rPr>
          <w:rFonts w:hint="eastAsia"/>
          <w:color w:val="auto"/>
        </w:rPr>
        <w:t>（6）</w:t>
      </w:r>
      <w:r>
        <w:rPr>
          <w:color w:val="auto"/>
        </w:rPr>
        <w:t>配备常用救急药箱。</w:t>
      </w:r>
    </w:p>
    <w:p w14:paraId="7179C5A5">
      <w:pPr>
        <w:pStyle w:val="3"/>
        <w:ind w:left="480"/>
        <w:rPr>
          <w:rFonts w:hint="eastAsia"/>
          <w:color w:val="auto"/>
        </w:rPr>
      </w:pPr>
      <w:bookmarkStart w:id="459" w:name="_Toc4879"/>
      <w:bookmarkStart w:id="460" w:name="_Toc182895420"/>
      <w:bookmarkStart w:id="461" w:name="_Toc846"/>
      <w:bookmarkStart w:id="462" w:name="_Toc10519"/>
      <w:r>
        <w:rPr>
          <w:rFonts w:hint="eastAsia"/>
          <w:color w:val="auto"/>
        </w:rPr>
        <w:t>8.2</w:t>
      </w:r>
      <w:r>
        <w:rPr>
          <w:color w:val="auto"/>
        </w:rPr>
        <w:t xml:space="preserve"> </w:t>
      </w:r>
      <w:r>
        <w:rPr>
          <w:rFonts w:hint="eastAsia"/>
          <w:color w:val="auto"/>
        </w:rPr>
        <w:t>环境</w:t>
      </w:r>
      <w:bookmarkEnd w:id="459"/>
      <w:bookmarkEnd w:id="460"/>
      <w:bookmarkEnd w:id="461"/>
      <w:r>
        <w:rPr>
          <w:rFonts w:hint="eastAsia"/>
          <w:color w:val="auto"/>
        </w:rPr>
        <w:t>管理</w:t>
      </w:r>
      <w:bookmarkEnd w:id="462"/>
    </w:p>
    <w:p w14:paraId="67A03556">
      <w:pPr>
        <w:pStyle w:val="4"/>
        <w:ind w:firstLine="482"/>
        <w:rPr>
          <w:rFonts w:hint="eastAsia"/>
          <w:color w:val="auto"/>
        </w:rPr>
      </w:pPr>
      <w:bookmarkStart w:id="463" w:name="_Toc28526"/>
      <w:bookmarkStart w:id="464" w:name="_Toc10279"/>
      <w:r>
        <w:rPr>
          <w:rFonts w:hint="eastAsia"/>
          <w:color w:val="auto"/>
        </w:rPr>
        <w:t>8.</w:t>
      </w:r>
      <w:r>
        <w:rPr>
          <w:color w:val="auto"/>
        </w:rPr>
        <w:t>2.1环境管理目标</w:t>
      </w:r>
      <w:bookmarkEnd w:id="463"/>
      <w:bookmarkEnd w:id="464"/>
    </w:p>
    <w:p w14:paraId="082B21C0">
      <w:pPr>
        <w:ind w:firstLine="480"/>
        <w:rPr>
          <w:rFonts w:hint="eastAsia"/>
          <w:color w:val="auto"/>
        </w:rPr>
      </w:pPr>
      <w:r>
        <w:rPr>
          <w:rFonts w:hint="eastAsia"/>
          <w:color w:val="auto"/>
        </w:rPr>
        <w:t>（1）</w:t>
      </w:r>
      <w:r>
        <w:rPr>
          <w:color w:val="auto"/>
        </w:rPr>
        <w:t>施工现场固体废弃物分类收集安全处置。</w:t>
      </w:r>
    </w:p>
    <w:p w14:paraId="79BA7FBD">
      <w:pPr>
        <w:ind w:firstLine="480"/>
        <w:rPr>
          <w:rFonts w:hint="eastAsia"/>
          <w:color w:val="auto"/>
        </w:rPr>
      </w:pPr>
      <w:r>
        <w:rPr>
          <w:rFonts w:hint="eastAsia"/>
          <w:color w:val="auto"/>
        </w:rPr>
        <w:t>（2）</w:t>
      </w:r>
      <w:r>
        <w:rPr>
          <w:color w:val="auto"/>
        </w:rPr>
        <w:t>施工现场噪声达标排放。</w:t>
      </w:r>
    </w:p>
    <w:p w14:paraId="02C37052">
      <w:pPr>
        <w:ind w:firstLine="480"/>
        <w:rPr>
          <w:rFonts w:hint="eastAsia"/>
          <w:color w:val="auto"/>
        </w:rPr>
      </w:pPr>
      <w:r>
        <w:rPr>
          <w:rFonts w:hint="eastAsia"/>
          <w:color w:val="auto"/>
        </w:rPr>
        <w:t>（3）</w:t>
      </w:r>
      <w:r>
        <w:rPr>
          <w:color w:val="auto"/>
        </w:rPr>
        <w:t>相关方无环境问题投诉。</w:t>
      </w:r>
    </w:p>
    <w:p w14:paraId="1EB8BA9B">
      <w:pPr>
        <w:pStyle w:val="4"/>
        <w:ind w:firstLine="482"/>
        <w:rPr>
          <w:rFonts w:hint="eastAsia"/>
          <w:color w:val="auto"/>
        </w:rPr>
      </w:pPr>
      <w:bookmarkStart w:id="465" w:name="_Toc25590"/>
      <w:bookmarkStart w:id="466" w:name="_Toc1686"/>
      <w:r>
        <w:rPr>
          <w:rFonts w:hint="eastAsia"/>
          <w:color w:val="auto"/>
        </w:rPr>
        <w:t>8.</w:t>
      </w:r>
      <w:r>
        <w:rPr>
          <w:color w:val="auto"/>
        </w:rPr>
        <w:t>2.2 环境管理措施</w:t>
      </w:r>
      <w:bookmarkEnd w:id="465"/>
      <w:bookmarkEnd w:id="466"/>
    </w:p>
    <w:p w14:paraId="2FDB845C">
      <w:pPr>
        <w:ind w:firstLine="480"/>
        <w:rPr>
          <w:rFonts w:hint="eastAsia"/>
          <w:color w:val="auto"/>
        </w:rPr>
      </w:pPr>
      <w:r>
        <w:rPr>
          <w:rFonts w:hint="eastAsia"/>
          <w:color w:val="auto"/>
        </w:rPr>
        <w:t>（1）</w:t>
      </w:r>
      <w:r>
        <w:rPr>
          <w:color w:val="auto"/>
        </w:rPr>
        <w:t>噪声：拆除过程中使用的机械设备必须是低噪声设备，施工过程中也应避免噪声污染。</w:t>
      </w:r>
    </w:p>
    <w:p w14:paraId="137182CF">
      <w:pPr>
        <w:ind w:firstLine="480"/>
        <w:rPr>
          <w:rFonts w:hint="eastAsia"/>
          <w:color w:val="auto"/>
        </w:rPr>
      </w:pPr>
      <w:r>
        <w:rPr>
          <w:rFonts w:hint="eastAsia"/>
          <w:color w:val="auto"/>
        </w:rPr>
        <w:t>（2）</w:t>
      </w:r>
      <w:r>
        <w:rPr>
          <w:color w:val="auto"/>
        </w:rPr>
        <w:t>垃圾：拆除过程中产生的生活垃圾和生产垃圾要分类堆放，并及时清理，特别是饭盒等生活垃圾一定要归类处理，严禁随意丢弃。</w:t>
      </w:r>
    </w:p>
    <w:p w14:paraId="04B3FA52">
      <w:pPr>
        <w:ind w:firstLine="480"/>
        <w:rPr>
          <w:rFonts w:hint="eastAsia"/>
          <w:color w:val="auto"/>
        </w:rPr>
      </w:pPr>
      <w:r>
        <w:rPr>
          <w:rFonts w:hint="eastAsia"/>
          <w:color w:val="auto"/>
        </w:rPr>
        <w:t>（3）</w:t>
      </w:r>
      <w:r>
        <w:rPr>
          <w:color w:val="auto"/>
        </w:rPr>
        <w:t>污水：不得在施工现场排放生产、生活污水。</w:t>
      </w:r>
    </w:p>
    <w:p w14:paraId="0796DB55">
      <w:pPr>
        <w:ind w:firstLine="480"/>
        <w:rPr>
          <w:rFonts w:hint="eastAsia"/>
          <w:color w:val="auto"/>
        </w:rPr>
      </w:pPr>
      <w:r>
        <w:rPr>
          <w:rFonts w:hint="eastAsia"/>
          <w:color w:val="auto"/>
        </w:rPr>
        <w:t>（4）</w:t>
      </w:r>
      <w:r>
        <w:rPr>
          <w:color w:val="auto"/>
        </w:rPr>
        <w:t>危险化学品：油漆、机油等应在指定地点存放，并配置相应的消防措施。</w:t>
      </w:r>
    </w:p>
    <w:p w14:paraId="4169008E">
      <w:pPr>
        <w:ind w:firstLine="480"/>
        <w:rPr>
          <w:rFonts w:hint="eastAsia"/>
          <w:color w:val="auto"/>
        </w:rPr>
      </w:pPr>
      <w:r>
        <w:rPr>
          <w:rFonts w:hint="eastAsia"/>
          <w:color w:val="auto"/>
        </w:rPr>
        <w:t>（5）</w:t>
      </w:r>
      <w:r>
        <w:rPr>
          <w:color w:val="auto"/>
        </w:rPr>
        <w:t>对氧气和乙炔气体的贮存、使用，应确保安全可靠，考虑安全间距，按安全规程操作，配备足够数量的消防器材。</w:t>
      </w:r>
    </w:p>
    <w:p w14:paraId="744715A9">
      <w:pPr>
        <w:ind w:firstLine="480"/>
        <w:rPr>
          <w:rFonts w:hint="eastAsia"/>
          <w:color w:val="auto"/>
        </w:rPr>
      </w:pPr>
      <w:r>
        <w:rPr>
          <w:rFonts w:hint="eastAsia"/>
          <w:color w:val="auto"/>
        </w:rPr>
        <w:t>（6）</w:t>
      </w:r>
      <w:r>
        <w:rPr>
          <w:color w:val="auto"/>
        </w:rPr>
        <w:t>含油棉纱、手套、废机油应集中收集，按规定统一处置；严格控制设备漏油，防止对土壤污染。</w:t>
      </w:r>
    </w:p>
    <w:p w14:paraId="6616D892">
      <w:pPr>
        <w:ind w:firstLine="480"/>
        <w:rPr>
          <w:rFonts w:hint="eastAsia"/>
          <w:color w:val="auto"/>
        </w:rPr>
      </w:pPr>
      <w:r>
        <w:rPr>
          <w:rFonts w:hint="eastAsia"/>
          <w:color w:val="auto"/>
        </w:rPr>
        <w:t>（7）</w:t>
      </w:r>
      <w:r>
        <w:rPr>
          <w:color w:val="auto"/>
        </w:rPr>
        <w:t>防止电气线路老化引起火灾，加强安全检查。</w:t>
      </w:r>
    </w:p>
    <w:p w14:paraId="157F53B3">
      <w:pPr>
        <w:pStyle w:val="3"/>
        <w:ind w:left="480"/>
        <w:rPr>
          <w:rFonts w:hint="eastAsia"/>
          <w:color w:val="auto"/>
        </w:rPr>
      </w:pPr>
      <w:bookmarkStart w:id="467" w:name="_Toc504"/>
      <w:bookmarkStart w:id="468" w:name="_Toc20496_WPSOffice_Level2"/>
      <w:bookmarkStart w:id="469" w:name="_Toc26350"/>
      <w:bookmarkStart w:id="470" w:name="_Toc533610110"/>
      <w:bookmarkStart w:id="471" w:name="_Toc32385"/>
      <w:bookmarkStart w:id="472" w:name="_Toc15865"/>
      <w:bookmarkStart w:id="473" w:name="_Toc182895421"/>
      <w:bookmarkStart w:id="474" w:name="_Toc1403_WPSOffice_Level2"/>
      <w:bookmarkStart w:id="475" w:name="_Toc21580"/>
      <w:bookmarkStart w:id="476" w:name="_Toc14404"/>
      <w:bookmarkStart w:id="477" w:name="_Toc326854326"/>
      <w:bookmarkStart w:id="478" w:name="_Toc8577"/>
      <w:bookmarkStart w:id="479" w:name="_Toc20795"/>
      <w:r>
        <w:rPr>
          <w:rFonts w:hint="eastAsia"/>
          <w:color w:val="auto"/>
        </w:rPr>
        <w:t>8.</w:t>
      </w:r>
      <w:r>
        <w:rPr>
          <w:color w:val="auto"/>
        </w:rPr>
        <w:t>3 安全</w:t>
      </w:r>
      <w:bookmarkEnd w:id="467"/>
      <w:bookmarkEnd w:id="468"/>
      <w:bookmarkEnd w:id="469"/>
      <w:bookmarkEnd w:id="470"/>
      <w:bookmarkEnd w:id="471"/>
      <w:bookmarkEnd w:id="472"/>
      <w:bookmarkEnd w:id="473"/>
      <w:bookmarkEnd w:id="474"/>
      <w:bookmarkEnd w:id="475"/>
      <w:bookmarkEnd w:id="476"/>
      <w:bookmarkEnd w:id="477"/>
      <w:bookmarkEnd w:id="478"/>
      <w:r>
        <w:rPr>
          <w:rFonts w:hint="eastAsia"/>
          <w:color w:val="auto"/>
        </w:rPr>
        <w:t>管理</w:t>
      </w:r>
      <w:bookmarkEnd w:id="479"/>
    </w:p>
    <w:p w14:paraId="50BABAC4">
      <w:pPr>
        <w:pStyle w:val="4"/>
        <w:ind w:firstLine="482"/>
        <w:rPr>
          <w:rFonts w:hint="eastAsia"/>
          <w:color w:val="auto"/>
        </w:rPr>
      </w:pPr>
      <w:bookmarkStart w:id="480" w:name="_Toc1092"/>
      <w:bookmarkStart w:id="481" w:name="_Toc20452"/>
      <w:r>
        <w:rPr>
          <w:rFonts w:hint="eastAsia"/>
          <w:color w:val="auto"/>
        </w:rPr>
        <w:t>8.</w:t>
      </w:r>
      <w:r>
        <w:rPr>
          <w:color w:val="auto"/>
        </w:rPr>
        <w:t>3.1 安全管理目标</w:t>
      </w:r>
      <w:bookmarkEnd w:id="480"/>
      <w:bookmarkEnd w:id="481"/>
    </w:p>
    <w:p w14:paraId="269BC8A5">
      <w:pPr>
        <w:ind w:firstLine="480"/>
        <w:rPr>
          <w:rFonts w:hint="eastAsia"/>
          <w:color w:val="auto"/>
        </w:rPr>
      </w:pPr>
      <w:r>
        <w:rPr>
          <w:rFonts w:hint="eastAsia"/>
          <w:color w:val="auto"/>
        </w:rPr>
        <w:t>（1）</w:t>
      </w:r>
      <w:r>
        <w:rPr>
          <w:color w:val="auto"/>
        </w:rPr>
        <w:t>特种作业人员持证上岗率100%。</w:t>
      </w:r>
    </w:p>
    <w:p w14:paraId="416D3ACE">
      <w:pPr>
        <w:ind w:firstLine="480"/>
        <w:rPr>
          <w:rFonts w:hint="eastAsia"/>
          <w:color w:val="auto"/>
        </w:rPr>
      </w:pPr>
      <w:r>
        <w:rPr>
          <w:rFonts w:hint="eastAsia"/>
          <w:color w:val="auto"/>
        </w:rPr>
        <w:t>（2）</w:t>
      </w:r>
      <w:r>
        <w:rPr>
          <w:color w:val="auto"/>
        </w:rPr>
        <w:t>安全防护用品正确配备率100%。</w:t>
      </w:r>
    </w:p>
    <w:p w14:paraId="1675DB03">
      <w:pPr>
        <w:ind w:firstLine="480"/>
        <w:rPr>
          <w:rFonts w:hint="eastAsia"/>
          <w:color w:val="auto"/>
        </w:rPr>
      </w:pPr>
      <w:r>
        <w:rPr>
          <w:rFonts w:hint="eastAsia"/>
          <w:color w:val="auto"/>
        </w:rPr>
        <w:t>（3）</w:t>
      </w:r>
      <w:r>
        <w:rPr>
          <w:color w:val="auto"/>
        </w:rPr>
        <w:t>无高空坠落事故、触电事故、起重设备坍塌事故及重伤事故的发生。</w:t>
      </w:r>
    </w:p>
    <w:p w14:paraId="425FC454">
      <w:pPr>
        <w:pStyle w:val="4"/>
        <w:ind w:firstLine="482"/>
        <w:rPr>
          <w:rFonts w:hint="eastAsia"/>
          <w:color w:val="auto"/>
        </w:rPr>
      </w:pPr>
      <w:bookmarkStart w:id="482" w:name="_Toc6038"/>
      <w:bookmarkStart w:id="483" w:name="_Toc9165"/>
      <w:r>
        <w:rPr>
          <w:rFonts w:hint="eastAsia"/>
          <w:color w:val="auto"/>
        </w:rPr>
        <w:t>8.</w:t>
      </w:r>
      <w:r>
        <w:rPr>
          <w:color w:val="auto"/>
        </w:rPr>
        <w:t>3.2 安全管理措施</w:t>
      </w:r>
      <w:bookmarkEnd w:id="482"/>
      <w:bookmarkEnd w:id="483"/>
    </w:p>
    <w:p w14:paraId="10B2778F">
      <w:pPr>
        <w:ind w:firstLine="560"/>
        <w:rPr>
          <w:rFonts w:ascii="宋体" w:hAnsi="宋体"/>
          <w:color w:val="171717"/>
        </w:rPr>
      </w:pPr>
      <w:r>
        <w:rPr>
          <w:rFonts w:hint="eastAsia"/>
          <w:color w:val="auto"/>
        </w:rPr>
        <w:t>（</w:t>
      </w:r>
      <w:r>
        <w:rPr>
          <w:rFonts w:hint="eastAsia" w:ascii="宋体" w:hAnsi="宋体"/>
          <w:color w:val="171717"/>
        </w:rPr>
        <w:t>1</w:t>
      </w:r>
      <w:r>
        <w:rPr>
          <w:rFonts w:hint="eastAsia"/>
          <w:color w:val="171717"/>
          <w:lang w:eastAsia="zh-CN"/>
        </w:rPr>
        <w:t>）</w:t>
      </w:r>
      <w:r>
        <w:rPr>
          <w:rFonts w:hint="eastAsia" w:ascii="宋体" w:hAnsi="宋体"/>
          <w:color w:val="171717"/>
        </w:rPr>
        <w:t>塔吊安装操作和指挥人员必须经过技术和安全培训，每一个作业人员必须熟悉说明书，熟知施工程序和塔机基本性能。</w:t>
      </w:r>
    </w:p>
    <w:p w14:paraId="78C52069">
      <w:pPr>
        <w:ind w:firstLine="560"/>
        <w:rPr>
          <w:rFonts w:ascii="宋体" w:hAnsi="宋体"/>
          <w:color w:val="171717"/>
        </w:rPr>
      </w:pPr>
      <w:r>
        <w:rPr>
          <w:rFonts w:hint="eastAsia"/>
          <w:color w:val="auto"/>
        </w:rPr>
        <w:t>（</w:t>
      </w:r>
      <w:r>
        <w:rPr>
          <w:rFonts w:hint="eastAsia" w:ascii="宋体" w:hAnsi="宋体"/>
          <w:color w:val="171717"/>
        </w:rPr>
        <w:t>2</w:t>
      </w:r>
      <w:r>
        <w:rPr>
          <w:rFonts w:hint="eastAsia"/>
          <w:color w:val="171717"/>
          <w:lang w:eastAsia="zh-CN"/>
        </w:rPr>
        <w:t>）</w:t>
      </w:r>
      <w:r>
        <w:rPr>
          <w:rFonts w:hint="eastAsia" w:ascii="宋体" w:hAnsi="宋体"/>
          <w:color w:val="171717"/>
        </w:rPr>
        <w:t>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1621C0B1">
      <w:pPr>
        <w:ind w:firstLine="560"/>
        <w:rPr>
          <w:rFonts w:ascii="宋体" w:hAnsi="宋体"/>
          <w:color w:val="171717"/>
        </w:rPr>
      </w:pPr>
      <w:r>
        <w:rPr>
          <w:rFonts w:hint="eastAsia"/>
          <w:color w:val="auto"/>
        </w:rPr>
        <w:t>（</w:t>
      </w:r>
      <w:r>
        <w:rPr>
          <w:rFonts w:hint="eastAsia" w:ascii="宋体" w:hAnsi="宋体"/>
          <w:color w:val="171717"/>
        </w:rPr>
        <w:t>3</w:t>
      </w:r>
      <w:r>
        <w:rPr>
          <w:rFonts w:hint="eastAsia"/>
          <w:color w:val="171717"/>
          <w:lang w:eastAsia="zh-CN"/>
        </w:rPr>
        <w:t>）</w:t>
      </w:r>
      <w:r>
        <w:rPr>
          <w:rFonts w:hint="eastAsia" w:ascii="宋体" w:hAnsi="宋体"/>
          <w:color w:val="171717"/>
        </w:rPr>
        <w:t>安装作业由专人指挥，参加作业人员应听从现场指挥人员统一指挥，严格按安装方案中的分工执行。</w:t>
      </w:r>
    </w:p>
    <w:p w14:paraId="24E00191">
      <w:pPr>
        <w:ind w:firstLine="560"/>
        <w:rPr>
          <w:rFonts w:ascii="宋体" w:hAnsi="宋体"/>
          <w:color w:val="171717"/>
        </w:rPr>
      </w:pPr>
      <w:r>
        <w:rPr>
          <w:rFonts w:hint="eastAsia"/>
          <w:color w:val="auto"/>
        </w:rPr>
        <w:t>（</w:t>
      </w:r>
      <w:r>
        <w:rPr>
          <w:rFonts w:hint="eastAsia" w:ascii="宋体" w:hAnsi="宋体"/>
          <w:color w:val="171717"/>
        </w:rPr>
        <w:t>4</w:t>
      </w:r>
      <w:r>
        <w:rPr>
          <w:rFonts w:hint="eastAsia"/>
          <w:color w:val="171717"/>
          <w:lang w:eastAsia="zh-CN"/>
        </w:rPr>
        <w:t>）</w:t>
      </w:r>
      <w:r>
        <w:rPr>
          <w:rFonts w:hint="eastAsia" w:ascii="宋体" w:hAnsi="宋体"/>
          <w:color w:val="171717"/>
        </w:rPr>
        <w:t>所有作业人员应接受三级安全教育，在作业前，必须接受安全技术交底工作，明确分工，确定指挥信号及统一口令。</w:t>
      </w:r>
    </w:p>
    <w:p w14:paraId="351D86A8">
      <w:pPr>
        <w:ind w:firstLine="560"/>
        <w:rPr>
          <w:rFonts w:ascii="宋体" w:hAnsi="宋体"/>
          <w:color w:val="171717"/>
        </w:rPr>
      </w:pPr>
      <w:r>
        <w:rPr>
          <w:rFonts w:hint="eastAsia"/>
          <w:color w:val="auto"/>
        </w:rPr>
        <w:t>（</w:t>
      </w:r>
      <w:r>
        <w:rPr>
          <w:rFonts w:hint="eastAsia" w:ascii="宋体" w:hAnsi="宋体"/>
          <w:color w:val="171717"/>
        </w:rPr>
        <w:t>5</w:t>
      </w:r>
      <w:r>
        <w:rPr>
          <w:rFonts w:hint="eastAsia"/>
          <w:color w:val="171717"/>
          <w:lang w:eastAsia="zh-CN"/>
        </w:rPr>
        <w:t>）</w:t>
      </w:r>
      <w:r>
        <w:rPr>
          <w:rFonts w:hint="eastAsia" w:ascii="宋体" w:hAnsi="宋体"/>
          <w:color w:val="171717"/>
        </w:rPr>
        <w:t>安装前检验电气设备是否安全可靠。</w:t>
      </w:r>
    </w:p>
    <w:p w14:paraId="5CC5C8CE">
      <w:pPr>
        <w:ind w:firstLine="560"/>
        <w:rPr>
          <w:rFonts w:ascii="宋体" w:hAnsi="宋体"/>
          <w:color w:val="171717"/>
        </w:rPr>
      </w:pPr>
      <w:r>
        <w:rPr>
          <w:rFonts w:hint="eastAsia"/>
          <w:color w:val="auto"/>
        </w:rPr>
        <w:t>（</w:t>
      </w:r>
      <w:r>
        <w:rPr>
          <w:rFonts w:hint="eastAsia" w:ascii="宋体" w:hAnsi="宋体"/>
          <w:color w:val="171717"/>
        </w:rPr>
        <w:t>6</w:t>
      </w:r>
      <w:r>
        <w:rPr>
          <w:rFonts w:hint="eastAsia"/>
          <w:color w:val="171717"/>
          <w:lang w:eastAsia="zh-CN"/>
        </w:rPr>
        <w:t>）</w:t>
      </w:r>
      <w:r>
        <w:rPr>
          <w:rFonts w:hint="eastAsia" w:ascii="宋体" w:hAnsi="宋体"/>
          <w:color w:val="171717"/>
        </w:rPr>
        <w:t>检验钢丝绳及吊索、吊具、</w:t>
      </w:r>
      <w:r>
        <w:rPr>
          <w:rFonts w:hint="eastAsia"/>
          <w:color w:val="171717"/>
          <w:lang w:val="en-US" w:eastAsia="zh-CN"/>
        </w:rPr>
        <w:t>汽车</w:t>
      </w:r>
      <w:r>
        <w:rPr>
          <w:rFonts w:hint="eastAsia" w:ascii="宋体" w:hAnsi="宋体"/>
          <w:color w:val="171717"/>
          <w:lang w:eastAsia="zh-CN"/>
        </w:rPr>
        <w:t>吊</w:t>
      </w:r>
      <w:r>
        <w:rPr>
          <w:rFonts w:hint="eastAsia" w:ascii="宋体" w:hAnsi="宋体"/>
          <w:color w:val="171717"/>
        </w:rPr>
        <w:t>站位地基是否符合要求。</w:t>
      </w:r>
    </w:p>
    <w:p w14:paraId="4E170D1E">
      <w:pPr>
        <w:ind w:firstLine="560"/>
        <w:rPr>
          <w:rFonts w:ascii="宋体" w:hAnsi="宋体"/>
          <w:color w:val="171717"/>
        </w:rPr>
      </w:pPr>
      <w:r>
        <w:rPr>
          <w:rFonts w:hint="eastAsia"/>
          <w:color w:val="auto"/>
        </w:rPr>
        <w:t>（</w:t>
      </w:r>
      <w:r>
        <w:rPr>
          <w:rFonts w:hint="eastAsia" w:ascii="宋体" w:hAnsi="宋体"/>
          <w:color w:val="171717"/>
        </w:rPr>
        <w:t>7</w:t>
      </w:r>
      <w:r>
        <w:rPr>
          <w:rFonts w:hint="eastAsia"/>
          <w:color w:val="171717"/>
          <w:lang w:eastAsia="zh-CN"/>
        </w:rPr>
        <w:t>）</w:t>
      </w:r>
      <w:r>
        <w:rPr>
          <w:rFonts w:hint="eastAsia" w:ascii="宋体" w:hAnsi="宋体"/>
          <w:color w:val="171717"/>
        </w:rPr>
        <w:t>吊点选择应牢固可靠，起吊保持平稳。</w:t>
      </w:r>
    </w:p>
    <w:p w14:paraId="4A376211">
      <w:pPr>
        <w:ind w:firstLine="560"/>
        <w:rPr>
          <w:rFonts w:ascii="宋体" w:hAnsi="宋体"/>
          <w:color w:val="171717"/>
        </w:rPr>
      </w:pPr>
      <w:r>
        <w:rPr>
          <w:rFonts w:hint="eastAsia"/>
          <w:color w:val="auto"/>
        </w:rPr>
        <w:t>（</w:t>
      </w:r>
      <w:r>
        <w:rPr>
          <w:rFonts w:hint="eastAsia" w:ascii="宋体" w:hAnsi="宋体"/>
          <w:color w:val="171717"/>
        </w:rPr>
        <w:t>8</w:t>
      </w:r>
      <w:r>
        <w:rPr>
          <w:rFonts w:hint="eastAsia"/>
          <w:color w:val="171717"/>
          <w:lang w:eastAsia="zh-CN"/>
        </w:rPr>
        <w:t>）</w:t>
      </w:r>
      <w:r>
        <w:rPr>
          <w:rFonts w:hint="eastAsia" w:ascii="宋体" w:hAnsi="宋体"/>
          <w:color w:val="171717"/>
        </w:rPr>
        <w:t>安装起吊过程中，吊物下严禁站人，高空作业戴好安全帽，挂系好安全带，扣好保险钩，穿安全防滑胶鞋，同时必须将工具螺栓等物放置系挂牢靠，严防高空坠落。</w:t>
      </w:r>
    </w:p>
    <w:p w14:paraId="30A882FB">
      <w:pPr>
        <w:ind w:firstLine="560"/>
        <w:rPr>
          <w:rFonts w:ascii="宋体" w:hAnsi="宋体"/>
          <w:color w:val="171717"/>
        </w:rPr>
      </w:pPr>
      <w:r>
        <w:rPr>
          <w:rFonts w:hint="eastAsia"/>
          <w:color w:val="auto"/>
        </w:rPr>
        <w:t>（</w:t>
      </w:r>
      <w:r>
        <w:rPr>
          <w:rFonts w:hint="eastAsia" w:ascii="宋体" w:hAnsi="宋体"/>
          <w:color w:val="171717"/>
        </w:rPr>
        <w:t>9</w:t>
      </w:r>
      <w:r>
        <w:rPr>
          <w:rFonts w:hint="eastAsia"/>
          <w:color w:val="171717"/>
          <w:lang w:eastAsia="zh-CN"/>
        </w:rPr>
        <w:t>）</w:t>
      </w:r>
      <w:r>
        <w:rPr>
          <w:rFonts w:hint="eastAsia" w:ascii="宋体" w:hAnsi="宋体"/>
          <w:color w:val="171717"/>
        </w:rPr>
        <w:t>临边作业区域要搭设围栏，防止施工过程中人员从边坡滚落。</w:t>
      </w:r>
    </w:p>
    <w:p w14:paraId="5A17B4B9">
      <w:pPr>
        <w:ind w:firstLine="560"/>
        <w:rPr>
          <w:rFonts w:ascii="宋体" w:hAnsi="宋体"/>
          <w:color w:val="171717"/>
        </w:rPr>
      </w:pPr>
      <w:r>
        <w:rPr>
          <w:rFonts w:hint="eastAsia"/>
          <w:color w:val="auto"/>
        </w:rPr>
        <w:t>（</w:t>
      </w:r>
      <w:r>
        <w:rPr>
          <w:rFonts w:hint="eastAsia" w:ascii="宋体" w:hAnsi="宋体"/>
          <w:color w:val="171717"/>
        </w:rPr>
        <w:t>10</w:t>
      </w:r>
      <w:r>
        <w:rPr>
          <w:rFonts w:hint="eastAsia"/>
          <w:color w:val="171717"/>
          <w:lang w:eastAsia="zh-CN"/>
        </w:rPr>
        <w:t>）</w:t>
      </w:r>
      <w:r>
        <w:rPr>
          <w:rFonts w:hint="eastAsia" w:ascii="宋体" w:hAnsi="宋体"/>
          <w:color w:val="171717"/>
        </w:rPr>
        <w:t>严禁酒后上岗，作业时不得打闹、玩笑，不得向地面抛物件。</w:t>
      </w:r>
    </w:p>
    <w:p w14:paraId="5EEBD50A">
      <w:pPr>
        <w:ind w:firstLine="560"/>
        <w:rPr>
          <w:rFonts w:ascii="宋体" w:hAnsi="宋体"/>
          <w:color w:val="171717"/>
        </w:rPr>
      </w:pPr>
      <w:r>
        <w:rPr>
          <w:rFonts w:hint="eastAsia"/>
          <w:color w:val="auto"/>
        </w:rPr>
        <w:t>（</w:t>
      </w:r>
      <w:r>
        <w:rPr>
          <w:rFonts w:hint="eastAsia" w:ascii="宋体" w:hAnsi="宋体"/>
          <w:color w:val="171717"/>
        </w:rPr>
        <w:t>11</w:t>
      </w:r>
      <w:r>
        <w:rPr>
          <w:rFonts w:hint="eastAsia"/>
          <w:color w:val="171717"/>
          <w:lang w:eastAsia="zh-CN"/>
        </w:rPr>
        <w:t>）</w:t>
      </w:r>
      <w:r>
        <w:rPr>
          <w:rFonts w:hint="eastAsia" w:ascii="宋体" w:hAnsi="宋体"/>
          <w:color w:val="171717"/>
        </w:rPr>
        <w:t>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1BAA8CDB">
      <w:pPr>
        <w:ind w:firstLine="560"/>
        <w:rPr>
          <w:rFonts w:ascii="宋体" w:hAnsi="宋体"/>
          <w:color w:val="171717"/>
        </w:rPr>
      </w:pPr>
      <w:r>
        <w:rPr>
          <w:rFonts w:hint="eastAsia"/>
          <w:color w:val="auto"/>
        </w:rPr>
        <w:t>（</w:t>
      </w:r>
      <w:r>
        <w:rPr>
          <w:rFonts w:hint="eastAsia" w:ascii="宋体" w:hAnsi="宋体"/>
          <w:color w:val="171717"/>
        </w:rPr>
        <w:t>12</w:t>
      </w:r>
      <w:r>
        <w:rPr>
          <w:rFonts w:hint="eastAsia"/>
          <w:color w:val="171717"/>
          <w:lang w:eastAsia="zh-CN"/>
        </w:rPr>
        <w:t>）</w:t>
      </w:r>
      <w:r>
        <w:rPr>
          <w:rFonts w:hint="eastAsia" w:ascii="宋体" w:hAnsi="宋体"/>
          <w:color w:val="171717"/>
        </w:rPr>
        <w:t>夜间作业照明应充足，看不清楚不得作业。</w:t>
      </w:r>
    </w:p>
    <w:p w14:paraId="7A9441DF">
      <w:pPr>
        <w:ind w:firstLine="560"/>
        <w:rPr>
          <w:rFonts w:ascii="宋体" w:hAnsi="宋体"/>
          <w:color w:val="171717"/>
        </w:rPr>
      </w:pPr>
      <w:r>
        <w:rPr>
          <w:rFonts w:hint="eastAsia"/>
          <w:color w:val="auto"/>
        </w:rPr>
        <w:t>（</w:t>
      </w:r>
      <w:r>
        <w:rPr>
          <w:rFonts w:hint="eastAsia" w:ascii="宋体" w:hAnsi="宋体"/>
          <w:color w:val="171717"/>
        </w:rPr>
        <w:t>13</w:t>
      </w:r>
      <w:r>
        <w:rPr>
          <w:rFonts w:hint="eastAsia"/>
          <w:color w:val="171717"/>
          <w:lang w:eastAsia="zh-CN"/>
        </w:rPr>
        <w:t>）</w:t>
      </w:r>
      <w:r>
        <w:rPr>
          <w:rFonts w:hint="eastAsia" w:ascii="宋体" w:hAnsi="宋体"/>
          <w:color w:val="171717"/>
        </w:rPr>
        <w:t>所有参加作业人员必须遵守施工现场各项安全规定和本工种安全操作规程。</w:t>
      </w:r>
    </w:p>
    <w:p w14:paraId="038B9966">
      <w:pPr>
        <w:ind w:firstLine="560"/>
        <w:rPr>
          <w:rFonts w:ascii="宋体" w:hAnsi="宋体"/>
          <w:color w:val="171717"/>
        </w:rPr>
      </w:pPr>
      <w:r>
        <w:rPr>
          <w:rFonts w:hint="eastAsia"/>
          <w:color w:val="auto"/>
        </w:rPr>
        <w:t>（</w:t>
      </w:r>
      <w:r>
        <w:rPr>
          <w:rFonts w:hint="eastAsia" w:ascii="宋体" w:hAnsi="宋体"/>
          <w:color w:val="171717"/>
        </w:rPr>
        <w:t>14</w:t>
      </w:r>
      <w:r>
        <w:rPr>
          <w:rFonts w:hint="eastAsia"/>
          <w:color w:val="171717"/>
          <w:lang w:eastAsia="zh-CN"/>
        </w:rPr>
        <w:t>）</w:t>
      </w:r>
      <w:r>
        <w:rPr>
          <w:rFonts w:hint="eastAsia" w:ascii="宋体" w:hAnsi="宋体"/>
          <w:color w:val="171717"/>
        </w:rPr>
        <w:t>作业前，明确分工，指定专人统一指挥，并在作业范围设明显的安全标志及警戒线，并派专人看护，严禁非塔吊装拆工作人员进入施工区。</w:t>
      </w:r>
    </w:p>
    <w:p w14:paraId="7ED53F87">
      <w:pPr>
        <w:ind w:firstLine="560"/>
        <w:rPr>
          <w:rFonts w:ascii="宋体" w:hAnsi="宋体"/>
          <w:color w:val="171717"/>
        </w:rPr>
      </w:pPr>
      <w:r>
        <w:rPr>
          <w:rFonts w:hint="eastAsia"/>
          <w:color w:val="auto"/>
        </w:rPr>
        <w:t>（</w:t>
      </w:r>
      <w:r>
        <w:rPr>
          <w:rFonts w:hint="eastAsia" w:ascii="宋体" w:hAnsi="宋体"/>
          <w:color w:val="171717"/>
        </w:rPr>
        <w:t>15</w:t>
      </w:r>
      <w:r>
        <w:rPr>
          <w:rFonts w:hint="eastAsia"/>
          <w:color w:val="171717"/>
          <w:lang w:eastAsia="zh-CN"/>
        </w:rPr>
        <w:t>）</w:t>
      </w:r>
      <w:r>
        <w:rPr>
          <w:rFonts w:hint="eastAsia" w:ascii="宋体" w:hAnsi="宋体"/>
          <w:color w:val="171717"/>
        </w:rPr>
        <w:t>塔机顶升作业过程中，严禁回转起重臂。标准节连接销及其他连接销必须规范。</w:t>
      </w:r>
    </w:p>
    <w:p w14:paraId="6E68AB76">
      <w:pPr>
        <w:ind w:firstLine="560"/>
        <w:rPr>
          <w:rFonts w:ascii="宋体" w:hAnsi="宋体"/>
          <w:color w:val="171717"/>
        </w:rPr>
      </w:pPr>
      <w:r>
        <w:rPr>
          <w:rFonts w:hint="eastAsia"/>
          <w:color w:val="auto"/>
        </w:rPr>
        <w:t>（</w:t>
      </w:r>
      <w:r>
        <w:rPr>
          <w:rFonts w:hint="eastAsia" w:ascii="宋体" w:hAnsi="宋体"/>
          <w:color w:val="171717"/>
        </w:rPr>
        <w:t>16</w:t>
      </w:r>
      <w:r>
        <w:rPr>
          <w:rFonts w:hint="eastAsia"/>
          <w:color w:val="171717"/>
          <w:lang w:eastAsia="zh-CN"/>
        </w:rPr>
        <w:t>）</w:t>
      </w:r>
      <w:r>
        <w:rPr>
          <w:rFonts w:hint="eastAsia" w:ascii="宋体" w:hAnsi="宋体"/>
          <w:color w:val="171717"/>
        </w:rPr>
        <w:t>安装和顶升作业必须明确油泵操作人员和作业观察人员，没有明确指令任何人均不可随意操作。</w:t>
      </w:r>
    </w:p>
    <w:p w14:paraId="163F5892">
      <w:pPr>
        <w:ind w:firstLine="560"/>
        <w:rPr>
          <w:rFonts w:ascii="宋体" w:hAnsi="宋体"/>
          <w:color w:val="171717"/>
        </w:rPr>
      </w:pPr>
      <w:r>
        <w:rPr>
          <w:rFonts w:hint="eastAsia"/>
          <w:color w:val="auto"/>
        </w:rPr>
        <w:t>（</w:t>
      </w:r>
      <w:r>
        <w:rPr>
          <w:rFonts w:hint="eastAsia" w:ascii="宋体" w:hAnsi="宋体"/>
          <w:color w:val="171717"/>
        </w:rPr>
        <w:t>17</w:t>
      </w:r>
      <w:r>
        <w:rPr>
          <w:rFonts w:hint="eastAsia"/>
          <w:color w:val="171717"/>
          <w:lang w:eastAsia="zh-CN"/>
        </w:rPr>
        <w:t>）</w:t>
      </w:r>
      <w:r>
        <w:rPr>
          <w:rFonts w:hint="eastAsia" w:ascii="宋体" w:hAnsi="宋体"/>
          <w:color w:val="171717"/>
        </w:rPr>
        <w:t>吊装作业时由专人负责指挥，严格遵守“十不吊”规定，严禁乱指挥。</w:t>
      </w:r>
    </w:p>
    <w:p w14:paraId="634E115C">
      <w:pPr>
        <w:ind w:firstLine="560"/>
        <w:rPr>
          <w:rFonts w:ascii="宋体" w:hAnsi="宋体"/>
          <w:color w:val="171717"/>
        </w:rPr>
      </w:pPr>
      <w:r>
        <w:rPr>
          <w:rFonts w:hint="eastAsia"/>
          <w:color w:val="auto"/>
        </w:rPr>
        <w:t>（</w:t>
      </w:r>
      <w:r>
        <w:rPr>
          <w:rFonts w:hint="eastAsia" w:ascii="宋体" w:hAnsi="宋体"/>
          <w:color w:val="171717"/>
        </w:rPr>
        <w:t>18</w:t>
      </w:r>
      <w:r>
        <w:rPr>
          <w:rFonts w:hint="eastAsia"/>
          <w:color w:val="171717"/>
          <w:lang w:eastAsia="zh-CN"/>
        </w:rPr>
        <w:t>）</w:t>
      </w:r>
      <w:r>
        <w:rPr>
          <w:rFonts w:hint="eastAsia" w:ascii="宋体" w:hAnsi="宋体"/>
          <w:color w:val="171717"/>
        </w:rPr>
        <w:t>安装和顶升人员必须正确使用规定的安全防护用具（安全帽、安全带、劳保鞋），并正确佩带。</w:t>
      </w:r>
    </w:p>
    <w:p w14:paraId="7AC7EAA0">
      <w:pPr>
        <w:ind w:firstLine="560"/>
        <w:rPr>
          <w:rFonts w:ascii="宋体" w:hAnsi="宋体"/>
          <w:color w:val="171717"/>
        </w:rPr>
      </w:pPr>
      <w:r>
        <w:rPr>
          <w:rFonts w:hint="eastAsia"/>
          <w:color w:val="auto"/>
        </w:rPr>
        <w:t>（</w:t>
      </w:r>
      <w:r>
        <w:rPr>
          <w:rFonts w:hint="eastAsia" w:ascii="宋体" w:hAnsi="宋体"/>
          <w:color w:val="171717"/>
        </w:rPr>
        <w:t>19</w:t>
      </w:r>
      <w:r>
        <w:rPr>
          <w:rFonts w:hint="eastAsia"/>
          <w:color w:val="171717"/>
          <w:lang w:eastAsia="zh-CN"/>
        </w:rPr>
        <w:t>）</w:t>
      </w:r>
      <w:r>
        <w:rPr>
          <w:rFonts w:hint="eastAsia" w:ascii="宋体" w:hAnsi="宋体"/>
          <w:color w:val="171717"/>
        </w:rPr>
        <w:t>作业前，施工工长必须熟悉现场，注意运输中塔机部件与现场的电线、管线碰触问题。</w:t>
      </w:r>
    </w:p>
    <w:p w14:paraId="45BC8B14">
      <w:pPr>
        <w:ind w:firstLine="560"/>
        <w:rPr>
          <w:rFonts w:ascii="宋体" w:hAnsi="宋体"/>
          <w:color w:val="171717"/>
        </w:rPr>
      </w:pPr>
      <w:r>
        <w:rPr>
          <w:rFonts w:hint="eastAsia"/>
          <w:color w:val="auto"/>
        </w:rPr>
        <w:t>（</w:t>
      </w:r>
      <w:r>
        <w:rPr>
          <w:rFonts w:hint="eastAsia" w:ascii="宋体" w:hAnsi="宋体"/>
          <w:color w:val="171717"/>
        </w:rPr>
        <w:t>20</w:t>
      </w:r>
      <w:r>
        <w:rPr>
          <w:rFonts w:hint="eastAsia"/>
          <w:color w:val="171717"/>
          <w:lang w:eastAsia="zh-CN"/>
        </w:rPr>
        <w:t>）</w:t>
      </w:r>
      <w:r>
        <w:rPr>
          <w:rFonts w:hint="eastAsia" w:ascii="宋体" w:hAnsi="宋体"/>
          <w:color w:val="171717"/>
        </w:rPr>
        <w:t>必须安装漏电保护器，作业前接地电阻测试应合格。</w:t>
      </w:r>
    </w:p>
    <w:p w14:paraId="17ABC9F2">
      <w:pPr>
        <w:ind w:firstLine="560"/>
        <w:rPr>
          <w:rFonts w:ascii="宋体" w:hAnsi="宋体"/>
          <w:color w:val="171717"/>
        </w:rPr>
      </w:pPr>
      <w:r>
        <w:rPr>
          <w:rFonts w:hint="eastAsia"/>
          <w:color w:val="auto"/>
        </w:rPr>
        <w:t>（</w:t>
      </w:r>
      <w:r>
        <w:rPr>
          <w:rFonts w:hint="eastAsia" w:ascii="宋体" w:hAnsi="宋体"/>
          <w:color w:val="171717"/>
        </w:rPr>
        <w:t>21</w:t>
      </w:r>
      <w:r>
        <w:rPr>
          <w:rFonts w:hint="eastAsia"/>
          <w:color w:val="171717"/>
          <w:lang w:eastAsia="zh-CN"/>
        </w:rPr>
        <w:t>）</w:t>
      </w:r>
      <w:r>
        <w:rPr>
          <w:rFonts w:hint="eastAsia" w:ascii="宋体" w:hAnsi="宋体"/>
          <w:color w:val="171717"/>
        </w:rPr>
        <w:t>作业时所有工具和连接件必须系挂在身上或放到工具袋内，严防物品坠落，严禁向下抛掷。</w:t>
      </w:r>
    </w:p>
    <w:p w14:paraId="76BF2841">
      <w:pPr>
        <w:ind w:firstLine="560"/>
        <w:rPr>
          <w:rFonts w:ascii="宋体" w:hAnsi="宋体"/>
          <w:color w:val="171717"/>
        </w:rPr>
      </w:pPr>
      <w:r>
        <w:rPr>
          <w:rFonts w:hint="eastAsia"/>
          <w:color w:val="auto"/>
        </w:rPr>
        <w:t>（</w:t>
      </w:r>
      <w:r>
        <w:rPr>
          <w:rFonts w:hint="eastAsia" w:ascii="宋体" w:hAnsi="宋体"/>
          <w:color w:val="171717"/>
        </w:rPr>
        <w:t>22</w:t>
      </w:r>
      <w:r>
        <w:rPr>
          <w:rFonts w:hint="eastAsia"/>
          <w:color w:val="171717"/>
          <w:lang w:eastAsia="zh-CN"/>
        </w:rPr>
        <w:t>）</w:t>
      </w:r>
      <w:r>
        <w:rPr>
          <w:rFonts w:hint="eastAsia" w:ascii="宋体" w:hAnsi="宋体"/>
          <w:color w:val="171717"/>
        </w:rPr>
        <w:t>施工负责人对塔吊运输、安装过程进行检查，及时制止并纠正违章操作行为，防止事故发生。</w:t>
      </w:r>
    </w:p>
    <w:p w14:paraId="693A0325">
      <w:pPr>
        <w:ind w:firstLine="560"/>
        <w:rPr>
          <w:rFonts w:ascii="宋体" w:hAnsi="宋体"/>
          <w:color w:val="171717"/>
        </w:rPr>
      </w:pPr>
      <w:r>
        <w:rPr>
          <w:rFonts w:hint="eastAsia"/>
          <w:color w:val="auto"/>
        </w:rPr>
        <w:t>（</w:t>
      </w:r>
      <w:r>
        <w:rPr>
          <w:rFonts w:hint="eastAsia" w:ascii="宋体" w:hAnsi="宋体"/>
          <w:color w:val="171717"/>
        </w:rPr>
        <w:t>23</w:t>
      </w:r>
      <w:r>
        <w:rPr>
          <w:rFonts w:hint="eastAsia"/>
          <w:color w:val="171717"/>
          <w:lang w:eastAsia="zh-CN"/>
        </w:rPr>
        <w:t>）</w:t>
      </w:r>
      <w:r>
        <w:rPr>
          <w:rFonts w:hint="eastAsia" w:ascii="宋体" w:hAnsi="宋体"/>
          <w:color w:val="171717"/>
        </w:rPr>
        <w:t>驾驶室必须配备灭火器、对讲机。</w:t>
      </w:r>
    </w:p>
    <w:p w14:paraId="661A8EE6">
      <w:pPr>
        <w:ind w:firstLine="560"/>
        <w:rPr>
          <w:rFonts w:ascii="宋体" w:hAnsi="宋体"/>
          <w:color w:val="171717"/>
        </w:rPr>
      </w:pPr>
      <w:r>
        <w:rPr>
          <w:rFonts w:hint="eastAsia"/>
          <w:color w:val="auto"/>
        </w:rPr>
        <w:t>（</w:t>
      </w:r>
      <w:r>
        <w:rPr>
          <w:rFonts w:hint="eastAsia" w:ascii="宋体" w:hAnsi="宋体"/>
          <w:color w:val="171717"/>
        </w:rPr>
        <w:t>24</w:t>
      </w:r>
      <w:r>
        <w:rPr>
          <w:rFonts w:hint="eastAsia"/>
          <w:color w:val="171717"/>
          <w:lang w:eastAsia="zh-CN"/>
        </w:rPr>
        <w:t>）</w:t>
      </w:r>
      <w:r>
        <w:rPr>
          <w:rFonts w:hint="eastAsia" w:ascii="宋体" w:hAnsi="宋体"/>
          <w:color w:val="171717"/>
        </w:rPr>
        <w:t>五级以上大风及较大雨天禁止作业。</w:t>
      </w:r>
    </w:p>
    <w:p w14:paraId="38E1F184">
      <w:pPr>
        <w:ind w:firstLine="480"/>
        <w:rPr>
          <w:rFonts w:hint="eastAsia"/>
          <w:color w:val="auto"/>
        </w:rPr>
      </w:pPr>
      <w:r>
        <w:rPr>
          <w:rFonts w:hint="eastAsia"/>
          <w:color w:val="auto"/>
        </w:rPr>
        <w:t>（</w:t>
      </w:r>
      <w:r>
        <w:rPr>
          <w:rFonts w:hAnsi="宋体"/>
          <w:color w:val="171717"/>
        </w:rPr>
        <w:t>25</w:t>
      </w:r>
      <w:r>
        <w:rPr>
          <w:rFonts w:hint="eastAsia"/>
          <w:color w:val="171717"/>
          <w:lang w:eastAsia="zh-CN"/>
        </w:rPr>
        <w:t>）</w:t>
      </w:r>
      <w:r>
        <w:rPr>
          <w:rFonts w:cs="宋体"/>
          <w:kern w:val="0"/>
          <w:szCs w:val="21"/>
        </w:rPr>
        <w:t>安装作业人员需随身携带工具包，移动时需将工具收纳至工具包内。大锤需有防滑措施</w:t>
      </w:r>
      <w:r>
        <w:rPr>
          <w:color w:val="auto"/>
        </w:rPr>
        <w:t>。</w:t>
      </w:r>
    </w:p>
    <w:p w14:paraId="4EFB286C">
      <w:pPr>
        <w:pStyle w:val="2"/>
        <w:spacing w:before="120" w:after="120"/>
        <w:rPr>
          <w:rStyle w:val="90"/>
          <w:b w:val="0"/>
          <w:color w:val="auto"/>
        </w:rPr>
      </w:pPr>
      <w:bookmarkStart w:id="484" w:name="_Toc24496"/>
      <w:bookmarkStart w:id="485" w:name="_Toc13980"/>
      <w:bookmarkStart w:id="486" w:name="_Toc19748"/>
      <w:bookmarkStart w:id="487" w:name="_Toc182895422"/>
      <w:r>
        <w:rPr>
          <w:rFonts w:hint="eastAsia"/>
          <w:color w:val="auto"/>
        </w:rPr>
        <w:t>9 风险因素辨识与分析</w:t>
      </w:r>
      <w:bookmarkEnd w:id="484"/>
      <w:bookmarkEnd w:id="485"/>
      <w:bookmarkEnd w:id="486"/>
      <w:bookmarkEnd w:id="487"/>
    </w:p>
    <w:p w14:paraId="144A9E6A">
      <w:pPr>
        <w:pStyle w:val="3"/>
        <w:ind w:left="480"/>
        <w:rPr>
          <w:rFonts w:hint="eastAsia"/>
          <w:color w:val="auto"/>
        </w:rPr>
      </w:pPr>
      <w:bookmarkStart w:id="488" w:name="_Toc10565"/>
      <w:bookmarkStart w:id="489" w:name="_Toc13246_WPSOffice_Level2"/>
      <w:bookmarkStart w:id="490" w:name="_Toc19388"/>
      <w:bookmarkStart w:id="491" w:name="_Toc711"/>
      <w:bookmarkStart w:id="492" w:name="_Toc529200606"/>
      <w:bookmarkStart w:id="493" w:name="_Toc1930"/>
      <w:bookmarkStart w:id="494" w:name="_Toc182895423"/>
      <w:bookmarkStart w:id="495" w:name="_Toc10156"/>
      <w:bookmarkStart w:id="496" w:name="_Toc140_WPSOffice_Level2"/>
      <w:bookmarkStart w:id="497" w:name="_Toc12031"/>
      <w:bookmarkStart w:id="498" w:name="_Toc15628"/>
      <w:bookmarkStart w:id="499" w:name="_Toc533610112"/>
      <w:bookmarkStart w:id="500" w:name="_Toc20289"/>
      <w:r>
        <w:rPr>
          <w:rFonts w:hint="eastAsia"/>
          <w:color w:val="auto"/>
        </w:rPr>
        <w:t>9.1 风险源辨识</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0DAC008F">
      <w:pPr>
        <w:ind w:firstLine="480"/>
        <w:rPr>
          <w:rFonts w:hint="eastAsia"/>
          <w:color w:val="auto"/>
        </w:rPr>
      </w:pPr>
      <w:r>
        <w:rPr>
          <w:rFonts w:hint="eastAsia"/>
          <w:color w:val="auto"/>
        </w:rPr>
        <w:t>风险源辨识就是识别风险源并确定其特性的过程。风险源辨识不但包括对风险源的识别，而且必须对其性质加以判断。在塔机安装拆除过程中，从人、机、料、法、环等因素综合分析，对导致事故的风险因素进行辨识、分析，确定潜在的事故类型、时机和危害，筛选出施工中可能存在的重大风险源，以便进一步制定技术措施、管理措施和紧急情况下的应对预案。</w:t>
      </w:r>
    </w:p>
    <w:p w14:paraId="1A9E1C55">
      <w:pPr>
        <w:ind w:firstLine="480"/>
        <w:jc w:val="center"/>
        <w:rPr>
          <w:rFonts w:hint="eastAsia"/>
          <w:color w:val="auto"/>
        </w:rPr>
      </w:pPr>
      <w:r>
        <w:rPr>
          <w:rFonts w:hint="eastAsia"/>
          <w:color w:val="auto"/>
        </w:rPr>
        <w:t>表9.1-1  安全风险源普查清单</w:t>
      </w:r>
    </w:p>
    <w:tbl>
      <w:tblPr>
        <w:tblStyle w:val="28"/>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220"/>
        <w:gridCol w:w="4795"/>
      </w:tblGrid>
      <w:tr w14:paraId="544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3" w:type="dxa"/>
            <w:vAlign w:val="center"/>
          </w:tcPr>
          <w:p w14:paraId="3EB1AD10">
            <w:pPr>
              <w:pStyle w:val="84"/>
              <w:rPr>
                <w:color w:val="auto"/>
              </w:rPr>
            </w:pPr>
            <w:r>
              <w:rPr>
                <w:color w:val="auto"/>
              </w:rPr>
              <w:t>序号</w:t>
            </w:r>
          </w:p>
        </w:tc>
        <w:tc>
          <w:tcPr>
            <w:tcW w:w="3220" w:type="dxa"/>
            <w:vAlign w:val="center"/>
          </w:tcPr>
          <w:p w14:paraId="414923E4">
            <w:pPr>
              <w:pStyle w:val="84"/>
              <w:rPr>
                <w:color w:val="auto"/>
              </w:rPr>
            </w:pPr>
            <w:r>
              <w:rPr>
                <w:color w:val="auto"/>
              </w:rPr>
              <w:t>风险源</w:t>
            </w:r>
          </w:p>
        </w:tc>
        <w:tc>
          <w:tcPr>
            <w:tcW w:w="4795" w:type="dxa"/>
            <w:vAlign w:val="center"/>
          </w:tcPr>
          <w:p w14:paraId="2DF2BCF1">
            <w:pPr>
              <w:pStyle w:val="84"/>
              <w:rPr>
                <w:color w:val="auto"/>
              </w:rPr>
            </w:pPr>
            <w:r>
              <w:rPr>
                <w:color w:val="auto"/>
              </w:rPr>
              <w:t>判断依据</w:t>
            </w:r>
          </w:p>
        </w:tc>
      </w:tr>
      <w:tr w14:paraId="70E9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753" w:type="dxa"/>
            <w:vAlign w:val="center"/>
          </w:tcPr>
          <w:p w14:paraId="4C392D47">
            <w:pPr>
              <w:pStyle w:val="84"/>
              <w:rPr>
                <w:color w:val="auto"/>
              </w:rPr>
            </w:pPr>
            <w:r>
              <w:rPr>
                <w:color w:val="auto"/>
              </w:rPr>
              <w:t>1</w:t>
            </w:r>
          </w:p>
        </w:tc>
        <w:tc>
          <w:tcPr>
            <w:tcW w:w="3220" w:type="dxa"/>
            <w:vAlign w:val="center"/>
          </w:tcPr>
          <w:p w14:paraId="488AD163">
            <w:pPr>
              <w:pStyle w:val="84"/>
              <w:jc w:val="left"/>
              <w:rPr>
                <w:color w:val="auto"/>
              </w:rPr>
            </w:pPr>
            <w:r>
              <w:rPr>
                <w:rFonts w:hint="eastAsia"/>
                <w:color w:val="auto"/>
              </w:rPr>
              <w:t>设计方案、施工方案、管理缺陷</w:t>
            </w:r>
          </w:p>
        </w:tc>
        <w:tc>
          <w:tcPr>
            <w:tcW w:w="4795" w:type="dxa"/>
            <w:vAlign w:val="center"/>
          </w:tcPr>
          <w:p w14:paraId="108F9F94">
            <w:pPr>
              <w:pStyle w:val="84"/>
              <w:jc w:val="left"/>
              <w:rPr>
                <w:color w:val="auto"/>
              </w:rPr>
            </w:pPr>
            <w:r>
              <w:rPr>
                <w:rFonts w:hint="eastAsia"/>
                <w:color w:val="auto"/>
              </w:rPr>
              <w:t>是否严格按照批复方案执行、岗位人员是否尽职履责</w:t>
            </w:r>
          </w:p>
        </w:tc>
      </w:tr>
      <w:tr w14:paraId="5ECF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513A0E92">
            <w:pPr>
              <w:pStyle w:val="84"/>
              <w:rPr>
                <w:color w:val="auto"/>
              </w:rPr>
            </w:pPr>
            <w:r>
              <w:rPr>
                <w:color w:val="auto"/>
              </w:rPr>
              <w:t>2</w:t>
            </w:r>
          </w:p>
        </w:tc>
        <w:tc>
          <w:tcPr>
            <w:tcW w:w="3220" w:type="dxa"/>
            <w:vAlign w:val="center"/>
          </w:tcPr>
          <w:p w14:paraId="3B4DD347">
            <w:pPr>
              <w:pStyle w:val="84"/>
              <w:jc w:val="left"/>
              <w:rPr>
                <w:color w:val="auto"/>
              </w:rPr>
            </w:pPr>
            <w:r>
              <w:rPr>
                <w:rFonts w:hint="eastAsia"/>
                <w:color w:val="auto"/>
              </w:rPr>
              <w:t>高空</w:t>
            </w:r>
            <w:r>
              <w:rPr>
                <w:color w:val="auto"/>
              </w:rPr>
              <w:t>、临边</w:t>
            </w:r>
            <w:r>
              <w:rPr>
                <w:rFonts w:hint="eastAsia"/>
                <w:color w:val="auto"/>
              </w:rPr>
              <w:t>、孔口</w:t>
            </w:r>
            <w:r>
              <w:rPr>
                <w:color w:val="auto"/>
              </w:rPr>
              <w:t>作业</w:t>
            </w:r>
          </w:p>
        </w:tc>
        <w:tc>
          <w:tcPr>
            <w:tcW w:w="4795" w:type="dxa"/>
            <w:vAlign w:val="center"/>
          </w:tcPr>
          <w:p w14:paraId="33AF1546">
            <w:pPr>
              <w:pStyle w:val="84"/>
              <w:jc w:val="left"/>
              <w:rPr>
                <w:color w:val="auto"/>
              </w:rPr>
            </w:pPr>
            <w:r>
              <w:rPr>
                <w:rFonts w:hint="eastAsia"/>
                <w:color w:val="auto"/>
              </w:rPr>
              <w:t>塔机安装</w:t>
            </w:r>
            <w:r>
              <w:rPr>
                <w:color w:val="auto"/>
              </w:rPr>
              <w:t>拆除、</w:t>
            </w:r>
            <w:r>
              <w:rPr>
                <w:rFonts w:hint="eastAsia"/>
                <w:color w:val="auto"/>
              </w:rPr>
              <w:t>附着、顶升、司机上下班等</w:t>
            </w:r>
            <w:r>
              <w:rPr>
                <w:color w:val="auto"/>
              </w:rPr>
              <w:t>过程可能导致高处坠落</w:t>
            </w:r>
          </w:p>
        </w:tc>
      </w:tr>
      <w:tr w14:paraId="63A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8DF1E7B">
            <w:pPr>
              <w:pStyle w:val="84"/>
              <w:rPr>
                <w:color w:val="auto"/>
              </w:rPr>
            </w:pPr>
            <w:r>
              <w:rPr>
                <w:color w:val="auto"/>
              </w:rPr>
              <w:t>3</w:t>
            </w:r>
          </w:p>
        </w:tc>
        <w:tc>
          <w:tcPr>
            <w:tcW w:w="3220" w:type="dxa"/>
            <w:vAlign w:val="center"/>
          </w:tcPr>
          <w:p w14:paraId="52A14932">
            <w:pPr>
              <w:pStyle w:val="84"/>
              <w:jc w:val="left"/>
              <w:rPr>
                <w:color w:val="auto"/>
              </w:rPr>
            </w:pPr>
            <w:r>
              <w:rPr>
                <w:color w:val="auto"/>
              </w:rPr>
              <w:t>塔</w:t>
            </w:r>
            <w:r>
              <w:rPr>
                <w:rFonts w:hint="eastAsia"/>
                <w:color w:val="auto"/>
              </w:rPr>
              <w:t>机</w:t>
            </w:r>
            <w:r>
              <w:rPr>
                <w:color w:val="auto"/>
              </w:rPr>
              <w:t>、</w:t>
            </w:r>
            <w:r>
              <w:rPr>
                <w:rFonts w:hint="eastAsia"/>
                <w:color w:val="auto"/>
              </w:rPr>
              <w:t>附着、休息平台、安全通道等</w:t>
            </w:r>
            <w:r>
              <w:rPr>
                <w:color w:val="auto"/>
              </w:rPr>
              <w:t>设备</w:t>
            </w:r>
            <w:r>
              <w:rPr>
                <w:rFonts w:hint="eastAsia"/>
                <w:color w:val="auto"/>
              </w:rPr>
              <w:t>设施</w:t>
            </w:r>
          </w:p>
        </w:tc>
        <w:tc>
          <w:tcPr>
            <w:tcW w:w="4795" w:type="dxa"/>
            <w:vAlign w:val="center"/>
          </w:tcPr>
          <w:p w14:paraId="1081EE51">
            <w:pPr>
              <w:pStyle w:val="84"/>
              <w:jc w:val="left"/>
              <w:rPr>
                <w:color w:val="auto"/>
              </w:rPr>
            </w:pPr>
            <w:r>
              <w:rPr>
                <w:rFonts w:hint="eastAsia"/>
                <w:color w:val="auto"/>
              </w:rPr>
              <w:t>塔机安装</w:t>
            </w:r>
            <w:r>
              <w:rPr>
                <w:color w:val="auto"/>
              </w:rPr>
              <w:t>拆除、</w:t>
            </w:r>
            <w:r>
              <w:rPr>
                <w:rFonts w:hint="eastAsia"/>
                <w:color w:val="auto"/>
              </w:rPr>
              <w:t>附着安装拆除、</w:t>
            </w:r>
            <w:r>
              <w:rPr>
                <w:color w:val="auto"/>
              </w:rPr>
              <w:t>主塔施工过程可能导致坍塌</w:t>
            </w:r>
          </w:p>
        </w:tc>
      </w:tr>
      <w:tr w14:paraId="4FD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blHeader/>
          <w:jc w:val="center"/>
        </w:trPr>
        <w:tc>
          <w:tcPr>
            <w:tcW w:w="753" w:type="dxa"/>
            <w:vAlign w:val="center"/>
          </w:tcPr>
          <w:p w14:paraId="163D5C68">
            <w:pPr>
              <w:pStyle w:val="84"/>
              <w:rPr>
                <w:color w:val="auto"/>
              </w:rPr>
            </w:pPr>
            <w:r>
              <w:rPr>
                <w:color w:val="auto"/>
              </w:rPr>
              <w:t>4</w:t>
            </w:r>
          </w:p>
        </w:tc>
        <w:tc>
          <w:tcPr>
            <w:tcW w:w="3220" w:type="dxa"/>
            <w:vAlign w:val="center"/>
          </w:tcPr>
          <w:p w14:paraId="4B0EB375">
            <w:pPr>
              <w:pStyle w:val="84"/>
              <w:jc w:val="left"/>
              <w:rPr>
                <w:color w:val="auto"/>
              </w:rPr>
            </w:pPr>
            <w:r>
              <w:rPr>
                <w:rFonts w:hint="eastAsia"/>
                <w:color w:val="auto"/>
              </w:rPr>
              <w:t>销轴</w:t>
            </w:r>
            <w:r>
              <w:rPr>
                <w:color w:val="auto"/>
              </w:rPr>
              <w:t>、</w:t>
            </w:r>
            <w:r>
              <w:rPr>
                <w:rFonts w:hint="eastAsia"/>
                <w:color w:val="auto"/>
              </w:rPr>
              <w:t>螺栓、</w:t>
            </w:r>
            <w:r>
              <w:rPr>
                <w:color w:val="auto"/>
              </w:rPr>
              <w:t>机械零件、吊物及起吊设备、作业区放置的施工余料或小型工具、设备零部件、小型安拆工具</w:t>
            </w:r>
          </w:p>
        </w:tc>
        <w:tc>
          <w:tcPr>
            <w:tcW w:w="4795" w:type="dxa"/>
            <w:vAlign w:val="center"/>
          </w:tcPr>
          <w:p w14:paraId="0E0779C1">
            <w:pPr>
              <w:pStyle w:val="84"/>
              <w:jc w:val="left"/>
              <w:rPr>
                <w:color w:val="auto"/>
              </w:rPr>
            </w:pPr>
            <w:r>
              <w:rPr>
                <w:rFonts w:hint="eastAsia"/>
                <w:color w:val="auto"/>
              </w:rPr>
              <w:t>塔机安装</w:t>
            </w:r>
            <w:r>
              <w:rPr>
                <w:color w:val="auto"/>
              </w:rPr>
              <w:t>拆除</w:t>
            </w:r>
            <w:r>
              <w:rPr>
                <w:rFonts w:hint="eastAsia"/>
                <w:color w:val="auto"/>
              </w:rPr>
              <w:t>过程中</w:t>
            </w:r>
            <w:r>
              <w:rPr>
                <w:color w:val="auto"/>
              </w:rPr>
              <w:t>可能导致物体打击</w:t>
            </w:r>
          </w:p>
        </w:tc>
      </w:tr>
      <w:tr w14:paraId="2CE3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7950D105">
            <w:pPr>
              <w:pStyle w:val="84"/>
              <w:rPr>
                <w:color w:val="auto"/>
              </w:rPr>
            </w:pPr>
            <w:r>
              <w:rPr>
                <w:color w:val="auto"/>
              </w:rPr>
              <w:t>5</w:t>
            </w:r>
          </w:p>
        </w:tc>
        <w:tc>
          <w:tcPr>
            <w:tcW w:w="3220" w:type="dxa"/>
            <w:vAlign w:val="center"/>
          </w:tcPr>
          <w:p w14:paraId="2C6FA6BA">
            <w:pPr>
              <w:pStyle w:val="84"/>
              <w:jc w:val="left"/>
              <w:rPr>
                <w:color w:val="auto"/>
              </w:rPr>
            </w:pPr>
            <w:r>
              <w:rPr>
                <w:color w:val="auto"/>
              </w:rPr>
              <w:t>起重设备、起重作业</w:t>
            </w:r>
          </w:p>
        </w:tc>
        <w:tc>
          <w:tcPr>
            <w:tcW w:w="4795" w:type="dxa"/>
            <w:vAlign w:val="center"/>
          </w:tcPr>
          <w:p w14:paraId="525BF56D">
            <w:pPr>
              <w:pStyle w:val="84"/>
              <w:jc w:val="left"/>
              <w:rPr>
                <w:color w:val="auto"/>
              </w:rPr>
            </w:pPr>
            <w:r>
              <w:rPr>
                <w:rFonts w:hint="eastAsia"/>
                <w:color w:val="auto"/>
              </w:rPr>
              <w:t>塔机部件安装拆除过程</w:t>
            </w:r>
            <w:r>
              <w:rPr>
                <w:color w:val="auto"/>
              </w:rPr>
              <w:t>可能导致起重伤害</w:t>
            </w:r>
          </w:p>
        </w:tc>
      </w:tr>
      <w:tr w14:paraId="047F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23E29D8F">
            <w:pPr>
              <w:pStyle w:val="84"/>
              <w:rPr>
                <w:color w:val="auto"/>
              </w:rPr>
            </w:pPr>
            <w:r>
              <w:rPr>
                <w:color w:val="auto"/>
              </w:rPr>
              <w:t>6</w:t>
            </w:r>
          </w:p>
        </w:tc>
        <w:tc>
          <w:tcPr>
            <w:tcW w:w="3220" w:type="dxa"/>
            <w:vAlign w:val="center"/>
          </w:tcPr>
          <w:p w14:paraId="47C337FD">
            <w:pPr>
              <w:pStyle w:val="84"/>
              <w:jc w:val="left"/>
              <w:rPr>
                <w:color w:val="auto"/>
              </w:rPr>
            </w:pPr>
            <w:r>
              <w:rPr>
                <w:color w:val="auto"/>
              </w:rPr>
              <w:t>平板车、泵车、过往车辆</w:t>
            </w:r>
          </w:p>
        </w:tc>
        <w:tc>
          <w:tcPr>
            <w:tcW w:w="4795" w:type="dxa"/>
            <w:vAlign w:val="center"/>
          </w:tcPr>
          <w:p w14:paraId="2747B1DD">
            <w:pPr>
              <w:pStyle w:val="84"/>
              <w:jc w:val="left"/>
              <w:rPr>
                <w:color w:val="auto"/>
              </w:rPr>
            </w:pPr>
            <w:r>
              <w:rPr>
                <w:rFonts w:hint="eastAsia"/>
                <w:color w:val="auto"/>
              </w:rPr>
              <w:t>作业区域</w:t>
            </w:r>
            <w:r>
              <w:rPr>
                <w:color w:val="auto"/>
              </w:rPr>
              <w:t>可能导致车辆伤害</w:t>
            </w:r>
          </w:p>
        </w:tc>
      </w:tr>
      <w:tr w14:paraId="2CA7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1EEDEC6F">
            <w:pPr>
              <w:pStyle w:val="84"/>
              <w:rPr>
                <w:color w:val="auto"/>
              </w:rPr>
            </w:pPr>
            <w:r>
              <w:rPr>
                <w:color w:val="auto"/>
              </w:rPr>
              <w:t>7</w:t>
            </w:r>
          </w:p>
        </w:tc>
        <w:tc>
          <w:tcPr>
            <w:tcW w:w="3220" w:type="dxa"/>
            <w:vAlign w:val="center"/>
          </w:tcPr>
          <w:p w14:paraId="2894127A">
            <w:pPr>
              <w:pStyle w:val="84"/>
              <w:jc w:val="left"/>
              <w:rPr>
                <w:color w:val="auto"/>
              </w:rPr>
            </w:pPr>
            <w:r>
              <w:rPr>
                <w:color w:val="auto"/>
              </w:rPr>
              <w:t>漏电</w:t>
            </w:r>
          </w:p>
        </w:tc>
        <w:tc>
          <w:tcPr>
            <w:tcW w:w="4795" w:type="dxa"/>
            <w:vAlign w:val="center"/>
          </w:tcPr>
          <w:p w14:paraId="539595FB">
            <w:pPr>
              <w:pStyle w:val="84"/>
              <w:jc w:val="left"/>
              <w:rPr>
                <w:color w:val="auto"/>
              </w:rPr>
            </w:pPr>
            <w:r>
              <w:rPr>
                <w:color w:val="auto"/>
              </w:rPr>
              <w:t>在临时用电施工、</w:t>
            </w:r>
            <w:r>
              <w:rPr>
                <w:rFonts w:hint="eastAsia"/>
                <w:color w:val="auto"/>
              </w:rPr>
              <w:t>塔机安装拆除</w:t>
            </w:r>
            <w:r>
              <w:rPr>
                <w:color w:val="auto"/>
              </w:rPr>
              <w:t>操作、小型机具使用过程可能导致触电</w:t>
            </w:r>
          </w:p>
        </w:tc>
      </w:tr>
      <w:tr w14:paraId="5FF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49F8E6E">
            <w:pPr>
              <w:pStyle w:val="84"/>
              <w:rPr>
                <w:color w:val="auto"/>
              </w:rPr>
            </w:pPr>
            <w:r>
              <w:rPr>
                <w:color w:val="auto"/>
              </w:rPr>
              <w:t>8</w:t>
            </w:r>
          </w:p>
        </w:tc>
        <w:tc>
          <w:tcPr>
            <w:tcW w:w="3220" w:type="dxa"/>
            <w:vAlign w:val="center"/>
          </w:tcPr>
          <w:p w14:paraId="6827E461">
            <w:pPr>
              <w:pStyle w:val="84"/>
              <w:jc w:val="left"/>
              <w:rPr>
                <w:color w:val="auto"/>
              </w:rPr>
            </w:pPr>
            <w:r>
              <w:rPr>
                <w:color w:val="auto"/>
              </w:rPr>
              <w:t>明火作业、易燃材料、违规动火</w:t>
            </w:r>
          </w:p>
        </w:tc>
        <w:tc>
          <w:tcPr>
            <w:tcW w:w="4795" w:type="dxa"/>
            <w:vAlign w:val="center"/>
          </w:tcPr>
          <w:p w14:paraId="5D7155F2">
            <w:pPr>
              <w:pStyle w:val="84"/>
              <w:jc w:val="left"/>
              <w:rPr>
                <w:color w:val="auto"/>
              </w:rPr>
            </w:pPr>
            <w:r>
              <w:rPr>
                <w:color w:val="auto"/>
              </w:rPr>
              <w:t>生活区、存储过程可能导致火灾</w:t>
            </w:r>
          </w:p>
        </w:tc>
      </w:tr>
      <w:tr w14:paraId="0BC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53" w:type="dxa"/>
            <w:vAlign w:val="center"/>
          </w:tcPr>
          <w:p w14:paraId="3EA0FA88">
            <w:pPr>
              <w:pStyle w:val="84"/>
              <w:rPr>
                <w:color w:val="auto"/>
              </w:rPr>
            </w:pPr>
            <w:r>
              <w:rPr>
                <w:color w:val="auto"/>
              </w:rPr>
              <w:t>9</w:t>
            </w:r>
          </w:p>
        </w:tc>
        <w:tc>
          <w:tcPr>
            <w:tcW w:w="3220" w:type="dxa"/>
            <w:vAlign w:val="center"/>
          </w:tcPr>
          <w:p w14:paraId="40B80288">
            <w:pPr>
              <w:pStyle w:val="84"/>
              <w:jc w:val="left"/>
              <w:rPr>
                <w:color w:val="auto"/>
              </w:rPr>
            </w:pPr>
            <w:r>
              <w:rPr>
                <w:rFonts w:hint="eastAsia"/>
                <w:color w:val="auto"/>
              </w:rPr>
              <w:t>电焊作业</w:t>
            </w:r>
          </w:p>
        </w:tc>
        <w:tc>
          <w:tcPr>
            <w:tcW w:w="4795" w:type="dxa"/>
            <w:vAlign w:val="center"/>
          </w:tcPr>
          <w:p w14:paraId="6E45EE0D">
            <w:pPr>
              <w:pStyle w:val="84"/>
              <w:jc w:val="left"/>
              <w:rPr>
                <w:color w:val="auto"/>
              </w:rPr>
            </w:pPr>
            <w:r>
              <w:rPr>
                <w:rFonts w:hint="eastAsia"/>
                <w:color w:val="auto"/>
              </w:rPr>
              <w:t>基础焊接在围堰内腔作业可能导致中毒窒息</w:t>
            </w:r>
          </w:p>
        </w:tc>
      </w:tr>
      <w:tr w14:paraId="6451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53" w:type="dxa"/>
            <w:vAlign w:val="center"/>
          </w:tcPr>
          <w:p w14:paraId="6B6AE8FC">
            <w:pPr>
              <w:pStyle w:val="84"/>
              <w:rPr>
                <w:color w:val="auto"/>
              </w:rPr>
            </w:pPr>
            <w:r>
              <w:rPr>
                <w:rFonts w:hint="eastAsia"/>
                <w:color w:val="auto"/>
              </w:rPr>
              <w:t>1</w:t>
            </w:r>
            <w:r>
              <w:rPr>
                <w:color w:val="auto"/>
              </w:rPr>
              <w:t>0</w:t>
            </w:r>
          </w:p>
        </w:tc>
        <w:tc>
          <w:tcPr>
            <w:tcW w:w="3220" w:type="dxa"/>
            <w:vAlign w:val="center"/>
          </w:tcPr>
          <w:p w14:paraId="7F78EA1A">
            <w:pPr>
              <w:pStyle w:val="84"/>
              <w:jc w:val="left"/>
              <w:rPr>
                <w:color w:val="auto"/>
              </w:rPr>
            </w:pPr>
            <w:r>
              <w:rPr>
                <w:rFonts w:hint="eastAsia"/>
                <w:color w:val="auto"/>
              </w:rPr>
              <w:t>作业人员</w:t>
            </w:r>
          </w:p>
        </w:tc>
        <w:tc>
          <w:tcPr>
            <w:tcW w:w="4795" w:type="dxa"/>
            <w:vAlign w:val="center"/>
          </w:tcPr>
          <w:p w14:paraId="5CB9F0A3">
            <w:pPr>
              <w:pStyle w:val="84"/>
              <w:jc w:val="left"/>
              <w:rPr>
                <w:color w:val="auto"/>
              </w:rPr>
            </w:pPr>
            <w:r>
              <w:rPr>
                <w:color w:val="auto"/>
              </w:rPr>
              <w:t>可能有高血压</w:t>
            </w:r>
            <w:r>
              <w:rPr>
                <w:rFonts w:hint="eastAsia"/>
                <w:color w:val="auto"/>
              </w:rPr>
              <w:t>、</w:t>
            </w:r>
            <w:r>
              <w:rPr>
                <w:color w:val="auto"/>
              </w:rPr>
              <w:t>心脏病</w:t>
            </w:r>
            <w:r>
              <w:rPr>
                <w:rFonts w:hint="eastAsia"/>
                <w:color w:val="auto"/>
              </w:rPr>
              <w:t>，</w:t>
            </w:r>
            <w:r>
              <w:rPr>
                <w:color w:val="auto"/>
              </w:rPr>
              <w:t>恐高症等不适合从事高空作业人员</w:t>
            </w:r>
          </w:p>
        </w:tc>
      </w:tr>
      <w:tr w14:paraId="4AF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753" w:type="dxa"/>
            <w:vAlign w:val="center"/>
          </w:tcPr>
          <w:p w14:paraId="27AF7EF6">
            <w:pPr>
              <w:pStyle w:val="84"/>
              <w:rPr>
                <w:color w:val="auto"/>
              </w:rPr>
            </w:pPr>
            <w:r>
              <w:rPr>
                <w:rFonts w:hint="eastAsia"/>
                <w:color w:val="auto"/>
              </w:rPr>
              <w:t>1</w:t>
            </w:r>
            <w:r>
              <w:rPr>
                <w:color w:val="auto"/>
              </w:rPr>
              <w:t>1</w:t>
            </w:r>
          </w:p>
        </w:tc>
        <w:tc>
          <w:tcPr>
            <w:tcW w:w="3220" w:type="dxa"/>
            <w:vAlign w:val="center"/>
          </w:tcPr>
          <w:p w14:paraId="12A67411">
            <w:pPr>
              <w:pStyle w:val="84"/>
              <w:jc w:val="left"/>
              <w:rPr>
                <w:color w:val="auto"/>
              </w:rPr>
            </w:pPr>
            <w:r>
              <w:rPr>
                <w:color w:val="auto"/>
              </w:rPr>
              <w:t>自然环境</w:t>
            </w:r>
          </w:p>
        </w:tc>
        <w:tc>
          <w:tcPr>
            <w:tcW w:w="4795" w:type="dxa"/>
            <w:vAlign w:val="center"/>
          </w:tcPr>
          <w:p w14:paraId="16BF7BB5">
            <w:pPr>
              <w:pStyle w:val="84"/>
              <w:jc w:val="left"/>
              <w:rPr>
                <w:color w:val="auto"/>
              </w:rPr>
            </w:pPr>
            <w:r>
              <w:rPr>
                <w:color w:val="auto"/>
              </w:rPr>
              <w:t>施工过程中存在雷</w:t>
            </w:r>
            <w:r>
              <w:rPr>
                <w:rFonts w:hint="eastAsia"/>
                <w:color w:val="auto"/>
              </w:rPr>
              <w:t>电、</w:t>
            </w:r>
            <w:r>
              <w:rPr>
                <w:color w:val="auto"/>
              </w:rPr>
              <w:t>大风</w:t>
            </w:r>
            <w:r>
              <w:rPr>
                <w:rFonts w:hint="eastAsia"/>
                <w:color w:val="auto"/>
              </w:rPr>
              <w:t>、大雨、</w:t>
            </w:r>
            <w:r>
              <w:rPr>
                <w:color w:val="auto"/>
              </w:rPr>
              <w:t>大雪</w:t>
            </w:r>
            <w:r>
              <w:rPr>
                <w:rFonts w:hint="eastAsia"/>
                <w:color w:val="auto"/>
              </w:rPr>
              <w:t>、冰雹、雾霾及洪水</w:t>
            </w:r>
            <w:r>
              <w:rPr>
                <w:color w:val="auto"/>
              </w:rPr>
              <w:t>等不利天气影响</w:t>
            </w:r>
          </w:p>
        </w:tc>
      </w:tr>
    </w:tbl>
    <w:p w14:paraId="4E0BA3F9">
      <w:pPr>
        <w:rPr>
          <w:rFonts w:hint="eastAsia"/>
          <w:color w:val="auto"/>
        </w:rPr>
      </w:pPr>
      <w:bookmarkStart w:id="501" w:name="_Toc29598"/>
      <w:bookmarkStart w:id="502" w:name="_Toc25759_WPSOffice_Level2"/>
      <w:bookmarkStart w:id="503" w:name="_Toc17876"/>
      <w:bookmarkStart w:id="504" w:name="_Toc4300"/>
      <w:bookmarkStart w:id="505" w:name="_Toc182895424"/>
      <w:bookmarkStart w:id="506" w:name="_Toc25858"/>
      <w:bookmarkStart w:id="507" w:name="_Toc28491"/>
      <w:bookmarkStart w:id="508" w:name="_Toc1113"/>
      <w:bookmarkStart w:id="509" w:name="_Toc17027_WPSOffice_Level2"/>
      <w:bookmarkStart w:id="510" w:name="_Toc533610113"/>
      <w:r>
        <w:rPr>
          <w:rFonts w:hint="eastAsia"/>
          <w:color w:val="auto"/>
        </w:rPr>
        <w:br w:type="page"/>
      </w:r>
    </w:p>
    <w:p w14:paraId="618FDCE5">
      <w:pPr>
        <w:pStyle w:val="3"/>
        <w:ind w:left="480"/>
        <w:rPr>
          <w:rFonts w:hint="eastAsia"/>
          <w:color w:val="auto"/>
        </w:rPr>
      </w:pPr>
      <w:bookmarkStart w:id="511" w:name="_Toc32466"/>
      <w:r>
        <w:rPr>
          <w:rFonts w:hint="eastAsia"/>
          <w:color w:val="auto"/>
        </w:rPr>
        <w:t>9.2 风险因素分析</w:t>
      </w:r>
      <w:bookmarkEnd w:id="501"/>
      <w:bookmarkEnd w:id="502"/>
      <w:bookmarkEnd w:id="503"/>
      <w:bookmarkEnd w:id="504"/>
      <w:bookmarkEnd w:id="505"/>
      <w:bookmarkEnd w:id="506"/>
      <w:bookmarkEnd w:id="507"/>
      <w:bookmarkEnd w:id="508"/>
      <w:bookmarkEnd w:id="509"/>
      <w:bookmarkEnd w:id="510"/>
      <w:bookmarkEnd w:id="511"/>
    </w:p>
    <w:tbl>
      <w:tblPr>
        <w:tblStyle w:val="28"/>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85"/>
        <w:gridCol w:w="878"/>
        <w:gridCol w:w="695"/>
        <w:gridCol w:w="390"/>
        <w:gridCol w:w="3434"/>
        <w:gridCol w:w="2933"/>
      </w:tblGrid>
      <w:tr w14:paraId="16E9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34" w:type="dxa"/>
            <w:vAlign w:val="center"/>
          </w:tcPr>
          <w:p w14:paraId="671A36F3">
            <w:pPr>
              <w:pStyle w:val="91"/>
              <w:rPr>
                <w:color w:val="auto"/>
              </w:rPr>
            </w:pPr>
            <w:r>
              <w:rPr>
                <w:rFonts w:hint="eastAsia"/>
                <w:color w:val="auto"/>
              </w:rPr>
              <w:t>单位作业内容</w:t>
            </w:r>
          </w:p>
        </w:tc>
        <w:tc>
          <w:tcPr>
            <w:tcW w:w="685" w:type="dxa"/>
            <w:vAlign w:val="center"/>
          </w:tcPr>
          <w:p w14:paraId="73BAE87C">
            <w:pPr>
              <w:pStyle w:val="91"/>
              <w:rPr>
                <w:color w:val="auto"/>
              </w:rPr>
            </w:pPr>
            <w:r>
              <w:rPr>
                <w:rFonts w:hint="eastAsia"/>
                <w:color w:val="auto"/>
              </w:rPr>
              <w:t>潜在的主要事故类型</w:t>
            </w:r>
          </w:p>
        </w:tc>
        <w:tc>
          <w:tcPr>
            <w:tcW w:w="878" w:type="dxa"/>
            <w:vAlign w:val="center"/>
          </w:tcPr>
          <w:p w14:paraId="6475BF93">
            <w:pPr>
              <w:pStyle w:val="91"/>
              <w:rPr>
                <w:color w:val="auto"/>
              </w:rPr>
            </w:pPr>
            <w:r>
              <w:rPr>
                <w:rFonts w:hint="eastAsia"/>
                <w:color w:val="auto"/>
              </w:rPr>
              <w:t>致险因子</w:t>
            </w:r>
          </w:p>
        </w:tc>
        <w:tc>
          <w:tcPr>
            <w:tcW w:w="695" w:type="dxa"/>
            <w:vAlign w:val="center"/>
          </w:tcPr>
          <w:p w14:paraId="14436536">
            <w:pPr>
              <w:pStyle w:val="91"/>
              <w:rPr>
                <w:color w:val="auto"/>
              </w:rPr>
            </w:pPr>
            <w:r>
              <w:rPr>
                <w:rFonts w:hint="eastAsia"/>
                <w:color w:val="auto"/>
              </w:rPr>
              <w:t>受伤害人员类型</w:t>
            </w:r>
          </w:p>
        </w:tc>
        <w:tc>
          <w:tcPr>
            <w:tcW w:w="390" w:type="dxa"/>
            <w:vAlign w:val="center"/>
          </w:tcPr>
          <w:p w14:paraId="788E974A">
            <w:pPr>
              <w:pStyle w:val="91"/>
              <w:rPr>
                <w:color w:val="auto"/>
              </w:rPr>
            </w:pPr>
            <w:r>
              <w:rPr>
                <w:rFonts w:hint="eastAsia"/>
                <w:color w:val="auto"/>
              </w:rPr>
              <w:t>伤害程度</w:t>
            </w:r>
          </w:p>
        </w:tc>
        <w:tc>
          <w:tcPr>
            <w:tcW w:w="3434" w:type="dxa"/>
            <w:vAlign w:val="center"/>
          </w:tcPr>
          <w:p w14:paraId="114EE773">
            <w:pPr>
              <w:pStyle w:val="91"/>
              <w:rPr>
                <w:color w:val="auto"/>
              </w:rPr>
            </w:pPr>
            <w:r>
              <w:rPr>
                <w:rFonts w:hint="eastAsia"/>
                <w:color w:val="auto"/>
              </w:rPr>
              <w:t>物的不安全状态</w:t>
            </w:r>
          </w:p>
        </w:tc>
        <w:tc>
          <w:tcPr>
            <w:tcW w:w="2933" w:type="dxa"/>
            <w:vAlign w:val="center"/>
          </w:tcPr>
          <w:p w14:paraId="1B11DA1B">
            <w:pPr>
              <w:pStyle w:val="91"/>
              <w:rPr>
                <w:color w:val="auto"/>
              </w:rPr>
            </w:pPr>
            <w:r>
              <w:rPr>
                <w:rFonts w:hint="eastAsia"/>
                <w:color w:val="auto"/>
              </w:rPr>
              <w:t>人的不安全行为</w:t>
            </w:r>
          </w:p>
        </w:tc>
      </w:tr>
      <w:tr w14:paraId="5D41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9" w:hRule="atLeast"/>
          <w:jc w:val="center"/>
        </w:trPr>
        <w:tc>
          <w:tcPr>
            <w:tcW w:w="734" w:type="dxa"/>
            <w:vAlign w:val="center"/>
          </w:tcPr>
          <w:p w14:paraId="03ED1322">
            <w:pPr>
              <w:pStyle w:val="91"/>
              <w:jc w:val="both"/>
              <w:rPr>
                <w:color w:val="auto"/>
              </w:rPr>
            </w:pPr>
            <w:r>
              <w:rPr>
                <w:rFonts w:hint="eastAsia"/>
                <w:color w:val="auto"/>
              </w:rPr>
              <w:t>塔机安装拆除</w:t>
            </w:r>
          </w:p>
        </w:tc>
        <w:tc>
          <w:tcPr>
            <w:tcW w:w="685" w:type="dxa"/>
            <w:vAlign w:val="center"/>
          </w:tcPr>
          <w:p w14:paraId="3903A677">
            <w:pPr>
              <w:pStyle w:val="91"/>
              <w:jc w:val="both"/>
              <w:rPr>
                <w:color w:val="auto"/>
              </w:rPr>
            </w:pPr>
            <w:r>
              <w:rPr>
                <w:rFonts w:hint="eastAsia"/>
                <w:color w:val="auto"/>
              </w:rPr>
              <w:t>1、坍塌</w:t>
            </w:r>
          </w:p>
          <w:p w14:paraId="5C15F606">
            <w:pPr>
              <w:pStyle w:val="91"/>
              <w:jc w:val="both"/>
              <w:rPr>
                <w:color w:val="auto"/>
              </w:rPr>
            </w:pPr>
            <w:r>
              <w:rPr>
                <w:rFonts w:hint="eastAsia"/>
                <w:color w:val="auto"/>
              </w:rPr>
              <w:t>2、起重伤害</w:t>
            </w:r>
          </w:p>
          <w:p w14:paraId="518C395E">
            <w:pPr>
              <w:pStyle w:val="91"/>
              <w:jc w:val="both"/>
              <w:rPr>
                <w:color w:val="auto"/>
              </w:rPr>
            </w:pPr>
            <w:r>
              <w:rPr>
                <w:rFonts w:hint="eastAsia"/>
                <w:color w:val="auto"/>
              </w:rPr>
              <w:t>3、物体打击</w:t>
            </w:r>
          </w:p>
          <w:p w14:paraId="0B81A84A">
            <w:pPr>
              <w:pStyle w:val="91"/>
              <w:jc w:val="both"/>
              <w:rPr>
                <w:color w:val="auto"/>
              </w:rPr>
            </w:pPr>
            <w:r>
              <w:rPr>
                <w:rFonts w:hint="eastAsia"/>
                <w:color w:val="auto"/>
              </w:rPr>
              <w:t>4、高处坠落</w:t>
            </w:r>
          </w:p>
          <w:p w14:paraId="0821C9E5">
            <w:pPr>
              <w:pStyle w:val="91"/>
              <w:jc w:val="both"/>
              <w:rPr>
                <w:color w:val="auto"/>
              </w:rPr>
            </w:pPr>
            <w:r>
              <w:rPr>
                <w:rFonts w:hint="eastAsia"/>
                <w:color w:val="auto"/>
              </w:rPr>
              <w:t>5、车辆伤害</w:t>
            </w:r>
          </w:p>
        </w:tc>
        <w:tc>
          <w:tcPr>
            <w:tcW w:w="878" w:type="dxa"/>
            <w:vAlign w:val="center"/>
          </w:tcPr>
          <w:p w14:paraId="134B13B6">
            <w:pPr>
              <w:pStyle w:val="91"/>
              <w:jc w:val="both"/>
              <w:rPr>
                <w:color w:val="auto"/>
              </w:rPr>
            </w:pPr>
            <w:r>
              <w:rPr>
                <w:color w:val="auto"/>
              </w:rPr>
              <w:t>1</w:t>
            </w:r>
            <w:r>
              <w:rPr>
                <w:rFonts w:hint="eastAsia"/>
                <w:color w:val="auto"/>
              </w:rPr>
              <w:t>、作业人员；</w:t>
            </w:r>
          </w:p>
          <w:p w14:paraId="423FE577">
            <w:pPr>
              <w:pStyle w:val="91"/>
              <w:jc w:val="both"/>
              <w:rPr>
                <w:color w:val="auto"/>
              </w:rPr>
            </w:pPr>
            <w:r>
              <w:rPr>
                <w:color w:val="auto"/>
              </w:rPr>
              <w:t>2</w:t>
            </w:r>
            <w:r>
              <w:rPr>
                <w:rFonts w:hint="eastAsia"/>
                <w:color w:val="auto"/>
              </w:rPr>
              <w:t>、管理人员（现场技术员、安全管理人员等）；</w:t>
            </w:r>
          </w:p>
          <w:p w14:paraId="2852D07C">
            <w:pPr>
              <w:pStyle w:val="91"/>
              <w:jc w:val="both"/>
              <w:rPr>
                <w:color w:val="auto"/>
              </w:rPr>
            </w:pPr>
            <w:r>
              <w:rPr>
                <w:color w:val="auto"/>
              </w:rPr>
              <w:t>3</w:t>
            </w:r>
            <w:r>
              <w:rPr>
                <w:rFonts w:hint="eastAsia"/>
                <w:color w:val="auto"/>
              </w:rPr>
              <w:t>、施工工序、安拆方案；</w:t>
            </w:r>
          </w:p>
          <w:p w14:paraId="0C14FF1D">
            <w:pPr>
              <w:pStyle w:val="91"/>
              <w:jc w:val="both"/>
              <w:rPr>
                <w:color w:val="auto"/>
              </w:rPr>
            </w:pPr>
            <w:r>
              <w:rPr>
                <w:color w:val="auto"/>
              </w:rPr>
              <w:t>4</w:t>
            </w:r>
            <w:r>
              <w:rPr>
                <w:rFonts w:hint="eastAsia"/>
                <w:color w:val="auto"/>
              </w:rPr>
              <w:t>、机械设备、设备零部件、安拆工具；</w:t>
            </w:r>
          </w:p>
          <w:p w14:paraId="1C8BBBC0">
            <w:pPr>
              <w:pStyle w:val="91"/>
              <w:jc w:val="both"/>
              <w:rPr>
                <w:color w:val="auto"/>
              </w:rPr>
            </w:pPr>
            <w:r>
              <w:rPr>
                <w:color w:val="auto"/>
              </w:rPr>
              <w:t>5</w:t>
            </w:r>
            <w:r>
              <w:rPr>
                <w:rFonts w:hint="eastAsia"/>
                <w:color w:val="auto"/>
              </w:rPr>
              <w:t>、材料、吊物；</w:t>
            </w:r>
          </w:p>
          <w:p w14:paraId="37AE81C7">
            <w:pPr>
              <w:pStyle w:val="91"/>
              <w:jc w:val="both"/>
              <w:rPr>
                <w:color w:val="auto"/>
              </w:rPr>
            </w:pPr>
            <w:r>
              <w:rPr>
                <w:color w:val="auto"/>
              </w:rPr>
              <w:t>6</w:t>
            </w:r>
            <w:r>
              <w:rPr>
                <w:rFonts w:hint="eastAsia"/>
                <w:color w:val="auto"/>
              </w:rPr>
              <w:t>、作业环境（登高作业）。</w:t>
            </w:r>
          </w:p>
        </w:tc>
        <w:tc>
          <w:tcPr>
            <w:tcW w:w="695" w:type="dxa"/>
            <w:vAlign w:val="center"/>
          </w:tcPr>
          <w:p w14:paraId="3CB57EA4">
            <w:pPr>
              <w:pStyle w:val="91"/>
              <w:jc w:val="both"/>
              <w:rPr>
                <w:color w:val="auto"/>
              </w:rPr>
            </w:pPr>
            <w:r>
              <w:rPr>
                <w:rFonts w:hint="eastAsia"/>
                <w:color w:val="auto"/>
              </w:rPr>
              <w:t>作业人员本身或同一场所的其他作</w:t>
            </w:r>
          </w:p>
          <w:p w14:paraId="19C84122">
            <w:pPr>
              <w:pStyle w:val="91"/>
              <w:jc w:val="both"/>
              <w:rPr>
                <w:color w:val="auto"/>
              </w:rPr>
            </w:pPr>
            <w:r>
              <w:rPr>
                <w:rFonts w:hint="eastAsia"/>
                <w:color w:val="auto"/>
              </w:rPr>
              <w:t>业人员、周</w:t>
            </w:r>
          </w:p>
          <w:p w14:paraId="327769E1">
            <w:pPr>
              <w:pStyle w:val="91"/>
              <w:jc w:val="both"/>
              <w:rPr>
                <w:color w:val="auto"/>
              </w:rPr>
            </w:pPr>
            <w:r>
              <w:rPr>
                <w:rFonts w:hint="eastAsia"/>
                <w:color w:val="auto"/>
              </w:rPr>
              <w:t>围其他人</w:t>
            </w:r>
          </w:p>
        </w:tc>
        <w:tc>
          <w:tcPr>
            <w:tcW w:w="390" w:type="dxa"/>
            <w:vAlign w:val="center"/>
          </w:tcPr>
          <w:p w14:paraId="2A259CE1">
            <w:pPr>
              <w:pStyle w:val="91"/>
              <w:jc w:val="both"/>
              <w:rPr>
                <w:color w:val="auto"/>
              </w:rPr>
            </w:pPr>
            <w:r>
              <w:rPr>
                <w:rFonts w:hint="eastAsia"/>
                <w:color w:val="auto"/>
              </w:rPr>
              <w:t>轻伤、 重伤</w:t>
            </w:r>
          </w:p>
        </w:tc>
        <w:tc>
          <w:tcPr>
            <w:tcW w:w="3434" w:type="dxa"/>
            <w:vAlign w:val="center"/>
          </w:tcPr>
          <w:p w14:paraId="000029CD">
            <w:pPr>
              <w:pStyle w:val="91"/>
              <w:jc w:val="both"/>
              <w:rPr>
                <w:color w:val="auto"/>
              </w:rPr>
            </w:pPr>
            <w:r>
              <w:rPr>
                <w:color w:val="auto"/>
              </w:rPr>
              <w:t>1.</w:t>
            </w:r>
            <w:r>
              <w:rPr>
                <w:rFonts w:hint="eastAsia"/>
                <w:color w:val="auto"/>
              </w:rPr>
              <w:t>“三无”机械设备；</w:t>
            </w:r>
          </w:p>
          <w:p w14:paraId="21504A95">
            <w:pPr>
              <w:pStyle w:val="91"/>
              <w:jc w:val="both"/>
              <w:rPr>
                <w:color w:val="auto"/>
              </w:rPr>
            </w:pPr>
            <w:r>
              <w:rPr>
                <w:color w:val="auto"/>
              </w:rPr>
              <w:t>2.</w:t>
            </w:r>
            <w:r>
              <w:rPr>
                <w:rFonts w:hint="eastAsia"/>
                <w:color w:val="auto"/>
              </w:rPr>
              <w:t>机械设备带病运转；</w:t>
            </w:r>
          </w:p>
          <w:p w14:paraId="2049F6F2">
            <w:pPr>
              <w:pStyle w:val="91"/>
              <w:jc w:val="both"/>
              <w:rPr>
                <w:color w:val="auto"/>
              </w:rPr>
            </w:pPr>
            <w:r>
              <w:rPr>
                <w:color w:val="auto"/>
              </w:rPr>
              <w:t>3.</w:t>
            </w:r>
            <w:r>
              <w:rPr>
                <w:rFonts w:hint="eastAsia"/>
                <w:color w:val="auto"/>
              </w:rPr>
              <w:t>照明光线不良；</w:t>
            </w:r>
          </w:p>
          <w:p w14:paraId="509367BF">
            <w:pPr>
              <w:pStyle w:val="91"/>
              <w:jc w:val="both"/>
              <w:rPr>
                <w:color w:val="auto"/>
              </w:rPr>
            </w:pPr>
            <w:r>
              <w:rPr>
                <w:color w:val="auto"/>
              </w:rPr>
              <w:t>4.</w:t>
            </w:r>
            <w:r>
              <w:rPr>
                <w:rFonts w:hint="eastAsia"/>
                <w:color w:val="auto"/>
              </w:rPr>
              <w:t>施工场地地面潮湿或积水；</w:t>
            </w:r>
          </w:p>
          <w:p w14:paraId="41FFEF51">
            <w:pPr>
              <w:pStyle w:val="91"/>
              <w:jc w:val="both"/>
              <w:rPr>
                <w:color w:val="auto"/>
              </w:rPr>
            </w:pPr>
            <w:r>
              <w:rPr>
                <w:color w:val="auto"/>
              </w:rPr>
              <w:t>5.</w:t>
            </w:r>
            <w:r>
              <w:rPr>
                <w:rFonts w:hint="eastAsia"/>
                <w:color w:val="auto"/>
              </w:rPr>
              <w:t>作业平台临边未设置安全防护设施或设置不合理；</w:t>
            </w:r>
          </w:p>
          <w:p w14:paraId="128CC39B">
            <w:pPr>
              <w:pStyle w:val="91"/>
              <w:jc w:val="both"/>
              <w:rPr>
                <w:color w:val="auto"/>
              </w:rPr>
            </w:pPr>
            <w:r>
              <w:rPr>
                <w:color w:val="auto"/>
              </w:rPr>
              <w:t>6.</w:t>
            </w:r>
            <w:r>
              <w:rPr>
                <w:rFonts w:hint="eastAsia"/>
                <w:color w:val="auto"/>
              </w:rPr>
              <w:t>起重设备的钢丝绳和索具无出厂合格证和材质证明；</w:t>
            </w:r>
          </w:p>
          <w:p w14:paraId="3D38C83B">
            <w:pPr>
              <w:pStyle w:val="91"/>
              <w:jc w:val="both"/>
              <w:rPr>
                <w:color w:val="auto"/>
              </w:rPr>
            </w:pPr>
            <w:r>
              <w:rPr>
                <w:color w:val="auto"/>
              </w:rPr>
              <w:t>7.</w:t>
            </w:r>
            <w:r>
              <w:rPr>
                <w:rFonts w:hint="eastAsia"/>
                <w:color w:val="auto"/>
              </w:rPr>
              <w:t>起重设备的钢丝绳锈蚀或磨损严重；</w:t>
            </w:r>
          </w:p>
          <w:p w14:paraId="46665EBE">
            <w:pPr>
              <w:pStyle w:val="91"/>
              <w:jc w:val="both"/>
              <w:rPr>
                <w:color w:val="auto"/>
              </w:rPr>
            </w:pPr>
            <w:r>
              <w:rPr>
                <w:rFonts w:hint="eastAsia"/>
                <w:color w:val="auto"/>
              </w:rPr>
              <w:t>7.起重设备的吊钩、吊环有裂纹、破口或磨损严重；</w:t>
            </w:r>
          </w:p>
          <w:p w14:paraId="604D7AA9">
            <w:pPr>
              <w:pStyle w:val="91"/>
              <w:jc w:val="both"/>
              <w:rPr>
                <w:color w:val="auto"/>
              </w:rPr>
            </w:pPr>
            <w:r>
              <w:rPr>
                <w:rFonts w:hint="eastAsia"/>
                <w:color w:val="auto"/>
              </w:rPr>
              <w:t>9.起重设备制动器的制动鼓和制动带磨损严重；</w:t>
            </w:r>
          </w:p>
          <w:p w14:paraId="176784DB">
            <w:pPr>
              <w:pStyle w:val="91"/>
              <w:jc w:val="both"/>
              <w:rPr>
                <w:color w:val="auto"/>
              </w:rPr>
            </w:pPr>
            <w:r>
              <w:rPr>
                <w:rFonts w:hint="eastAsia"/>
                <w:color w:val="auto"/>
              </w:rPr>
              <w:t>7.大临设施本身的强度、刚度、稳定性不够，安装存在缺陷；</w:t>
            </w:r>
          </w:p>
          <w:p w14:paraId="796088C4">
            <w:pPr>
              <w:pStyle w:val="91"/>
              <w:jc w:val="both"/>
              <w:rPr>
                <w:color w:val="auto"/>
              </w:rPr>
            </w:pPr>
            <w:r>
              <w:rPr>
                <w:rFonts w:hint="eastAsia"/>
                <w:color w:val="auto"/>
              </w:rPr>
              <w:t>9.设备起重能力不足；</w:t>
            </w:r>
          </w:p>
          <w:p w14:paraId="076BC4C9">
            <w:pPr>
              <w:pStyle w:val="91"/>
              <w:jc w:val="both"/>
              <w:rPr>
                <w:color w:val="auto"/>
              </w:rPr>
            </w:pPr>
            <w:r>
              <w:rPr>
                <w:rFonts w:hint="eastAsia"/>
                <w:color w:val="auto"/>
              </w:rPr>
              <w:t>10.起重设备安全保护装置和指</w:t>
            </w:r>
          </w:p>
          <w:p w14:paraId="4C6916FB">
            <w:pPr>
              <w:pStyle w:val="91"/>
              <w:jc w:val="both"/>
              <w:rPr>
                <w:color w:val="auto"/>
              </w:rPr>
            </w:pPr>
            <w:r>
              <w:rPr>
                <w:rFonts w:hint="eastAsia"/>
                <w:color w:val="auto"/>
              </w:rPr>
              <w:t>示仪表有缺陷；</w:t>
            </w:r>
          </w:p>
          <w:p w14:paraId="76A36B5B">
            <w:pPr>
              <w:pStyle w:val="91"/>
              <w:jc w:val="both"/>
              <w:rPr>
                <w:color w:val="auto"/>
              </w:rPr>
            </w:pPr>
            <w:r>
              <w:rPr>
                <w:rFonts w:hint="eastAsia"/>
                <w:color w:val="auto"/>
              </w:rPr>
              <w:t>13.起重设备基础不牢固、起重作业前未进行试吊；</w:t>
            </w:r>
          </w:p>
          <w:p w14:paraId="765A6988">
            <w:pPr>
              <w:pStyle w:val="91"/>
              <w:jc w:val="both"/>
              <w:rPr>
                <w:color w:val="auto"/>
              </w:rPr>
            </w:pPr>
            <w:r>
              <w:rPr>
                <w:rFonts w:hint="eastAsia"/>
                <w:color w:val="auto"/>
              </w:rPr>
              <w:t>14.在吊装作业半径内未设置警戒带、告知牌；</w:t>
            </w:r>
          </w:p>
          <w:p w14:paraId="058F80C5">
            <w:pPr>
              <w:pStyle w:val="91"/>
              <w:jc w:val="both"/>
              <w:rPr>
                <w:color w:val="auto"/>
              </w:rPr>
            </w:pPr>
            <w:r>
              <w:rPr>
                <w:rFonts w:hint="eastAsia"/>
                <w:color w:val="auto"/>
              </w:rPr>
              <w:t>15.作业区域未设置安全警示标志和安全防护设施；</w:t>
            </w:r>
          </w:p>
          <w:p w14:paraId="6D4BAA81">
            <w:pPr>
              <w:pStyle w:val="91"/>
              <w:jc w:val="both"/>
              <w:rPr>
                <w:color w:val="auto"/>
              </w:rPr>
            </w:pPr>
            <w:r>
              <w:rPr>
                <w:color w:val="auto"/>
              </w:rPr>
              <w:t>16.</w:t>
            </w:r>
            <w:r>
              <w:rPr>
                <w:rFonts w:hint="eastAsia"/>
                <w:color w:val="auto"/>
              </w:rPr>
              <w:t>设备附墙杆件不符合强度要求；</w:t>
            </w:r>
          </w:p>
          <w:p w14:paraId="0AD905C3">
            <w:pPr>
              <w:pStyle w:val="91"/>
              <w:jc w:val="both"/>
              <w:rPr>
                <w:color w:val="auto"/>
              </w:rPr>
            </w:pPr>
            <w:r>
              <w:rPr>
                <w:color w:val="auto"/>
              </w:rPr>
              <w:t>17.</w:t>
            </w:r>
            <w:r>
              <w:rPr>
                <w:rFonts w:hint="eastAsia"/>
                <w:color w:val="auto"/>
              </w:rPr>
              <w:t>设备运行轨道不平顺；</w:t>
            </w:r>
          </w:p>
          <w:p w14:paraId="42BEB6B9">
            <w:pPr>
              <w:pStyle w:val="91"/>
              <w:jc w:val="both"/>
              <w:rPr>
                <w:color w:val="auto"/>
              </w:rPr>
            </w:pPr>
            <w:r>
              <w:rPr>
                <w:color w:val="auto"/>
              </w:rPr>
              <w:t>1</w:t>
            </w:r>
            <w:r>
              <w:rPr>
                <w:rFonts w:hint="eastAsia"/>
                <w:color w:val="auto"/>
              </w:rPr>
              <w:t>7.与设备附墙杆件连接处的塔身混凝土强度不够；</w:t>
            </w:r>
          </w:p>
          <w:p w14:paraId="2974A97B">
            <w:pPr>
              <w:pStyle w:val="91"/>
              <w:jc w:val="both"/>
              <w:rPr>
                <w:color w:val="auto"/>
              </w:rPr>
            </w:pPr>
            <w:r>
              <w:rPr>
                <w:color w:val="auto"/>
              </w:rPr>
              <w:t>1</w:t>
            </w:r>
            <w:r>
              <w:rPr>
                <w:rFonts w:hint="eastAsia"/>
                <w:color w:val="auto"/>
              </w:rPr>
              <w:t>9.机械设备无专业资质。</w:t>
            </w:r>
          </w:p>
        </w:tc>
        <w:tc>
          <w:tcPr>
            <w:tcW w:w="2933" w:type="dxa"/>
            <w:vAlign w:val="center"/>
          </w:tcPr>
          <w:p w14:paraId="7B969817">
            <w:pPr>
              <w:pStyle w:val="91"/>
              <w:jc w:val="both"/>
              <w:rPr>
                <w:color w:val="auto"/>
              </w:rPr>
            </w:pPr>
            <w:r>
              <w:rPr>
                <w:color w:val="auto"/>
              </w:rPr>
              <w:t>1.</w:t>
            </w:r>
            <w:r>
              <w:rPr>
                <w:rFonts w:hint="eastAsia"/>
                <w:color w:val="auto"/>
              </w:rPr>
              <w:t>酒后作业；</w:t>
            </w:r>
          </w:p>
          <w:p w14:paraId="5B55A456">
            <w:pPr>
              <w:pStyle w:val="91"/>
              <w:jc w:val="both"/>
              <w:rPr>
                <w:color w:val="auto"/>
              </w:rPr>
            </w:pPr>
            <w:r>
              <w:rPr>
                <w:color w:val="auto"/>
              </w:rPr>
              <w:t>2.</w:t>
            </w:r>
            <w:r>
              <w:rPr>
                <w:rFonts w:hint="eastAsia"/>
                <w:color w:val="auto"/>
              </w:rPr>
              <w:t>未持证上岗；</w:t>
            </w:r>
          </w:p>
          <w:p w14:paraId="7F8E6C5A">
            <w:pPr>
              <w:pStyle w:val="91"/>
              <w:jc w:val="both"/>
              <w:rPr>
                <w:color w:val="auto"/>
              </w:rPr>
            </w:pPr>
            <w:r>
              <w:rPr>
                <w:color w:val="auto"/>
              </w:rPr>
              <w:t>3.</w:t>
            </w:r>
            <w:r>
              <w:rPr>
                <w:rFonts w:hint="eastAsia"/>
                <w:color w:val="auto"/>
              </w:rPr>
              <w:t>作业人员经验能力不足，违章操作；</w:t>
            </w:r>
          </w:p>
          <w:p w14:paraId="15DFB53B">
            <w:pPr>
              <w:pStyle w:val="91"/>
              <w:jc w:val="both"/>
              <w:rPr>
                <w:color w:val="auto"/>
              </w:rPr>
            </w:pPr>
            <w:r>
              <w:rPr>
                <w:color w:val="auto"/>
              </w:rPr>
              <w:t>4.</w:t>
            </w:r>
            <w:r>
              <w:rPr>
                <w:rFonts w:hint="eastAsia"/>
                <w:color w:val="auto"/>
              </w:rPr>
              <w:t>作业时，注意力不集中，操作错误；</w:t>
            </w:r>
          </w:p>
          <w:p w14:paraId="423847B7">
            <w:pPr>
              <w:pStyle w:val="91"/>
              <w:jc w:val="both"/>
              <w:rPr>
                <w:color w:val="auto"/>
              </w:rPr>
            </w:pPr>
            <w:r>
              <w:rPr>
                <w:color w:val="auto"/>
              </w:rPr>
              <w:t>5.</w:t>
            </w:r>
            <w:r>
              <w:rPr>
                <w:rFonts w:hint="eastAsia"/>
                <w:color w:val="auto"/>
              </w:rPr>
              <w:t>未穿戴或未正确穿戴安全防护用品用具；</w:t>
            </w:r>
          </w:p>
          <w:p w14:paraId="04240290">
            <w:pPr>
              <w:pStyle w:val="91"/>
              <w:jc w:val="both"/>
              <w:rPr>
                <w:color w:val="auto"/>
              </w:rPr>
            </w:pPr>
            <w:r>
              <w:rPr>
                <w:color w:val="auto"/>
              </w:rPr>
              <w:t>6.</w:t>
            </w:r>
            <w:r>
              <w:rPr>
                <w:rFonts w:hint="eastAsia"/>
                <w:color w:val="auto"/>
              </w:rPr>
              <w:t>忽视警告标志、警告信号；</w:t>
            </w:r>
          </w:p>
          <w:p w14:paraId="748301EF">
            <w:pPr>
              <w:pStyle w:val="91"/>
              <w:jc w:val="both"/>
              <w:rPr>
                <w:color w:val="auto"/>
              </w:rPr>
            </w:pPr>
            <w:r>
              <w:rPr>
                <w:color w:val="auto"/>
              </w:rPr>
              <w:t>7.</w:t>
            </w:r>
            <w:r>
              <w:rPr>
                <w:rFonts w:hint="eastAsia"/>
                <w:color w:val="auto"/>
              </w:rPr>
              <w:t>在危险区域行走、停留；</w:t>
            </w:r>
          </w:p>
          <w:p w14:paraId="60EE33CB">
            <w:pPr>
              <w:pStyle w:val="91"/>
              <w:jc w:val="both"/>
              <w:rPr>
                <w:color w:val="auto"/>
              </w:rPr>
            </w:pPr>
            <w:r>
              <w:rPr>
                <w:rFonts w:hint="eastAsia"/>
                <w:color w:val="auto"/>
              </w:rPr>
              <w:t>7.违规检修电路；；</w:t>
            </w:r>
          </w:p>
          <w:p w14:paraId="2D45EA42">
            <w:pPr>
              <w:pStyle w:val="91"/>
              <w:jc w:val="both"/>
              <w:rPr>
                <w:color w:val="auto"/>
              </w:rPr>
            </w:pPr>
            <w:r>
              <w:rPr>
                <w:rFonts w:hint="eastAsia"/>
                <w:color w:val="auto"/>
              </w:rPr>
              <w:t>9.在起吊物下作业、停留，起重作业时，超载、斜拉重物；</w:t>
            </w:r>
          </w:p>
          <w:p w14:paraId="6E38B4F3">
            <w:pPr>
              <w:pStyle w:val="91"/>
              <w:jc w:val="both"/>
              <w:rPr>
                <w:color w:val="auto"/>
              </w:rPr>
            </w:pPr>
            <w:r>
              <w:rPr>
                <w:rFonts w:hint="eastAsia"/>
                <w:color w:val="auto"/>
              </w:rPr>
              <w:t>7.作业人员违规上下抛接工具；</w:t>
            </w:r>
          </w:p>
          <w:p w14:paraId="1082B95A">
            <w:pPr>
              <w:pStyle w:val="91"/>
              <w:jc w:val="both"/>
              <w:rPr>
                <w:color w:val="auto"/>
              </w:rPr>
            </w:pPr>
            <w:r>
              <w:rPr>
                <w:rFonts w:hint="eastAsia"/>
                <w:color w:val="auto"/>
              </w:rPr>
              <w:t>9.作业人员未将工具及零配件放于工具袋或安全位置；</w:t>
            </w:r>
          </w:p>
          <w:p w14:paraId="020D7AE8">
            <w:pPr>
              <w:pStyle w:val="91"/>
              <w:jc w:val="both"/>
              <w:rPr>
                <w:color w:val="auto"/>
              </w:rPr>
            </w:pPr>
            <w:r>
              <w:rPr>
                <w:rFonts w:hint="eastAsia"/>
                <w:color w:val="auto"/>
              </w:rPr>
              <w:t>10.对机械设备、材料、作业人员和安全防护设施等的检查不及时；</w:t>
            </w:r>
          </w:p>
          <w:p w14:paraId="5A30B527">
            <w:pPr>
              <w:pStyle w:val="91"/>
              <w:jc w:val="both"/>
              <w:rPr>
                <w:color w:val="auto"/>
              </w:rPr>
            </w:pPr>
            <w:r>
              <w:rPr>
                <w:rFonts w:hint="eastAsia"/>
                <w:color w:val="auto"/>
              </w:rPr>
              <w:t>13.方案未制定或制定不合理；</w:t>
            </w:r>
          </w:p>
          <w:p w14:paraId="19A26CB8">
            <w:pPr>
              <w:pStyle w:val="91"/>
              <w:jc w:val="both"/>
              <w:rPr>
                <w:color w:val="auto"/>
              </w:rPr>
            </w:pPr>
            <w:r>
              <w:rPr>
                <w:rFonts w:hint="eastAsia"/>
                <w:color w:val="auto"/>
              </w:rPr>
              <w:t>14.指挥失误、错误；</w:t>
            </w:r>
          </w:p>
          <w:p w14:paraId="07318745">
            <w:pPr>
              <w:pStyle w:val="91"/>
              <w:jc w:val="both"/>
              <w:rPr>
                <w:color w:val="auto"/>
              </w:rPr>
            </w:pPr>
            <w:r>
              <w:rPr>
                <w:rFonts w:hint="eastAsia"/>
                <w:color w:val="auto"/>
              </w:rPr>
              <w:t>15.未设专人进行现场监管或监管不到位；</w:t>
            </w:r>
          </w:p>
          <w:p w14:paraId="121F0CEE">
            <w:pPr>
              <w:pStyle w:val="91"/>
              <w:jc w:val="both"/>
              <w:rPr>
                <w:color w:val="auto"/>
              </w:rPr>
            </w:pPr>
            <w:r>
              <w:rPr>
                <w:color w:val="auto"/>
              </w:rPr>
              <w:t>16.</w:t>
            </w:r>
            <w:r>
              <w:rPr>
                <w:rFonts w:hint="eastAsia"/>
                <w:color w:val="auto"/>
              </w:rPr>
              <w:t>安全技术交底不到位；</w:t>
            </w:r>
          </w:p>
          <w:p w14:paraId="4C3FB60A">
            <w:pPr>
              <w:pStyle w:val="91"/>
              <w:jc w:val="both"/>
              <w:rPr>
                <w:color w:val="auto"/>
              </w:rPr>
            </w:pPr>
            <w:r>
              <w:rPr>
                <w:color w:val="auto"/>
              </w:rPr>
              <w:t>17.</w:t>
            </w:r>
            <w:r>
              <w:rPr>
                <w:rFonts w:hint="eastAsia"/>
                <w:color w:val="auto"/>
              </w:rPr>
              <w:t>强令施工人员冒险作业；</w:t>
            </w:r>
          </w:p>
          <w:p w14:paraId="43378496">
            <w:pPr>
              <w:pStyle w:val="91"/>
              <w:jc w:val="both"/>
              <w:rPr>
                <w:color w:val="auto"/>
              </w:rPr>
            </w:pPr>
            <w:r>
              <w:rPr>
                <w:color w:val="auto"/>
              </w:rPr>
              <w:t>1</w:t>
            </w:r>
            <w:r>
              <w:rPr>
                <w:rFonts w:hint="eastAsia"/>
                <w:color w:val="auto"/>
              </w:rPr>
              <w:t>7.未按施工方案要求施工；</w:t>
            </w:r>
          </w:p>
          <w:p w14:paraId="43E637FF">
            <w:pPr>
              <w:pStyle w:val="91"/>
              <w:jc w:val="both"/>
              <w:rPr>
                <w:color w:val="auto"/>
              </w:rPr>
            </w:pPr>
            <w:r>
              <w:rPr>
                <w:color w:val="auto"/>
              </w:rPr>
              <w:t>1</w:t>
            </w:r>
            <w:r>
              <w:rPr>
                <w:rFonts w:hint="eastAsia"/>
                <w:color w:val="auto"/>
              </w:rPr>
              <w:t>9.未制定事故应急预案；</w:t>
            </w:r>
          </w:p>
          <w:p w14:paraId="71FF12BE">
            <w:pPr>
              <w:pStyle w:val="91"/>
              <w:jc w:val="both"/>
              <w:rPr>
                <w:color w:val="auto"/>
              </w:rPr>
            </w:pPr>
            <w:r>
              <w:rPr>
                <w:color w:val="auto"/>
              </w:rPr>
              <w:t>20.</w:t>
            </w:r>
            <w:r>
              <w:rPr>
                <w:rFonts w:hint="eastAsia"/>
                <w:color w:val="auto"/>
              </w:rPr>
              <w:t>高处作业不系安全带；</w:t>
            </w:r>
          </w:p>
          <w:p w14:paraId="617EEC72">
            <w:pPr>
              <w:pStyle w:val="91"/>
              <w:jc w:val="both"/>
              <w:rPr>
                <w:color w:val="auto"/>
              </w:rPr>
            </w:pPr>
            <w:r>
              <w:rPr>
                <w:color w:val="auto"/>
              </w:rPr>
              <w:t>21.</w:t>
            </w:r>
            <w:r>
              <w:rPr>
                <w:rFonts w:hint="eastAsia"/>
                <w:color w:val="auto"/>
              </w:rPr>
              <w:t>吊物绑扎不牢靠。</w:t>
            </w:r>
          </w:p>
        </w:tc>
      </w:tr>
    </w:tbl>
    <w:p w14:paraId="3E9B0886">
      <w:pPr>
        <w:pStyle w:val="3"/>
        <w:ind w:left="480"/>
        <w:rPr>
          <w:rFonts w:hint="eastAsia"/>
          <w:color w:val="auto"/>
        </w:rPr>
      </w:pPr>
      <w:bookmarkStart w:id="512" w:name="_Toc26393"/>
      <w:bookmarkStart w:id="513" w:name="_Toc32131"/>
      <w:bookmarkStart w:id="514" w:name="_Toc533610114"/>
      <w:bookmarkStart w:id="515" w:name="_Toc27326"/>
      <w:bookmarkStart w:id="516" w:name="_Toc17234"/>
      <w:bookmarkStart w:id="517" w:name="_Toc24154"/>
      <w:bookmarkStart w:id="518" w:name="_Toc11536_WPSOffice_Level2"/>
      <w:bookmarkStart w:id="519" w:name="_Toc182895425"/>
      <w:bookmarkStart w:id="520" w:name="_Toc529200608"/>
      <w:bookmarkStart w:id="521" w:name="_Toc5393"/>
      <w:bookmarkStart w:id="522" w:name="_Toc17122"/>
      <w:bookmarkStart w:id="523" w:name="_Toc16784"/>
      <w:bookmarkStart w:id="524" w:name="_Toc30190_WPSOffice_Level2"/>
      <w:r>
        <w:rPr>
          <w:rFonts w:hint="eastAsia"/>
          <w:color w:val="auto"/>
        </w:rPr>
        <w:t>9.3 风险因素评估</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5CA2C7FB">
      <w:pPr>
        <w:ind w:firstLine="480"/>
        <w:rPr>
          <w:rFonts w:hint="eastAsia"/>
          <w:color w:val="auto"/>
        </w:rPr>
      </w:pPr>
      <w:r>
        <w:rPr>
          <w:color w:val="auto"/>
        </w:rPr>
        <w:t>LEC</w:t>
      </w:r>
      <w:r>
        <w:rPr>
          <w:rFonts w:hint="eastAsia"/>
          <w:color w:val="auto"/>
        </w:rPr>
        <w:t>评价法</w:t>
      </w:r>
      <w:r>
        <w:rPr>
          <w:color w:val="auto"/>
        </w:rPr>
        <w:t>(</w:t>
      </w:r>
      <w:r>
        <w:rPr>
          <w:rFonts w:hint="eastAsia"/>
          <w:color w:val="auto"/>
        </w:rPr>
        <w:t>格雷厄姆</w:t>
      </w:r>
      <w:r>
        <w:rPr>
          <w:color w:val="auto"/>
        </w:rPr>
        <w:t>(BenjaminGraham,1894-1976)</w:t>
      </w:r>
      <w:r>
        <w:rPr>
          <w:rFonts w:hint="eastAsia"/>
          <w:color w:val="auto"/>
        </w:rPr>
        <w:t>评价法</w:t>
      </w:r>
      <w:r>
        <w:rPr>
          <w:color w:val="auto"/>
        </w:rPr>
        <w:t>)</w:t>
      </w:r>
      <w:r>
        <w:rPr>
          <w:rFonts w:hint="eastAsia"/>
          <w:color w:val="auto"/>
        </w:rPr>
        <w:t>是对具有潜在危险性作业环境中的风险源进行半定量的安全评价方法，用于评价操作人员在具有潜在危险性环境中作业时的危险性、危害性。</w:t>
      </w:r>
    </w:p>
    <w:p w14:paraId="6BDED713">
      <w:pPr>
        <w:ind w:firstLine="480"/>
        <w:rPr>
          <w:rFonts w:hint="eastAsia"/>
          <w:color w:val="auto"/>
        </w:rPr>
      </w:pPr>
      <w:r>
        <w:rPr>
          <w:rFonts w:hint="eastAsia"/>
          <w:color w:val="auto"/>
        </w:rPr>
        <w:t>该方法用于风险有关的三种因素指标值的乘积来评价操作人员伤亡风险大小，这三种因素分别是：</w:t>
      </w:r>
      <w:r>
        <w:rPr>
          <w:color w:val="auto"/>
        </w:rPr>
        <w:t>L</w:t>
      </w:r>
      <w:r>
        <w:rPr>
          <w:rFonts w:hint="eastAsia"/>
          <w:color w:val="auto"/>
        </w:rPr>
        <w:t>（事故发生的可能性）、</w:t>
      </w:r>
      <w:r>
        <w:rPr>
          <w:color w:val="auto"/>
        </w:rPr>
        <w:t>E</w:t>
      </w:r>
      <w:r>
        <w:rPr>
          <w:rFonts w:hint="eastAsia"/>
          <w:color w:val="auto"/>
        </w:rPr>
        <w:t xml:space="preserve">（人员暴露于危险环境中的频繁程度）和 </w:t>
      </w:r>
      <w:r>
        <w:rPr>
          <w:color w:val="auto"/>
        </w:rPr>
        <w:t>C</w:t>
      </w:r>
      <w:r>
        <w:rPr>
          <w:rFonts w:hint="eastAsia"/>
          <w:color w:val="auto"/>
        </w:rPr>
        <w:t xml:space="preserve">（一旦发生事故可能造成的后果）。给三种因素的不同等级分别确定不同的分值，再以三个分值的乘积 </w:t>
      </w:r>
      <w:r>
        <w:rPr>
          <w:color w:val="auto"/>
        </w:rPr>
        <w:t>D</w:t>
      </w:r>
      <w:r>
        <w:rPr>
          <w:rFonts w:hint="eastAsia"/>
          <w:color w:val="auto"/>
        </w:rPr>
        <w:t xml:space="preserve"> 来评价作业条件危险性的大小，即：</w:t>
      </w:r>
      <w:r>
        <w:rPr>
          <w:color w:val="auto"/>
        </w:rPr>
        <w:t>D=L×E×C</w:t>
      </w:r>
      <w:r>
        <w:rPr>
          <w:rFonts w:hint="eastAsia"/>
          <w:color w:val="auto"/>
        </w:rPr>
        <w:t>。</w:t>
      </w:r>
    </w:p>
    <w:p w14:paraId="5EEDED82">
      <w:pPr>
        <w:ind w:firstLine="480"/>
        <w:jc w:val="center"/>
        <w:rPr>
          <w:rFonts w:hint="eastAsia"/>
          <w:color w:val="auto"/>
        </w:rPr>
      </w:pPr>
      <w:r>
        <w:rPr>
          <w:rFonts w:hint="eastAsia"/>
          <w:color w:val="auto"/>
        </w:rPr>
        <w:t xml:space="preserve">表9.3-1 </w:t>
      </w:r>
      <w:r>
        <w:rPr>
          <w:color w:val="auto"/>
        </w:rPr>
        <w:t xml:space="preserve"> </w:t>
      </w:r>
      <w:r>
        <w:rPr>
          <w:rFonts w:hint="eastAsia"/>
          <w:color w:val="auto"/>
        </w:rPr>
        <w:t>事故发生的可能性（L）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9D3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8BD8CEF">
            <w:pPr>
              <w:pStyle w:val="84"/>
              <w:rPr>
                <w:color w:val="auto"/>
              </w:rPr>
            </w:pPr>
            <w:r>
              <w:rPr>
                <w:rFonts w:hint="eastAsia"/>
                <w:color w:val="auto"/>
              </w:rPr>
              <w:t>分数值</w:t>
            </w:r>
          </w:p>
        </w:tc>
        <w:tc>
          <w:tcPr>
            <w:tcW w:w="2536" w:type="pct"/>
            <w:vAlign w:val="center"/>
          </w:tcPr>
          <w:p w14:paraId="4AD49E91">
            <w:pPr>
              <w:pStyle w:val="84"/>
              <w:rPr>
                <w:color w:val="auto"/>
              </w:rPr>
            </w:pPr>
            <w:r>
              <w:rPr>
                <w:rFonts w:hint="eastAsia"/>
                <w:color w:val="auto"/>
              </w:rPr>
              <w:t>事故发生的可能性</w:t>
            </w:r>
          </w:p>
        </w:tc>
      </w:tr>
      <w:tr w14:paraId="16B1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2B1BD79">
            <w:pPr>
              <w:pStyle w:val="84"/>
              <w:rPr>
                <w:color w:val="auto"/>
              </w:rPr>
            </w:pPr>
            <w:r>
              <w:rPr>
                <w:rFonts w:hint="eastAsia"/>
                <w:color w:val="auto"/>
              </w:rPr>
              <w:t>10</w:t>
            </w:r>
          </w:p>
        </w:tc>
        <w:tc>
          <w:tcPr>
            <w:tcW w:w="2536" w:type="pct"/>
            <w:vAlign w:val="center"/>
          </w:tcPr>
          <w:p w14:paraId="67BE9D9A">
            <w:pPr>
              <w:pStyle w:val="84"/>
              <w:rPr>
                <w:color w:val="auto"/>
              </w:rPr>
            </w:pPr>
            <w:r>
              <w:rPr>
                <w:rFonts w:hint="eastAsia"/>
                <w:color w:val="auto"/>
              </w:rPr>
              <w:t>完全可以预料</w:t>
            </w:r>
          </w:p>
        </w:tc>
      </w:tr>
      <w:tr w14:paraId="2A7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FFAD78B">
            <w:pPr>
              <w:pStyle w:val="84"/>
              <w:rPr>
                <w:color w:val="auto"/>
              </w:rPr>
            </w:pPr>
            <w:r>
              <w:rPr>
                <w:rFonts w:hint="eastAsia"/>
                <w:color w:val="auto"/>
              </w:rPr>
              <w:t>6</w:t>
            </w:r>
          </w:p>
        </w:tc>
        <w:tc>
          <w:tcPr>
            <w:tcW w:w="2536" w:type="pct"/>
            <w:vAlign w:val="center"/>
          </w:tcPr>
          <w:p w14:paraId="752BC01E">
            <w:pPr>
              <w:pStyle w:val="84"/>
              <w:rPr>
                <w:color w:val="auto"/>
              </w:rPr>
            </w:pPr>
            <w:r>
              <w:rPr>
                <w:rFonts w:hint="eastAsia"/>
                <w:color w:val="auto"/>
              </w:rPr>
              <w:t>相当可能</w:t>
            </w:r>
          </w:p>
        </w:tc>
      </w:tr>
      <w:tr w14:paraId="0BD4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2F3EEC">
            <w:pPr>
              <w:pStyle w:val="84"/>
              <w:rPr>
                <w:color w:val="auto"/>
              </w:rPr>
            </w:pPr>
            <w:r>
              <w:rPr>
                <w:rFonts w:hint="eastAsia"/>
                <w:color w:val="auto"/>
              </w:rPr>
              <w:t>3</w:t>
            </w:r>
          </w:p>
        </w:tc>
        <w:tc>
          <w:tcPr>
            <w:tcW w:w="2536" w:type="pct"/>
            <w:vAlign w:val="center"/>
          </w:tcPr>
          <w:p w14:paraId="398DB136">
            <w:pPr>
              <w:pStyle w:val="84"/>
              <w:rPr>
                <w:color w:val="auto"/>
              </w:rPr>
            </w:pPr>
            <w:r>
              <w:rPr>
                <w:rFonts w:hint="eastAsia"/>
                <w:color w:val="auto"/>
              </w:rPr>
              <w:t>可能，但不经常</w:t>
            </w:r>
          </w:p>
        </w:tc>
      </w:tr>
      <w:tr w14:paraId="2287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464" w:type="pct"/>
            <w:vAlign w:val="center"/>
          </w:tcPr>
          <w:p w14:paraId="675EAC55">
            <w:pPr>
              <w:pStyle w:val="84"/>
              <w:rPr>
                <w:color w:val="auto"/>
              </w:rPr>
            </w:pPr>
            <w:r>
              <w:rPr>
                <w:rFonts w:hint="eastAsia"/>
                <w:color w:val="auto"/>
              </w:rPr>
              <w:t>1</w:t>
            </w:r>
          </w:p>
        </w:tc>
        <w:tc>
          <w:tcPr>
            <w:tcW w:w="2536" w:type="pct"/>
            <w:vAlign w:val="center"/>
          </w:tcPr>
          <w:p w14:paraId="36061604">
            <w:pPr>
              <w:pStyle w:val="84"/>
              <w:rPr>
                <w:color w:val="auto"/>
              </w:rPr>
            </w:pPr>
            <w:r>
              <w:rPr>
                <w:rFonts w:hint="eastAsia"/>
                <w:color w:val="auto"/>
              </w:rPr>
              <w:t>可能信小，完全意外</w:t>
            </w:r>
          </w:p>
        </w:tc>
      </w:tr>
      <w:tr w14:paraId="437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FCD4A88">
            <w:pPr>
              <w:pStyle w:val="84"/>
              <w:rPr>
                <w:color w:val="auto"/>
              </w:rPr>
            </w:pPr>
            <w:r>
              <w:rPr>
                <w:rFonts w:hint="eastAsia"/>
                <w:color w:val="auto"/>
              </w:rPr>
              <w:t>0.5</w:t>
            </w:r>
          </w:p>
        </w:tc>
        <w:tc>
          <w:tcPr>
            <w:tcW w:w="2536" w:type="pct"/>
            <w:vAlign w:val="center"/>
          </w:tcPr>
          <w:p w14:paraId="41B1221E">
            <w:pPr>
              <w:pStyle w:val="84"/>
              <w:rPr>
                <w:color w:val="auto"/>
              </w:rPr>
            </w:pPr>
            <w:r>
              <w:rPr>
                <w:rFonts w:hint="eastAsia"/>
                <w:color w:val="auto"/>
              </w:rPr>
              <w:t>很不可能，可以设想</w:t>
            </w:r>
          </w:p>
        </w:tc>
      </w:tr>
      <w:tr w14:paraId="62E8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464" w:type="pct"/>
            <w:vAlign w:val="center"/>
          </w:tcPr>
          <w:p w14:paraId="395DE93C">
            <w:pPr>
              <w:pStyle w:val="84"/>
              <w:rPr>
                <w:color w:val="auto"/>
              </w:rPr>
            </w:pPr>
            <w:r>
              <w:rPr>
                <w:rFonts w:hint="eastAsia"/>
                <w:color w:val="auto"/>
              </w:rPr>
              <w:t>0.2</w:t>
            </w:r>
          </w:p>
        </w:tc>
        <w:tc>
          <w:tcPr>
            <w:tcW w:w="2536" w:type="pct"/>
            <w:vAlign w:val="center"/>
          </w:tcPr>
          <w:p w14:paraId="62C96302">
            <w:pPr>
              <w:pStyle w:val="84"/>
              <w:rPr>
                <w:color w:val="auto"/>
              </w:rPr>
            </w:pPr>
            <w:r>
              <w:rPr>
                <w:rFonts w:hint="eastAsia"/>
                <w:color w:val="auto"/>
              </w:rPr>
              <w:t>极不可能</w:t>
            </w:r>
          </w:p>
        </w:tc>
      </w:tr>
      <w:tr w14:paraId="2AF8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01974940">
            <w:pPr>
              <w:pStyle w:val="84"/>
              <w:rPr>
                <w:color w:val="auto"/>
              </w:rPr>
            </w:pPr>
            <w:r>
              <w:rPr>
                <w:rFonts w:hint="eastAsia"/>
                <w:color w:val="auto"/>
              </w:rPr>
              <w:t>0.1</w:t>
            </w:r>
          </w:p>
        </w:tc>
        <w:tc>
          <w:tcPr>
            <w:tcW w:w="2536" w:type="pct"/>
            <w:vAlign w:val="center"/>
          </w:tcPr>
          <w:p w14:paraId="23E1DD71">
            <w:pPr>
              <w:pStyle w:val="84"/>
              <w:rPr>
                <w:color w:val="auto"/>
              </w:rPr>
            </w:pPr>
            <w:r>
              <w:rPr>
                <w:rFonts w:hint="eastAsia"/>
                <w:color w:val="auto"/>
              </w:rPr>
              <w:t>实际不可能</w:t>
            </w:r>
          </w:p>
        </w:tc>
      </w:tr>
    </w:tbl>
    <w:p w14:paraId="2A98B568">
      <w:pPr>
        <w:ind w:firstLine="480"/>
        <w:jc w:val="center"/>
        <w:rPr>
          <w:rFonts w:hint="eastAsia"/>
          <w:color w:val="auto"/>
        </w:rPr>
      </w:pPr>
      <w:r>
        <w:rPr>
          <w:rFonts w:hint="eastAsia"/>
          <w:color w:val="auto"/>
        </w:rPr>
        <w:t xml:space="preserve">表9.3-2 </w:t>
      </w:r>
      <w:r>
        <w:rPr>
          <w:color w:val="auto"/>
        </w:rPr>
        <w:t xml:space="preserve"> </w:t>
      </w:r>
      <w:r>
        <w:rPr>
          <w:rFonts w:hint="eastAsia"/>
          <w:color w:val="auto"/>
        </w:rPr>
        <w:t>暴露于危险环境的频繁程度（E）</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4FBD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F742B7D">
            <w:pPr>
              <w:pStyle w:val="84"/>
              <w:rPr>
                <w:color w:val="auto"/>
              </w:rPr>
            </w:pPr>
            <w:r>
              <w:rPr>
                <w:rFonts w:hint="eastAsia"/>
                <w:color w:val="auto"/>
              </w:rPr>
              <w:t>分数值</w:t>
            </w:r>
          </w:p>
        </w:tc>
        <w:tc>
          <w:tcPr>
            <w:tcW w:w="2536" w:type="pct"/>
            <w:vAlign w:val="center"/>
          </w:tcPr>
          <w:p w14:paraId="66B52E4A">
            <w:pPr>
              <w:pStyle w:val="84"/>
              <w:rPr>
                <w:color w:val="auto"/>
              </w:rPr>
            </w:pPr>
            <w:r>
              <w:rPr>
                <w:rFonts w:hint="eastAsia"/>
                <w:color w:val="auto"/>
              </w:rPr>
              <w:t>暴露于危险环境的频繁程度</w:t>
            </w:r>
          </w:p>
        </w:tc>
      </w:tr>
      <w:tr w14:paraId="39B0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E8E80E2">
            <w:pPr>
              <w:pStyle w:val="84"/>
              <w:rPr>
                <w:color w:val="auto"/>
              </w:rPr>
            </w:pPr>
            <w:r>
              <w:rPr>
                <w:rFonts w:hint="eastAsia"/>
                <w:color w:val="auto"/>
              </w:rPr>
              <w:t>10</w:t>
            </w:r>
          </w:p>
        </w:tc>
        <w:tc>
          <w:tcPr>
            <w:tcW w:w="2536" w:type="pct"/>
            <w:vAlign w:val="center"/>
          </w:tcPr>
          <w:p w14:paraId="7BF323C8">
            <w:pPr>
              <w:pStyle w:val="84"/>
              <w:rPr>
                <w:color w:val="auto"/>
              </w:rPr>
            </w:pPr>
            <w:r>
              <w:rPr>
                <w:rFonts w:hint="eastAsia"/>
                <w:color w:val="auto"/>
              </w:rPr>
              <w:t>连续暴露</w:t>
            </w:r>
          </w:p>
        </w:tc>
      </w:tr>
      <w:tr w14:paraId="334B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49EA2195">
            <w:pPr>
              <w:pStyle w:val="84"/>
              <w:rPr>
                <w:color w:val="auto"/>
              </w:rPr>
            </w:pPr>
            <w:r>
              <w:rPr>
                <w:rFonts w:hint="eastAsia"/>
                <w:color w:val="auto"/>
              </w:rPr>
              <w:t>6</w:t>
            </w:r>
          </w:p>
        </w:tc>
        <w:tc>
          <w:tcPr>
            <w:tcW w:w="2536" w:type="pct"/>
            <w:vAlign w:val="center"/>
          </w:tcPr>
          <w:p w14:paraId="361734A2">
            <w:pPr>
              <w:pStyle w:val="84"/>
              <w:rPr>
                <w:color w:val="auto"/>
              </w:rPr>
            </w:pPr>
            <w:r>
              <w:rPr>
                <w:rFonts w:hint="eastAsia"/>
                <w:color w:val="auto"/>
              </w:rPr>
              <w:t>每天工作时间内暴露</w:t>
            </w:r>
          </w:p>
        </w:tc>
      </w:tr>
      <w:tr w14:paraId="0D94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6141BD7D">
            <w:pPr>
              <w:pStyle w:val="84"/>
              <w:rPr>
                <w:color w:val="auto"/>
              </w:rPr>
            </w:pPr>
            <w:r>
              <w:rPr>
                <w:rFonts w:hint="eastAsia"/>
                <w:color w:val="auto"/>
              </w:rPr>
              <w:t>3</w:t>
            </w:r>
          </w:p>
        </w:tc>
        <w:tc>
          <w:tcPr>
            <w:tcW w:w="2536" w:type="pct"/>
            <w:vAlign w:val="center"/>
          </w:tcPr>
          <w:p w14:paraId="320F3C9A">
            <w:pPr>
              <w:pStyle w:val="84"/>
              <w:rPr>
                <w:color w:val="auto"/>
              </w:rPr>
            </w:pPr>
            <w:r>
              <w:rPr>
                <w:rFonts w:hint="eastAsia"/>
                <w:color w:val="auto"/>
              </w:rPr>
              <w:t>每周一次或偶然暴露</w:t>
            </w:r>
          </w:p>
        </w:tc>
      </w:tr>
      <w:tr w14:paraId="76FF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C749388">
            <w:pPr>
              <w:pStyle w:val="84"/>
              <w:rPr>
                <w:color w:val="auto"/>
              </w:rPr>
            </w:pPr>
            <w:r>
              <w:rPr>
                <w:rFonts w:hint="eastAsia"/>
                <w:color w:val="auto"/>
              </w:rPr>
              <w:t>2</w:t>
            </w:r>
          </w:p>
        </w:tc>
        <w:tc>
          <w:tcPr>
            <w:tcW w:w="2536" w:type="pct"/>
            <w:vAlign w:val="center"/>
          </w:tcPr>
          <w:p w14:paraId="3F4C8E64">
            <w:pPr>
              <w:pStyle w:val="84"/>
              <w:rPr>
                <w:color w:val="auto"/>
              </w:rPr>
            </w:pPr>
            <w:r>
              <w:rPr>
                <w:rFonts w:hint="eastAsia"/>
                <w:color w:val="auto"/>
              </w:rPr>
              <w:t>每月一次暴露</w:t>
            </w:r>
          </w:p>
        </w:tc>
      </w:tr>
      <w:tr w14:paraId="160D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3DE5D650">
            <w:pPr>
              <w:pStyle w:val="84"/>
              <w:rPr>
                <w:color w:val="auto"/>
              </w:rPr>
            </w:pPr>
            <w:r>
              <w:rPr>
                <w:rFonts w:hint="eastAsia"/>
                <w:color w:val="auto"/>
              </w:rPr>
              <w:t>1</w:t>
            </w:r>
          </w:p>
        </w:tc>
        <w:tc>
          <w:tcPr>
            <w:tcW w:w="2536" w:type="pct"/>
            <w:vAlign w:val="center"/>
          </w:tcPr>
          <w:p w14:paraId="355B9919">
            <w:pPr>
              <w:pStyle w:val="84"/>
              <w:rPr>
                <w:color w:val="auto"/>
              </w:rPr>
            </w:pPr>
            <w:r>
              <w:rPr>
                <w:rFonts w:hint="eastAsia"/>
                <w:color w:val="auto"/>
              </w:rPr>
              <w:t>每年几次暴露</w:t>
            </w:r>
          </w:p>
        </w:tc>
      </w:tr>
      <w:tr w14:paraId="3490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64" w:type="pct"/>
            <w:vAlign w:val="center"/>
          </w:tcPr>
          <w:p w14:paraId="126B2B20">
            <w:pPr>
              <w:pStyle w:val="84"/>
              <w:rPr>
                <w:color w:val="auto"/>
              </w:rPr>
            </w:pPr>
            <w:r>
              <w:rPr>
                <w:rFonts w:hint="eastAsia"/>
                <w:color w:val="auto"/>
              </w:rPr>
              <w:t>0.5</w:t>
            </w:r>
          </w:p>
        </w:tc>
        <w:tc>
          <w:tcPr>
            <w:tcW w:w="2536" w:type="pct"/>
            <w:vAlign w:val="center"/>
          </w:tcPr>
          <w:p w14:paraId="34622778">
            <w:pPr>
              <w:pStyle w:val="84"/>
              <w:rPr>
                <w:color w:val="auto"/>
              </w:rPr>
            </w:pPr>
            <w:r>
              <w:rPr>
                <w:rFonts w:hint="eastAsia"/>
                <w:color w:val="auto"/>
              </w:rPr>
              <w:t>非常罕见暴露</w:t>
            </w:r>
          </w:p>
        </w:tc>
      </w:tr>
    </w:tbl>
    <w:p w14:paraId="36DF159F">
      <w:pPr>
        <w:ind w:firstLine="480"/>
        <w:jc w:val="center"/>
        <w:rPr>
          <w:rFonts w:hint="eastAsia"/>
          <w:color w:val="auto"/>
        </w:rPr>
      </w:pPr>
      <w:r>
        <w:rPr>
          <w:rFonts w:hint="eastAsia"/>
          <w:color w:val="auto"/>
        </w:rPr>
        <w:t xml:space="preserve">表9.3-3 </w:t>
      </w:r>
      <w:r>
        <w:rPr>
          <w:color w:val="auto"/>
        </w:rPr>
        <w:t xml:space="preserve"> </w:t>
      </w:r>
      <w:r>
        <w:rPr>
          <w:rFonts w:hint="eastAsia"/>
          <w:color w:val="auto"/>
        </w:rPr>
        <w:t>发生事故产生的后果（C）</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4492"/>
      </w:tblGrid>
      <w:tr w14:paraId="53E7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464" w:type="pct"/>
            <w:vAlign w:val="center"/>
          </w:tcPr>
          <w:p w14:paraId="274D4B75">
            <w:pPr>
              <w:pStyle w:val="84"/>
              <w:rPr>
                <w:color w:val="auto"/>
              </w:rPr>
            </w:pPr>
            <w:r>
              <w:rPr>
                <w:rFonts w:hint="eastAsia"/>
                <w:color w:val="auto"/>
              </w:rPr>
              <w:t>分数值</w:t>
            </w:r>
          </w:p>
        </w:tc>
        <w:tc>
          <w:tcPr>
            <w:tcW w:w="2536" w:type="pct"/>
            <w:vAlign w:val="center"/>
          </w:tcPr>
          <w:p w14:paraId="5B54810C">
            <w:pPr>
              <w:pStyle w:val="84"/>
              <w:rPr>
                <w:color w:val="auto"/>
              </w:rPr>
            </w:pPr>
            <w:r>
              <w:rPr>
                <w:rFonts w:hint="eastAsia"/>
                <w:color w:val="auto"/>
              </w:rPr>
              <w:t>发生事故产生的后果</w:t>
            </w:r>
          </w:p>
        </w:tc>
      </w:tr>
      <w:tr w14:paraId="2B8B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7680EC17">
            <w:pPr>
              <w:pStyle w:val="84"/>
              <w:rPr>
                <w:color w:val="auto"/>
              </w:rPr>
            </w:pPr>
            <w:r>
              <w:rPr>
                <w:rFonts w:hint="eastAsia"/>
                <w:color w:val="auto"/>
              </w:rPr>
              <w:t>100</w:t>
            </w:r>
          </w:p>
        </w:tc>
        <w:tc>
          <w:tcPr>
            <w:tcW w:w="2536" w:type="pct"/>
            <w:vAlign w:val="center"/>
          </w:tcPr>
          <w:p w14:paraId="4AEE1AED">
            <w:pPr>
              <w:pStyle w:val="84"/>
              <w:rPr>
                <w:color w:val="auto"/>
              </w:rPr>
            </w:pPr>
            <w:r>
              <w:rPr>
                <w:rFonts w:hint="eastAsia"/>
                <w:color w:val="auto"/>
              </w:rPr>
              <w:t>10人以上死亡</w:t>
            </w:r>
          </w:p>
        </w:tc>
      </w:tr>
      <w:tr w14:paraId="5D93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EDA2EAB">
            <w:pPr>
              <w:pStyle w:val="84"/>
              <w:rPr>
                <w:color w:val="auto"/>
              </w:rPr>
            </w:pPr>
            <w:r>
              <w:rPr>
                <w:rFonts w:hint="eastAsia"/>
                <w:color w:val="auto"/>
              </w:rPr>
              <w:t>40</w:t>
            </w:r>
          </w:p>
        </w:tc>
        <w:tc>
          <w:tcPr>
            <w:tcW w:w="2536" w:type="pct"/>
            <w:vAlign w:val="center"/>
          </w:tcPr>
          <w:p w14:paraId="033D312A">
            <w:pPr>
              <w:pStyle w:val="84"/>
              <w:rPr>
                <w:color w:val="auto"/>
              </w:rPr>
            </w:pPr>
            <w:r>
              <w:rPr>
                <w:rFonts w:hint="eastAsia"/>
                <w:color w:val="auto"/>
              </w:rPr>
              <w:t>2~9人死亡</w:t>
            </w:r>
          </w:p>
        </w:tc>
      </w:tr>
      <w:tr w14:paraId="5AD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8387147">
            <w:pPr>
              <w:pStyle w:val="84"/>
              <w:rPr>
                <w:color w:val="auto"/>
              </w:rPr>
            </w:pPr>
            <w:r>
              <w:rPr>
                <w:rFonts w:hint="eastAsia"/>
                <w:color w:val="auto"/>
              </w:rPr>
              <w:t>15</w:t>
            </w:r>
          </w:p>
        </w:tc>
        <w:tc>
          <w:tcPr>
            <w:tcW w:w="2536" w:type="pct"/>
            <w:vAlign w:val="center"/>
          </w:tcPr>
          <w:p w14:paraId="785E75A6">
            <w:pPr>
              <w:pStyle w:val="84"/>
              <w:rPr>
                <w:color w:val="auto"/>
              </w:rPr>
            </w:pPr>
            <w:r>
              <w:rPr>
                <w:rFonts w:hint="eastAsia"/>
                <w:color w:val="auto"/>
              </w:rPr>
              <w:t>非常严重，1人死亡</w:t>
            </w:r>
          </w:p>
        </w:tc>
      </w:tr>
      <w:tr w14:paraId="612B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20432ED6">
            <w:pPr>
              <w:pStyle w:val="84"/>
              <w:rPr>
                <w:color w:val="auto"/>
              </w:rPr>
            </w:pPr>
            <w:r>
              <w:rPr>
                <w:rFonts w:hint="eastAsia"/>
                <w:color w:val="auto"/>
              </w:rPr>
              <w:t>7</w:t>
            </w:r>
          </w:p>
        </w:tc>
        <w:tc>
          <w:tcPr>
            <w:tcW w:w="2536" w:type="pct"/>
            <w:vAlign w:val="center"/>
          </w:tcPr>
          <w:p w14:paraId="4C6887BB">
            <w:pPr>
              <w:pStyle w:val="84"/>
              <w:rPr>
                <w:color w:val="auto"/>
              </w:rPr>
            </w:pPr>
            <w:r>
              <w:rPr>
                <w:rFonts w:hint="eastAsia"/>
                <w:color w:val="auto"/>
              </w:rPr>
              <w:t>重大，伤残</w:t>
            </w:r>
          </w:p>
        </w:tc>
      </w:tr>
      <w:tr w14:paraId="2120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6D8CB795">
            <w:pPr>
              <w:pStyle w:val="84"/>
              <w:rPr>
                <w:color w:val="auto"/>
              </w:rPr>
            </w:pPr>
            <w:r>
              <w:rPr>
                <w:rFonts w:hint="eastAsia"/>
                <w:color w:val="auto"/>
              </w:rPr>
              <w:t>3</w:t>
            </w:r>
          </w:p>
        </w:tc>
        <w:tc>
          <w:tcPr>
            <w:tcW w:w="2536" w:type="pct"/>
            <w:vAlign w:val="center"/>
          </w:tcPr>
          <w:p w14:paraId="4A6BB58E">
            <w:pPr>
              <w:pStyle w:val="84"/>
              <w:rPr>
                <w:color w:val="auto"/>
              </w:rPr>
            </w:pPr>
            <w:r>
              <w:rPr>
                <w:rFonts w:hint="eastAsia"/>
                <w:color w:val="auto"/>
              </w:rPr>
              <w:t>严重，重伤</w:t>
            </w:r>
          </w:p>
        </w:tc>
      </w:tr>
      <w:tr w14:paraId="6B0E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4" w:type="pct"/>
            <w:vAlign w:val="center"/>
          </w:tcPr>
          <w:p w14:paraId="075BAD19">
            <w:pPr>
              <w:pStyle w:val="84"/>
              <w:rPr>
                <w:color w:val="auto"/>
              </w:rPr>
            </w:pPr>
            <w:r>
              <w:rPr>
                <w:rFonts w:hint="eastAsia"/>
                <w:color w:val="auto"/>
              </w:rPr>
              <w:t>1</w:t>
            </w:r>
          </w:p>
        </w:tc>
        <w:tc>
          <w:tcPr>
            <w:tcW w:w="2536" w:type="pct"/>
            <w:vAlign w:val="center"/>
          </w:tcPr>
          <w:p w14:paraId="630C5466">
            <w:pPr>
              <w:pStyle w:val="84"/>
              <w:rPr>
                <w:color w:val="auto"/>
              </w:rPr>
            </w:pPr>
            <w:r>
              <w:rPr>
                <w:rFonts w:hint="eastAsia"/>
                <w:color w:val="auto"/>
              </w:rPr>
              <w:t>轻伤（引人注意，需要救护）</w:t>
            </w:r>
          </w:p>
        </w:tc>
      </w:tr>
    </w:tbl>
    <w:p w14:paraId="2D6A4240">
      <w:pPr>
        <w:ind w:firstLine="480"/>
        <w:jc w:val="center"/>
        <w:rPr>
          <w:rFonts w:hint="eastAsia"/>
          <w:color w:val="auto"/>
        </w:rPr>
      </w:pPr>
      <w:r>
        <w:rPr>
          <w:rFonts w:hint="eastAsia"/>
          <w:color w:val="auto"/>
        </w:rPr>
        <w:t>表9.3-4</w:t>
      </w:r>
      <w:r>
        <w:rPr>
          <w:color w:val="auto"/>
        </w:rPr>
        <w:t xml:space="preserve">  </w:t>
      </w:r>
      <w:r>
        <w:rPr>
          <w:rFonts w:hint="eastAsia"/>
          <w:color w:val="auto"/>
        </w:rPr>
        <w:t>风险等级划分（D）</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4"/>
        <w:gridCol w:w="2278"/>
        <w:gridCol w:w="2214"/>
      </w:tblGrid>
      <w:tr w14:paraId="4992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607C6565">
            <w:pPr>
              <w:pStyle w:val="84"/>
              <w:rPr>
                <w:color w:val="auto"/>
              </w:rPr>
            </w:pPr>
            <w:r>
              <w:rPr>
                <w:rFonts w:hint="eastAsia"/>
                <w:color w:val="auto"/>
              </w:rPr>
              <w:t>D值</w:t>
            </w:r>
          </w:p>
        </w:tc>
        <w:tc>
          <w:tcPr>
            <w:tcW w:w="1286" w:type="pct"/>
            <w:vAlign w:val="center"/>
          </w:tcPr>
          <w:p w14:paraId="1F4AACDC">
            <w:pPr>
              <w:pStyle w:val="84"/>
              <w:rPr>
                <w:color w:val="auto"/>
              </w:rPr>
            </w:pPr>
            <w:r>
              <w:rPr>
                <w:rFonts w:hint="eastAsia"/>
                <w:color w:val="auto"/>
              </w:rPr>
              <w:t>风险程度</w:t>
            </w:r>
          </w:p>
        </w:tc>
        <w:tc>
          <w:tcPr>
            <w:tcW w:w="1250" w:type="pct"/>
            <w:vAlign w:val="center"/>
          </w:tcPr>
          <w:p w14:paraId="0ED62D3F">
            <w:pPr>
              <w:pStyle w:val="84"/>
              <w:rPr>
                <w:color w:val="auto"/>
              </w:rPr>
            </w:pPr>
            <w:r>
              <w:rPr>
                <w:rFonts w:hint="eastAsia"/>
                <w:color w:val="auto"/>
              </w:rPr>
              <w:t>风险等级</w:t>
            </w:r>
          </w:p>
        </w:tc>
      </w:tr>
      <w:tr w14:paraId="1B09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139E0D6F">
            <w:pPr>
              <w:pStyle w:val="84"/>
              <w:rPr>
                <w:color w:val="auto"/>
              </w:rPr>
            </w:pPr>
            <w:r>
              <w:rPr>
                <w:rFonts w:hint="eastAsia"/>
                <w:color w:val="auto"/>
              </w:rPr>
              <w:t>＞320</w:t>
            </w:r>
          </w:p>
        </w:tc>
        <w:tc>
          <w:tcPr>
            <w:tcW w:w="1286" w:type="pct"/>
            <w:vAlign w:val="center"/>
          </w:tcPr>
          <w:p w14:paraId="31762069">
            <w:pPr>
              <w:pStyle w:val="84"/>
              <w:rPr>
                <w:color w:val="auto"/>
              </w:rPr>
            </w:pPr>
            <w:r>
              <w:rPr>
                <w:rFonts w:hint="eastAsia"/>
                <w:color w:val="auto"/>
              </w:rPr>
              <w:t>极其危险</w:t>
            </w:r>
          </w:p>
        </w:tc>
        <w:tc>
          <w:tcPr>
            <w:tcW w:w="1250" w:type="pct"/>
            <w:vAlign w:val="center"/>
          </w:tcPr>
          <w:p w14:paraId="1BC621C1">
            <w:pPr>
              <w:pStyle w:val="84"/>
              <w:rPr>
                <w:color w:val="auto"/>
              </w:rPr>
            </w:pPr>
            <w:r>
              <w:rPr>
                <w:rFonts w:hint="eastAsia"/>
                <w:color w:val="auto"/>
              </w:rPr>
              <w:t>5</w:t>
            </w:r>
          </w:p>
        </w:tc>
      </w:tr>
      <w:tr w14:paraId="74EE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5F104D41">
            <w:pPr>
              <w:pStyle w:val="84"/>
              <w:rPr>
                <w:color w:val="auto"/>
              </w:rPr>
            </w:pPr>
            <w:r>
              <w:rPr>
                <w:rFonts w:hint="eastAsia"/>
                <w:color w:val="auto"/>
              </w:rPr>
              <w:t>160-320</w:t>
            </w:r>
          </w:p>
        </w:tc>
        <w:tc>
          <w:tcPr>
            <w:tcW w:w="1286" w:type="pct"/>
            <w:vAlign w:val="center"/>
          </w:tcPr>
          <w:p w14:paraId="0F7092C7">
            <w:pPr>
              <w:pStyle w:val="84"/>
              <w:rPr>
                <w:color w:val="auto"/>
              </w:rPr>
            </w:pPr>
            <w:r>
              <w:rPr>
                <w:rFonts w:hint="eastAsia"/>
                <w:color w:val="auto"/>
              </w:rPr>
              <w:t>高度危险</w:t>
            </w:r>
          </w:p>
        </w:tc>
        <w:tc>
          <w:tcPr>
            <w:tcW w:w="1250" w:type="pct"/>
            <w:vAlign w:val="center"/>
          </w:tcPr>
          <w:p w14:paraId="6CBB9FCD">
            <w:pPr>
              <w:pStyle w:val="84"/>
              <w:rPr>
                <w:color w:val="auto"/>
              </w:rPr>
            </w:pPr>
            <w:r>
              <w:rPr>
                <w:rFonts w:hint="eastAsia"/>
                <w:color w:val="auto"/>
              </w:rPr>
              <w:t>4</w:t>
            </w:r>
          </w:p>
        </w:tc>
      </w:tr>
      <w:tr w14:paraId="753F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7A146426">
            <w:pPr>
              <w:pStyle w:val="84"/>
              <w:rPr>
                <w:color w:val="auto"/>
              </w:rPr>
            </w:pPr>
            <w:r>
              <w:rPr>
                <w:rFonts w:hint="eastAsia"/>
                <w:color w:val="auto"/>
              </w:rPr>
              <w:t>70-160</w:t>
            </w:r>
          </w:p>
        </w:tc>
        <w:tc>
          <w:tcPr>
            <w:tcW w:w="1286" w:type="pct"/>
            <w:vAlign w:val="center"/>
          </w:tcPr>
          <w:p w14:paraId="7B52FDE9">
            <w:pPr>
              <w:pStyle w:val="84"/>
              <w:rPr>
                <w:color w:val="auto"/>
              </w:rPr>
            </w:pPr>
            <w:r>
              <w:rPr>
                <w:rFonts w:hint="eastAsia"/>
                <w:color w:val="auto"/>
              </w:rPr>
              <w:t>显著危险</w:t>
            </w:r>
          </w:p>
        </w:tc>
        <w:tc>
          <w:tcPr>
            <w:tcW w:w="1250" w:type="pct"/>
            <w:vAlign w:val="center"/>
          </w:tcPr>
          <w:p w14:paraId="39E3DA71">
            <w:pPr>
              <w:pStyle w:val="84"/>
              <w:rPr>
                <w:color w:val="auto"/>
              </w:rPr>
            </w:pPr>
            <w:r>
              <w:rPr>
                <w:rFonts w:hint="eastAsia"/>
                <w:color w:val="auto"/>
              </w:rPr>
              <w:t>3</w:t>
            </w:r>
          </w:p>
        </w:tc>
      </w:tr>
      <w:tr w14:paraId="21AD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313B5D81">
            <w:pPr>
              <w:pStyle w:val="84"/>
              <w:rPr>
                <w:color w:val="auto"/>
              </w:rPr>
            </w:pPr>
            <w:r>
              <w:rPr>
                <w:rFonts w:hint="eastAsia"/>
                <w:color w:val="auto"/>
              </w:rPr>
              <w:t>20-70</w:t>
            </w:r>
          </w:p>
        </w:tc>
        <w:tc>
          <w:tcPr>
            <w:tcW w:w="1286" w:type="pct"/>
            <w:vAlign w:val="center"/>
          </w:tcPr>
          <w:p w14:paraId="4D7EE2B9">
            <w:pPr>
              <w:pStyle w:val="84"/>
              <w:rPr>
                <w:color w:val="auto"/>
              </w:rPr>
            </w:pPr>
            <w:r>
              <w:rPr>
                <w:rFonts w:hint="eastAsia"/>
                <w:color w:val="auto"/>
              </w:rPr>
              <w:t>一般危险</w:t>
            </w:r>
          </w:p>
        </w:tc>
        <w:tc>
          <w:tcPr>
            <w:tcW w:w="1250" w:type="pct"/>
            <w:vAlign w:val="center"/>
          </w:tcPr>
          <w:p w14:paraId="17CCAA47">
            <w:pPr>
              <w:pStyle w:val="84"/>
              <w:rPr>
                <w:color w:val="auto"/>
              </w:rPr>
            </w:pPr>
            <w:r>
              <w:rPr>
                <w:rFonts w:hint="eastAsia"/>
                <w:color w:val="auto"/>
              </w:rPr>
              <w:t>2</w:t>
            </w:r>
          </w:p>
        </w:tc>
      </w:tr>
      <w:tr w14:paraId="684D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64" w:type="pct"/>
            <w:vAlign w:val="center"/>
          </w:tcPr>
          <w:p w14:paraId="0910F958">
            <w:pPr>
              <w:pStyle w:val="84"/>
              <w:rPr>
                <w:color w:val="auto"/>
              </w:rPr>
            </w:pPr>
            <w:r>
              <w:rPr>
                <w:rFonts w:hint="eastAsia"/>
                <w:color w:val="auto"/>
              </w:rPr>
              <w:t>＜20</w:t>
            </w:r>
          </w:p>
        </w:tc>
        <w:tc>
          <w:tcPr>
            <w:tcW w:w="1286" w:type="pct"/>
            <w:vAlign w:val="center"/>
          </w:tcPr>
          <w:p w14:paraId="6B3A6554">
            <w:pPr>
              <w:pStyle w:val="84"/>
              <w:rPr>
                <w:color w:val="auto"/>
              </w:rPr>
            </w:pPr>
            <w:r>
              <w:rPr>
                <w:rFonts w:hint="eastAsia"/>
                <w:color w:val="auto"/>
              </w:rPr>
              <w:t>稍有危险</w:t>
            </w:r>
          </w:p>
        </w:tc>
        <w:tc>
          <w:tcPr>
            <w:tcW w:w="1250" w:type="pct"/>
            <w:vAlign w:val="center"/>
          </w:tcPr>
          <w:p w14:paraId="3A4E48D8">
            <w:pPr>
              <w:pStyle w:val="84"/>
              <w:rPr>
                <w:color w:val="auto"/>
              </w:rPr>
            </w:pPr>
            <w:r>
              <w:rPr>
                <w:rFonts w:hint="eastAsia"/>
                <w:color w:val="auto"/>
              </w:rPr>
              <w:t>1</w:t>
            </w:r>
          </w:p>
        </w:tc>
      </w:tr>
    </w:tbl>
    <w:p w14:paraId="78ABA871">
      <w:pPr>
        <w:ind w:firstLine="480"/>
        <w:jc w:val="center"/>
        <w:rPr>
          <w:rFonts w:hint="eastAsia"/>
          <w:color w:val="auto"/>
        </w:rPr>
      </w:pPr>
      <w:r>
        <w:rPr>
          <w:rFonts w:hint="eastAsia"/>
          <w:color w:val="auto"/>
        </w:rPr>
        <w:t>表9.3-5</w:t>
      </w:r>
      <w:r>
        <w:rPr>
          <w:color w:val="auto"/>
        </w:rPr>
        <w:t xml:space="preserve"> </w:t>
      </w:r>
      <w:r>
        <w:rPr>
          <w:rFonts w:hint="eastAsia"/>
          <w:color w:val="auto"/>
        </w:rPr>
        <w:t xml:space="preserve"> 风险因素风险评估表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545"/>
        <w:gridCol w:w="1426"/>
        <w:gridCol w:w="685"/>
        <w:gridCol w:w="735"/>
        <w:gridCol w:w="735"/>
        <w:gridCol w:w="921"/>
        <w:gridCol w:w="1106"/>
      </w:tblGrid>
      <w:tr w14:paraId="6A3F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6C69E904">
            <w:pPr>
              <w:pStyle w:val="91"/>
              <w:rPr>
                <w:rFonts w:hint="eastAsia" w:ascii="微软雅黑" w:hAnsi="微软雅黑" w:eastAsia="微软雅黑" w:cs="微软雅黑"/>
                <w:color w:val="auto"/>
              </w:rPr>
            </w:pPr>
            <w:r>
              <w:rPr>
                <w:rFonts w:hint="eastAsia" w:ascii="微软雅黑" w:hAnsi="微软雅黑" w:eastAsia="微软雅黑" w:cs="微软雅黑"/>
                <w:color w:val="auto"/>
              </w:rPr>
              <w:t>序号</w:t>
            </w:r>
          </w:p>
        </w:tc>
        <w:tc>
          <w:tcPr>
            <w:tcW w:w="1437" w:type="pct"/>
            <w:vMerge w:val="restart"/>
            <w:vAlign w:val="center"/>
          </w:tcPr>
          <w:p w14:paraId="361D22EF">
            <w:pPr>
              <w:pStyle w:val="91"/>
              <w:rPr>
                <w:rFonts w:hint="eastAsia" w:ascii="微软雅黑" w:hAnsi="微软雅黑" w:eastAsia="微软雅黑" w:cs="微软雅黑"/>
                <w:color w:val="auto"/>
              </w:rPr>
            </w:pPr>
            <w:r>
              <w:rPr>
                <w:rFonts w:hint="eastAsia"/>
                <w:color w:val="auto"/>
                <w:szCs w:val="22"/>
              </w:rPr>
              <w:t>施工内容</w:t>
            </w:r>
          </w:p>
        </w:tc>
        <w:tc>
          <w:tcPr>
            <w:tcW w:w="805" w:type="pct"/>
            <w:vMerge w:val="restart"/>
            <w:vAlign w:val="center"/>
          </w:tcPr>
          <w:p w14:paraId="16D1F4A2">
            <w:pPr>
              <w:pStyle w:val="91"/>
              <w:rPr>
                <w:color w:val="auto"/>
              </w:rPr>
            </w:pPr>
            <w:r>
              <w:rPr>
                <w:rFonts w:hint="eastAsia"/>
                <w:color w:val="auto"/>
              </w:rPr>
              <w:t>潜在的事故类型及危害</w:t>
            </w:r>
          </w:p>
        </w:tc>
        <w:tc>
          <w:tcPr>
            <w:tcW w:w="1737" w:type="pct"/>
            <w:gridSpan w:val="4"/>
            <w:vAlign w:val="center"/>
          </w:tcPr>
          <w:p w14:paraId="0FA29B1C">
            <w:pPr>
              <w:pStyle w:val="91"/>
              <w:rPr>
                <w:color w:val="auto"/>
              </w:rPr>
            </w:pPr>
            <w:r>
              <w:rPr>
                <w:rFonts w:hint="eastAsia"/>
                <w:color w:val="auto"/>
              </w:rPr>
              <w:t>风险评估</w:t>
            </w:r>
          </w:p>
        </w:tc>
        <w:tc>
          <w:tcPr>
            <w:tcW w:w="624" w:type="pct"/>
            <w:vMerge w:val="restart"/>
            <w:vAlign w:val="center"/>
          </w:tcPr>
          <w:p w14:paraId="6C2533BF">
            <w:pPr>
              <w:pStyle w:val="91"/>
              <w:rPr>
                <w:color w:val="auto"/>
              </w:rPr>
            </w:pPr>
            <w:r>
              <w:rPr>
                <w:rFonts w:hint="eastAsia"/>
                <w:color w:val="auto"/>
              </w:rPr>
              <w:t>风险等级</w:t>
            </w:r>
          </w:p>
        </w:tc>
      </w:tr>
      <w:tr w14:paraId="4FC1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vAlign w:val="center"/>
          </w:tcPr>
          <w:p w14:paraId="11767AAD">
            <w:pPr>
              <w:pStyle w:val="91"/>
              <w:rPr>
                <w:color w:val="auto"/>
              </w:rPr>
            </w:pPr>
          </w:p>
        </w:tc>
        <w:tc>
          <w:tcPr>
            <w:tcW w:w="1437" w:type="pct"/>
            <w:vMerge w:val="continue"/>
            <w:vAlign w:val="center"/>
          </w:tcPr>
          <w:p w14:paraId="094CF027">
            <w:pPr>
              <w:pStyle w:val="91"/>
              <w:rPr>
                <w:color w:val="auto"/>
              </w:rPr>
            </w:pPr>
          </w:p>
        </w:tc>
        <w:tc>
          <w:tcPr>
            <w:tcW w:w="805" w:type="pct"/>
            <w:vMerge w:val="continue"/>
            <w:vAlign w:val="center"/>
          </w:tcPr>
          <w:p w14:paraId="67A5CF93">
            <w:pPr>
              <w:pStyle w:val="91"/>
              <w:rPr>
                <w:color w:val="auto"/>
              </w:rPr>
            </w:pPr>
          </w:p>
        </w:tc>
        <w:tc>
          <w:tcPr>
            <w:tcW w:w="387" w:type="pct"/>
            <w:vAlign w:val="center"/>
          </w:tcPr>
          <w:p w14:paraId="5F191836">
            <w:pPr>
              <w:pStyle w:val="91"/>
              <w:rPr>
                <w:color w:val="auto"/>
              </w:rPr>
            </w:pPr>
            <w:r>
              <w:rPr>
                <w:rFonts w:hint="eastAsia"/>
                <w:color w:val="auto"/>
              </w:rPr>
              <w:t>L</w:t>
            </w:r>
          </w:p>
        </w:tc>
        <w:tc>
          <w:tcPr>
            <w:tcW w:w="415" w:type="pct"/>
            <w:vAlign w:val="center"/>
          </w:tcPr>
          <w:p w14:paraId="60C2B957">
            <w:pPr>
              <w:pStyle w:val="91"/>
              <w:rPr>
                <w:color w:val="auto"/>
              </w:rPr>
            </w:pPr>
            <w:r>
              <w:rPr>
                <w:rFonts w:hint="eastAsia"/>
                <w:color w:val="auto"/>
              </w:rPr>
              <w:t>E</w:t>
            </w:r>
          </w:p>
        </w:tc>
        <w:tc>
          <w:tcPr>
            <w:tcW w:w="415" w:type="pct"/>
            <w:vAlign w:val="center"/>
          </w:tcPr>
          <w:p w14:paraId="294D23C3">
            <w:pPr>
              <w:pStyle w:val="91"/>
              <w:rPr>
                <w:color w:val="auto"/>
              </w:rPr>
            </w:pPr>
            <w:r>
              <w:rPr>
                <w:rFonts w:hint="eastAsia"/>
                <w:color w:val="auto"/>
              </w:rPr>
              <w:t>C</w:t>
            </w:r>
          </w:p>
        </w:tc>
        <w:tc>
          <w:tcPr>
            <w:tcW w:w="520" w:type="pct"/>
            <w:vAlign w:val="center"/>
          </w:tcPr>
          <w:p w14:paraId="0F61AB90">
            <w:pPr>
              <w:pStyle w:val="91"/>
              <w:rPr>
                <w:color w:val="auto"/>
              </w:rPr>
            </w:pPr>
            <w:r>
              <w:rPr>
                <w:rFonts w:hint="eastAsia"/>
                <w:color w:val="auto"/>
              </w:rPr>
              <w:t>D=LEC</w:t>
            </w:r>
          </w:p>
        </w:tc>
        <w:tc>
          <w:tcPr>
            <w:tcW w:w="624" w:type="pct"/>
            <w:vMerge w:val="continue"/>
            <w:vAlign w:val="center"/>
          </w:tcPr>
          <w:p w14:paraId="30FF5DDF">
            <w:pPr>
              <w:pStyle w:val="91"/>
              <w:rPr>
                <w:color w:val="auto"/>
              </w:rPr>
            </w:pPr>
          </w:p>
        </w:tc>
      </w:tr>
      <w:tr w14:paraId="1FA8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D3A2A7D">
            <w:pPr>
              <w:pStyle w:val="91"/>
              <w:rPr>
                <w:color w:val="auto"/>
              </w:rPr>
            </w:pPr>
            <w:r>
              <w:rPr>
                <w:rFonts w:hint="eastAsia"/>
                <w:color w:val="auto"/>
              </w:rPr>
              <w:t>1</w:t>
            </w:r>
          </w:p>
        </w:tc>
        <w:tc>
          <w:tcPr>
            <w:tcW w:w="1437" w:type="pct"/>
            <w:vMerge w:val="restart"/>
            <w:vAlign w:val="center"/>
          </w:tcPr>
          <w:p w14:paraId="7B7CC56A">
            <w:pPr>
              <w:pStyle w:val="91"/>
              <w:rPr>
                <w:color w:val="auto"/>
              </w:rPr>
            </w:pPr>
            <w:r>
              <w:rPr>
                <w:rFonts w:hint="eastAsia"/>
                <w:color w:val="auto"/>
              </w:rPr>
              <w:t>塔吊安装拆除</w:t>
            </w:r>
          </w:p>
        </w:tc>
        <w:tc>
          <w:tcPr>
            <w:tcW w:w="805" w:type="pct"/>
            <w:vAlign w:val="center"/>
          </w:tcPr>
          <w:p w14:paraId="7CAE62B3">
            <w:pPr>
              <w:pStyle w:val="91"/>
              <w:jc w:val="left"/>
              <w:rPr>
                <w:color w:val="auto"/>
              </w:rPr>
            </w:pPr>
            <w:r>
              <w:rPr>
                <w:rFonts w:hint="eastAsia"/>
                <w:color w:val="auto"/>
              </w:rPr>
              <w:t>1、坍塌</w:t>
            </w:r>
          </w:p>
        </w:tc>
        <w:tc>
          <w:tcPr>
            <w:tcW w:w="387" w:type="pct"/>
            <w:vAlign w:val="center"/>
          </w:tcPr>
          <w:p w14:paraId="490D5C25">
            <w:pPr>
              <w:pStyle w:val="91"/>
              <w:rPr>
                <w:color w:val="auto"/>
                <w:szCs w:val="21"/>
              </w:rPr>
            </w:pPr>
            <w:r>
              <w:rPr>
                <w:color w:val="auto"/>
                <w:szCs w:val="21"/>
              </w:rPr>
              <w:t>1</w:t>
            </w:r>
          </w:p>
        </w:tc>
        <w:tc>
          <w:tcPr>
            <w:tcW w:w="415" w:type="pct"/>
            <w:vAlign w:val="center"/>
          </w:tcPr>
          <w:p w14:paraId="2094DFAB">
            <w:pPr>
              <w:pStyle w:val="91"/>
              <w:rPr>
                <w:color w:val="auto"/>
                <w:szCs w:val="21"/>
              </w:rPr>
            </w:pPr>
            <w:r>
              <w:rPr>
                <w:color w:val="auto"/>
                <w:szCs w:val="21"/>
              </w:rPr>
              <w:t>6</w:t>
            </w:r>
          </w:p>
        </w:tc>
        <w:tc>
          <w:tcPr>
            <w:tcW w:w="415" w:type="pct"/>
            <w:vAlign w:val="center"/>
          </w:tcPr>
          <w:p w14:paraId="0A557000">
            <w:pPr>
              <w:pStyle w:val="91"/>
              <w:rPr>
                <w:color w:val="auto"/>
                <w:szCs w:val="21"/>
              </w:rPr>
            </w:pPr>
            <w:r>
              <w:rPr>
                <w:color w:val="auto"/>
                <w:szCs w:val="21"/>
              </w:rPr>
              <w:t>15</w:t>
            </w:r>
          </w:p>
        </w:tc>
        <w:tc>
          <w:tcPr>
            <w:tcW w:w="520" w:type="pct"/>
            <w:vAlign w:val="center"/>
          </w:tcPr>
          <w:p w14:paraId="0AB6716A">
            <w:pPr>
              <w:pStyle w:val="91"/>
              <w:rPr>
                <w:color w:val="auto"/>
                <w:szCs w:val="21"/>
              </w:rPr>
            </w:pPr>
            <w:r>
              <w:rPr>
                <w:color w:val="auto"/>
                <w:szCs w:val="21"/>
              </w:rPr>
              <w:t>90</w:t>
            </w:r>
          </w:p>
        </w:tc>
        <w:tc>
          <w:tcPr>
            <w:tcW w:w="624" w:type="pct"/>
            <w:vAlign w:val="center"/>
          </w:tcPr>
          <w:p w14:paraId="1429B8F1">
            <w:pPr>
              <w:pStyle w:val="91"/>
              <w:rPr>
                <w:color w:val="auto"/>
                <w:szCs w:val="21"/>
              </w:rPr>
            </w:pPr>
            <w:r>
              <w:rPr>
                <w:color w:val="auto"/>
                <w:szCs w:val="21"/>
              </w:rPr>
              <w:t>3</w:t>
            </w:r>
          </w:p>
        </w:tc>
      </w:tr>
      <w:tr w14:paraId="6ED1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474C2B3">
            <w:pPr>
              <w:pStyle w:val="91"/>
              <w:rPr>
                <w:color w:val="auto"/>
              </w:rPr>
            </w:pPr>
            <w:r>
              <w:rPr>
                <w:rFonts w:hint="eastAsia"/>
                <w:color w:val="auto"/>
              </w:rPr>
              <w:t>2</w:t>
            </w:r>
          </w:p>
        </w:tc>
        <w:tc>
          <w:tcPr>
            <w:tcW w:w="1437" w:type="pct"/>
            <w:vMerge w:val="continue"/>
            <w:vAlign w:val="center"/>
          </w:tcPr>
          <w:p w14:paraId="2E5E15EF">
            <w:pPr>
              <w:pStyle w:val="91"/>
              <w:rPr>
                <w:color w:val="auto"/>
              </w:rPr>
            </w:pPr>
          </w:p>
        </w:tc>
        <w:tc>
          <w:tcPr>
            <w:tcW w:w="805" w:type="pct"/>
            <w:vAlign w:val="center"/>
          </w:tcPr>
          <w:p w14:paraId="6A7C418C">
            <w:pPr>
              <w:pStyle w:val="91"/>
              <w:jc w:val="left"/>
              <w:rPr>
                <w:color w:val="auto"/>
              </w:rPr>
            </w:pPr>
            <w:r>
              <w:rPr>
                <w:rFonts w:hint="eastAsia"/>
                <w:color w:val="auto"/>
              </w:rPr>
              <w:t>2、起重伤害</w:t>
            </w:r>
          </w:p>
        </w:tc>
        <w:tc>
          <w:tcPr>
            <w:tcW w:w="387" w:type="pct"/>
            <w:vAlign w:val="center"/>
          </w:tcPr>
          <w:p w14:paraId="3BEB7BE4">
            <w:pPr>
              <w:pStyle w:val="91"/>
              <w:rPr>
                <w:color w:val="auto"/>
                <w:szCs w:val="21"/>
              </w:rPr>
            </w:pPr>
            <w:r>
              <w:rPr>
                <w:color w:val="auto"/>
                <w:szCs w:val="21"/>
              </w:rPr>
              <w:t>3</w:t>
            </w:r>
          </w:p>
        </w:tc>
        <w:tc>
          <w:tcPr>
            <w:tcW w:w="415" w:type="pct"/>
            <w:vAlign w:val="center"/>
          </w:tcPr>
          <w:p w14:paraId="53FCA01C">
            <w:pPr>
              <w:pStyle w:val="91"/>
              <w:rPr>
                <w:color w:val="auto"/>
                <w:szCs w:val="21"/>
              </w:rPr>
            </w:pPr>
            <w:r>
              <w:rPr>
                <w:color w:val="auto"/>
                <w:szCs w:val="21"/>
              </w:rPr>
              <w:t>6</w:t>
            </w:r>
          </w:p>
        </w:tc>
        <w:tc>
          <w:tcPr>
            <w:tcW w:w="415" w:type="pct"/>
            <w:vAlign w:val="center"/>
          </w:tcPr>
          <w:p w14:paraId="1D973A8D">
            <w:pPr>
              <w:pStyle w:val="91"/>
              <w:rPr>
                <w:color w:val="auto"/>
                <w:szCs w:val="21"/>
              </w:rPr>
            </w:pPr>
            <w:r>
              <w:rPr>
                <w:color w:val="auto"/>
                <w:szCs w:val="21"/>
              </w:rPr>
              <w:t>7</w:t>
            </w:r>
          </w:p>
        </w:tc>
        <w:tc>
          <w:tcPr>
            <w:tcW w:w="520" w:type="pct"/>
            <w:vAlign w:val="center"/>
          </w:tcPr>
          <w:p w14:paraId="4DADE7AC">
            <w:pPr>
              <w:pStyle w:val="91"/>
              <w:rPr>
                <w:color w:val="auto"/>
                <w:szCs w:val="21"/>
              </w:rPr>
            </w:pPr>
            <w:r>
              <w:rPr>
                <w:color w:val="auto"/>
                <w:szCs w:val="21"/>
              </w:rPr>
              <w:t>126</w:t>
            </w:r>
          </w:p>
        </w:tc>
        <w:tc>
          <w:tcPr>
            <w:tcW w:w="624" w:type="pct"/>
            <w:vAlign w:val="center"/>
          </w:tcPr>
          <w:p w14:paraId="239D9105">
            <w:pPr>
              <w:pStyle w:val="91"/>
              <w:rPr>
                <w:color w:val="auto"/>
                <w:szCs w:val="21"/>
              </w:rPr>
            </w:pPr>
            <w:r>
              <w:rPr>
                <w:color w:val="auto"/>
                <w:szCs w:val="21"/>
              </w:rPr>
              <w:t>3</w:t>
            </w:r>
          </w:p>
        </w:tc>
      </w:tr>
      <w:tr w14:paraId="7B2C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B37A7BB">
            <w:pPr>
              <w:pStyle w:val="91"/>
              <w:rPr>
                <w:color w:val="auto"/>
              </w:rPr>
            </w:pPr>
            <w:r>
              <w:rPr>
                <w:rFonts w:hint="eastAsia"/>
                <w:color w:val="auto"/>
              </w:rPr>
              <w:t>3</w:t>
            </w:r>
          </w:p>
        </w:tc>
        <w:tc>
          <w:tcPr>
            <w:tcW w:w="1437" w:type="pct"/>
            <w:vMerge w:val="continue"/>
            <w:vAlign w:val="center"/>
          </w:tcPr>
          <w:p w14:paraId="512A9BB5">
            <w:pPr>
              <w:pStyle w:val="91"/>
              <w:rPr>
                <w:color w:val="auto"/>
              </w:rPr>
            </w:pPr>
          </w:p>
        </w:tc>
        <w:tc>
          <w:tcPr>
            <w:tcW w:w="805" w:type="pct"/>
            <w:vAlign w:val="center"/>
          </w:tcPr>
          <w:p w14:paraId="6AA44272">
            <w:pPr>
              <w:pStyle w:val="91"/>
              <w:jc w:val="left"/>
              <w:rPr>
                <w:color w:val="auto"/>
              </w:rPr>
            </w:pPr>
            <w:r>
              <w:rPr>
                <w:rFonts w:hint="eastAsia"/>
                <w:color w:val="auto"/>
              </w:rPr>
              <w:t>3、物体打击</w:t>
            </w:r>
          </w:p>
        </w:tc>
        <w:tc>
          <w:tcPr>
            <w:tcW w:w="387" w:type="pct"/>
            <w:vAlign w:val="center"/>
          </w:tcPr>
          <w:p w14:paraId="3A960B7F">
            <w:pPr>
              <w:pStyle w:val="91"/>
              <w:rPr>
                <w:color w:val="auto"/>
                <w:szCs w:val="21"/>
              </w:rPr>
            </w:pPr>
            <w:r>
              <w:rPr>
                <w:color w:val="auto"/>
                <w:szCs w:val="21"/>
              </w:rPr>
              <w:t>3</w:t>
            </w:r>
          </w:p>
        </w:tc>
        <w:tc>
          <w:tcPr>
            <w:tcW w:w="415" w:type="pct"/>
            <w:vAlign w:val="center"/>
          </w:tcPr>
          <w:p w14:paraId="2943D92F">
            <w:pPr>
              <w:pStyle w:val="91"/>
              <w:rPr>
                <w:color w:val="auto"/>
                <w:szCs w:val="21"/>
              </w:rPr>
            </w:pPr>
            <w:r>
              <w:rPr>
                <w:color w:val="auto"/>
                <w:szCs w:val="21"/>
              </w:rPr>
              <w:t>6</w:t>
            </w:r>
          </w:p>
        </w:tc>
        <w:tc>
          <w:tcPr>
            <w:tcW w:w="415" w:type="pct"/>
            <w:vAlign w:val="center"/>
          </w:tcPr>
          <w:p w14:paraId="2AEFB5F2">
            <w:pPr>
              <w:pStyle w:val="91"/>
              <w:rPr>
                <w:color w:val="auto"/>
                <w:szCs w:val="21"/>
              </w:rPr>
            </w:pPr>
            <w:r>
              <w:rPr>
                <w:color w:val="auto"/>
                <w:szCs w:val="21"/>
              </w:rPr>
              <w:t>3</w:t>
            </w:r>
          </w:p>
        </w:tc>
        <w:tc>
          <w:tcPr>
            <w:tcW w:w="520" w:type="pct"/>
            <w:vAlign w:val="center"/>
          </w:tcPr>
          <w:p w14:paraId="4923BE89">
            <w:pPr>
              <w:pStyle w:val="91"/>
              <w:rPr>
                <w:color w:val="auto"/>
                <w:szCs w:val="21"/>
              </w:rPr>
            </w:pPr>
            <w:r>
              <w:rPr>
                <w:color w:val="auto"/>
                <w:szCs w:val="21"/>
              </w:rPr>
              <w:t>54</w:t>
            </w:r>
          </w:p>
        </w:tc>
        <w:tc>
          <w:tcPr>
            <w:tcW w:w="624" w:type="pct"/>
            <w:vAlign w:val="center"/>
          </w:tcPr>
          <w:p w14:paraId="7B515B64">
            <w:pPr>
              <w:pStyle w:val="91"/>
              <w:rPr>
                <w:color w:val="auto"/>
                <w:szCs w:val="21"/>
              </w:rPr>
            </w:pPr>
            <w:r>
              <w:rPr>
                <w:color w:val="auto"/>
                <w:szCs w:val="21"/>
              </w:rPr>
              <w:t>2</w:t>
            </w:r>
          </w:p>
        </w:tc>
      </w:tr>
      <w:tr w14:paraId="3D87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4CBA641">
            <w:pPr>
              <w:pStyle w:val="91"/>
              <w:rPr>
                <w:color w:val="auto"/>
              </w:rPr>
            </w:pPr>
            <w:r>
              <w:rPr>
                <w:rFonts w:hint="eastAsia"/>
                <w:color w:val="auto"/>
              </w:rPr>
              <w:t>4</w:t>
            </w:r>
          </w:p>
        </w:tc>
        <w:tc>
          <w:tcPr>
            <w:tcW w:w="1437" w:type="pct"/>
            <w:vMerge w:val="continue"/>
            <w:vAlign w:val="center"/>
          </w:tcPr>
          <w:p w14:paraId="73B5F08A">
            <w:pPr>
              <w:pStyle w:val="91"/>
              <w:rPr>
                <w:color w:val="auto"/>
              </w:rPr>
            </w:pPr>
          </w:p>
        </w:tc>
        <w:tc>
          <w:tcPr>
            <w:tcW w:w="805" w:type="pct"/>
            <w:vAlign w:val="center"/>
          </w:tcPr>
          <w:p w14:paraId="25D9D1AD">
            <w:pPr>
              <w:pStyle w:val="91"/>
              <w:jc w:val="left"/>
              <w:rPr>
                <w:color w:val="auto"/>
              </w:rPr>
            </w:pPr>
            <w:r>
              <w:rPr>
                <w:rFonts w:hint="eastAsia"/>
                <w:color w:val="auto"/>
              </w:rPr>
              <w:t>4、高处坠落</w:t>
            </w:r>
          </w:p>
        </w:tc>
        <w:tc>
          <w:tcPr>
            <w:tcW w:w="387" w:type="pct"/>
            <w:vAlign w:val="center"/>
          </w:tcPr>
          <w:p w14:paraId="304D90EC">
            <w:pPr>
              <w:pStyle w:val="91"/>
              <w:rPr>
                <w:color w:val="auto"/>
                <w:szCs w:val="21"/>
              </w:rPr>
            </w:pPr>
            <w:r>
              <w:rPr>
                <w:color w:val="auto"/>
                <w:szCs w:val="21"/>
              </w:rPr>
              <w:t>3</w:t>
            </w:r>
          </w:p>
        </w:tc>
        <w:tc>
          <w:tcPr>
            <w:tcW w:w="415" w:type="pct"/>
            <w:vAlign w:val="center"/>
          </w:tcPr>
          <w:p w14:paraId="2ABD749E">
            <w:pPr>
              <w:pStyle w:val="91"/>
              <w:rPr>
                <w:color w:val="auto"/>
                <w:szCs w:val="21"/>
              </w:rPr>
            </w:pPr>
            <w:r>
              <w:rPr>
                <w:color w:val="auto"/>
                <w:szCs w:val="21"/>
              </w:rPr>
              <w:t>3</w:t>
            </w:r>
          </w:p>
        </w:tc>
        <w:tc>
          <w:tcPr>
            <w:tcW w:w="415" w:type="pct"/>
            <w:vAlign w:val="center"/>
          </w:tcPr>
          <w:p w14:paraId="412FA4CB">
            <w:pPr>
              <w:pStyle w:val="91"/>
              <w:rPr>
                <w:color w:val="auto"/>
                <w:szCs w:val="21"/>
              </w:rPr>
            </w:pPr>
            <w:r>
              <w:rPr>
                <w:color w:val="auto"/>
                <w:szCs w:val="21"/>
              </w:rPr>
              <w:t>15</w:t>
            </w:r>
          </w:p>
        </w:tc>
        <w:tc>
          <w:tcPr>
            <w:tcW w:w="520" w:type="pct"/>
            <w:vAlign w:val="center"/>
          </w:tcPr>
          <w:p w14:paraId="5BD1DFF4">
            <w:pPr>
              <w:pStyle w:val="91"/>
              <w:rPr>
                <w:color w:val="auto"/>
                <w:szCs w:val="21"/>
              </w:rPr>
            </w:pPr>
            <w:r>
              <w:rPr>
                <w:color w:val="auto"/>
                <w:szCs w:val="21"/>
              </w:rPr>
              <w:t>135</w:t>
            </w:r>
          </w:p>
        </w:tc>
        <w:tc>
          <w:tcPr>
            <w:tcW w:w="624" w:type="pct"/>
            <w:vAlign w:val="center"/>
          </w:tcPr>
          <w:p w14:paraId="1D89762C">
            <w:pPr>
              <w:pStyle w:val="91"/>
              <w:rPr>
                <w:color w:val="auto"/>
                <w:szCs w:val="21"/>
              </w:rPr>
            </w:pPr>
            <w:r>
              <w:rPr>
                <w:color w:val="auto"/>
                <w:szCs w:val="21"/>
              </w:rPr>
              <w:t>3</w:t>
            </w:r>
          </w:p>
        </w:tc>
      </w:tr>
      <w:tr w14:paraId="2B7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0A3C4CC5">
            <w:pPr>
              <w:pStyle w:val="91"/>
              <w:rPr>
                <w:color w:val="auto"/>
              </w:rPr>
            </w:pPr>
            <w:r>
              <w:rPr>
                <w:rFonts w:hint="eastAsia"/>
                <w:color w:val="auto"/>
              </w:rPr>
              <w:t>5</w:t>
            </w:r>
          </w:p>
        </w:tc>
        <w:tc>
          <w:tcPr>
            <w:tcW w:w="1437" w:type="pct"/>
            <w:vMerge w:val="continue"/>
            <w:vAlign w:val="center"/>
          </w:tcPr>
          <w:p w14:paraId="4659CE86">
            <w:pPr>
              <w:pStyle w:val="91"/>
              <w:rPr>
                <w:color w:val="auto"/>
              </w:rPr>
            </w:pPr>
          </w:p>
        </w:tc>
        <w:tc>
          <w:tcPr>
            <w:tcW w:w="805" w:type="pct"/>
            <w:vAlign w:val="center"/>
          </w:tcPr>
          <w:p w14:paraId="7E54C3EA">
            <w:pPr>
              <w:pStyle w:val="91"/>
              <w:jc w:val="left"/>
              <w:rPr>
                <w:color w:val="auto"/>
              </w:rPr>
            </w:pPr>
            <w:r>
              <w:rPr>
                <w:rFonts w:hint="eastAsia"/>
                <w:color w:val="auto"/>
              </w:rPr>
              <w:t>5、车辆伤害</w:t>
            </w:r>
          </w:p>
        </w:tc>
        <w:tc>
          <w:tcPr>
            <w:tcW w:w="387" w:type="pct"/>
            <w:vAlign w:val="center"/>
          </w:tcPr>
          <w:p w14:paraId="14ECF507">
            <w:pPr>
              <w:pStyle w:val="91"/>
              <w:rPr>
                <w:color w:val="auto"/>
                <w:szCs w:val="21"/>
              </w:rPr>
            </w:pPr>
            <w:r>
              <w:rPr>
                <w:rFonts w:hint="eastAsia"/>
                <w:color w:val="auto"/>
                <w:szCs w:val="21"/>
              </w:rPr>
              <w:t>1</w:t>
            </w:r>
          </w:p>
        </w:tc>
        <w:tc>
          <w:tcPr>
            <w:tcW w:w="415" w:type="pct"/>
            <w:vAlign w:val="center"/>
          </w:tcPr>
          <w:p w14:paraId="6180BB53">
            <w:pPr>
              <w:pStyle w:val="91"/>
              <w:rPr>
                <w:color w:val="auto"/>
                <w:szCs w:val="21"/>
              </w:rPr>
            </w:pPr>
            <w:r>
              <w:rPr>
                <w:rFonts w:hint="eastAsia"/>
                <w:color w:val="auto"/>
                <w:szCs w:val="21"/>
              </w:rPr>
              <w:t>2</w:t>
            </w:r>
          </w:p>
        </w:tc>
        <w:tc>
          <w:tcPr>
            <w:tcW w:w="415" w:type="pct"/>
            <w:vAlign w:val="center"/>
          </w:tcPr>
          <w:p w14:paraId="229F3852">
            <w:pPr>
              <w:pStyle w:val="91"/>
              <w:rPr>
                <w:color w:val="auto"/>
                <w:szCs w:val="21"/>
              </w:rPr>
            </w:pPr>
            <w:r>
              <w:rPr>
                <w:rFonts w:hint="eastAsia"/>
                <w:color w:val="auto"/>
                <w:szCs w:val="21"/>
              </w:rPr>
              <w:t>7</w:t>
            </w:r>
          </w:p>
        </w:tc>
        <w:tc>
          <w:tcPr>
            <w:tcW w:w="520" w:type="pct"/>
            <w:vAlign w:val="center"/>
          </w:tcPr>
          <w:p w14:paraId="51405B1C">
            <w:pPr>
              <w:pStyle w:val="91"/>
              <w:rPr>
                <w:color w:val="auto"/>
                <w:szCs w:val="21"/>
              </w:rPr>
            </w:pPr>
            <w:r>
              <w:rPr>
                <w:rFonts w:hint="eastAsia"/>
                <w:color w:val="auto"/>
                <w:szCs w:val="21"/>
              </w:rPr>
              <w:t>14</w:t>
            </w:r>
          </w:p>
        </w:tc>
        <w:tc>
          <w:tcPr>
            <w:tcW w:w="624" w:type="pct"/>
            <w:vAlign w:val="center"/>
          </w:tcPr>
          <w:p w14:paraId="2CF4194A">
            <w:pPr>
              <w:pStyle w:val="91"/>
              <w:rPr>
                <w:color w:val="auto"/>
                <w:szCs w:val="21"/>
              </w:rPr>
            </w:pPr>
            <w:r>
              <w:rPr>
                <w:rFonts w:hint="eastAsia"/>
                <w:color w:val="auto"/>
                <w:szCs w:val="21"/>
              </w:rPr>
              <w:t>1</w:t>
            </w:r>
          </w:p>
        </w:tc>
      </w:tr>
      <w:tr w14:paraId="2B91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275875BF">
            <w:pPr>
              <w:pStyle w:val="91"/>
              <w:rPr>
                <w:color w:val="auto"/>
              </w:rPr>
            </w:pPr>
            <w:r>
              <w:rPr>
                <w:color w:val="auto"/>
              </w:rPr>
              <w:t>6</w:t>
            </w:r>
          </w:p>
        </w:tc>
        <w:tc>
          <w:tcPr>
            <w:tcW w:w="1437" w:type="pct"/>
            <w:vMerge w:val="continue"/>
            <w:vAlign w:val="center"/>
          </w:tcPr>
          <w:p w14:paraId="07A9E600">
            <w:pPr>
              <w:pStyle w:val="91"/>
              <w:rPr>
                <w:color w:val="auto"/>
              </w:rPr>
            </w:pPr>
          </w:p>
        </w:tc>
        <w:tc>
          <w:tcPr>
            <w:tcW w:w="805" w:type="pct"/>
            <w:vAlign w:val="center"/>
          </w:tcPr>
          <w:p w14:paraId="1BE937AA">
            <w:pPr>
              <w:pStyle w:val="91"/>
              <w:jc w:val="left"/>
              <w:rPr>
                <w:color w:val="auto"/>
              </w:rPr>
            </w:pPr>
            <w:r>
              <w:rPr>
                <w:rFonts w:hint="eastAsia"/>
                <w:color w:val="auto"/>
              </w:rPr>
              <w:t>6、触电</w:t>
            </w:r>
          </w:p>
        </w:tc>
        <w:tc>
          <w:tcPr>
            <w:tcW w:w="387" w:type="pct"/>
            <w:vAlign w:val="center"/>
          </w:tcPr>
          <w:p w14:paraId="5D0927EF">
            <w:pPr>
              <w:pStyle w:val="91"/>
              <w:rPr>
                <w:color w:val="auto"/>
                <w:szCs w:val="21"/>
              </w:rPr>
            </w:pPr>
            <w:r>
              <w:rPr>
                <w:color w:val="auto"/>
                <w:szCs w:val="21"/>
              </w:rPr>
              <w:t>1</w:t>
            </w:r>
          </w:p>
        </w:tc>
        <w:tc>
          <w:tcPr>
            <w:tcW w:w="415" w:type="pct"/>
            <w:vAlign w:val="center"/>
          </w:tcPr>
          <w:p w14:paraId="434DD7FC">
            <w:pPr>
              <w:pStyle w:val="91"/>
              <w:rPr>
                <w:color w:val="auto"/>
                <w:szCs w:val="21"/>
              </w:rPr>
            </w:pPr>
            <w:r>
              <w:rPr>
                <w:color w:val="auto"/>
                <w:szCs w:val="21"/>
              </w:rPr>
              <w:t>3</w:t>
            </w:r>
          </w:p>
        </w:tc>
        <w:tc>
          <w:tcPr>
            <w:tcW w:w="415" w:type="pct"/>
            <w:vAlign w:val="center"/>
          </w:tcPr>
          <w:p w14:paraId="1C63C86C">
            <w:pPr>
              <w:pStyle w:val="91"/>
              <w:rPr>
                <w:color w:val="auto"/>
                <w:szCs w:val="21"/>
              </w:rPr>
            </w:pPr>
            <w:r>
              <w:rPr>
                <w:color w:val="auto"/>
                <w:szCs w:val="21"/>
              </w:rPr>
              <w:t>15</w:t>
            </w:r>
          </w:p>
        </w:tc>
        <w:tc>
          <w:tcPr>
            <w:tcW w:w="520" w:type="pct"/>
            <w:vAlign w:val="center"/>
          </w:tcPr>
          <w:p w14:paraId="3B0CA3F6">
            <w:pPr>
              <w:pStyle w:val="91"/>
              <w:rPr>
                <w:color w:val="auto"/>
                <w:szCs w:val="21"/>
              </w:rPr>
            </w:pPr>
            <w:r>
              <w:rPr>
                <w:color w:val="auto"/>
                <w:szCs w:val="21"/>
              </w:rPr>
              <w:t>45</w:t>
            </w:r>
          </w:p>
        </w:tc>
        <w:tc>
          <w:tcPr>
            <w:tcW w:w="624" w:type="pct"/>
            <w:vAlign w:val="center"/>
          </w:tcPr>
          <w:p w14:paraId="6EFAEE34">
            <w:pPr>
              <w:pStyle w:val="91"/>
              <w:rPr>
                <w:color w:val="auto"/>
                <w:szCs w:val="21"/>
              </w:rPr>
            </w:pPr>
            <w:r>
              <w:rPr>
                <w:color w:val="auto"/>
                <w:szCs w:val="21"/>
              </w:rPr>
              <w:t>2</w:t>
            </w:r>
          </w:p>
        </w:tc>
      </w:tr>
      <w:tr w14:paraId="0B06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D41B5A2">
            <w:pPr>
              <w:pStyle w:val="91"/>
              <w:rPr>
                <w:color w:val="auto"/>
              </w:rPr>
            </w:pPr>
            <w:r>
              <w:rPr>
                <w:color w:val="auto"/>
              </w:rPr>
              <w:t>7</w:t>
            </w:r>
          </w:p>
        </w:tc>
        <w:tc>
          <w:tcPr>
            <w:tcW w:w="1437" w:type="pct"/>
            <w:vMerge w:val="restart"/>
            <w:vAlign w:val="center"/>
          </w:tcPr>
          <w:p w14:paraId="5CE20A60">
            <w:pPr>
              <w:pStyle w:val="91"/>
              <w:rPr>
                <w:color w:val="auto"/>
              </w:rPr>
            </w:pPr>
            <w:r>
              <w:rPr>
                <w:rFonts w:hint="eastAsia"/>
                <w:color w:val="auto"/>
              </w:rPr>
              <w:t>立体交叉作业</w:t>
            </w:r>
          </w:p>
        </w:tc>
        <w:tc>
          <w:tcPr>
            <w:tcW w:w="805" w:type="pct"/>
            <w:vAlign w:val="center"/>
          </w:tcPr>
          <w:p w14:paraId="66B4EEE6">
            <w:pPr>
              <w:pStyle w:val="91"/>
              <w:jc w:val="left"/>
              <w:rPr>
                <w:color w:val="auto"/>
              </w:rPr>
            </w:pPr>
            <w:r>
              <w:rPr>
                <w:rFonts w:hint="eastAsia"/>
                <w:color w:val="auto"/>
              </w:rPr>
              <w:t>1、物体打击</w:t>
            </w:r>
          </w:p>
        </w:tc>
        <w:tc>
          <w:tcPr>
            <w:tcW w:w="387" w:type="pct"/>
            <w:vAlign w:val="center"/>
          </w:tcPr>
          <w:p w14:paraId="463DC838">
            <w:pPr>
              <w:pStyle w:val="91"/>
              <w:rPr>
                <w:color w:val="auto"/>
                <w:szCs w:val="21"/>
              </w:rPr>
            </w:pPr>
            <w:r>
              <w:rPr>
                <w:color w:val="auto"/>
                <w:szCs w:val="21"/>
              </w:rPr>
              <w:t>1</w:t>
            </w:r>
          </w:p>
        </w:tc>
        <w:tc>
          <w:tcPr>
            <w:tcW w:w="415" w:type="pct"/>
            <w:vAlign w:val="center"/>
          </w:tcPr>
          <w:p w14:paraId="4B36DDF1">
            <w:pPr>
              <w:pStyle w:val="91"/>
              <w:rPr>
                <w:color w:val="auto"/>
                <w:szCs w:val="21"/>
              </w:rPr>
            </w:pPr>
            <w:r>
              <w:rPr>
                <w:color w:val="auto"/>
                <w:szCs w:val="21"/>
              </w:rPr>
              <w:t>3</w:t>
            </w:r>
          </w:p>
        </w:tc>
        <w:tc>
          <w:tcPr>
            <w:tcW w:w="415" w:type="pct"/>
            <w:vAlign w:val="center"/>
          </w:tcPr>
          <w:p w14:paraId="12ED38FA">
            <w:pPr>
              <w:pStyle w:val="91"/>
              <w:rPr>
                <w:color w:val="auto"/>
                <w:szCs w:val="21"/>
              </w:rPr>
            </w:pPr>
            <w:r>
              <w:rPr>
                <w:color w:val="auto"/>
                <w:szCs w:val="21"/>
              </w:rPr>
              <w:t>7</w:t>
            </w:r>
          </w:p>
        </w:tc>
        <w:tc>
          <w:tcPr>
            <w:tcW w:w="520" w:type="pct"/>
            <w:vAlign w:val="center"/>
          </w:tcPr>
          <w:p w14:paraId="31AF7ACE">
            <w:pPr>
              <w:pStyle w:val="91"/>
              <w:rPr>
                <w:color w:val="auto"/>
                <w:szCs w:val="21"/>
              </w:rPr>
            </w:pPr>
            <w:r>
              <w:rPr>
                <w:color w:val="auto"/>
                <w:szCs w:val="21"/>
              </w:rPr>
              <w:t>21</w:t>
            </w:r>
          </w:p>
        </w:tc>
        <w:tc>
          <w:tcPr>
            <w:tcW w:w="624" w:type="pct"/>
            <w:vAlign w:val="center"/>
          </w:tcPr>
          <w:p w14:paraId="3406FC37">
            <w:pPr>
              <w:pStyle w:val="91"/>
              <w:rPr>
                <w:color w:val="auto"/>
                <w:szCs w:val="21"/>
              </w:rPr>
            </w:pPr>
            <w:r>
              <w:rPr>
                <w:color w:val="auto"/>
                <w:szCs w:val="21"/>
              </w:rPr>
              <w:t>2</w:t>
            </w:r>
          </w:p>
        </w:tc>
      </w:tr>
      <w:tr w14:paraId="56AA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73AD2D0">
            <w:pPr>
              <w:pStyle w:val="91"/>
              <w:rPr>
                <w:color w:val="auto"/>
              </w:rPr>
            </w:pPr>
            <w:r>
              <w:rPr>
                <w:color w:val="auto"/>
              </w:rPr>
              <w:t>8</w:t>
            </w:r>
          </w:p>
        </w:tc>
        <w:tc>
          <w:tcPr>
            <w:tcW w:w="1437" w:type="pct"/>
            <w:vMerge w:val="continue"/>
            <w:vAlign w:val="center"/>
          </w:tcPr>
          <w:p w14:paraId="46B621D8">
            <w:pPr>
              <w:pStyle w:val="91"/>
              <w:rPr>
                <w:color w:val="auto"/>
              </w:rPr>
            </w:pPr>
          </w:p>
        </w:tc>
        <w:tc>
          <w:tcPr>
            <w:tcW w:w="805" w:type="pct"/>
            <w:vAlign w:val="center"/>
          </w:tcPr>
          <w:p w14:paraId="543D42B8">
            <w:pPr>
              <w:pStyle w:val="91"/>
              <w:jc w:val="left"/>
              <w:rPr>
                <w:color w:val="auto"/>
              </w:rPr>
            </w:pPr>
            <w:r>
              <w:rPr>
                <w:rFonts w:hint="eastAsia"/>
                <w:color w:val="auto"/>
              </w:rPr>
              <w:t>2、高处坠落</w:t>
            </w:r>
          </w:p>
        </w:tc>
        <w:tc>
          <w:tcPr>
            <w:tcW w:w="387" w:type="pct"/>
            <w:vAlign w:val="center"/>
          </w:tcPr>
          <w:p w14:paraId="4D357239">
            <w:pPr>
              <w:pStyle w:val="91"/>
              <w:rPr>
                <w:color w:val="auto"/>
                <w:szCs w:val="21"/>
              </w:rPr>
            </w:pPr>
            <w:r>
              <w:rPr>
                <w:color w:val="auto"/>
                <w:szCs w:val="21"/>
              </w:rPr>
              <w:t>3</w:t>
            </w:r>
          </w:p>
        </w:tc>
        <w:tc>
          <w:tcPr>
            <w:tcW w:w="415" w:type="pct"/>
            <w:vAlign w:val="center"/>
          </w:tcPr>
          <w:p w14:paraId="166BC555">
            <w:pPr>
              <w:pStyle w:val="91"/>
              <w:rPr>
                <w:color w:val="auto"/>
                <w:szCs w:val="21"/>
              </w:rPr>
            </w:pPr>
            <w:r>
              <w:rPr>
                <w:color w:val="auto"/>
                <w:szCs w:val="21"/>
              </w:rPr>
              <w:t>3</w:t>
            </w:r>
          </w:p>
        </w:tc>
        <w:tc>
          <w:tcPr>
            <w:tcW w:w="415" w:type="pct"/>
            <w:vAlign w:val="center"/>
          </w:tcPr>
          <w:p w14:paraId="3F7E1270">
            <w:pPr>
              <w:pStyle w:val="91"/>
              <w:rPr>
                <w:color w:val="auto"/>
                <w:szCs w:val="21"/>
              </w:rPr>
            </w:pPr>
            <w:r>
              <w:rPr>
                <w:color w:val="auto"/>
                <w:szCs w:val="21"/>
              </w:rPr>
              <w:t>15</w:t>
            </w:r>
          </w:p>
        </w:tc>
        <w:tc>
          <w:tcPr>
            <w:tcW w:w="520" w:type="pct"/>
            <w:vAlign w:val="center"/>
          </w:tcPr>
          <w:p w14:paraId="6296343E">
            <w:pPr>
              <w:pStyle w:val="91"/>
              <w:rPr>
                <w:color w:val="auto"/>
                <w:szCs w:val="21"/>
              </w:rPr>
            </w:pPr>
            <w:r>
              <w:rPr>
                <w:color w:val="auto"/>
                <w:szCs w:val="21"/>
              </w:rPr>
              <w:t>135</w:t>
            </w:r>
          </w:p>
        </w:tc>
        <w:tc>
          <w:tcPr>
            <w:tcW w:w="624" w:type="pct"/>
            <w:vAlign w:val="center"/>
          </w:tcPr>
          <w:p w14:paraId="375F1B65">
            <w:pPr>
              <w:pStyle w:val="91"/>
              <w:rPr>
                <w:color w:val="auto"/>
                <w:szCs w:val="21"/>
              </w:rPr>
            </w:pPr>
            <w:r>
              <w:rPr>
                <w:color w:val="auto"/>
                <w:szCs w:val="21"/>
              </w:rPr>
              <w:t>3</w:t>
            </w:r>
          </w:p>
        </w:tc>
      </w:tr>
      <w:tr w14:paraId="14E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70DED71F">
            <w:pPr>
              <w:pStyle w:val="91"/>
              <w:rPr>
                <w:color w:val="auto"/>
              </w:rPr>
            </w:pPr>
            <w:r>
              <w:rPr>
                <w:color w:val="auto"/>
              </w:rPr>
              <w:t>9</w:t>
            </w:r>
          </w:p>
        </w:tc>
        <w:tc>
          <w:tcPr>
            <w:tcW w:w="1437" w:type="pct"/>
            <w:vMerge w:val="restart"/>
            <w:vAlign w:val="center"/>
          </w:tcPr>
          <w:p w14:paraId="2FEFA0EC">
            <w:pPr>
              <w:pStyle w:val="91"/>
              <w:rPr>
                <w:color w:val="auto"/>
              </w:rPr>
            </w:pPr>
            <w:r>
              <w:rPr>
                <w:rFonts w:hint="eastAsia"/>
                <w:color w:val="auto"/>
              </w:rPr>
              <w:t>恶劣天气（雷电、大风、大雨等）</w:t>
            </w:r>
          </w:p>
        </w:tc>
        <w:tc>
          <w:tcPr>
            <w:tcW w:w="805" w:type="pct"/>
            <w:vAlign w:val="center"/>
          </w:tcPr>
          <w:p w14:paraId="16FD3D80">
            <w:pPr>
              <w:pStyle w:val="91"/>
              <w:jc w:val="left"/>
              <w:rPr>
                <w:color w:val="auto"/>
              </w:rPr>
            </w:pPr>
            <w:r>
              <w:rPr>
                <w:rFonts w:hint="eastAsia"/>
                <w:color w:val="auto"/>
              </w:rPr>
              <w:t>1、起重伤害</w:t>
            </w:r>
          </w:p>
        </w:tc>
        <w:tc>
          <w:tcPr>
            <w:tcW w:w="387" w:type="pct"/>
            <w:vAlign w:val="center"/>
          </w:tcPr>
          <w:p w14:paraId="0C2D2115">
            <w:pPr>
              <w:pStyle w:val="91"/>
              <w:rPr>
                <w:color w:val="auto"/>
                <w:szCs w:val="21"/>
              </w:rPr>
            </w:pPr>
            <w:r>
              <w:rPr>
                <w:color w:val="auto"/>
                <w:szCs w:val="21"/>
              </w:rPr>
              <w:t>3</w:t>
            </w:r>
          </w:p>
        </w:tc>
        <w:tc>
          <w:tcPr>
            <w:tcW w:w="415" w:type="pct"/>
            <w:vAlign w:val="center"/>
          </w:tcPr>
          <w:p w14:paraId="3A5AE457">
            <w:pPr>
              <w:pStyle w:val="91"/>
              <w:rPr>
                <w:color w:val="auto"/>
                <w:szCs w:val="21"/>
              </w:rPr>
            </w:pPr>
            <w:r>
              <w:rPr>
                <w:color w:val="auto"/>
                <w:szCs w:val="21"/>
              </w:rPr>
              <w:t>6</w:t>
            </w:r>
          </w:p>
        </w:tc>
        <w:tc>
          <w:tcPr>
            <w:tcW w:w="415" w:type="pct"/>
            <w:vAlign w:val="center"/>
          </w:tcPr>
          <w:p w14:paraId="4BF6C2E8">
            <w:pPr>
              <w:pStyle w:val="91"/>
              <w:rPr>
                <w:color w:val="auto"/>
                <w:szCs w:val="21"/>
              </w:rPr>
            </w:pPr>
            <w:r>
              <w:rPr>
                <w:color w:val="auto"/>
                <w:szCs w:val="21"/>
              </w:rPr>
              <w:t>7</w:t>
            </w:r>
          </w:p>
        </w:tc>
        <w:tc>
          <w:tcPr>
            <w:tcW w:w="520" w:type="pct"/>
            <w:vAlign w:val="center"/>
          </w:tcPr>
          <w:p w14:paraId="54A02E4C">
            <w:pPr>
              <w:pStyle w:val="91"/>
              <w:rPr>
                <w:color w:val="auto"/>
                <w:szCs w:val="21"/>
              </w:rPr>
            </w:pPr>
            <w:r>
              <w:rPr>
                <w:color w:val="auto"/>
                <w:szCs w:val="21"/>
              </w:rPr>
              <w:t>126</w:t>
            </w:r>
          </w:p>
        </w:tc>
        <w:tc>
          <w:tcPr>
            <w:tcW w:w="624" w:type="pct"/>
            <w:vAlign w:val="center"/>
          </w:tcPr>
          <w:p w14:paraId="201D08A8">
            <w:pPr>
              <w:pStyle w:val="91"/>
              <w:rPr>
                <w:color w:val="auto"/>
                <w:szCs w:val="21"/>
              </w:rPr>
            </w:pPr>
            <w:r>
              <w:rPr>
                <w:color w:val="auto"/>
                <w:szCs w:val="21"/>
              </w:rPr>
              <w:t>3</w:t>
            </w:r>
          </w:p>
        </w:tc>
      </w:tr>
      <w:tr w14:paraId="1E16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35EFA83A">
            <w:pPr>
              <w:pStyle w:val="91"/>
              <w:rPr>
                <w:color w:val="auto"/>
              </w:rPr>
            </w:pPr>
            <w:r>
              <w:rPr>
                <w:rFonts w:hint="eastAsia"/>
                <w:color w:val="auto"/>
              </w:rPr>
              <w:t>1</w:t>
            </w:r>
            <w:r>
              <w:rPr>
                <w:color w:val="auto"/>
              </w:rPr>
              <w:t>0</w:t>
            </w:r>
          </w:p>
        </w:tc>
        <w:tc>
          <w:tcPr>
            <w:tcW w:w="1437" w:type="pct"/>
            <w:vMerge w:val="continue"/>
            <w:vAlign w:val="center"/>
          </w:tcPr>
          <w:p w14:paraId="46157E3B">
            <w:pPr>
              <w:pStyle w:val="91"/>
              <w:rPr>
                <w:color w:val="auto"/>
              </w:rPr>
            </w:pPr>
          </w:p>
        </w:tc>
        <w:tc>
          <w:tcPr>
            <w:tcW w:w="805" w:type="pct"/>
            <w:vAlign w:val="center"/>
          </w:tcPr>
          <w:p w14:paraId="41986A03">
            <w:pPr>
              <w:pStyle w:val="91"/>
              <w:jc w:val="left"/>
              <w:rPr>
                <w:color w:val="auto"/>
              </w:rPr>
            </w:pPr>
            <w:r>
              <w:rPr>
                <w:rFonts w:hint="eastAsia"/>
                <w:color w:val="auto"/>
              </w:rPr>
              <w:t>2、物体打击</w:t>
            </w:r>
          </w:p>
        </w:tc>
        <w:tc>
          <w:tcPr>
            <w:tcW w:w="387" w:type="pct"/>
            <w:vAlign w:val="center"/>
          </w:tcPr>
          <w:p w14:paraId="0F27C0FF">
            <w:pPr>
              <w:pStyle w:val="91"/>
              <w:rPr>
                <w:color w:val="auto"/>
                <w:szCs w:val="21"/>
              </w:rPr>
            </w:pPr>
            <w:r>
              <w:rPr>
                <w:color w:val="auto"/>
                <w:szCs w:val="21"/>
              </w:rPr>
              <w:t>3</w:t>
            </w:r>
          </w:p>
        </w:tc>
        <w:tc>
          <w:tcPr>
            <w:tcW w:w="415" w:type="pct"/>
            <w:vAlign w:val="center"/>
          </w:tcPr>
          <w:p w14:paraId="0323AA31">
            <w:pPr>
              <w:pStyle w:val="91"/>
              <w:rPr>
                <w:color w:val="auto"/>
                <w:szCs w:val="21"/>
              </w:rPr>
            </w:pPr>
            <w:r>
              <w:rPr>
                <w:color w:val="auto"/>
                <w:szCs w:val="21"/>
              </w:rPr>
              <w:t>6</w:t>
            </w:r>
          </w:p>
        </w:tc>
        <w:tc>
          <w:tcPr>
            <w:tcW w:w="415" w:type="pct"/>
            <w:vAlign w:val="center"/>
          </w:tcPr>
          <w:p w14:paraId="0A44CC15">
            <w:pPr>
              <w:pStyle w:val="91"/>
              <w:rPr>
                <w:color w:val="auto"/>
                <w:szCs w:val="21"/>
              </w:rPr>
            </w:pPr>
            <w:r>
              <w:rPr>
                <w:color w:val="auto"/>
                <w:szCs w:val="21"/>
              </w:rPr>
              <w:t>3</w:t>
            </w:r>
          </w:p>
        </w:tc>
        <w:tc>
          <w:tcPr>
            <w:tcW w:w="520" w:type="pct"/>
            <w:vAlign w:val="center"/>
          </w:tcPr>
          <w:p w14:paraId="0C55F08A">
            <w:pPr>
              <w:pStyle w:val="91"/>
              <w:rPr>
                <w:color w:val="auto"/>
                <w:szCs w:val="21"/>
              </w:rPr>
            </w:pPr>
            <w:r>
              <w:rPr>
                <w:color w:val="auto"/>
                <w:szCs w:val="21"/>
              </w:rPr>
              <w:t>54</w:t>
            </w:r>
          </w:p>
        </w:tc>
        <w:tc>
          <w:tcPr>
            <w:tcW w:w="624" w:type="pct"/>
            <w:vAlign w:val="center"/>
          </w:tcPr>
          <w:p w14:paraId="57F99D5D">
            <w:pPr>
              <w:pStyle w:val="91"/>
              <w:rPr>
                <w:color w:val="auto"/>
                <w:szCs w:val="21"/>
              </w:rPr>
            </w:pPr>
            <w:r>
              <w:rPr>
                <w:color w:val="auto"/>
                <w:szCs w:val="21"/>
              </w:rPr>
              <w:t>2</w:t>
            </w:r>
          </w:p>
        </w:tc>
      </w:tr>
      <w:tr w14:paraId="5879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6C122FF7">
            <w:pPr>
              <w:pStyle w:val="91"/>
              <w:rPr>
                <w:color w:val="auto"/>
              </w:rPr>
            </w:pPr>
            <w:r>
              <w:rPr>
                <w:rFonts w:hint="eastAsia"/>
                <w:color w:val="auto"/>
              </w:rPr>
              <w:t>1</w:t>
            </w:r>
            <w:r>
              <w:rPr>
                <w:color w:val="auto"/>
              </w:rPr>
              <w:t>1</w:t>
            </w:r>
          </w:p>
        </w:tc>
        <w:tc>
          <w:tcPr>
            <w:tcW w:w="1437" w:type="pct"/>
            <w:vMerge w:val="continue"/>
            <w:vAlign w:val="center"/>
          </w:tcPr>
          <w:p w14:paraId="10C6F571">
            <w:pPr>
              <w:pStyle w:val="91"/>
              <w:rPr>
                <w:color w:val="auto"/>
              </w:rPr>
            </w:pPr>
          </w:p>
        </w:tc>
        <w:tc>
          <w:tcPr>
            <w:tcW w:w="805" w:type="pct"/>
            <w:vAlign w:val="center"/>
          </w:tcPr>
          <w:p w14:paraId="3BC2BA4E">
            <w:pPr>
              <w:pStyle w:val="91"/>
              <w:jc w:val="left"/>
              <w:rPr>
                <w:color w:val="auto"/>
              </w:rPr>
            </w:pPr>
            <w:r>
              <w:rPr>
                <w:rFonts w:hint="eastAsia"/>
                <w:color w:val="auto"/>
              </w:rPr>
              <w:t>3、高处坠落</w:t>
            </w:r>
          </w:p>
        </w:tc>
        <w:tc>
          <w:tcPr>
            <w:tcW w:w="387" w:type="pct"/>
            <w:vAlign w:val="center"/>
          </w:tcPr>
          <w:p w14:paraId="38721C67">
            <w:pPr>
              <w:pStyle w:val="91"/>
              <w:rPr>
                <w:color w:val="auto"/>
                <w:szCs w:val="21"/>
              </w:rPr>
            </w:pPr>
            <w:r>
              <w:rPr>
                <w:color w:val="auto"/>
                <w:szCs w:val="21"/>
              </w:rPr>
              <w:t>3</w:t>
            </w:r>
          </w:p>
        </w:tc>
        <w:tc>
          <w:tcPr>
            <w:tcW w:w="415" w:type="pct"/>
            <w:vAlign w:val="center"/>
          </w:tcPr>
          <w:p w14:paraId="0CB85BA3">
            <w:pPr>
              <w:pStyle w:val="91"/>
              <w:rPr>
                <w:color w:val="auto"/>
                <w:szCs w:val="21"/>
              </w:rPr>
            </w:pPr>
            <w:r>
              <w:rPr>
                <w:color w:val="auto"/>
                <w:szCs w:val="21"/>
              </w:rPr>
              <w:t>3</w:t>
            </w:r>
          </w:p>
        </w:tc>
        <w:tc>
          <w:tcPr>
            <w:tcW w:w="415" w:type="pct"/>
            <w:vAlign w:val="center"/>
          </w:tcPr>
          <w:p w14:paraId="17A022E1">
            <w:pPr>
              <w:pStyle w:val="91"/>
              <w:rPr>
                <w:color w:val="auto"/>
                <w:szCs w:val="21"/>
              </w:rPr>
            </w:pPr>
            <w:r>
              <w:rPr>
                <w:color w:val="auto"/>
                <w:szCs w:val="21"/>
              </w:rPr>
              <w:t>15</w:t>
            </w:r>
          </w:p>
        </w:tc>
        <w:tc>
          <w:tcPr>
            <w:tcW w:w="520" w:type="pct"/>
            <w:vAlign w:val="center"/>
          </w:tcPr>
          <w:p w14:paraId="7566E116">
            <w:pPr>
              <w:pStyle w:val="91"/>
              <w:rPr>
                <w:color w:val="auto"/>
                <w:szCs w:val="21"/>
              </w:rPr>
            </w:pPr>
            <w:r>
              <w:rPr>
                <w:color w:val="auto"/>
                <w:szCs w:val="21"/>
              </w:rPr>
              <w:t>135</w:t>
            </w:r>
          </w:p>
        </w:tc>
        <w:tc>
          <w:tcPr>
            <w:tcW w:w="624" w:type="pct"/>
            <w:vAlign w:val="center"/>
          </w:tcPr>
          <w:p w14:paraId="06D5F08C">
            <w:pPr>
              <w:pStyle w:val="91"/>
              <w:rPr>
                <w:color w:val="auto"/>
                <w:szCs w:val="21"/>
              </w:rPr>
            </w:pPr>
            <w:r>
              <w:rPr>
                <w:color w:val="auto"/>
                <w:szCs w:val="21"/>
              </w:rPr>
              <w:t>3</w:t>
            </w:r>
          </w:p>
        </w:tc>
      </w:tr>
      <w:tr w14:paraId="6F91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568158D8">
            <w:pPr>
              <w:pStyle w:val="91"/>
              <w:rPr>
                <w:color w:val="auto"/>
              </w:rPr>
            </w:pPr>
            <w:r>
              <w:rPr>
                <w:rFonts w:hint="eastAsia"/>
                <w:color w:val="auto"/>
              </w:rPr>
              <w:t>12</w:t>
            </w:r>
          </w:p>
        </w:tc>
        <w:tc>
          <w:tcPr>
            <w:tcW w:w="1437" w:type="pct"/>
            <w:vMerge w:val="continue"/>
            <w:vAlign w:val="center"/>
          </w:tcPr>
          <w:p w14:paraId="3B3A3AA6">
            <w:pPr>
              <w:pStyle w:val="91"/>
              <w:rPr>
                <w:color w:val="auto"/>
              </w:rPr>
            </w:pPr>
          </w:p>
        </w:tc>
        <w:tc>
          <w:tcPr>
            <w:tcW w:w="805" w:type="pct"/>
            <w:vAlign w:val="center"/>
          </w:tcPr>
          <w:p w14:paraId="43E8C686">
            <w:pPr>
              <w:pStyle w:val="91"/>
              <w:jc w:val="left"/>
              <w:rPr>
                <w:color w:val="auto"/>
              </w:rPr>
            </w:pPr>
            <w:r>
              <w:rPr>
                <w:rFonts w:hint="eastAsia"/>
                <w:color w:val="auto"/>
              </w:rPr>
              <w:t>4、坍塌</w:t>
            </w:r>
          </w:p>
        </w:tc>
        <w:tc>
          <w:tcPr>
            <w:tcW w:w="387" w:type="pct"/>
            <w:vAlign w:val="center"/>
          </w:tcPr>
          <w:p w14:paraId="5414E2D0">
            <w:pPr>
              <w:pStyle w:val="91"/>
              <w:rPr>
                <w:color w:val="auto"/>
                <w:szCs w:val="21"/>
              </w:rPr>
            </w:pPr>
            <w:r>
              <w:rPr>
                <w:color w:val="auto"/>
                <w:szCs w:val="21"/>
              </w:rPr>
              <w:t>1</w:t>
            </w:r>
          </w:p>
        </w:tc>
        <w:tc>
          <w:tcPr>
            <w:tcW w:w="415" w:type="pct"/>
            <w:vAlign w:val="center"/>
          </w:tcPr>
          <w:p w14:paraId="404E2120">
            <w:pPr>
              <w:pStyle w:val="91"/>
              <w:rPr>
                <w:color w:val="auto"/>
                <w:szCs w:val="21"/>
              </w:rPr>
            </w:pPr>
            <w:r>
              <w:rPr>
                <w:color w:val="auto"/>
                <w:szCs w:val="21"/>
              </w:rPr>
              <w:t>6</w:t>
            </w:r>
          </w:p>
        </w:tc>
        <w:tc>
          <w:tcPr>
            <w:tcW w:w="415" w:type="pct"/>
            <w:vAlign w:val="center"/>
          </w:tcPr>
          <w:p w14:paraId="1059A11E">
            <w:pPr>
              <w:pStyle w:val="91"/>
              <w:rPr>
                <w:color w:val="auto"/>
                <w:szCs w:val="21"/>
              </w:rPr>
            </w:pPr>
            <w:r>
              <w:rPr>
                <w:color w:val="auto"/>
                <w:szCs w:val="21"/>
              </w:rPr>
              <w:t>15</w:t>
            </w:r>
          </w:p>
        </w:tc>
        <w:tc>
          <w:tcPr>
            <w:tcW w:w="520" w:type="pct"/>
            <w:vAlign w:val="center"/>
          </w:tcPr>
          <w:p w14:paraId="5986C33B">
            <w:pPr>
              <w:pStyle w:val="91"/>
              <w:rPr>
                <w:color w:val="auto"/>
                <w:szCs w:val="21"/>
              </w:rPr>
            </w:pPr>
            <w:r>
              <w:rPr>
                <w:color w:val="auto"/>
                <w:szCs w:val="21"/>
              </w:rPr>
              <w:t>90</w:t>
            </w:r>
          </w:p>
        </w:tc>
        <w:tc>
          <w:tcPr>
            <w:tcW w:w="624" w:type="pct"/>
            <w:vAlign w:val="center"/>
          </w:tcPr>
          <w:p w14:paraId="21FC8547">
            <w:pPr>
              <w:pStyle w:val="91"/>
              <w:rPr>
                <w:color w:val="auto"/>
                <w:szCs w:val="21"/>
              </w:rPr>
            </w:pPr>
            <w:r>
              <w:rPr>
                <w:color w:val="auto"/>
                <w:szCs w:val="21"/>
              </w:rPr>
              <w:t>3</w:t>
            </w:r>
          </w:p>
        </w:tc>
      </w:tr>
      <w:tr w14:paraId="212B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44F0AE35">
            <w:pPr>
              <w:pStyle w:val="91"/>
              <w:rPr>
                <w:color w:val="auto"/>
              </w:rPr>
            </w:pPr>
            <w:r>
              <w:rPr>
                <w:rFonts w:hint="eastAsia"/>
                <w:color w:val="auto"/>
              </w:rPr>
              <w:t>13</w:t>
            </w:r>
          </w:p>
        </w:tc>
        <w:tc>
          <w:tcPr>
            <w:tcW w:w="1437" w:type="pct"/>
            <w:vMerge w:val="continue"/>
            <w:vAlign w:val="center"/>
          </w:tcPr>
          <w:p w14:paraId="60580CEE">
            <w:pPr>
              <w:pStyle w:val="91"/>
              <w:rPr>
                <w:color w:val="auto"/>
              </w:rPr>
            </w:pPr>
          </w:p>
        </w:tc>
        <w:tc>
          <w:tcPr>
            <w:tcW w:w="805" w:type="pct"/>
            <w:vAlign w:val="center"/>
          </w:tcPr>
          <w:p w14:paraId="2CF4F2F5">
            <w:pPr>
              <w:pStyle w:val="91"/>
              <w:jc w:val="left"/>
              <w:rPr>
                <w:color w:val="auto"/>
              </w:rPr>
            </w:pPr>
            <w:r>
              <w:rPr>
                <w:rFonts w:hint="eastAsia"/>
                <w:color w:val="auto"/>
              </w:rPr>
              <w:t>5</w:t>
            </w:r>
            <w:r>
              <w:rPr>
                <w:color w:val="auto"/>
              </w:rPr>
              <w:t>、</w:t>
            </w:r>
            <w:r>
              <w:rPr>
                <w:rFonts w:hint="eastAsia"/>
                <w:color w:val="auto"/>
              </w:rPr>
              <w:t>淹溺</w:t>
            </w:r>
          </w:p>
        </w:tc>
        <w:tc>
          <w:tcPr>
            <w:tcW w:w="387" w:type="pct"/>
            <w:vAlign w:val="center"/>
          </w:tcPr>
          <w:p w14:paraId="4C197B71">
            <w:pPr>
              <w:pStyle w:val="91"/>
              <w:rPr>
                <w:color w:val="auto"/>
                <w:szCs w:val="21"/>
              </w:rPr>
            </w:pPr>
            <w:r>
              <w:rPr>
                <w:color w:val="auto"/>
                <w:szCs w:val="21"/>
              </w:rPr>
              <w:t>1</w:t>
            </w:r>
          </w:p>
        </w:tc>
        <w:tc>
          <w:tcPr>
            <w:tcW w:w="415" w:type="pct"/>
            <w:vAlign w:val="center"/>
          </w:tcPr>
          <w:p w14:paraId="08A1811C">
            <w:pPr>
              <w:pStyle w:val="91"/>
              <w:rPr>
                <w:color w:val="auto"/>
                <w:szCs w:val="21"/>
              </w:rPr>
            </w:pPr>
            <w:r>
              <w:rPr>
                <w:color w:val="auto"/>
                <w:szCs w:val="21"/>
              </w:rPr>
              <w:t>3</w:t>
            </w:r>
          </w:p>
        </w:tc>
        <w:tc>
          <w:tcPr>
            <w:tcW w:w="415" w:type="pct"/>
            <w:vAlign w:val="center"/>
          </w:tcPr>
          <w:p w14:paraId="36E2C798">
            <w:pPr>
              <w:pStyle w:val="91"/>
              <w:rPr>
                <w:color w:val="auto"/>
                <w:szCs w:val="21"/>
              </w:rPr>
            </w:pPr>
            <w:r>
              <w:rPr>
                <w:color w:val="auto"/>
                <w:szCs w:val="21"/>
              </w:rPr>
              <w:t>15</w:t>
            </w:r>
          </w:p>
        </w:tc>
        <w:tc>
          <w:tcPr>
            <w:tcW w:w="520" w:type="pct"/>
            <w:vAlign w:val="center"/>
          </w:tcPr>
          <w:p w14:paraId="350FE371">
            <w:pPr>
              <w:pStyle w:val="91"/>
              <w:rPr>
                <w:color w:val="auto"/>
                <w:szCs w:val="21"/>
              </w:rPr>
            </w:pPr>
            <w:r>
              <w:rPr>
                <w:color w:val="auto"/>
                <w:szCs w:val="21"/>
              </w:rPr>
              <w:t>45</w:t>
            </w:r>
          </w:p>
        </w:tc>
        <w:tc>
          <w:tcPr>
            <w:tcW w:w="624" w:type="pct"/>
            <w:vAlign w:val="center"/>
          </w:tcPr>
          <w:p w14:paraId="3D953BFE">
            <w:pPr>
              <w:pStyle w:val="91"/>
              <w:rPr>
                <w:color w:val="auto"/>
                <w:szCs w:val="21"/>
              </w:rPr>
            </w:pPr>
            <w:r>
              <w:rPr>
                <w:color w:val="auto"/>
                <w:szCs w:val="21"/>
              </w:rPr>
              <w:t>2</w:t>
            </w:r>
          </w:p>
        </w:tc>
      </w:tr>
      <w:tr w14:paraId="3F71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18FD8894">
            <w:pPr>
              <w:pStyle w:val="91"/>
              <w:rPr>
                <w:color w:val="auto"/>
              </w:rPr>
            </w:pPr>
            <w:r>
              <w:rPr>
                <w:rFonts w:hint="eastAsia"/>
                <w:color w:val="auto"/>
              </w:rPr>
              <w:t>14</w:t>
            </w:r>
          </w:p>
        </w:tc>
        <w:tc>
          <w:tcPr>
            <w:tcW w:w="1437" w:type="pct"/>
            <w:vMerge w:val="continue"/>
            <w:vAlign w:val="center"/>
          </w:tcPr>
          <w:p w14:paraId="516D5082">
            <w:pPr>
              <w:pStyle w:val="91"/>
              <w:rPr>
                <w:color w:val="auto"/>
              </w:rPr>
            </w:pPr>
          </w:p>
        </w:tc>
        <w:tc>
          <w:tcPr>
            <w:tcW w:w="805" w:type="pct"/>
            <w:vAlign w:val="center"/>
          </w:tcPr>
          <w:p w14:paraId="69B674A6">
            <w:pPr>
              <w:pStyle w:val="91"/>
              <w:jc w:val="left"/>
              <w:rPr>
                <w:color w:val="auto"/>
              </w:rPr>
            </w:pPr>
            <w:r>
              <w:rPr>
                <w:color w:val="auto"/>
              </w:rPr>
              <w:t>6</w:t>
            </w:r>
            <w:r>
              <w:rPr>
                <w:rFonts w:hint="eastAsia"/>
                <w:color w:val="auto"/>
              </w:rPr>
              <w:t>、其他伤害</w:t>
            </w:r>
          </w:p>
        </w:tc>
        <w:tc>
          <w:tcPr>
            <w:tcW w:w="387" w:type="pct"/>
            <w:vAlign w:val="center"/>
          </w:tcPr>
          <w:p w14:paraId="17A5F3F3">
            <w:pPr>
              <w:pStyle w:val="91"/>
              <w:rPr>
                <w:color w:val="auto"/>
                <w:szCs w:val="21"/>
              </w:rPr>
            </w:pPr>
            <w:r>
              <w:rPr>
                <w:rFonts w:hint="eastAsia"/>
                <w:color w:val="auto"/>
                <w:szCs w:val="21"/>
              </w:rPr>
              <w:t>1</w:t>
            </w:r>
          </w:p>
        </w:tc>
        <w:tc>
          <w:tcPr>
            <w:tcW w:w="415" w:type="pct"/>
            <w:vAlign w:val="center"/>
          </w:tcPr>
          <w:p w14:paraId="548C7D7A">
            <w:pPr>
              <w:pStyle w:val="91"/>
              <w:rPr>
                <w:color w:val="auto"/>
                <w:szCs w:val="21"/>
              </w:rPr>
            </w:pPr>
            <w:r>
              <w:rPr>
                <w:rFonts w:hint="eastAsia"/>
                <w:color w:val="auto"/>
                <w:szCs w:val="21"/>
              </w:rPr>
              <w:t>2</w:t>
            </w:r>
          </w:p>
        </w:tc>
        <w:tc>
          <w:tcPr>
            <w:tcW w:w="415" w:type="pct"/>
            <w:vAlign w:val="center"/>
          </w:tcPr>
          <w:p w14:paraId="2CB6A71C">
            <w:pPr>
              <w:pStyle w:val="91"/>
              <w:rPr>
                <w:color w:val="auto"/>
                <w:szCs w:val="21"/>
              </w:rPr>
            </w:pPr>
            <w:r>
              <w:rPr>
                <w:rFonts w:hint="eastAsia"/>
                <w:color w:val="auto"/>
                <w:szCs w:val="21"/>
              </w:rPr>
              <w:t>7</w:t>
            </w:r>
          </w:p>
        </w:tc>
        <w:tc>
          <w:tcPr>
            <w:tcW w:w="520" w:type="pct"/>
            <w:vAlign w:val="center"/>
          </w:tcPr>
          <w:p w14:paraId="7635A553">
            <w:pPr>
              <w:pStyle w:val="91"/>
              <w:rPr>
                <w:color w:val="auto"/>
                <w:szCs w:val="21"/>
              </w:rPr>
            </w:pPr>
            <w:r>
              <w:rPr>
                <w:rFonts w:hint="eastAsia"/>
                <w:color w:val="auto"/>
                <w:szCs w:val="21"/>
              </w:rPr>
              <w:t>14</w:t>
            </w:r>
          </w:p>
        </w:tc>
        <w:tc>
          <w:tcPr>
            <w:tcW w:w="624" w:type="pct"/>
            <w:vAlign w:val="center"/>
          </w:tcPr>
          <w:p w14:paraId="03145E49">
            <w:pPr>
              <w:pStyle w:val="91"/>
              <w:rPr>
                <w:color w:val="auto"/>
                <w:szCs w:val="21"/>
              </w:rPr>
            </w:pPr>
            <w:r>
              <w:rPr>
                <w:rFonts w:hint="eastAsia"/>
                <w:color w:val="auto"/>
                <w:szCs w:val="21"/>
              </w:rPr>
              <w:t>1</w:t>
            </w:r>
          </w:p>
        </w:tc>
      </w:tr>
    </w:tbl>
    <w:p w14:paraId="25AB60E1">
      <w:pPr>
        <w:pStyle w:val="91"/>
        <w:spacing w:line="360" w:lineRule="auto"/>
        <w:rPr>
          <w:color w:val="auto"/>
        </w:rPr>
      </w:pPr>
    </w:p>
    <w:p w14:paraId="0D58F68E">
      <w:pPr>
        <w:pStyle w:val="91"/>
        <w:spacing w:line="360" w:lineRule="auto"/>
        <w:rPr>
          <w:color w:val="auto"/>
        </w:rPr>
      </w:pPr>
      <w:r>
        <w:rPr>
          <w:color w:val="auto"/>
        </w:rPr>
        <w:drawing>
          <wp:inline distT="0" distB="0" distL="114300" distR="114300">
            <wp:extent cx="4946650" cy="2811145"/>
            <wp:effectExtent l="0" t="0" r="6350" b="8255"/>
            <wp:docPr id="61" name="图片 14" descr="VU0VPUQFA748BMNLFZW92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VU0VPUQFA748BMNLFZW92KU"/>
                    <pic:cNvPicPr>
                      <a:picLocks noChangeAspect="1"/>
                    </pic:cNvPicPr>
                  </pic:nvPicPr>
                  <pic:blipFill>
                    <a:blip r:embed="rId156"/>
                    <a:srcRect t="6262"/>
                    <a:stretch>
                      <a:fillRect/>
                    </a:stretch>
                  </pic:blipFill>
                  <pic:spPr>
                    <a:xfrm>
                      <a:off x="0" y="0"/>
                      <a:ext cx="4946650" cy="2811145"/>
                    </a:xfrm>
                    <a:prstGeom prst="rect">
                      <a:avLst/>
                    </a:prstGeom>
                    <a:noFill/>
                    <a:ln>
                      <a:noFill/>
                    </a:ln>
                  </pic:spPr>
                </pic:pic>
              </a:graphicData>
            </a:graphic>
          </wp:inline>
        </w:drawing>
      </w:r>
    </w:p>
    <w:p w14:paraId="28F74CDA">
      <w:pPr>
        <w:ind w:firstLine="480"/>
        <w:jc w:val="center"/>
        <w:rPr>
          <w:rFonts w:hint="eastAsia"/>
          <w:color w:val="auto"/>
        </w:rPr>
      </w:pPr>
      <w:r>
        <w:rPr>
          <w:rFonts w:hint="eastAsia"/>
          <w:color w:val="auto"/>
        </w:rPr>
        <w:t>图9.3-1风险因素风险评估汇总图</w:t>
      </w:r>
    </w:p>
    <w:p w14:paraId="324C0191">
      <w:pPr>
        <w:ind w:firstLine="480"/>
        <w:rPr>
          <w:rFonts w:hint="eastAsia"/>
          <w:color w:val="auto"/>
        </w:rPr>
      </w:pPr>
      <w:r>
        <w:rPr>
          <w:rFonts w:hint="eastAsia"/>
          <w:color w:val="auto"/>
        </w:rPr>
        <w:t>根据以上分析，高处坠落、起重伤害、坍塌的D值在70～160之间，属于3级风险源，属显著危险，应采取有效措施，予以重点控制。</w:t>
      </w:r>
    </w:p>
    <w:p w14:paraId="28E4DE43">
      <w:pPr>
        <w:ind w:firstLine="480"/>
        <w:rPr>
          <w:rFonts w:hint="eastAsia"/>
          <w:color w:val="auto"/>
        </w:rPr>
      </w:pPr>
      <w:r>
        <w:rPr>
          <w:rFonts w:hint="eastAsia"/>
          <w:color w:val="auto"/>
        </w:rPr>
        <w:t>物体打击、机械伤害、触电、淹溺、火灾爆炸的D值在20～70之间，属于一般风险源，比较危险，需要注意，用项目部现有制度进行预防和控制。</w:t>
      </w:r>
    </w:p>
    <w:p w14:paraId="6F2F67DC">
      <w:pPr>
        <w:ind w:firstLine="480"/>
        <w:rPr>
          <w:rFonts w:hint="eastAsia"/>
          <w:color w:val="auto"/>
        </w:rPr>
      </w:pPr>
      <w:r>
        <w:rPr>
          <w:rFonts w:hint="eastAsia"/>
          <w:color w:val="auto"/>
        </w:rPr>
        <w:t>车辆伤害、中毒窒息和其他伤害的D值小于20，属Ⅰ级风险源，稍有危险，利用项目部现有制度进行预防和控制即可。</w:t>
      </w:r>
    </w:p>
    <w:p w14:paraId="08B0539E">
      <w:pPr>
        <w:pStyle w:val="3"/>
        <w:ind w:left="480"/>
        <w:rPr>
          <w:rFonts w:hint="eastAsia"/>
          <w:color w:val="auto"/>
        </w:rPr>
      </w:pPr>
      <w:bookmarkStart w:id="525" w:name="_Toc14754"/>
      <w:bookmarkStart w:id="526" w:name="_Toc31427"/>
      <w:bookmarkStart w:id="527" w:name="_Toc533610115"/>
      <w:bookmarkStart w:id="528" w:name="_Toc28445_WPSOffice_Level2"/>
      <w:bookmarkStart w:id="529" w:name="_Toc30055"/>
      <w:bookmarkStart w:id="530" w:name="_Toc28299"/>
      <w:bookmarkStart w:id="531" w:name="_Toc529200609"/>
      <w:bookmarkStart w:id="532" w:name="_Toc182895426"/>
      <w:bookmarkStart w:id="533" w:name="_Toc3062"/>
      <w:bookmarkStart w:id="534" w:name="_Toc180"/>
      <w:bookmarkStart w:id="535" w:name="_Toc15935_WPSOffice_Level2"/>
      <w:bookmarkStart w:id="536" w:name="_Toc10051"/>
      <w:bookmarkStart w:id="537" w:name="_Toc20886"/>
      <w:r>
        <w:rPr>
          <w:rFonts w:hint="eastAsia"/>
          <w:color w:val="auto"/>
        </w:rPr>
        <w:t>9.</w:t>
      </w:r>
      <w:r>
        <w:rPr>
          <w:color w:val="auto"/>
        </w:rPr>
        <w:t xml:space="preserve">4 </w:t>
      </w:r>
      <w:r>
        <w:rPr>
          <w:rFonts w:hint="eastAsia"/>
          <w:color w:val="auto"/>
        </w:rPr>
        <w:t>重大风险源控制措施</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6F848F11">
      <w:pPr>
        <w:pStyle w:val="4"/>
        <w:ind w:firstLine="482"/>
        <w:rPr>
          <w:rFonts w:hint="eastAsia"/>
          <w:color w:val="auto"/>
        </w:rPr>
      </w:pPr>
      <w:bookmarkStart w:id="538" w:name="_Toc7775"/>
      <w:bookmarkStart w:id="539" w:name="_Toc17150"/>
      <w:r>
        <w:rPr>
          <w:rFonts w:hint="eastAsia"/>
          <w:color w:val="auto"/>
        </w:rPr>
        <w:t>9.4.1</w:t>
      </w:r>
      <w:r>
        <w:rPr>
          <w:color w:val="auto"/>
        </w:rPr>
        <w:t xml:space="preserve"> </w:t>
      </w:r>
      <w:r>
        <w:rPr>
          <w:rFonts w:hint="eastAsia"/>
          <w:color w:val="auto"/>
        </w:rPr>
        <w:t>高处坠落安全控制措施</w:t>
      </w:r>
      <w:bookmarkEnd w:id="538"/>
      <w:bookmarkEnd w:id="539"/>
    </w:p>
    <w:p w14:paraId="4B7161A2">
      <w:pPr>
        <w:ind w:firstLine="480"/>
        <w:rPr>
          <w:rFonts w:hint="eastAsia"/>
          <w:color w:val="auto"/>
        </w:rPr>
      </w:pPr>
      <w:r>
        <w:rPr>
          <w:rFonts w:hint="eastAsia"/>
          <w:color w:val="auto"/>
        </w:rPr>
        <w:t>1、一般控制措施</w:t>
      </w:r>
    </w:p>
    <w:p w14:paraId="57BB5167">
      <w:pPr>
        <w:ind w:firstLine="480"/>
        <w:rPr>
          <w:rFonts w:hint="eastAsia"/>
          <w:color w:val="auto"/>
        </w:rPr>
      </w:pPr>
      <w:r>
        <w:rPr>
          <w:rFonts w:hint="eastAsia"/>
          <w:color w:val="auto"/>
        </w:rPr>
        <w:t>（1）从事登高作业人员，必须进行体格检查，检查不合格不得从事高空作业。</w:t>
      </w:r>
    </w:p>
    <w:p w14:paraId="482EB62F">
      <w:pPr>
        <w:ind w:firstLine="480"/>
        <w:rPr>
          <w:rFonts w:hint="eastAsia"/>
          <w:color w:val="auto"/>
        </w:rPr>
      </w:pPr>
      <w:r>
        <w:rPr>
          <w:rFonts w:hint="eastAsia"/>
          <w:color w:val="auto"/>
        </w:rPr>
        <w:t>（2）定期对个人安全防护用品、安全帽、安全带、防滑鞋的检查。</w:t>
      </w:r>
    </w:p>
    <w:p w14:paraId="430FF3C7">
      <w:pPr>
        <w:ind w:firstLine="480"/>
        <w:rPr>
          <w:rFonts w:hint="eastAsia"/>
          <w:color w:val="auto"/>
        </w:rPr>
      </w:pPr>
      <w:r>
        <w:rPr>
          <w:rFonts w:hint="eastAsia"/>
          <w:color w:val="auto"/>
        </w:rPr>
        <w:t>（3）每日上岗前，必须对高处作业安全防护设施逐一加以检查，发现有松动、变形、损坏或脱落等现象，立即修理完善。</w:t>
      </w:r>
    </w:p>
    <w:p w14:paraId="5607F6CD">
      <w:pPr>
        <w:ind w:firstLine="480"/>
        <w:rPr>
          <w:rFonts w:hint="eastAsia"/>
          <w:color w:val="auto"/>
        </w:rPr>
      </w:pPr>
      <w:r>
        <w:rPr>
          <w:rFonts w:hint="eastAsia"/>
          <w:color w:val="auto"/>
        </w:rPr>
        <w:t>（4）对高处作业的安全防护设施，做好安全监控，发现有缺陷和隐患时必须及时解决。</w:t>
      </w:r>
    </w:p>
    <w:p w14:paraId="0A940AB1">
      <w:pPr>
        <w:ind w:firstLine="480"/>
        <w:rPr>
          <w:rFonts w:hint="eastAsia"/>
          <w:color w:val="auto"/>
        </w:rPr>
      </w:pPr>
      <w:r>
        <w:rPr>
          <w:rFonts w:hint="eastAsia"/>
          <w:color w:val="auto"/>
        </w:rPr>
        <w:t>（5）在没有安全防护设施时，禁止在高处支架操作平台上支撑、挑架或未固定的构件上行走或作业。高处作业与地面的联系，必须采用通讯装置，并设专人负责。</w:t>
      </w:r>
    </w:p>
    <w:p w14:paraId="6C6AD136">
      <w:pPr>
        <w:ind w:firstLine="480"/>
        <w:rPr>
          <w:rFonts w:hint="eastAsia"/>
          <w:color w:val="auto"/>
        </w:rPr>
      </w:pPr>
      <w:r>
        <w:rPr>
          <w:rFonts w:hint="eastAsia"/>
          <w:color w:val="auto"/>
        </w:rPr>
        <w:t>（6）施工电梯必须有可靠的安全装置。</w:t>
      </w:r>
    </w:p>
    <w:p w14:paraId="58E8E533">
      <w:pPr>
        <w:ind w:firstLine="480"/>
        <w:rPr>
          <w:rFonts w:hint="eastAsia"/>
          <w:color w:val="auto"/>
        </w:rPr>
      </w:pPr>
      <w:r>
        <w:rPr>
          <w:rFonts w:hint="eastAsia"/>
          <w:color w:val="auto"/>
        </w:rPr>
        <w:t>（7）高处作业施工临边防护均采用标准1.2m防护栏杆，18cm高踢脚板。</w:t>
      </w:r>
    </w:p>
    <w:p w14:paraId="79ADB49C">
      <w:pPr>
        <w:ind w:firstLine="480"/>
        <w:rPr>
          <w:rFonts w:hint="eastAsia"/>
          <w:color w:val="auto"/>
        </w:rPr>
      </w:pPr>
      <w:r>
        <w:rPr>
          <w:rFonts w:hint="eastAsia"/>
          <w:color w:val="auto"/>
        </w:rPr>
        <w:t>2、施工现场高处坠落控制措施</w:t>
      </w:r>
    </w:p>
    <w:p w14:paraId="17F6B1C5">
      <w:pPr>
        <w:ind w:firstLine="480"/>
        <w:rPr>
          <w:rFonts w:hint="eastAsia"/>
          <w:color w:val="auto"/>
        </w:rPr>
      </w:pPr>
      <w:r>
        <w:rPr>
          <w:rFonts w:hint="eastAsia"/>
          <w:color w:val="auto"/>
        </w:rPr>
        <w:t>（1）塔机施工人员必须穿防滑鞋，危险部位作业必须系好安全带。</w:t>
      </w:r>
    </w:p>
    <w:p w14:paraId="6E0E9806">
      <w:pPr>
        <w:ind w:firstLine="480"/>
        <w:rPr>
          <w:rFonts w:hint="eastAsia"/>
          <w:color w:val="auto"/>
        </w:rPr>
      </w:pPr>
      <w:r>
        <w:rPr>
          <w:rFonts w:hint="eastAsia"/>
          <w:color w:val="auto"/>
        </w:rPr>
        <w:t>（2）夜间工作必须有足够的照明灯光。</w:t>
      </w:r>
    </w:p>
    <w:p w14:paraId="40EB06A1">
      <w:pPr>
        <w:ind w:firstLine="480"/>
        <w:rPr>
          <w:rFonts w:hint="eastAsia"/>
          <w:color w:val="auto"/>
        </w:rPr>
      </w:pPr>
      <w:r>
        <w:rPr>
          <w:rFonts w:hint="eastAsia"/>
          <w:color w:val="auto"/>
        </w:rPr>
        <w:t>（3）拆除期间一律禁止饮酒。</w:t>
      </w:r>
    </w:p>
    <w:p w14:paraId="136A306C">
      <w:pPr>
        <w:ind w:firstLine="480"/>
        <w:rPr>
          <w:rFonts w:hint="eastAsia"/>
          <w:color w:val="auto"/>
        </w:rPr>
      </w:pPr>
      <w:r>
        <w:rPr>
          <w:rFonts w:hint="eastAsia"/>
          <w:color w:val="auto"/>
        </w:rPr>
        <w:t>（4）所有作业吊车必须严格遵守安全操作规程。</w:t>
      </w:r>
    </w:p>
    <w:p w14:paraId="6BD06238">
      <w:pPr>
        <w:ind w:firstLine="480"/>
        <w:rPr>
          <w:rFonts w:hint="eastAsia"/>
          <w:color w:val="auto"/>
        </w:rPr>
      </w:pPr>
      <w:r>
        <w:rPr>
          <w:rFonts w:hint="eastAsia"/>
          <w:color w:val="auto"/>
        </w:rPr>
        <w:t>（5）工作中集中精力，不得随意开玩笑和打闹。</w:t>
      </w:r>
    </w:p>
    <w:p w14:paraId="3454E705">
      <w:pPr>
        <w:ind w:firstLine="480"/>
        <w:rPr>
          <w:rFonts w:hint="eastAsia"/>
          <w:color w:val="auto"/>
        </w:rPr>
      </w:pPr>
      <w:r>
        <w:rPr>
          <w:rFonts w:hint="eastAsia"/>
          <w:color w:val="auto"/>
        </w:rPr>
        <w:t>（6）凡大雨、大雪、大雾、大风（风速达12</w:t>
      </w:r>
      <w:r>
        <w:rPr>
          <w:color w:val="auto"/>
        </w:rPr>
        <w:t>m/s</w:t>
      </w:r>
      <w:r>
        <w:rPr>
          <w:rFonts w:hint="eastAsia"/>
          <w:color w:val="auto"/>
        </w:rPr>
        <w:t>）等天气禁止拆除塔吊。</w:t>
      </w:r>
    </w:p>
    <w:p w14:paraId="382F7B37">
      <w:pPr>
        <w:pStyle w:val="4"/>
        <w:ind w:firstLine="482"/>
        <w:rPr>
          <w:rFonts w:hint="eastAsia"/>
          <w:color w:val="auto"/>
        </w:rPr>
      </w:pPr>
      <w:bookmarkStart w:id="540" w:name="_Toc2220"/>
      <w:bookmarkStart w:id="541" w:name="_Toc31614"/>
      <w:r>
        <w:rPr>
          <w:rFonts w:hint="eastAsia"/>
          <w:color w:val="auto"/>
        </w:rPr>
        <w:t>9.4.</w:t>
      </w:r>
      <w:r>
        <w:rPr>
          <w:color w:val="auto"/>
        </w:rPr>
        <w:t>2</w:t>
      </w:r>
      <w:r>
        <w:rPr>
          <w:rFonts w:hint="eastAsia"/>
          <w:color w:val="auto"/>
        </w:rPr>
        <w:t xml:space="preserve"> 起重伤害安全控制措施</w:t>
      </w:r>
      <w:bookmarkEnd w:id="540"/>
      <w:bookmarkEnd w:id="541"/>
    </w:p>
    <w:p w14:paraId="1096C300">
      <w:pPr>
        <w:ind w:firstLine="480"/>
        <w:rPr>
          <w:rFonts w:hint="eastAsia"/>
          <w:color w:val="auto"/>
        </w:rPr>
      </w:pPr>
      <w:r>
        <w:rPr>
          <w:rFonts w:hint="eastAsia"/>
          <w:color w:val="auto"/>
        </w:rPr>
        <w:t>1、严格执行机械管理要求，性能不满足要求</w:t>
      </w:r>
      <w:r>
        <w:rPr>
          <w:color w:val="auto"/>
        </w:rPr>
        <w:t>、</w:t>
      </w:r>
      <w:r>
        <w:rPr>
          <w:rFonts w:hint="eastAsia"/>
          <w:color w:val="auto"/>
        </w:rPr>
        <w:t>状态差、车辆和操作人员证件不齐或无效的严禁进场。</w:t>
      </w:r>
    </w:p>
    <w:p w14:paraId="02C39E90">
      <w:pPr>
        <w:ind w:firstLine="480"/>
        <w:rPr>
          <w:rFonts w:hint="eastAsia"/>
          <w:color w:val="auto"/>
        </w:rPr>
      </w:pPr>
      <w:r>
        <w:rPr>
          <w:rFonts w:hint="eastAsia"/>
          <w:color w:val="auto"/>
        </w:rPr>
        <w:t>2、起重机司机、起重指挥等操作人员必须正确佩戴防护用品。</w:t>
      </w:r>
    </w:p>
    <w:p w14:paraId="25A69956">
      <w:pPr>
        <w:ind w:firstLine="480"/>
        <w:rPr>
          <w:rFonts w:hint="eastAsia"/>
          <w:color w:val="auto"/>
        </w:rPr>
      </w:pPr>
      <w:r>
        <w:rPr>
          <w:rFonts w:hint="eastAsia"/>
          <w:color w:val="auto"/>
        </w:rPr>
        <w:t>3、起重吊装作业应设警戒区域，设置警示标牌，安排专人统一指挥，严禁闲杂人员进入吊装施工现场。</w:t>
      </w:r>
    </w:p>
    <w:p w14:paraId="0355335E">
      <w:pPr>
        <w:ind w:firstLine="480"/>
        <w:rPr>
          <w:rFonts w:hint="eastAsia"/>
          <w:color w:val="auto"/>
        </w:rPr>
      </w:pPr>
      <w:r>
        <w:rPr>
          <w:rFonts w:hint="eastAsia"/>
          <w:color w:val="auto"/>
        </w:rPr>
        <w:t>4、吊装作业如遇到停电或其他特殊情况，应将重物落在地面，不得悬在空中。</w:t>
      </w:r>
    </w:p>
    <w:p w14:paraId="76A04D53">
      <w:pPr>
        <w:ind w:firstLine="480"/>
        <w:rPr>
          <w:rFonts w:hint="eastAsia"/>
          <w:color w:val="auto"/>
        </w:rPr>
      </w:pPr>
      <w:r>
        <w:rPr>
          <w:rFonts w:hint="eastAsia"/>
          <w:color w:val="auto"/>
        </w:rPr>
        <w:t>5、大雨、大雾及风力六级以上（含六级）等恶劣天气，必须停止露天起重吊装作业。</w:t>
      </w:r>
    </w:p>
    <w:p w14:paraId="7EC3617C">
      <w:pPr>
        <w:ind w:firstLine="480"/>
        <w:rPr>
          <w:rFonts w:hint="eastAsia"/>
          <w:color w:val="auto"/>
        </w:rPr>
      </w:pPr>
      <w:r>
        <w:rPr>
          <w:rFonts w:hint="eastAsia"/>
          <w:color w:val="auto"/>
        </w:rPr>
        <w:t>6、严格遵守起重安全操作规程及“十不吊”要求，严禁违章操作、违章指挥。</w:t>
      </w:r>
    </w:p>
    <w:p w14:paraId="287FDE64">
      <w:pPr>
        <w:pStyle w:val="4"/>
        <w:ind w:firstLine="482"/>
        <w:rPr>
          <w:rFonts w:hint="eastAsia"/>
          <w:color w:val="auto"/>
        </w:rPr>
      </w:pPr>
      <w:bookmarkStart w:id="542" w:name="_Toc29078"/>
      <w:bookmarkStart w:id="543" w:name="_Toc27416"/>
      <w:r>
        <w:rPr>
          <w:rFonts w:hint="eastAsia"/>
          <w:color w:val="auto"/>
        </w:rPr>
        <w:t>9.4.</w:t>
      </w:r>
      <w:r>
        <w:rPr>
          <w:color w:val="auto"/>
        </w:rPr>
        <w:t xml:space="preserve">3 </w:t>
      </w:r>
      <w:r>
        <w:rPr>
          <w:rFonts w:hint="eastAsia"/>
          <w:color w:val="auto"/>
        </w:rPr>
        <w:t>预防坍塌安全控制措施</w:t>
      </w:r>
      <w:bookmarkEnd w:id="542"/>
      <w:bookmarkEnd w:id="543"/>
    </w:p>
    <w:p w14:paraId="4C835E0C">
      <w:pPr>
        <w:ind w:firstLine="480"/>
        <w:rPr>
          <w:rFonts w:hint="eastAsia"/>
          <w:color w:val="auto"/>
        </w:rPr>
      </w:pPr>
      <w:r>
        <w:rPr>
          <w:rFonts w:hint="eastAsia"/>
          <w:color w:val="auto"/>
        </w:rPr>
        <w:t>1、一般控制措施</w:t>
      </w:r>
    </w:p>
    <w:p w14:paraId="66BBC348">
      <w:pPr>
        <w:ind w:firstLine="480"/>
        <w:rPr>
          <w:rFonts w:hint="eastAsia"/>
          <w:color w:val="auto"/>
        </w:rPr>
      </w:pPr>
      <w:r>
        <w:rPr>
          <w:rFonts w:hint="eastAsia"/>
          <w:color w:val="auto"/>
        </w:rPr>
        <w:t>（1）在塔式起重机的塔吊顶及机臂架上设置爆闪警示灯及其他警示标志。</w:t>
      </w:r>
    </w:p>
    <w:p w14:paraId="4C3F8197">
      <w:pPr>
        <w:ind w:firstLine="480"/>
        <w:rPr>
          <w:rFonts w:hint="eastAsia"/>
          <w:color w:val="auto"/>
        </w:rPr>
      </w:pPr>
      <w:r>
        <w:rPr>
          <w:rFonts w:hint="eastAsia"/>
          <w:color w:val="auto"/>
        </w:rPr>
        <w:t>（2）塔式起重机拆除时其自由高度严禁超过设计要求。</w:t>
      </w:r>
    </w:p>
    <w:p w14:paraId="3B5B4EEE">
      <w:pPr>
        <w:ind w:firstLine="480"/>
        <w:rPr>
          <w:rFonts w:hint="eastAsia"/>
          <w:color w:val="auto"/>
        </w:rPr>
      </w:pPr>
      <w:r>
        <w:rPr>
          <w:rFonts w:hint="eastAsia"/>
          <w:color w:val="auto"/>
        </w:rPr>
        <w:t>（3）附墙预埋件的焊缝必须严格检查，且预埋位置应准确。附墙拆除时，必须通过调重调整塔吊垂直度满足设计要求。</w:t>
      </w:r>
    </w:p>
    <w:p w14:paraId="38EFC878">
      <w:pPr>
        <w:ind w:firstLine="480"/>
        <w:rPr>
          <w:rFonts w:hint="eastAsia"/>
          <w:color w:val="auto"/>
        </w:rPr>
      </w:pPr>
      <w:r>
        <w:rPr>
          <w:rFonts w:hint="eastAsia"/>
          <w:color w:val="auto"/>
        </w:rPr>
        <w:t>2、施工现场防止坍塌控制措施</w:t>
      </w:r>
    </w:p>
    <w:p w14:paraId="61EA6C6C">
      <w:pPr>
        <w:ind w:firstLine="480"/>
        <w:rPr>
          <w:rFonts w:hint="eastAsia"/>
          <w:color w:val="auto"/>
        </w:rPr>
      </w:pPr>
      <w:r>
        <w:rPr>
          <w:rFonts w:hint="eastAsia"/>
          <w:color w:val="auto"/>
        </w:rPr>
        <w:t>（1）加强定期检查，由经验丰富的修理工和优秀电工组成一组，先将主钢筋绳卡固定在塔身上，便于钢丝绳“松动”，在转动滚轴就可以判断齿轮磨损情况及间隙，必要时可拆开减速机检查。</w:t>
      </w:r>
    </w:p>
    <w:p w14:paraId="794E5A5A">
      <w:pPr>
        <w:ind w:firstLine="480"/>
        <w:rPr>
          <w:rFonts w:hint="eastAsia"/>
          <w:color w:val="auto"/>
        </w:rPr>
      </w:pPr>
      <w:r>
        <w:rPr>
          <w:rFonts w:hint="eastAsia"/>
          <w:color w:val="auto"/>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DED16D8">
      <w:pPr>
        <w:ind w:firstLine="480"/>
        <w:rPr>
          <w:rFonts w:hint="eastAsia"/>
          <w:color w:val="auto"/>
        </w:rPr>
      </w:pPr>
      <w:r>
        <w:rPr>
          <w:rFonts w:hint="eastAsia"/>
          <w:color w:val="auto"/>
        </w:rPr>
        <w:t>（3）检查钢丝绳、卸夹、吊钩、吊索等，严格执行钢丝绳的磨损规定，发现绳股断裂、纤维芯损坏或者钢芯断裂而造成绳径显著减小、笼状畸变、严重扭结等问题立即更换，杜绝事故发生。</w:t>
      </w:r>
    </w:p>
    <w:p w14:paraId="1B9248E4">
      <w:pPr>
        <w:ind w:firstLine="480"/>
        <w:rPr>
          <w:rFonts w:hint="eastAsia"/>
          <w:color w:val="auto"/>
        </w:rPr>
      </w:pPr>
      <w:r>
        <w:rPr>
          <w:rFonts w:hint="eastAsia"/>
          <w:color w:val="auto"/>
        </w:rPr>
        <w:t>（4）定期用扳手检查标准节连接螺栓紧固。</w:t>
      </w:r>
    </w:p>
    <w:p w14:paraId="5603264C">
      <w:pPr>
        <w:ind w:firstLine="480"/>
        <w:rPr>
          <w:rFonts w:hint="eastAsia"/>
          <w:color w:val="auto"/>
        </w:rPr>
      </w:pPr>
      <w:r>
        <w:rPr>
          <w:rFonts w:hint="eastAsia"/>
          <w:color w:val="auto"/>
        </w:rPr>
        <w:t>（5）定期对限位器进行试验，并调试确认灵敏后作业。</w:t>
      </w:r>
    </w:p>
    <w:p w14:paraId="51E118C9">
      <w:pPr>
        <w:pStyle w:val="3"/>
        <w:ind w:left="480"/>
        <w:rPr>
          <w:rFonts w:hint="eastAsia"/>
          <w:color w:val="auto"/>
        </w:rPr>
      </w:pPr>
      <w:bookmarkStart w:id="544" w:name="_Toc29036_WPSOffice_Level2"/>
      <w:bookmarkStart w:id="545" w:name="_Toc8330"/>
      <w:bookmarkStart w:id="546" w:name="_Toc12701_WPSOffice_Level2"/>
      <w:bookmarkStart w:id="547" w:name="_Toc2520"/>
      <w:bookmarkStart w:id="548" w:name="_Toc182895427"/>
      <w:bookmarkStart w:id="549" w:name="_Toc19302"/>
      <w:bookmarkStart w:id="550" w:name="_Toc30562"/>
      <w:bookmarkStart w:id="551" w:name="_Toc529200610"/>
      <w:bookmarkStart w:id="552" w:name="_Toc533610116"/>
      <w:bookmarkStart w:id="553" w:name="_Toc25854"/>
      <w:bookmarkStart w:id="554" w:name="_Toc5122"/>
      <w:bookmarkStart w:id="555" w:name="_Toc8361"/>
      <w:bookmarkStart w:id="556" w:name="_Toc7736"/>
      <w:r>
        <w:rPr>
          <w:rFonts w:hint="eastAsia"/>
          <w:color w:val="auto"/>
        </w:rPr>
        <w:t>9.5 一般风险源控制措施</w:t>
      </w:r>
      <w:bookmarkEnd w:id="544"/>
      <w:bookmarkEnd w:id="545"/>
      <w:bookmarkEnd w:id="546"/>
      <w:bookmarkEnd w:id="547"/>
      <w:bookmarkEnd w:id="548"/>
      <w:bookmarkEnd w:id="549"/>
      <w:bookmarkEnd w:id="550"/>
      <w:bookmarkEnd w:id="551"/>
      <w:bookmarkEnd w:id="552"/>
      <w:bookmarkEnd w:id="553"/>
      <w:bookmarkEnd w:id="554"/>
      <w:bookmarkEnd w:id="555"/>
      <w:bookmarkEnd w:id="556"/>
    </w:p>
    <w:p w14:paraId="4380B56E">
      <w:pPr>
        <w:ind w:firstLine="480"/>
        <w:rPr>
          <w:rFonts w:hint="eastAsia"/>
          <w:color w:val="auto"/>
        </w:rPr>
      </w:pPr>
      <w:r>
        <w:rPr>
          <w:rFonts w:hint="eastAsia"/>
          <w:color w:val="auto"/>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3BBD11B5">
      <w:pPr>
        <w:pStyle w:val="4"/>
        <w:ind w:firstLine="482"/>
        <w:rPr>
          <w:rFonts w:hint="eastAsia" w:cs="宋体"/>
          <w:color w:val="auto"/>
        </w:rPr>
      </w:pPr>
      <w:bookmarkStart w:id="557" w:name="_Toc28121"/>
      <w:bookmarkStart w:id="558" w:name="_Toc10432"/>
      <w:r>
        <w:rPr>
          <w:rFonts w:hint="eastAsia" w:cs="宋体"/>
          <w:color w:val="auto"/>
        </w:rPr>
        <w:t>9.5.1 常规安全控制措施</w:t>
      </w:r>
      <w:bookmarkEnd w:id="557"/>
      <w:bookmarkEnd w:id="558"/>
    </w:p>
    <w:p w14:paraId="5F5D10F0">
      <w:pPr>
        <w:ind w:firstLine="480"/>
        <w:rPr>
          <w:rFonts w:hint="eastAsia"/>
          <w:color w:val="auto"/>
        </w:rPr>
      </w:pPr>
      <w:r>
        <w:rPr>
          <w:rFonts w:hint="eastAsia"/>
          <w:color w:val="auto"/>
        </w:rPr>
        <w:t>1、严格按照有关安全生产的各项规定组织施工，做到安全生产，文明施工，必须认真贯彻“安全第一、预防为主、综合治理”的方针。</w:t>
      </w:r>
    </w:p>
    <w:p w14:paraId="105FAC45">
      <w:pPr>
        <w:ind w:firstLine="480"/>
        <w:rPr>
          <w:rFonts w:hint="eastAsia"/>
          <w:color w:val="auto"/>
        </w:rPr>
      </w:pPr>
      <w:r>
        <w:rPr>
          <w:rFonts w:hint="eastAsia"/>
          <w:color w:val="auto"/>
        </w:rPr>
        <w:t>2、操作人员必须持证上岗，对新进场的工人进行安全生产的教育和培训，方准许其进入操作岗位。</w:t>
      </w:r>
    </w:p>
    <w:p w14:paraId="416087D1">
      <w:pPr>
        <w:ind w:firstLine="480"/>
        <w:rPr>
          <w:rFonts w:hint="eastAsia"/>
          <w:color w:val="auto"/>
        </w:rPr>
      </w:pPr>
      <w:r>
        <w:rPr>
          <w:rFonts w:hint="eastAsia"/>
          <w:color w:val="auto"/>
        </w:rPr>
        <w:t>3、施工现场设立安全警示标志和守卫人员，闲杂人员一律不得进入施工现场参观、逗留，施工现场严禁嬉戏打闹。</w:t>
      </w:r>
    </w:p>
    <w:p w14:paraId="2F4731F9">
      <w:pPr>
        <w:ind w:firstLine="480"/>
        <w:rPr>
          <w:rFonts w:hint="eastAsia"/>
          <w:color w:val="auto"/>
        </w:rPr>
      </w:pPr>
      <w:r>
        <w:rPr>
          <w:rFonts w:hint="eastAsia"/>
          <w:color w:val="auto"/>
        </w:rPr>
        <w:t>4、施工操作人员进入现场时必须正确佩戴安全帽。</w:t>
      </w:r>
    </w:p>
    <w:p w14:paraId="5954D727">
      <w:pPr>
        <w:ind w:firstLine="480"/>
        <w:rPr>
          <w:rFonts w:hint="eastAsia"/>
          <w:color w:val="auto"/>
        </w:rPr>
      </w:pPr>
      <w:r>
        <w:rPr>
          <w:rFonts w:hint="eastAsia"/>
          <w:color w:val="auto"/>
        </w:rPr>
        <w:t>5、各工种严格执行相应的操作规程，不得违章作业。严格执行交接班制度。</w:t>
      </w:r>
    </w:p>
    <w:p w14:paraId="26CEC7C4">
      <w:pPr>
        <w:ind w:firstLine="480"/>
        <w:rPr>
          <w:rFonts w:hint="eastAsia"/>
          <w:color w:val="auto"/>
        </w:rPr>
      </w:pPr>
      <w:r>
        <w:rPr>
          <w:rFonts w:hint="eastAsia"/>
          <w:color w:val="auto"/>
        </w:rPr>
        <w:t>6、现场施工为多工种协调作业，必须统一指挥，信号明确，通讯迅达，指令正确。各操作人员在意图不明时严禁进行作业，发现问题应及时向上级反映。</w:t>
      </w:r>
    </w:p>
    <w:p w14:paraId="65D26073">
      <w:pPr>
        <w:ind w:firstLine="480"/>
        <w:rPr>
          <w:rFonts w:hint="eastAsia"/>
          <w:color w:val="auto"/>
        </w:rPr>
      </w:pPr>
      <w:r>
        <w:rPr>
          <w:rFonts w:hint="eastAsia"/>
          <w:color w:val="auto"/>
        </w:rPr>
        <w:t>7、大风、大雨和浓雾天气必须停止吊装作业；夜间作业必须有良好的照明设施，否则不得夜间作业。</w:t>
      </w:r>
    </w:p>
    <w:p w14:paraId="52CB0919">
      <w:pPr>
        <w:ind w:firstLine="480"/>
        <w:rPr>
          <w:rFonts w:hint="eastAsia"/>
          <w:color w:val="auto"/>
        </w:rPr>
      </w:pPr>
      <w:r>
        <w:rPr>
          <w:rFonts w:hint="eastAsia"/>
          <w:color w:val="auto"/>
        </w:rPr>
        <w:t>8、每天上下班时对劳动用品、机械设备及机具、吊具、索具等进行检查，确保用具在完好的情况下进行施工，消除隐患，确保安全施工。</w:t>
      </w:r>
    </w:p>
    <w:p w14:paraId="5228DE72">
      <w:pPr>
        <w:pStyle w:val="4"/>
        <w:ind w:firstLine="482"/>
        <w:rPr>
          <w:rFonts w:hint="eastAsia"/>
          <w:color w:val="auto"/>
        </w:rPr>
      </w:pPr>
      <w:bookmarkStart w:id="559" w:name="_Toc13036"/>
      <w:bookmarkStart w:id="560" w:name="_Toc2656"/>
      <w:r>
        <w:rPr>
          <w:rFonts w:hint="eastAsia"/>
          <w:color w:val="auto"/>
        </w:rPr>
        <w:t>9.5.2</w:t>
      </w:r>
      <w:r>
        <w:rPr>
          <w:color w:val="auto"/>
        </w:rPr>
        <w:t xml:space="preserve"> </w:t>
      </w:r>
      <w:r>
        <w:rPr>
          <w:rFonts w:hint="eastAsia"/>
          <w:color w:val="auto"/>
        </w:rPr>
        <w:t>物体打击安全控制措施</w:t>
      </w:r>
      <w:bookmarkEnd w:id="559"/>
      <w:bookmarkEnd w:id="560"/>
    </w:p>
    <w:p w14:paraId="04EA9781">
      <w:pPr>
        <w:ind w:firstLine="480"/>
        <w:rPr>
          <w:rFonts w:hint="eastAsia"/>
          <w:color w:val="auto"/>
        </w:rPr>
      </w:pPr>
      <w:r>
        <w:rPr>
          <w:rFonts w:hint="eastAsia"/>
          <w:color w:val="auto"/>
        </w:rPr>
        <w:t>1、钢筋、钢材等原材吊装过程中必须专人指挥，统一管理。</w:t>
      </w:r>
    </w:p>
    <w:p w14:paraId="36C2EC68">
      <w:pPr>
        <w:ind w:firstLine="480"/>
        <w:rPr>
          <w:rFonts w:hint="eastAsia"/>
          <w:color w:val="auto"/>
        </w:rPr>
      </w:pPr>
      <w:r>
        <w:rPr>
          <w:rFonts w:hint="eastAsia"/>
          <w:color w:val="auto"/>
        </w:rPr>
        <w:t>2、高处施工作业人员必须配备工具袋并按要求正确佩戴使用个体安全防护用品，防止个人物品从高处掉落。</w:t>
      </w:r>
    </w:p>
    <w:p w14:paraId="6EF422A0">
      <w:pPr>
        <w:ind w:firstLine="480"/>
        <w:rPr>
          <w:rFonts w:hint="eastAsia"/>
          <w:color w:val="auto"/>
        </w:rPr>
      </w:pPr>
      <w:r>
        <w:rPr>
          <w:rFonts w:hint="eastAsia"/>
          <w:color w:val="auto"/>
        </w:rPr>
        <w:t>3、尽量避免交叉作业，无法避开交叉作业时，应设置安全防护措施，防止发生物体打击事故。</w:t>
      </w:r>
    </w:p>
    <w:p w14:paraId="26E153F4">
      <w:pPr>
        <w:ind w:firstLine="480"/>
        <w:rPr>
          <w:rFonts w:hint="eastAsia"/>
          <w:color w:val="auto"/>
        </w:rPr>
      </w:pPr>
      <w:r>
        <w:rPr>
          <w:color w:val="auto"/>
        </w:rPr>
        <w:t>4</w:t>
      </w:r>
      <w:r>
        <w:rPr>
          <w:rFonts w:hint="eastAsia"/>
          <w:color w:val="auto"/>
        </w:rPr>
        <w:t>、为了保证主塔施工范围内的人员施工安全，防止塔机覆盖范围内高空坠物造成伤害，所以设置人行施工安全通道.</w:t>
      </w:r>
    </w:p>
    <w:p w14:paraId="2D5E8CFC">
      <w:pPr>
        <w:ind w:firstLine="480"/>
        <w:rPr>
          <w:rFonts w:hint="eastAsia" w:cs="宋体"/>
          <w:color w:val="auto"/>
        </w:rPr>
      </w:pPr>
      <w:r>
        <w:rPr>
          <w:rFonts w:hint="eastAsia" w:cs="宋体"/>
          <w:color w:val="auto"/>
        </w:rPr>
        <w:t>5、加强安全检查，高处临边严禁堆放物件，施工作业时严禁上下抛掷物件。</w:t>
      </w:r>
    </w:p>
    <w:p w14:paraId="1F53751E">
      <w:pPr>
        <w:ind w:firstLine="480"/>
        <w:rPr>
          <w:rFonts w:hint="eastAsia" w:cs="宋体"/>
          <w:color w:val="auto"/>
        </w:rPr>
      </w:pPr>
      <w:r>
        <w:rPr>
          <w:rFonts w:hint="eastAsia" w:cs="宋体"/>
          <w:color w:val="auto"/>
        </w:rPr>
        <w:t>6、高空临边作业做好安全防护，护栏高度达到1.2m，设置踢脚板，防止物件掉落；高空操作范围全封闭，通道及操作平台满铺脚手板，设置防滑条。</w:t>
      </w:r>
    </w:p>
    <w:p w14:paraId="5FC0C402">
      <w:pPr>
        <w:ind w:firstLine="480"/>
        <w:rPr>
          <w:rFonts w:hint="eastAsia" w:cs="宋体"/>
          <w:color w:val="auto"/>
        </w:rPr>
      </w:pPr>
      <w:r>
        <w:rPr>
          <w:rFonts w:hint="eastAsia" w:cs="宋体"/>
          <w:color w:val="auto"/>
        </w:rPr>
        <w:t>7、大型结构拆除等高空操作时设置临时警戒区，下方人员撤离并拉设警戒线。拆除完成后及时清理现场，做到工完料尽场地清。</w:t>
      </w:r>
    </w:p>
    <w:p w14:paraId="012C5ED7">
      <w:pPr>
        <w:pStyle w:val="4"/>
        <w:ind w:firstLine="482"/>
        <w:rPr>
          <w:rFonts w:hint="eastAsia"/>
          <w:color w:val="auto"/>
        </w:rPr>
      </w:pPr>
      <w:bookmarkStart w:id="561" w:name="_Toc32604"/>
      <w:bookmarkStart w:id="562" w:name="_Toc17901"/>
      <w:r>
        <w:rPr>
          <w:rFonts w:hint="eastAsia"/>
          <w:color w:val="auto"/>
        </w:rPr>
        <w:t>9.5.3</w:t>
      </w:r>
      <w:r>
        <w:rPr>
          <w:color w:val="auto"/>
        </w:rPr>
        <w:t xml:space="preserve"> </w:t>
      </w:r>
      <w:r>
        <w:rPr>
          <w:rFonts w:hint="eastAsia"/>
          <w:color w:val="auto"/>
        </w:rPr>
        <w:t>机械伤害安全控制措施</w:t>
      </w:r>
      <w:bookmarkEnd w:id="561"/>
      <w:bookmarkEnd w:id="562"/>
    </w:p>
    <w:p w14:paraId="1E3F16FA">
      <w:pPr>
        <w:ind w:firstLine="480"/>
        <w:rPr>
          <w:rFonts w:hint="eastAsia"/>
          <w:color w:val="auto"/>
        </w:rPr>
      </w:pPr>
      <w:r>
        <w:rPr>
          <w:rFonts w:hint="eastAsia"/>
          <w:color w:val="auto"/>
        </w:rPr>
        <w:t>1、操作人员须经安全教育培训，考核合格取得操作证后方可持证上岗作业。</w:t>
      </w:r>
    </w:p>
    <w:p w14:paraId="7561497D">
      <w:pPr>
        <w:ind w:firstLine="480"/>
        <w:rPr>
          <w:rFonts w:hint="eastAsia"/>
          <w:color w:val="auto"/>
        </w:rPr>
      </w:pPr>
      <w:r>
        <w:rPr>
          <w:color w:val="auto"/>
        </w:rPr>
        <w:t>2、</w:t>
      </w:r>
      <w:r>
        <w:rPr>
          <w:rFonts w:hint="eastAsia"/>
          <w:color w:val="auto"/>
        </w:rPr>
        <w:t>特种设备拆除必须由具备资质的专业化公司进行，并且使用前或使用后一个月内到当地部门登记备案。</w:t>
      </w:r>
    </w:p>
    <w:p w14:paraId="304D2F7E">
      <w:pPr>
        <w:ind w:firstLine="480"/>
        <w:rPr>
          <w:rFonts w:hint="eastAsia"/>
          <w:color w:val="auto"/>
        </w:rPr>
      </w:pPr>
      <w:r>
        <w:rPr>
          <w:rFonts w:hint="eastAsia"/>
          <w:color w:val="auto"/>
        </w:rPr>
        <w:t>3、操作人员要严格按照机械设备安全操作规程作业，并且佩戴使用必要的安全防护用品。</w:t>
      </w:r>
    </w:p>
    <w:p w14:paraId="1C23C65F">
      <w:pPr>
        <w:ind w:firstLine="480"/>
        <w:rPr>
          <w:rFonts w:hint="eastAsia"/>
          <w:color w:val="auto"/>
        </w:rPr>
      </w:pPr>
      <w:r>
        <w:rPr>
          <w:rFonts w:hint="eastAsia"/>
          <w:color w:val="auto"/>
        </w:rPr>
        <w:t>4、要定期对机械设备进行保养和维护，做好维修保养记录保证机械性能良好。</w:t>
      </w:r>
    </w:p>
    <w:p w14:paraId="237DFCEF">
      <w:pPr>
        <w:ind w:firstLine="480"/>
        <w:rPr>
          <w:rFonts w:hint="eastAsia"/>
          <w:color w:val="auto"/>
        </w:rPr>
      </w:pPr>
      <w:r>
        <w:rPr>
          <w:rFonts w:hint="eastAsia"/>
          <w:color w:val="auto"/>
        </w:rPr>
        <w:t>5、极端恶劣天气来临前以及过后要全面对机械设备进行检查和维修。</w:t>
      </w:r>
    </w:p>
    <w:p w14:paraId="335D2F2C">
      <w:pPr>
        <w:ind w:firstLine="480"/>
        <w:rPr>
          <w:rFonts w:hint="eastAsia"/>
          <w:color w:val="auto"/>
        </w:rPr>
      </w:pPr>
      <w:r>
        <w:rPr>
          <w:rFonts w:hint="eastAsia"/>
          <w:color w:val="auto"/>
        </w:rPr>
        <w:t>6、机械设备零部件必须符合设计及安全技术规范、标准要求。</w:t>
      </w:r>
    </w:p>
    <w:p w14:paraId="18E7765D">
      <w:pPr>
        <w:ind w:firstLine="480"/>
        <w:rPr>
          <w:rFonts w:hint="eastAsia"/>
          <w:color w:val="auto"/>
        </w:rPr>
      </w:pPr>
      <w:r>
        <w:rPr>
          <w:rFonts w:hint="eastAsia"/>
          <w:color w:val="auto"/>
        </w:rPr>
        <w:t>7、机械设备电气装置必须符合安全要求。</w:t>
      </w:r>
    </w:p>
    <w:p w14:paraId="02B49D4A">
      <w:pPr>
        <w:ind w:firstLine="480"/>
        <w:rPr>
          <w:rFonts w:hint="eastAsia"/>
          <w:color w:val="auto"/>
        </w:rPr>
      </w:pPr>
      <w:r>
        <w:rPr>
          <w:rFonts w:hint="eastAsia"/>
          <w:color w:val="auto"/>
        </w:rPr>
        <w:t>8、机械设备应根据有关安全要求，装设合理、可靠的安全装置，保证不影响机械设备安全使用。</w:t>
      </w:r>
    </w:p>
    <w:p w14:paraId="6602C8A4">
      <w:pPr>
        <w:ind w:firstLine="480"/>
        <w:rPr>
          <w:rFonts w:hint="eastAsia"/>
          <w:color w:val="auto"/>
        </w:rPr>
      </w:pPr>
      <w:r>
        <w:rPr>
          <w:rFonts w:hint="eastAsia"/>
          <w:color w:val="auto"/>
        </w:rPr>
        <w:t>9、操作人员必须正确使用安全装置，不得随意破坏或拆除安全装置；</w:t>
      </w:r>
    </w:p>
    <w:p w14:paraId="13D83498">
      <w:pPr>
        <w:ind w:firstLine="480"/>
        <w:rPr>
          <w:rFonts w:hint="eastAsia"/>
          <w:color w:val="auto"/>
        </w:rPr>
      </w:pPr>
      <w:r>
        <w:rPr>
          <w:rFonts w:hint="eastAsia"/>
          <w:color w:val="auto"/>
        </w:rPr>
        <w:t>10、操作人员在机械设备运行前，必须按规定进行安全检查，严禁机械设备带病运行。</w:t>
      </w:r>
    </w:p>
    <w:p w14:paraId="68665CBF">
      <w:pPr>
        <w:pStyle w:val="4"/>
        <w:ind w:firstLine="482"/>
        <w:rPr>
          <w:rFonts w:hint="eastAsia"/>
          <w:color w:val="auto"/>
        </w:rPr>
      </w:pPr>
      <w:bookmarkStart w:id="563" w:name="_Toc32293"/>
      <w:bookmarkStart w:id="564" w:name="_Toc1485"/>
      <w:r>
        <w:rPr>
          <w:rFonts w:hint="eastAsia"/>
          <w:color w:val="auto"/>
        </w:rPr>
        <w:t>9.5.4 施工用电安全控制措施</w:t>
      </w:r>
      <w:bookmarkEnd w:id="563"/>
      <w:bookmarkEnd w:id="564"/>
    </w:p>
    <w:p w14:paraId="3A00E7B3">
      <w:pPr>
        <w:ind w:firstLine="480"/>
        <w:rPr>
          <w:rFonts w:hint="eastAsia"/>
          <w:color w:val="auto"/>
        </w:rPr>
      </w:pPr>
      <w:r>
        <w:rPr>
          <w:rFonts w:hint="eastAsia"/>
          <w:color w:val="auto"/>
        </w:rPr>
        <w:t>1、严格执行《施工现场临时用电安全技术规范》（JGJ</w:t>
      </w:r>
      <w:r>
        <w:rPr>
          <w:color w:val="auto"/>
        </w:rPr>
        <w:t xml:space="preserve"> 46-2005</w:t>
      </w:r>
      <w:r>
        <w:rPr>
          <w:rFonts w:hint="eastAsia"/>
          <w:color w:val="auto"/>
        </w:rPr>
        <w:t>）中的规定，并做好临时用电施工设计和安全用电技术措施的编制。</w:t>
      </w:r>
    </w:p>
    <w:p w14:paraId="4FC58F79">
      <w:pPr>
        <w:ind w:firstLine="480"/>
        <w:rPr>
          <w:rFonts w:hint="eastAsia"/>
          <w:color w:val="auto"/>
        </w:rPr>
      </w:pPr>
      <w:r>
        <w:rPr>
          <w:rFonts w:hint="eastAsia"/>
          <w:color w:val="auto"/>
        </w:rPr>
        <w:t>2、施工用电必须符合“三相五线制”的要求，按“一机、一闸、一漏、一锁”和“动力线照明用电严禁搭接的规定落实”并设置醒目的警示标志。</w:t>
      </w:r>
    </w:p>
    <w:p w14:paraId="691DFFCD">
      <w:pPr>
        <w:ind w:firstLine="480"/>
        <w:rPr>
          <w:rFonts w:hint="eastAsia"/>
          <w:color w:val="auto"/>
        </w:rPr>
      </w:pPr>
      <w:r>
        <w:rPr>
          <w:rFonts w:hint="eastAsia"/>
          <w:color w:val="auto"/>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EEB5C6D">
      <w:pPr>
        <w:ind w:firstLine="480"/>
        <w:rPr>
          <w:rFonts w:hint="eastAsia"/>
          <w:color w:val="auto"/>
        </w:rPr>
      </w:pPr>
      <w:r>
        <w:rPr>
          <w:rFonts w:hint="eastAsia"/>
          <w:color w:val="auto"/>
        </w:rPr>
        <w:t>4、做好临时用电维修制度，加强日常和定期维修工作，及时发现和消除隐患，并建立维修工作记录，记载维修时间、地点、设备、内容、技术措施、处理结果、维修人员、验收人员等。</w:t>
      </w:r>
    </w:p>
    <w:p w14:paraId="66458C39">
      <w:pPr>
        <w:ind w:firstLine="480"/>
        <w:rPr>
          <w:rFonts w:hint="eastAsia"/>
          <w:color w:val="auto"/>
        </w:rPr>
      </w:pPr>
      <w:r>
        <w:rPr>
          <w:rFonts w:hint="eastAsia"/>
          <w:color w:val="auto"/>
        </w:rPr>
        <w:t>5、建立安全用电责任制，对临时用电工程各部位的操作、监护、维修分片、分块、分机落实到人，并辅以必要的严惩。</w:t>
      </w:r>
    </w:p>
    <w:p w14:paraId="1521639E">
      <w:pPr>
        <w:ind w:firstLine="480"/>
        <w:rPr>
          <w:rFonts w:hint="eastAsia"/>
          <w:color w:val="auto"/>
        </w:rPr>
      </w:pPr>
      <w:r>
        <w:rPr>
          <w:rFonts w:hint="eastAsia"/>
          <w:color w:val="auto"/>
        </w:rPr>
        <w:t>6、建立安全教育和培训制度；定期对专业电工和各类用电人员进行用电安全教育和培训，凡上岗人员必须持有劳动部门核发的上岗证书，严禁无证上岗。</w:t>
      </w:r>
    </w:p>
    <w:p w14:paraId="3CF75002">
      <w:pPr>
        <w:ind w:firstLine="480"/>
        <w:rPr>
          <w:rFonts w:hint="eastAsia"/>
          <w:color w:val="auto"/>
        </w:rPr>
      </w:pPr>
      <w:r>
        <w:rPr>
          <w:rFonts w:hint="eastAsia"/>
          <w:color w:val="auto"/>
        </w:rPr>
        <w:t>7、电气操作人员要认真执行规范，正确连接电线，电线要完好无损，有良好的绝缘外皮。电线要压牢、压实，各种开关触头要压接牢固，多股导线要用端子与设备安装，以防加大电阻引起火灾。</w:t>
      </w:r>
    </w:p>
    <w:p w14:paraId="76C52B9F">
      <w:pPr>
        <w:ind w:firstLine="480"/>
        <w:rPr>
          <w:rFonts w:hint="eastAsia"/>
          <w:color w:val="auto"/>
        </w:rPr>
      </w:pPr>
      <w:r>
        <w:rPr>
          <w:rFonts w:hint="eastAsia"/>
          <w:color w:val="auto"/>
        </w:rPr>
        <w:t>8、配电箱、开关箱内严禁存放杂物及易燃物体，并派专人负责定期清扫。</w:t>
      </w:r>
    </w:p>
    <w:p w14:paraId="05277D3C">
      <w:pPr>
        <w:ind w:firstLine="480"/>
        <w:rPr>
          <w:rFonts w:hint="eastAsia"/>
          <w:color w:val="auto"/>
        </w:rPr>
      </w:pPr>
      <w:r>
        <w:rPr>
          <w:rFonts w:hint="eastAsia"/>
          <w:color w:val="auto"/>
        </w:rPr>
        <w:t>9、临时用电维修时必须执行两人制度，一人在总控制柜值守并悬挂“维修中”警示牌，另一人在现场进行维修作业。</w:t>
      </w:r>
    </w:p>
    <w:p w14:paraId="1D4B6FA6">
      <w:pPr>
        <w:ind w:firstLine="480"/>
        <w:rPr>
          <w:rFonts w:hint="eastAsia"/>
          <w:color w:val="auto"/>
        </w:rPr>
      </w:pPr>
      <w:r>
        <w:rPr>
          <w:rFonts w:hint="eastAsia"/>
          <w:color w:val="auto"/>
        </w:rPr>
        <w:t>10、施工现场变压器必须采用全封闭，二级配电柜采用隔离防护并做防水防触电漏电。三级配电距离现场用电设备不宜太远防止出现电线损坏漏电。</w:t>
      </w:r>
    </w:p>
    <w:p w14:paraId="4468F471">
      <w:pPr>
        <w:pStyle w:val="3"/>
        <w:ind w:left="480"/>
        <w:rPr>
          <w:rFonts w:hint="default" w:ascii="宋体" w:hAnsi="宋体" w:eastAsia="宋体"/>
          <w:color w:val="auto"/>
        </w:rPr>
      </w:pPr>
      <w:bookmarkStart w:id="565" w:name="_Toc28734"/>
      <w:bookmarkStart w:id="566" w:name="_Toc19484"/>
      <w:r>
        <w:rPr>
          <w:rFonts w:hint="eastAsia" w:ascii="宋体" w:hAnsi="宋体" w:eastAsia="宋体"/>
          <w:color w:val="auto"/>
          <w:lang w:val="en-US" w:eastAsia="zh-CN"/>
        </w:rPr>
        <w:t>9</w:t>
      </w:r>
      <w:r>
        <w:rPr>
          <w:rFonts w:hint="default" w:ascii="宋体" w:hAnsi="宋体" w:eastAsia="宋体"/>
          <w:color w:val="auto"/>
        </w:rPr>
        <w:t>.</w:t>
      </w:r>
      <w:r>
        <w:rPr>
          <w:rFonts w:hint="eastAsia" w:ascii="宋体" w:hAnsi="宋体" w:eastAsia="宋体"/>
          <w:color w:val="auto"/>
          <w:lang w:val="en-US" w:eastAsia="zh-CN"/>
        </w:rPr>
        <w:t>6</w:t>
      </w:r>
      <w:r>
        <w:rPr>
          <w:rFonts w:hint="default" w:ascii="宋体" w:hAnsi="宋体" w:eastAsia="宋体"/>
          <w:color w:val="auto"/>
        </w:rPr>
        <w:t xml:space="preserve"> </w:t>
      </w:r>
      <w:r>
        <w:rPr>
          <w:rFonts w:hint="eastAsia" w:ascii="宋体" w:hAnsi="宋体" w:eastAsia="宋体"/>
          <w:color w:val="auto"/>
        </w:rPr>
        <w:t>群塔施工安全控制</w:t>
      </w:r>
      <w:r>
        <w:rPr>
          <w:rFonts w:hint="default" w:ascii="宋体" w:hAnsi="宋体" w:eastAsia="宋体"/>
          <w:color w:val="auto"/>
        </w:rPr>
        <w:t>措施</w:t>
      </w:r>
      <w:bookmarkEnd w:id="565"/>
      <w:bookmarkEnd w:id="566"/>
    </w:p>
    <w:p w14:paraId="7D724CAA">
      <w:pPr>
        <w:ind w:firstLine="560"/>
        <w:rPr>
          <w:rFonts w:hint="default" w:ascii="Times New Roman" w:hAnsi="Times New Roman" w:eastAsia="宋体" w:cs="Times New Roman"/>
          <w:color w:val="000000"/>
        </w:rPr>
      </w:pPr>
      <w:r>
        <w:rPr>
          <w:rFonts w:hint="eastAsia" w:ascii="Times New Roman" w:hAnsi="Times New Roman" w:eastAsia="宋体" w:cs="Times New Roman"/>
          <w:color w:val="000000"/>
        </w:rPr>
        <w:t>本项目需使用塔机</w:t>
      </w:r>
      <w:r>
        <w:rPr>
          <w:rFonts w:hint="eastAsia" w:ascii="Times New Roman" w:hAnsi="Times New Roman" w:eastAsia="宋体" w:cs="Times New Roman"/>
          <w:color w:val="000000"/>
          <w:lang w:val="en-US" w:eastAsia="zh-CN"/>
        </w:rPr>
        <w:t>涉及</w:t>
      </w:r>
      <w:r>
        <w:rPr>
          <w:rFonts w:hint="eastAsia" w:ascii="Times New Roman" w:hAnsi="Times New Roman" w:eastAsia="宋体" w:cs="Times New Roman"/>
          <w:color w:val="000000"/>
        </w:rPr>
        <w:t>群塔作业，作业环境复杂，需特别注意群塔作业安全。</w:t>
      </w:r>
    </w:p>
    <w:p w14:paraId="40AD3190">
      <w:pPr>
        <w:pStyle w:val="4"/>
        <w:ind w:firstLine="482"/>
        <w:rPr>
          <w:rFonts w:hint="eastAsia" w:ascii="宋体" w:hAnsi="宋体" w:eastAsia="宋体"/>
          <w:color w:val="auto"/>
          <w:lang w:val="en-US" w:eastAsia="zh-CN"/>
        </w:rPr>
      </w:pPr>
      <w:bookmarkStart w:id="567" w:name="_Toc30597"/>
      <w:r>
        <w:rPr>
          <w:rFonts w:hint="eastAsia" w:ascii="宋体" w:hAnsi="宋体" w:eastAsia="宋体"/>
          <w:color w:val="auto"/>
          <w:lang w:val="en-US" w:eastAsia="zh-CN"/>
        </w:rPr>
        <w:t>9.6.1安全技术措施</w:t>
      </w:r>
      <w:bookmarkEnd w:id="567"/>
    </w:p>
    <w:p w14:paraId="730D8B3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1</w:t>
      </w:r>
      <w:r>
        <w:rPr>
          <w:rFonts w:hint="eastAsia" w:ascii="Times New Roman" w:hAnsi="Times New Roman" w:eastAsia="宋体" w:cs="Times New Roman"/>
          <w:color w:val="000000"/>
        </w:rPr>
        <w:t>、塔吊与现场周边设施的防碰撞措施校验</w:t>
      </w:r>
    </w:p>
    <w:p w14:paraId="483C0B6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1.1校验内容</w:t>
      </w:r>
    </w:p>
    <w:p w14:paraId="428DCE2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由于施工现场比较复杂，在实际施工中，要密切关注现场以外的情况。</w:t>
      </w:r>
    </w:p>
    <w:p w14:paraId="5529707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1.2</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施工部署校验</w:t>
      </w:r>
    </w:p>
    <w:p w14:paraId="31CBC8E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本项目所划分作业区域原则为高塔先行施工，混合交叉区同步施工原则。</w:t>
      </w:r>
    </w:p>
    <w:p w14:paraId="71E78A61">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2、低位塔吊的起重臂与高位塔吊起重钢丝绳之间防碰撞措施校验。</w:t>
      </w:r>
    </w:p>
    <w:p w14:paraId="5AB48F1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2.1</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校验内容</w:t>
      </w:r>
    </w:p>
    <w:p w14:paraId="5BE350A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低位塔吊的起重臂与高位塔吊起重钢丝绳之间防碰撞措施。由于受施工需要的影响，塔吊间高与低是相对的，但都有可能发生低位塔吊的起重臂与高位塔吊的起重钢丝绳的碰撞事故。为杜绝此类事故发生，项目必须对每一台塔吊的工作区进行合理划分，尽可能避免塔吊同时在交叉工作区。</w:t>
      </w:r>
    </w:p>
    <w:p w14:paraId="3A9B1AC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在各塔机起重臂上设置红旗等明显标识，提醒作业人员吊钩吊物已经进入或脱离交叉区。</w:t>
      </w:r>
    </w:p>
    <w:p w14:paraId="6B5FDA0D">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2.2</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现场操作校验</w:t>
      </w:r>
    </w:p>
    <w:p w14:paraId="573D0BA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除了按上述进行合理区域划分外，在实际操作中，项目配备有合格操作证的、经验丰富的信号指挥工，确保指挥塔吊回转作业时，低塔的起重臂不碰撞高塔的起升钢丝绳。当现场风速达到</w:t>
      </w:r>
      <w:r>
        <w:rPr>
          <w:rFonts w:hint="eastAsia" w:ascii="Times New Roman" w:hAnsi="Times New Roman" w:eastAsia="宋体" w:cs="Times New Roman"/>
          <w:color w:val="000000"/>
          <w:lang w:val="en-US" w:eastAsia="zh-CN"/>
        </w:rPr>
        <w:t>6</w:t>
      </w:r>
      <w:r>
        <w:rPr>
          <w:rFonts w:hint="eastAsia" w:ascii="Times New Roman" w:hAnsi="Times New Roman" w:eastAsia="宋体" w:cs="Times New Roman"/>
          <w:color w:val="000000"/>
        </w:rPr>
        <w:t>级风，塔吊停止作业。另外，塔吊在每次使用后或在非工作状态下，将塔吊的吊钩升至顶端，同时将变幅</w:t>
      </w:r>
      <w:r>
        <w:rPr>
          <w:rFonts w:hint="eastAsia" w:ascii="Times New Roman" w:hAnsi="Times New Roman" w:eastAsia="宋体" w:cs="Times New Roman"/>
          <w:color w:val="000000"/>
          <w:lang w:val="en-US" w:eastAsia="zh-CN"/>
        </w:rPr>
        <w:t>小车收至起重臂根部</w:t>
      </w:r>
      <w:r>
        <w:rPr>
          <w:rFonts w:hint="eastAsia" w:ascii="Times New Roman" w:hAnsi="Times New Roman" w:eastAsia="宋体" w:cs="Times New Roman"/>
          <w:color w:val="000000"/>
        </w:rPr>
        <w:t>。在运行过程中则合理划分塔吊运行区域，指导司机尽量在该区域运行，形成在安全区作业的习惯。</w:t>
      </w:r>
    </w:p>
    <w:p w14:paraId="5BF5B58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3、高位塔吊起重臂下端与低位塔吊起重臂上端防碰撞措施校验（垂直方向）及塔机起重臂尖与相邻塔机塔身防碰撞校验（水平方向）</w:t>
      </w:r>
    </w:p>
    <w:p w14:paraId="7C40DE8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3.1</w:t>
      </w:r>
      <w:r>
        <w:rPr>
          <w:rFonts w:hint="eastAsia" w:ascii="Times New Roman" w:hAnsi="Times New Roman" w:eastAsia="宋体" w:cs="Times New Roman"/>
          <w:color w:val="000000"/>
        </w:rPr>
        <w:tab/>
      </w:r>
      <w:r>
        <w:rPr>
          <w:rFonts w:hint="eastAsia" w:ascii="Times New Roman" w:hAnsi="Times New Roman" w:eastAsia="宋体" w:cs="Times New Roman"/>
          <w:color w:val="000000"/>
        </w:rPr>
        <w:t>校验内容</w:t>
      </w:r>
    </w:p>
    <w:p w14:paraId="5FA65BAD">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严格控制工程进度，塔机升降节必须履行顶升加节制度中的相关程序，并取得批准后依照规定实施，确保各塔机始终保持足够安全高差，并严格按照多塔起重臂避让措施实施避让措施。</w:t>
      </w:r>
    </w:p>
    <w:p w14:paraId="0C17EC5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 、防止停电、起大风、非工作时的技术措施</w:t>
      </w:r>
    </w:p>
    <w:p w14:paraId="0CD1AB8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（1）每台塔吊必须做到“一机一闸一漏”，不与其他设备混用配电箱。</w:t>
      </w:r>
    </w:p>
    <w:p w14:paraId="62AF2F0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（2）塔吊使用回路的各种电线、漏保、开关等一律采用塔吊专用配电设备，防止其因为线路或设备老化而造成突然断电。</w:t>
      </w:r>
    </w:p>
    <w:p w14:paraId="75AC8545">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（3）与供电局长期保持联系，要求供电部门在停电前能及时通知，便于工作中能做好充分准备。</w:t>
      </w:r>
    </w:p>
    <w:p w14:paraId="7681A4D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（4）塔吊在</w:t>
      </w:r>
      <w:r>
        <w:rPr>
          <w:rFonts w:hint="eastAsia" w:ascii="Times New Roman" w:hAnsi="Times New Roman" w:eastAsia="宋体" w:cs="Times New Roman"/>
          <w:color w:val="000000"/>
          <w:lang w:val="en-US" w:eastAsia="zh-CN"/>
        </w:rPr>
        <w:t>六</w:t>
      </w:r>
      <w:r>
        <w:rPr>
          <w:rFonts w:hint="eastAsia" w:ascii="Times New Roman" w:hAnsi="Times New Roman" w:eastAsia="宋体" w:cs="Times New Roman"/>
          <w:color w:val="000000"/>
        </w:rPr>
        <w:t>级以上大风、雷雨天气情况下应停止使用，操作人员应在离开驾驶室前，应将吊钩起升至最上方，调整好塔吊至顺风方向停放，并切断上下电源，避免造成不必要的损失。并且风力达到</w:t>
      </w: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级以上时不得进行顶升、安装及拆卸作业。</w:t>
      </w:r>
    </w:p>
    <w:p w14:paraId="669CF6C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（5）塔吊在非工作状态时，每班作业完后塔司应将吊钩空载并起升至最上方，</w:t>
      </w:r>
      <w:r>
        <w:rPr>
          <w:rFonts w:hint="eastAsia" w:ascii="Times New Roman" w:hAnsi="Times New Roman" w:eastAsia="宋体" w:cs="Times New Roman"/>
          <w:color w:val="000000"/>
          <w:lang w:val="en-US" w:eastAsia="zh-CN"/>
        </w:rPr>
        <w:t>变幅小车收到起重臂根部</w:t>
      </w:r>
      <w:r>
        <w:rPr>
          <w:rFonts w:hint="eastAsia" w:ascii="Times New Roman" w:hAnsi="Times New Roman" w:eastAsia="宋体" w:cs="Times New Roman"/>
          <w:color w:val="000000"/>
        </w:rPr>
        <w:t>，打开随风档让其随风而动，减小受风面积确保安全。</w:t>
      </w:r>
    </w:p>
    <w:p w14:paraId="2EB37507">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如有重物悬挂停电后，塔吊司机不得离开指挥室，必须马上拉下保护箱闸刀开关，切断电源，使制动合闸，把被吊物停住。专业维修人员选择合理的落放点，使用手动控制点动开合刹车逐步缓慢放下吊物。将吊装物体运至安全位置才司机可下塔机。</w:t>
      </w:r>
    </w:p>
    <w:p w14:paraId="359D4D6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（7）在塔吊的塔顶及起重臂端机平衡臂尾部安装设障碍</w:t>
      </w:r>
      <w:r>
        <w:rPr>
          <w:rFonts w:hint="eastAsia" w:ascii="Times New Roman" w:hAnsi="Times New Roman" w:eastAsia="宋体" w:cs="Times New Roman"/>
          <w:color w:val="000000"/>
          <w:lang w:val="en-US" w:eastAsia="zh-CN"/>
        </w:rPr>
        <w:t>航空</w:t>
      </w:r>
      <w:r>
        <w:rPr>
          <w:rFonts w:hint="eastAsia" w:ascii="Times New Roman" w:hAnsi="Times New Roman" w:eastAsia="宋体" w:cs="Times New Roman"/>
          <w:color w:val="000000"/>
        </w:rPr>
        <w:t>灯，并保证防撞灯的供电不受停机的影响。使塔吊操作人员、指挥人员、施工人员能明显辨认清楚塔臂位置，防止各种碰撞事故。</w:t>
      </w:r>
    </w:p>
    <w:p w14:paraId="6EAE7926">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（8）塔式起重机起重臂、平衡臂严禁堆放杂物，防止高空坠落。</w:t>
      </w:r>
    </w:p>
    <w:p w14:paraId="04C330D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、顶升后塔身电缆固定技术措施</w:t>
      </w:r>
    </w:p>
    <w:p w14:paraId="4F368306">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一般的，在</w:t>
      </w:r>
      <w:r>
        <w:rPr>
          <w:rFonts w:hint="eastAsia" w:ascii="Times New Roman" w:hAnsi="Times New Roman" w:eastAsia="宋体" w:cs="Times New Roman"/>
          <w:color w:val="000000"/>
          <w:lang w:val="en-US" w:eastAsia="zh-CN"/>
        </w:rPr>
        <w:t>塔柱</w:t>
      </w:r>
      <w:r>
        <w:rPr>
          <w:rFonts w:hint="eastAsia" w:ascii="Times New Roman" w:hAnsi="Times New Roman" w:eastAsia="宋体" w:cs="Times New Roman"/>
          <w:color w:val="000000"/>
        </w:rPr>
        <w:t>施工中，采用传统的电缆固定装置，会因电缆自重过大，导致电缆损坏甚至拉断，导致跳闸故障，而塔式起重机出厂时，没有特定的电缆固定装置，工程建设中，一般使用钢丝绳</w:t>
      </w:r>
      <w:r>
        <w:rPr>
          <w:rFonts w:hint="eastAsia" w:ascii="Times New Roman" w:hAnsi="Times New Roman" w:eastAsia="宋体" w:cs="Times New Roman"/>
          <w:color w:val="000000"/>
          <w:lang w:val="en-US" w:eastAsia="zh-CN"/>
        </w:rPr>
        <w:t>进行</w:t>
      </w:r>
      <w:r>
        <w:rPr>
          <w:rFonts w:hint="eastAsia" w:ascii="Times New Roman" w:hAnsi="Times New Roman" w:eastAsia="宋体" w:cs="Times New Roman"/>
          <w:color w:val="000000"/>
        </w:rPr>
        <w:t>固定。</w:t>
      </w:r>
    </w:p>
    <w:p w14:paraId="794D56DE">
      <w:pPr>
        <w:pStyle w:val="4"/>
        <w:ind w:firstLine="482"/>
        <w:rPr>
          <w:rFonts w:hint="eastAsia" w:ascii="宋体" w:hAnsi="宋体" w:eastAsia="宋体"/>
          <w:color w:val="auto"/>
          <w:lang w:val="en-US" w:eastAsia="zh-CN"/>
        </w:rPr>
      </w:pPr>
      <w:bookmarkStart w:id="568" w:name="_Toc3633"/>
      <w:r>
        <w:rPr>
          <w:rFonts w:hint="eastAsia" w:ascii="宋体" w:hAnsi="宋体" w:eastAsia="宋体"/>
          <w:color w:val="auto"/>
          <w:lang w:val="en-US" w:eastAsia="zh-CN"/>
        </w:rPr>
        <w:t>9.6.2安全管理措施</w:t>
      </w:r>
      <w:bookmarkEnd w:id="568"/>
    </w:p>
    <w:p w14:paraId="270A6CC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1、群塔作业防撞安全管理措施</w:t>
      </w:r>
    </w:p>
    <w:p w14:paraId="55FABD0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（1）合理安排工程进度，保证塔吊使用安全，合理定位。</w:t>
      </w:r>
    </w:p>
    <w:p w14:paraId="0F32364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（2）严禁跨线作业、严禁吊钩吊物经过人员、道路、临设、加工点上空。</w:t>
      </w:r>
    </w:p>
    <w:p w14:paraId="1459AE0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（3）对操作人员进行书面交底，明确防碰撞操作要领及相关维保规定。</w:t>
      </w:r>
    </w:p>
    <w:p w14:paraId="4F76AAD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（4）各塔设置安全幅度，塔机大臂交叉时</w:t>
      </w:r>
      <w:r>
        <w:rPr>
          <w:rFonts w:hint="eastAsia" w:ascii="Times New Roman" w:hAnsi="Times New Roman" w:eastAsia="宋体" w:cs="Times New Roman"/>
          <w:color w:val="000000"/>
          <w:lang w:val="en-US" w:eastAsia="zh-CN"/>
        </w:rPr>
        <w:t>小车</w:t>
      </w:r>
      <w:r>
        <w:rPr>
          <w:rFonts w:hint="eastAsia" w:ascii="Times New Roman" w:hAnsi="Times New Roman" w:eastAsia="宋体" w:cs="Times New Roman"/>
          <w:color w:val="000000"/>
        </w:rPr>
        <w:t>应回至起重臂根部。</w:t>
      </w:r>
    </w:p>
    <w:p w14:paraId="1684176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（5）塔机起重臂及平衡臂安装灯带以便夜晚使用，起警示作用。</w:t>
      </w:r>
    </w:p>
    <w:p w14:paraId="648381F8">
      <w:pPr>
        <w:ind w:firstLine="560"/>
        <w:rPr>
          <w:rFonts w:hint="eastAsia" w:ascii="Times New Roman" w:hAnsi="Times New Roman" w:eastAsia="宋体" w:cs="Times New Roman"/>
          <w:color w:val="000000"/>
        </w:rPr>
      </w:pPr>
      <w:bookmarkStart w:id="569" w:name="_Toc419709709"/>
      <w:r>
        <w:rPr>
          <w:rFonts w:hint="eastAsia" w:ascii="Times New Roman" w:hAnsi="Times New Roman" w:eastAsia="宋体" w:cs="Times New Roman"/>
          <w:color w:val="000000"/>
        </w:rPr>
        <w:t>2、群塔作业过程应遵循“五让”规定</w:t>
      </w:r>
      <w:bookmarkEnd w:id="569"/>
    </w:p>
    <w:p w14:paraId="241DEAF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（1）低塔让高塔：在塔机起重臂作业交叉区域内运行时，低塔应避让高塔。</w:t>
      </w:r>
    </w:p>
    <w:p w14:paraId="2ACC312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后塔让先塔：在塔机起重臂作业交叉区域内运行时，后进入该区塔机应避让已在该区域作业的塔机。在作业过程中，后起动作业的塔吊在运行时应前后、左右、上下确定相邻塔吊的作业状态和所处位置。如有妨碍后塔正常运行时，必须停塔等候，并鸣笛提示前塔，告之后塔所处的状态、位置，待前塔远离妨碍区域时，后塔方可作业。</w:t>
      </w:r>
    </w:p>
    <w:p w14:paraId="768708D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动塔让静塔：在塔机起重臂作业交叉区域内运行时，需运转的塔机应避让处于静止状态的塔机。在作业过程中，要求塔司、信号工随时注意相邻塔吊所处的作业状态，位置在回转塔臂变幅时，要避让处于停止状态的塔吊，可绕道行运，或暂停作业，待停塔工作完后，驶出相碰撞危险区域后方可作业。</w:t>
      </w:r>
    </w:p>
    <w:p w14:paraId="356C5371">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（4）轻车让重车：两塔或多塔同时运行时，空载塔机应主动避让负载塔机。</w:t>
      </w:r>
    </w:p>
    <w:p w14:paraId="17C9D66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（5）客塔让主塔：进入相邻的其他工地或本工程其他塔机的主作业区时应主动避让他方塔吊。以各实际工作区域划分塔机工作区域，若塔机塔臂进入非本塔工作区域时，客区域的塔机要让主区域的塔机。</w:t>
      </w:r>
    </w:p>
    <w:p w14:paraId="35337B79">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（6）塔机在运行中，各条件同时存在时，必须按以上排序原则执行。</w:t>
      </w:r>
    </w:p>
    <w:p w14:paraId="4C97DA61">
      <w:pPr>
        <w:ind w:firstLine="560"/>
        <w:rPr>
          <w:rFonts w:hint="eastAsia" w:ascii="Times New Roman" w:hAnsi="Times New Roman" w:eastAsia="宋体" w:cs="Times New Roman"/>
          <w:color w:val="000000"/>
        </w:rPr>
      </w:pPr>
      <w:bookmarkStart w:id="570" w:name="_Toc419709713"/>
      <w:r>
        <w:rPr>
          <w:rFonts w:hint="eastAsia" w:ascii="Times New Roman" w:hAnsi="Times New Roman" w:eastAsia="宋体" w:cs="Times New Roman"/>
          <w:color w:val="000000"/>
          <w:lang w:val="en-US" w:eastAsia="zh-CN"/>
        </w:rPr>
        <w:t>3</w:t>
      </w:r>
      <w:r>
        <w:rPr>
          <w:rFonts w:hint="eastAsia" w:ascii="Times New Roman" w:hAnsi="Times New Roman" w:eastAsia="宋体" w:cs="Times New Roman"/>
          <w:color w:val="000000"/>
        </w:rPr>
        <w:t>、各作业人员必须严格执行“十不吊”的原则</w:t>
      </w:r>
      <w:bookmarkEnd w:id="570"/>
    </w:p>
    <w:p w14:paraId="78A19EE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（1）被吊物重量超过机械性能允许范围。</w:t>
      </w:r>
    </w:p>
    <w:p w14:paraId="6B5980FE">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（2）信号不清。</w:t>
      </w:r>
    </w:p>
    <w:p w14:paraId="63B68D54">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（3）吊物下方有人。</w:t>
      </w:r>
    </w:p>
    <w:p w14:paraId="6D58AF7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（4）吊物上站人。</w:t>
      </w:r>
    </w:p>
    <w:p w14:paraId="7E518F1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（5）埋在地下物。</w:t>
      </w:r>
    </w:p>
    <w:p w14:paraId="19EC9F5C">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（6）斜拉斜牵物。</w:t>
      </w:r>
    </w:p>
    <w:p w14:paraId="25AA5315">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（7）散物捆绑不牢。</w:t>
      </w:r>
    </w:p>
    <w:p w14:paraId="12420B1F">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（8）立式构件、大模板等不用卡环。</w:t>
      </w:r>
    </w:p>
    <w:p w14:paraId="0AB16A79">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（9）零碎物无容器。</w:t>
      </w:r>
    </w:p>
    <w:p w14:paraId="534E5F0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（10）吊装物重量不明。有起点无落点不准吊。</w:t>
      </w:r>
    </w:p>
    <w:p w14:paraId="009F61F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4</w:t>
      </w:r>
      <w:r>
        <w:rPr>
          <w:rFonts w:hint="eastAsia" w:ascii="Times New Roman" w:hAnsi="Times New Roman" w:eastAsia="宋体" w:cs="Times New Roman"/>
          <w:color w:val="000000"/>
        </w:rPr>
        <w:t>、建筑施工现场十不吊</w:t>
      </w:r>
    </w:p>
    <w:p w14:paraId="5637BF3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（1）起重臂和吊起的重物下面有人停留或行走不准吊。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（2）起重指挥应由技术培训合格的专职人员担任，无指挥或信号不清不准吊。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（3）钢筋、型钢、管材等细长和多根物件必须捆扎牢靠，多点起吊。单头“千斤”或捆扎不牢靠不准吊。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（4）多孔板、积灰斗、手推翻斗车不用四点吊或大模板外挂板不用卸卡不准吊。</w:t>
      </w:r>
      <w:r>
        <w:rPr>
          <w:rFonts w:hint="eastAsia" w:ascii="Times New Roman" w:hAnsi="Times New Roman" w:eastAsia="宋体" w:cs="Times New Roman"/>
          <w:color w:val="000000"/>
        </w:rPr>
        <w:br w:type="textWrapping"/>
      </w:r>
      <w:r>
        <w:rPr>
          <w:rFonts w:hint="eastAsia" w:ascii="Times New Roman" w:hAnsi="Times New Roman" w:eastAsia="宋体" w:cs="Times New Roman"/>
          <w:color w:val="000000"/>
        </w:rPr>
        <w:tab/>
      </w:r>
      <w:r>
        <w:rPr>
          <w:rFonts w:hint="eastAsia" w:ascii="Times New Roman" w:hAnsi="Times New Roman" w:eastAsia="宋体" w:cs="Times New Roman"/>
          <w:color w:val="000000"/>
        </w:rPr>
        <w:t>（5）吊砌块必须使用安全可靠的砌块夹具，吊砖必须使用砖笼，并堆放整齐。木砖、预埋件等零星物件要盛器堆放稳妥，叠放不齐不准吊。</w:t>
      </w:r>
    </w:p>
    <w:p w14:paraId="2DFAC0C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（6）楼板、大梁等吊物上站人不准吊。</w:t>
      </w:r>
    </w:p>
    <w:p w14:paraId="57EDDE8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（7）埋入地面的板桩、井点管等以及砖笼粘连、随着的物件不准吊。</w:t>
      </w:r>
    </w:p>
    <w:p w14:paraId="5624086A">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（8）多机作业，应保证所吊重物距离不小于三米</w:t>
      </w:r>
    </w:p>
    <w:p w14:paraId="7483C78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（9）</w:t>
      </w:r>
      <w:r>
        <w:rPr>
          <w:rFonts w:hint="eastAsia" w:ascii="Times New Roman" w:hAnsi="Times New Roman" w:eastAsia="宋体" w:cs="Times New Roman"/>
          <w:color w:val="000000"/>
          <w:lang w:val="en-US" w:eastAsia="zh-CN"/>
        </w:rPr>
        <w:t>六</w:t>
      </w:r>
      <w:r>
        <w:rPr>
          <w:rFonts w:hint="eastAsia" w:ascii="Times New Roman" w:hAnsi="Times New Roman" w:eastAsia="宋体" w:cs="Times New Roman"/>
          <w:color w:val="000000"/>
        </w:rPr>
        <w:t>级以上大风区不准吊。</w:t>
      </w:r>
    </w:p>
    <w:p w14:paraId="7D7CECFB">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rPr>
        <w:t>（</w:t>
      </w:r>
      <w:r>
        <w:rPr>
          <w:rFonts w:hint="eastAsia" w:ascii="Times New Roman" w:hAnsi="Times New Roman" w:eastAsia="宋体" w:cs="Times New Roman"/>
          <w:color w:val="000000"/>
          <w:lang w:val="en-US" w:eastAsia="zh-CN"/>
        </w:rPr>
        <w:t>10</w:t>
      </w:r>
      <w:r>
        <w:rPr>
          <w:rFonts w:hint="eastAsia" w:ascii="Times New Roman" w:hAnsi="Times New Roman" w:eastAsia="宋体" w:cs="Times New Roman"/>
          <w:color w:val="000000"/>
        </w:rPr>
        <w:t>）斜拉重物或超过机械允许荷载不准吊。</w:t>
      </w:r>
    </w:p>
    <w:p w14:paraId="3C9C4D40">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在现场设有专门指挥、司索人员。信号指挥员所发出的信号应符合《起重吊运指挥信号》（GB5052-85）的规定。信号指挥员使用对讲机和塔吊司机进行联系指挥。作业人员一律持证上岗。</w:t>
      </w:r>
    </w:p>
    <w:p w14:paraId="2D120E82">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6、</w:t>
      </w:r>
      <w:r>
        <w:rPr>
          <w:rFonts w:hint="eastAsia" w:ascii="Times New Roman" w:hAnsi="Times New Roman" w:eastAsia="宋体" w:cs="Times New Roman"/>
          <w:color w:val="000000"/>
        </w:rPr>
        <w:t>塔司、指挥工应加强沟通，语言应明确、精练、清晰；发音尽量标准，语调尽量平和；塔司、指挥工人员应相对固定；信号指挥一律使用对讲机，一经统一调频后应锁定频率，不得随意调换。</w:t>
      </w:r>
    </w:p>
    <w:p w14:paraId="28C36393">
      <w:pPr>
        <w:ind w:firstLine="56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7</w:t>
      </w:r>
      <w:r>
        <w:rPr>
          <w:rFonts w:hint="eastAsia" w:ascii="Times New Roman" w:hAnsi="Times New Roman" w:eastAsia="宋体" w:cs="Times New Roman"/>
          <w:color w:val="000000"/>
        </w:rPr>
        <w:t>、群塔作业时要服从总指挥安排，由塔吊总指挥统一协调。避免队伍之间或者不同工序之间发生争执吊钩事端。</w:t>
      </w:r>
    </w:p>
    <w:p w14:paraId="56FC0DAF">
      <w:pPr>
        <w:ind w:firstLine="480"/>
        <w:rPr>
          <w:rFonts w:hint="eastAsia"/>
          <w:color w:val="auto"/>
        </w:rPr>
      </w:pPr>
      <w:r>
        <w:rPr>
          <w:color w:val="auto"/>
        </w:rPr>
        <w:br w:type="page"/>
      </w:r>
    </w:p>
    <w:p w14:paraId="1EA5D6D5">
      <w:pPr>
        <w:pStyle w:val="2"/>
        <w:rPr>
          <w:rFonts w:hint="eastAsia"/>
          <w:color w:val="auto"/>
        </w:rPr>
      </w:pPr>
      <w:bookmarkStart w:id="571" w:name="_Toc182895428"/>
      <w:bookmarkStart w:id="572" w:name="_Toc13592"/>
      <w:r>
        <w:rPr>
          <w:rFonts w:hint="eastAsia"/>
          <w:color w:val="auto"/>
        </w:rPr>
        <w:t>10 应急处置措施</w:t>
      </w:r>
      <w:bookmarkEnd w:id="571"/>
      <w:bookmarkEnd w:id="572"/>
    </w:p>
    <w:p w14:paraId="5B2F5E34">
      <w:pPr>
        <w:pStyle w:val="3"/>
        <w:ind w:left="480"/>
        <w:rPr>
          <w:rFonts w:hint="eastAsia"/>
          <w:color w:val="auto"/>
        </w:rPr>
      </w:pPr>
      <w:bookmarkStart w:id="573" w:name="_Toc28238"/>
      <w:bookmarkStart w:id="574" w:name="_Toc182895429"/>
      <w:r>
        <w:rPr>
          <w:rFonts w:hint="eastAsia"/>
          <w:color w:val="auto"/>
        </w:rPr>
        <w:t>1</w:t>
      </w:r>
      <w:r>
        <w:rPr>
          <w:color w:val="auto"/>
        </w:rPr>
        <w:t xml:space="preserve">0.1 </w:t>
      </w:r>
      <w:r>
        <w:rPr>
          <w:rFonts w:hint="eastAsia"/>
          <w:color w:val="auto"/>
        </w:rPr>
        <w:t>应急预案处理基本原则</w:t>
      </w:r>
      <w:bookmarkEnd w:id="573"/>
      <w:bookmarkEnd w:id="574"/>
    </w:p>
    <w:p w14:paraId="433DCCE7">
      <w:pPr>
        <w:ind w:firstLine="480"/>
        <w:rPr>
          <w:rFonts w:hint="eastAsia"/>
          <w:color w:val="auto"/>
        </w:rPr>
      </w:pPr>
      <w:r>
        <w:rPr>
          <w:rFonts w:hint="eastAsia"/>
          <w:color w:val="auto"/>
        </w:rPr>
        <w:t>（1）立即抢救生产安全事故伤员，组织疏散或采取其他措施保护事故区域内的其他人员。</w:t>
      </w:r>
    </w:p>
    <w:p w14:paraId="34EA95DB">
      <w:pPr>
        <w:ind w:firstLine="480"/>
        <w:rPr>
          <w:rFonts w:hint="eastAsia"/>
          <w:color w:val="auto"/>
        </w:rPr>
      </w:pPr>
      <w:r>
        <w:rPr>
          <w:rFonts w:hint="eastAsia"/>
          <w:color w:val="auto"/>
        </w:rPr>
        <w:t>（2）迅速控制事故现场，有序组织救援和防止事故进一步扩大蔓延，按照法律法规要求及公司相关规定及时进行上报。</w:t>
      </w:r>
    </w:p>
    <w:p w14:paraId="2683C787">
      <w:pPr>
        <w:ind w:firstLine="480"/>
        <w:rPr>
          <w:rFonts w:hint="eastAsia"/>
          <w:color w:val="auto"/>
        </w:rPr>
      </w:pPr>
      <w:r>
        <w:rPr>
          <w:rFonts w:hint="eastAsia"/>
          <w:color w:val="auto"/>
        </w:rPr>
        <w:t>（3）对事故造成的危害进行检测、监测，测定事故的危害区域、危害性及危害程度。</w:t>
      </w:r>
    </w:p>
    <w:p w14:paraId="288A5F22">
      <w:pPr>
        <w:ind w:firstLine="480"/>
        <w:rPr>
          <w:rFonts w:hint="eastAsia"/>
          <w:color w:val="auto"/>
        </w:rPr>
      </w:pPr>
      <w:r>
        <w:rPr>
          <w:rFonts w:hint="eastAsia"/>
          <w:color w:val="auto"/>
        </w:rPr>
        <w:t>（4）及时收集发布关于事故应急救援开展的及时情况，稳定局势。</w:t>
      </w:r>
    </w:p>
    <w:p w14:paraId="5F707411">
      <w:pPr>
        <w:ind w:firstLine="480"/>
        <w:rPr>
          <w:rFonts w:hint="eastAsia"/>
          <w:color w:val="auto"/>
        </w:rPr>
      </w:pPr>
      <w:r>
        <w:rPr>
          <w:rFonts w:hint="eastAsia"/>
          <w:color w:val="auto"/>
        </w:rPr>
        <w:t>（5）消除事故危害后果，做好现场恢复。</w:t>
      </w:r>
    </w:p>
    <w:p w14:paraId="78218C69">
      <w:pPr>
        <w:ind w:firstLine="480"/>
        <w:rPr>
          <w:rFonts w:hint="eastAsia"/>
          <w:color w:val="auto"/>
        </w:rPr>
      </w:pPr>
      <w:r>
        <w:rPr>
          <w:rFonts w:hint="eastAsia"/>
          <w:color w:val="auto"/>
        </w:rPr>
        <w:t>（6）查清事故原因，评估危害程度。</w:t>
      </w:r>
    </w:p>
    <w:p w14:paraId="3A1488FD">
      <w:pPr>
        <w:pStyle w:val="2"/>
        <w:rPr>
          <w:rStyle w:val="39"/>
          <w:rFonts w:hint="eastAsia"/>
          <w:b/>
          <w:bCs w:val="0"/>
          <w:color w:val="auto"/>
          <w:kern w:val="2"/>
          <w:sz w:val="24"/>
        </w:rPr>
      </w:pPr>
      <w:bookmarkStart w:id="575" w:name="_Toc11482"/>
      <w:bookmarkStart w:id="576" w:name="_Toc182895430"/>
      <w:r>
        <w:rPr>
          <w:rStyle w:val="39"/>
          <w:rFonts w:hint="eastAsia"/>
          <w:b/>
          <w:bCs w:val="0"/>
          <w:color w:val="auto"/>
          <w:kern w:val="2"/>
          <w:sz w:val="24"/>
        </w:rPr>
        <w:t>1</w:t>
      </w:r>
      <w:r>
        <w:rPr>
          <w:rStyle w:val="39"/>
          <w:b/>
          <w:bCs w:val="0"/>
          <w:color w:val="auto"/>
          <w:kern w:val="2"/>
          <w:sz w:val="24"/>
        </w:rPr>
        <w:t xml:space="preserve">0.1 </w:t>
      </w:r>
      <w:r>
        <w:rPr>
          <w:rStyle w:val="39"/>
          <w:rFonts w:hint="eastAsia"/>
          <w:b/>
          <w:bCs w:val="0"/>
          <w:color w:val="auto"/>
          <w:kern w:val="2"/>
          <w:sz w:val="24"/>
        </w:rPr>
        <w:t>应急组织机构</w:t>
      </w:r>
      <w:bookmarkEnd w:id="575"/>
      <w:bookmarkEnd w:id="576"/>
    </w:p>
    <w:p w14:paraId="40D81AAA">
      <w:pPr>
        <w:pStyle w:val="4"/>
        <w:ind w:firstLine="482"/>
        <w:rPr>
          <w:rFonts w:hint="eastAsia"/>
          <w:color w:val="auto"/>
        </w:rPr>
      </w:pPr>
      <w:bookmarkStart w:id="577" w:name="_Toc5860"/>
      <w:r>
        <w:rPr>
          <w:rFonts w:hint="eastAsia"/>
          <w:color w:val="auto"/>
        </w:rPr>
        <w:t>1</w:t>
      </w:r>
      <w:r>
        <w:rPr>
          <w:color w:val="auto"/>
        </w:rPr>
        <w:t xml:space="preserve">0.1.1 </w:t>
      </w:r>
      <w:r>
        <w:rPr>
          <w:rFonts w:hint="eastAsia"/>
          <w:color w:val="auto"/>
        </w:rPr>
        <w:t>组织机构</w:t>
      </w:r>
      <w:bookmarkEnd w:id="577"/>
    </w:p>
    <w:p w14:paraId="3D83D3E9">
      <w:pPr>
        <w:ind w:firstLine="480"/>
        <w:rPr>
          <w:rFonts w:hint="eastAsia"/>
          <w:color w:val="auto"/>
        </w:rPr>
      </w:pPr>
      <w:r>
        <w:rPr>
          <w:rFonts w:hint="eastAsia"/>
          <w:color w:val="auto"/>
        </w:rPr>
        <w:t>项目部成立以项目经理为组长的项目部生产安全应急领导小组，成员由项目部领导班子、各部门负责人、各工区相关负责人组成，人员构成如下：</w:t>
      </w:r>
    </w:p>
    <w:p w14:paraId="0565578E">
      <w:pPr>
        <w:ind w:firstLine="480"/>
        <w:rPr>
          <w:rFonts w:hint="eastAsia"/>
          <w:color w:val="auto"/>
        </w:rPr>
      </w:pPr>
      <w:r>
        <w:rPr>
          <w:rFonts w:hint="eastAsia"/>
          <w:color w:val="auto"/>
        </w:rPr>
        <w:t>组  长：伍小团</w:t>
      </w:r>
    </w:p>
    <w:p w14:paraId="1BDCA81F">
      <w:pPr>
        <w:ind w:firstLine="480"/>
        <w:rPr>
          <w:rFonts w:hint="eastAsia"/>
          <w:color w:val="auto"/>
        </w:rPr>
      </w:pPr>
      <w:r>
        <w:rPr>
          <w:rFonts w:hint="eastAsia"/>
          <w:color w:val="auto"/>
        </w:rPr>
        <w:t>副组长：夏小超、王  雄、戴建坤、方成</w:t>
      </w:r>
    </w:p>
    <w:p w14:paraId="7B2A7650">
      <w:pPr>
        <w:ind w:firstLine="480"/>
        <w:rPr>
          <w:rFonts w:hint="eastAsia"/>
          <w:color w:val="auto"/>
        </w:rPr>
      </w:pPr>
      <w:r>
        <w:rPr>
          <w:rFonts w:hint="eastAsia"/>
          <w:color w:val="auto"/>
        </w:rPr>
        <w:t>成  员：李永锋、田  聪、普国、霍建新、钱建锡、陈健、刘邦瑞、姚  航、乔启明、谢雁成、姜雪涛、杨清歌、李广强、罗康康、翟绪基、张清松、鞠长泽、刘鹏、王坤、程志鹏</w:t>
      </w:r>
    </w:p>
    <w:p w14:paraId="2709DF17">
      <w:pPr>
        <w:ind w:firstLine="480"/>
        <w:rPr>
          <w:rFonts w:hint="eastAsia"/>
          <w:color w:val="auto"/>
        </w:rPr>
      </w:pPr>
      <w:r>
        <w:rPr>
          <w:rFonts w:hint="eastAsia"/>
          <w:color w:val="auto"/>
        </w:rPr>
        <w:t xml:space="preserve">应急领导小组办公室设在安环部，办公室主任：刘邦瑞，负责日常工作。应急领导小组办公室电话：18585551030。 </w:t>
      </w:r>
    </w:p>
    <w:p w14:paraId="40C02AEE">
      <w:pPr>
        <w:ind w:firstLine="480"/>
        <w:rPr>
          <w:rFonts w:hint="eastAsia"/>
          <w:color w:val="auto"/>
        </w:rPr>
      </w:pPr>
      <w:r>
        <w:rPr>
          <w:rFonts w:hint="eastAsia"/>
          <w:color w:val="auto"/>
        </w:rPr>
        <w:t>应急救援实施时，设抢险救援、对外联络、事故调查、善后处理、安全保卫、医疗救护、财务保障、后勤保障等应急小组。项目部与沪昆铁路客运专线贵州有限公司、地方政府相关部门组成现场救援指挥部，组织、协调、指挥现场有关单位的人员采取应急措施。</w:t>
      </w:r>
    </w:p>
    <w:p w14:paraId="273BC16E">
      <w:pPr>
        <w:pStyle w:val="10"/>
        <w:ind w:firstLine="480"/>
        <w:rPr>
          <w:rFonts w:hint="eastAsia"/>
          <w:color w:val="auto"/>
        </w:rPr>
      </w:pPr>
      <w:r>
        <w:rPr>
          <w:color w:val="auto"/>
        </w:rPr>
        <w:object>
          <v:shape id="_x0000_i1030" o:spt="75" type="#_x0000_t75" style="height:174.4pt;width:378.3pt;" o:ole="t" filled="f" o:preferrelative="t" stroked="f" coordsize="21600,21600">
            <v:path/>
            <v:fill on="f" focussize="0,0"/>
            <v:stroke on="f" joinstyle="miter"/>
            <v:imagedata r:id="rId158" o:title=""/>
            <o:lock v:ext="edit" aspectratio="t"/>
            <w10:wrap type="none"/>
            <w10:anchorlock/>
          </v:shape>
          <o:OLEObject Type="Embed" ProgID="Visio.Drawing.15" ShapeID="_x0000_i1030" DrawAspect="Content" ObjectID="_1468075730" r:id="rId157">
            <o:LockedField>false</o:LockedField>
          </o:OLEObject>
        </w:object>
      </w:r>
    </w:p>
    <w:p w14:paraId="3A78720D">
      <w:pPr>
        <w:pStyle w:val="83"/>
        <w:rPr>
          <w:rFonts w:hint="eastAsia"/>
          <w:color w:val="auto"/>
        </w:rPr>
      </w:pPr>
      <w:r>
        <w:rPr>
          <w:rFonts w:hint="eastAsia"/>
          <w:color w:val="auto"/>
        </w:rPr>
        <w:t>图1</w:t>
      </w:r>
      <w:r>
        <w:rPr>
          <w:color w:val="auto"/>
        </w:rPr>
        <w:t xml:space="preserve">0.1-1  </w:t>
      </w:r>
      <w:r>
        <w:rPr>
          <w:rFonts w:hint="eastAsia"/>
          <w:color w:val="auto"/>
        </w:rPr>
        <w:t>应急救援组织结构图</w:t>
      </w:r>
    </w:p>
    <w:p w14:paraId="39BC3570">
      <w:pPr>
        <w:pStyle w:val="4"/>
        <w:ind w:firstLine="482"/>
        <w:rPr>
          <w:rFonts w:hint="eastAsia"/>
          <w:color w:val="auto"/>
        </w:rPr>
      </w:pPr>
      <w:bookmarkStart w:id="578" w:name="_Toc31531"/>
      <w:r>
        <w:rPr>
          <w:rFonts w:hint="eastAsia"/>
          <w:color w:val="auto"/>
        </w:rPr>
        <w:t>1</w:t>
      </w:r>
      <w:r>
        <w:rPr>
          <w:color w:val="auto"/>
        </w:rPr>
        <w:t xml:space="preserve">0.1.2 </w:t>
      </w:r>
      <w:r>
        <w:rPr>
          <w:rFonts w:hint="eastAsia"/>
          <w:color w:val="auto"/>
        </w:rPr>
        <w:t>项目部生产安全领导小组职责</w:t>
      </w:r>
      <w:bookmarkEnd w:id="578"/>
    </w:p>
    <w:p w14:paraId="045AE5EE">
      <w:pPr>
        <w:ind w:firstLine="480"/>
        <w:rPr>
          <w:rFonts w:hint="eastAsia"/>
          <w:color w:val="auto"/>
          <w:szCs w:val="24"/>
        </w:rPr>
      </w:pPr>
      <w:r>
        <w:rPr>
          <w:rFonts w:hint="eastAsia"/>
          <w:color w:val="auto"/>
          <w:szCs w:val="24"/>
        </w:rPr>
        <w:t>（1）负责组织制定项目事故应急救援预案，明确各部门、人员的应急救援职责、程序。</w:t>
      </w:r>
    </w:p>
    <w:p w14:paraId="2E337F94">
      <w:pPr>
        <w:ind w:firstLine="480"/>
        <w:rPr>
          <w:rFonts w:hint="eastAsia"/>
          <w:color w:val="auto"/>
          <w:szCs w:val="24"/>
        </w:rPr>
      </w:pPr>
      <w:r>
        <w:rPr>
          <w:rFonts w:hint="eastAsia"/>
          <w:color w:val="auto"/>
          <w:szCs w:val="24"/>
        </w:rPr>
        <w:t>（2）组织实施事故应急救援工作。</w:t>
      </w:r>
    </w:p>
    <w:p w14:paraId="08B21960">
      <w:pPr>
        <w:ind w:firstLine="480"/>
        <w:rPr>
          <w:rFonts w:hint="eastAsia"/>
          <w:color w:val="auto"/>
          <w:szCs w:val="24"/>
        </w:rPr>
      </w:pPr>
      <w:r>
        <w:rPr>
          <w:rFonts w:hint="eastAsia"/>
          <w:color w:val="auto"/>
          <w:szCs w:val="24"/>
        </w:rPr>
        <w:t>（3）负责配置应急救援所需的人员、设施、设备、物资以及生活后勤保障等各类资源，确保满足应急救援需要。</w:t>
      </w:r>
    </w:p>
    <w:p w14:paraId="33842BBA">
      <w:pPr>
        <w:ind w:firstLine="480"/>
        <w:rPr>
          <w:rFonts w:hint="eastAsia"/>
          <w:color w:val="auto"/>
          <w:szCs w:val="24"/>
        </w:rPr>
      </w:pPr>
      <w:r>
        <w:rPr>
          <w:rFonts w:hint="eastAsia"/>
          <w:color w:val="auto"/>
          <w:szCs w:val="24"/>
        </w:rPr>
        <w:t>（</w:t>
      </w:r>
      <w:r>
        <w:rPr>
          <w:color w:val="auto"/>
          <w:szCs w:val="24"/>
        </w:rPr>
        <w:t>4</w:t>
      </w:r>
      <w:r>
        <w:rPr>
          <w:rFonts w:hint="eastAsia"/>
          <w:color w:val="auto"/>
          <w:szCs w:val="24"/>
        </w:rPr>
        <w:t>）负责应急救援预案的启动和终止。</w:t>
      </w:r>
    </w:p>
    <w:p w14:paraId="708E4CB8">
      <w:pPr>
        <w:ind w:firstLine="480"/>
        <w:rPr>
          <w:rFonts w:hint="eastAsia"/>
          <w:color w:val="auto"/>
          <w:szCs w:val="24"/>
        </w:rPr>
      </w:pPr>
      <w:r>
        <w:rPr>
          <w:rFonts w:hint="eastAsia"/>
          <w:color w:val="auto"/>
          <w:szCs w:val="24"/>
        </w:rPr>
        <w:t>（</w:t>
      </w:r>
      <w:r>
        <w:rPr>
          <w:color w:val="auto"/>
          <w:szCs w:val="24"/>
        </w:rPr>
        <w:t>5</w:t>
      </w:r>
      <w:r>
        <w:rPr>
          <w:rFonts w:hint="eastAsia"/>
          <w:color w:val="auto"/>
          <w:szCs w:val="24"/>
        </w:rPr>
        <w:t>）负责重大事故信息的报告及事后(包括事故、培训、演练)记录、资料的收集、整理。</w:t>
      </w:r>
    </w:p>
    <w:p w14:paraId="1E2219FE">
      <w:pPr>
        <w:ind w:firstLine="480"/>
        <w:rPr>
          <w:rFonts w:hint="eastAsia"/>
          <w:color w:val="auto"/>
          <w:szCs w:val="24"/>
        </w:rPr>
      </w:pPr>
      <w:r>
        <w:rPr>
          <w:rFonts w:hint="eastAsia"/>
          <w:color w:val="auto"/>
          <w:szCs w:val="24"/>
        </w:rPr>
        <w:t>（6）接受上级和当地政府的指挥和调遣。</w:t>
      </w:r>
    </w:p>
    <w:p w14:paraId="1D4BF586">
      <w:pPr>
        <w:pStyle w:val="4"/>
        <w:ind w:firstLine="482"/>
        <w:rPr>
          <w:rFonts w:hint="eastAsia"/>
          <w:color w:val="auto"/>
        </w:rPr>
      </w:pPr>
      <w:bookmarkStart w:id="579" w:name="_Toc27860"/>
      <w:r>
        <w:rPr>
          <w:rFonts w:hint="eastAsia"/>
          <w:color w:val="auto"/>
        </w:rPr>
        <w:t>1</w:t>
      </w:r>
      <w:r>
        <w:rPr>
          <w:color w:val="auto"/>
        </w:rPr>
        <w:t xml:space="preserve">0.1.3 </w:t>
      </w:r>
      <w:r>
        <w:rPr>
          <w:rFonts w:hint="eastAsia"/>
          <w:color w:val="auto"/>
        </w:rPr>
        <w:t>各应急小组职责</w:t>
      </w:r>
      <w:bookmarkEnd w:id="579"/>
    </w:p>
    <w:p w14:paraId="78B89124">
      <w:pPr>
        <w:ind w:firstLine="480"/>
        <w:rPr>
          <w:rFonts w:hint="eastAsia"/>
          <w:color w:val="auto"/>
          <w:szCs w:val="24"/>
        </w:rPr>
      </w:pPr>
      <w:r>
        <w:rPr>
          <w:rFonts w:hint="eastAsia"/>
          <w:color w:val="auto"/>
          <w:szCs w:val="24"/>
        </w:rPr>
        <w:t>（1）抢险救援组职责：</w:t>
      </w:r>
    </w:p>
    <w:p w14:paraId="5BA4FAD4">
      <w:pPr>
        <w:ind w:firstLine="480"/>
        <w:rPr>
          <w:rFonts w:hint="eastAsia"/>
          <w:color w:val="auto"/>
        </w:rPr>
      </w:pPr>
      <w:r>
        <w:rPr>
          <w:rFonts w:hint="eastAsia"/>
          <w:color w:val="auto"/>
        </w:rPr>
        <w:t>1）根据本项目抵抗生产安全事故的能力，对紧急生产安全事故发生的可能性进行预判，并开展预防性检查，对事故苗头及时制订防范性方案并组织实施；</w:t>
      </w:r>
    </w:p>
    <w:p w14:paraId="63376E75">
      <w:pPr>
        <w:ind w:firstLine="480"/>
        <w:rPr>
          <w:rFonts w:hint="eastAsia"/>
          <w:color w:val="auto"/>
        </w:rPr>
      </w:pPr>
      <w:r>
        <w:rPr>
          <w:rFonts w:hint="eastAsia"/>
          <w:color w:val="auto"/>
        </w:rPr>
        <w:t>2）实施抢险行动方案；负责现场伤员的搜救、营救、损失设备的安全转移；</w:t>
      </w:r>
    </w:p>
    <w:p w14:paraId="6095575E">
      <w:pPr>
        <w:ind w:firstLine="480"/>
        <w:rPr>
          <w:rFonts w:hint="eastAsia"/>
          <w:color w:val="auto"/>
        </w:rPr>
      </w:pPr>
      <w:r>
        <w:rPr>
          <w:rFonts w:hint="eastAsia"/>
          <w:color w:val="auto"/>
        </w:rPr>
        <w:t>3）控制、消除危害源，排除次生、耦合事故隐患；</w:t>
      </w:r>
    </w:p>
    <w:p w14:paraId="5C459B52">
      <w:pPr>
        <w:ind w:firstLine="480"/>
        <w:rPr>
          <w:rFonts w:hint="eastAsia"/>
          <w:color w:val="auto"/>
        </w:rPr>
      </w:pPr>
      <w:r>
        <w:rPr>
          <w:rFonts w:hint="eastAsia"/>
          <w:color w:val="auto"/>
        </w:rPr>
        <w:t>4）完成项目部应急领导小组安排的其他应急任务。</w:t>
      </w:r>
    </w:p>
    <w:p w14:paraId="2B20D890">
      <w:pPr>
        <w:ind w:firstLine="480"/>
        <w:rPr>
          <w:rFonts w:hint="eastAsia"/>
          <w:color w:val="auto"/>
        </w:rPr>
      </w:pPr>
      <w:r>
        <w:rPr>
          <w:rFonts w:hint="eastAsia"/>
          <w:color w:val="auto"/>
        </w:rPr>
        <w:t>（2）对外联络组职责：</w:t>
      </w:r>
    </w:p>
    <w:p w14:paraId="2620D0B9">
      <w:pPr>
        <w:ind w:firstLine="480"/>
        <w:rPr>
          <w:rFonts w:hint="eastAsia"/>
          <w:color w:val="auto"/>
        </w:rPr>
      </w:pPr>
      <w:r>
        <w:rPr>
          <w:rFonts w:hint="eastAsia"/>
          <w:color w:val="auto"/>
        </w:rPr>
        <w:t>1）按照项目部应急领导小组统一指令，统一对外联系；</w:t>
      </w:r>
    </w:p>
    <w:p w14:paraId="53F41CD3">
      <w:pPr>
        <w:ind w:firstLine="480"/>
        <w:rPr>
          <w:rFonts w:hint="eastAsia"/>
          <w:color w:val="auto"/>
        </w:rPr>
      </w:pPr>
      <w:r>
        <w:rPr>
          <w:rFonts w:hint="eastAsia"/>
          <w:color w:val="auto"/>
        </w:rPr>
        <w:t>2）整理事故信息，参与接待媒体人员，协调有关事宜；</w:t>
      </w:r>
    </w:p>
    <w:p w14:paraId="5702BFC4">
      <w:pPr>
        <w:ind w:firstLine="480"/>
        <w:rPr>
          <w:rFonts w:hint="eastAsia"/>
          <w:color w:val="auto"/>
        </w:rPr>
      </w:pPr>
      <w:r>
        <w:rPr>
          <w:rFonts w:hint="eastAsia"/>
          <w:color w:val="auto"/>
        </w:rPr>
        <w:t>3）负责上报材料的起草和审定工作，做好事故情况上报工作；</w:t>
      </w:r>
    </w:p>
    <w:p w14:paraId="1F83985F">
      <w:pPr>
        <w:ind w:firstLine="480"/>
        <w:rPr>
          <w:rFonts w:hint="eastAsia"/>
          <w:color w:val="auto"/>
        </w:rPr>
      </w:pPr>
      <w:r>
        <w:rPr>
          <w:rFonts w:hint="eastAsia"/>
          <w:color w:val="auto"/>
        </w:rPr>
        <w:t>4）完成项目部应急领导小组安排的其他应急任务。</w:t>
      </w:r>
    </w:p>
    <w:p w14:paraId="18A5E79A">
      <w:pPr>
        <w:ind w:firstLine="480"/>
        <w:rPr>
          <w:rFonts w:hint="eastAsia"/>
          <w:color w:val="auto"/>
        </w:rPr>
      </w:pPr>
      <w:r>
        <w:rPr>
          <w:rFonts w:hint="eastAsia"/>
          <w:color w:val="auto"/>
        </w:rPr>
        <w:t>（3）事故调查组职责：负责配合事故调查组对生产安全事故进行调查，做好原因分析、责任处理及相关预防措施等工作。</w:t>
      </w:r>
    </w:p>
    <w:p w14:paraId="36843353">
      <w:pPr>
        <w:ind w:firstLine="480"/>
        <w:rPr>
          <w:rFonts w:hint="eastAsia"/>
          <w:color w:val="auto"/>
        </w:rPr>
      </w:pPr>
      <w:r>
        <w:rPr>
          <w:rFonts w:hint="eastAsia"/>
          <w:color w:val="auto"/>
        </w:rPr>
        <w:t>（</w:t>
      </w:r>
      <w:r>
        <w:rPr>
          <w:color w:val="auto"/>
        </w:rPr>
        <w:t>4</w:t>
      </w:r>
      <w:r>
        <w:rPr>
          <w:rFonts w:hint="eastAsia"/>
          <w:color w:val="auto"/>
        </w:rPr>
        <w:t>）善后处理组职责：做好对遇难者家属的安抚工作，落实遇难者家属抚恤金及受伤人员住院费问题；协调其他善后事宜。</w:t>
      </w:r>
    </w:p>
    <w:p w14:paraId="013C6F88">
      <w:pPr>
        <w:ind w:firstLine="480"/>
        <w:rPr>
          <w:rFonts w:hint="eastAsia"/>
          <w:color w:val="auto"/>
        </w:rPr>
      </w:pPr>
      <w:r>
        <w:rPr>
          <w:rFonts w:hint="eastAsia"/>
          <w:color w:val="auto"/>
        </w:rPr>
        <w:t>（</w:t>
      </w:r>
      <w:r>
        <w:rPr>
          <w:color w:val="auto"/>
        </w:rPr>
        <w:t>5</w:t>
      </w:r>
      <w:r>
        <w:rPr>
          <w:rFonts w:hint="eastAsia"/>
          <w:color w:val="auto"/>
        </w:rPr>
        <w:t>）安全保卫组职责：</w:t>
      </w:r>
    </w:p>
    <w:p w14:paraId="068F7513">
      <w:pPr>
        <w:ind w:firstLine="480"/>
        <w:rPr>
          <w:rFonts w:hint="eastAsia"/>
          <w:color w:val="auto"/>
        </w:rPr>
      </w:pPr>
      <w:r>
        <w:rPr>
          <w:rFonts w:hint="eastAsia"/>
          <w:color w:val="auto"/>
        </w:rPr>
        <w:t>1）对事故现场进行隔离，划分警戒区域，实施定向、定时封锁，配合有关部门对事故现场的警戒，防止非抢险救援人员进入事故现场；</w:t>
      </w:r>
    </w:p>
    <w:p w14:paraId="488B0403">
      <w:pPr>
        <w:ind w:firstLine="480"/>
        <w:rPr>
          <w:rFonts w:hint="eastAsia"/>
          <w:color w:val="auto"/>
        </w:rPr>
      </w:pPr>
      <w:r>
        <w:rPr>
          <w:rFonts w:hint="eastAsia"/>
          <w:color w:val="auto"/>
        </w:rPr>
        <w:t>2）配合地方公安组织现场车辆疏通，维持治安秩序，保卫抢险人员的人身安全；</w:t>
      </w:r>
    </w:p>
    <w:p w14:paraId="1825CF93">
      <w:pPr>
        <w:ind w:firstLine="480"/>
        <w:rPr>
          <w:rFonts w:hint="eastAsia"/>
          <w:color w:val="auto"/>
        </w:rPr>
      </w:pPr>
      <w:r>
        <w:rPr>
          <w:rFonts w:hint="eastAsia"/>
          <w:color w:val="auto"/>
        </w:rPr>
        <w:t>3）完成项目部应急领导小组安排的其他应急任务。</w:t>
      </w:r>
    </w:p>
    <w:p w14:paraId="54FBB730">
      <w:pPr>
        <w:ind w:firstLine="480"/>
        <w:rPr>
          <w:rFonts w:hint="eastAsia"/>
          <w:color w:val="auto"/>
        </w:rPr>
      </w:pPr>
      <w:r>
        <w:rPr>
          <w:rFonts w:hint="eastAsia"/>
          <w:color w:val="auto"/>
        </w:rPr>
        <w:t>（</w:t>
      </w:r>
      <w:r>
        <w:rPr>
          <w:color w:val="auto"/>
        </w:rPr>
        <w:t>6</w:t>
      </w:r>
      <w:r>
        <w:rPr>
          <w:rFonts w:hint="eastAsia"/>
          <w:color w:val="auto"/>
        </w:rPr>
        <w:t>）医疗救护及后勤保障组职责：</w:t>
      </w:r>
    </w:p>
    <w:p w14:paraId="57AF9A82">
      <w:pPr>
        <w:ind w:firstLine="480"/>
        <w:rPr>
          <w:rFonts w:hint="eastAsia"/>
          <w:color w:val="auto"/>
        </w:rPr>
      </w:pPr>
      <w:r>
        <w:rPr>
          <w:rFonts w:hint="eastAsia"/>
          <w:color w:val="auto"/>
        </w:rPr>
        <w:t>1）配合做好交通车辆调配、通信保障工作；</w:t>
      </w:r>
    </w:p>
    <w:p w14:paraId="06C7408D">
      <w:pPr>
        <w:ind w:firstLine="480"/>
        <w:rPr>
          <w:rFonts w:hint="eastAsia"/>
          <w:color w:val="auto"/>
        </w:rPr>
      </w:pPr>
      <w:r>
        <w:rPr>
          <w:rFonts w:hint="eastAsia"/>
          <w:color w:val="auto"/>
        </w:rPr>
        <w:t>2）配合医疗抢救队到现场开展抢救伤病员工作；</w:t>
      </w:r>
    </w:p>
    <w:p w14:paraId="2504141A">
      <w:pPr>
        <w:ind w:firstLine="480"/>
        <w:rPr>
          <w:rFonts w:hint="eastAsia"/>
          <w:color w:val="auto"/>
        </w:rPr>
      </w:pPr>
      <w:r>
        <w:rPr>
          <w:color w:val="auto"/>
        </w:rPr>
        <w:t>3</w:t>
      </w:r>
      <w:r>
        <w:rPr>
          <w:rFonts w:hint="eastAsia"/>
          <w:color w:val="auto"/>
        </w:rPr>
        <w:t>）参与检查饮用水源、食品、卫生等；解决抢险人员的食宿问题等；</w:t>
      </w:r>
    </w:p>
    <w:p w14:paraId="2883E9BC">
      <w:pPr>
        <w:ind w:firstLine="480"/>
        <w:rPr>
          <w:rFonts w:hint="eastAsia"/>
          <w:color w:val="auto"/>
        </w:rPr>
      </w:pPr>
      <w:r>
        <w:rPr>
          <w:rFonts w:hint="eastAsia"/>
          <w:color w:val="auto"/>
        </w:rPr>
        <w:t>4）完成项目部应急领导小组安排的其他应急任务。</w:t>
      </w:r>
    </w:p>
    <w:p w14:paraId="67AAA54A">
      <w:pPr>
        <w:pStyle w:val="3"/>
        <w:ind w:left="480"/>
        <w:rPr>
          <w:rFonts w:hint="eastAsia"/>
          <w:color w:val="auto"/>
        </w:rPr>
      </w:pPr>
      <w:bookmarkStart w:id="580" w:name="_Toc27467"/>
      <w:bookmarkStart w:id="581" w:name="_Toc182895431"/>
      <w:r>
        <w:rPr>
          <w:rFonts w:hint="eastAsia"/>
          <w:color w:val="auto"/>
        </w:rPr>
        <w:t>1</w:t>
      </w:r>
      <w:r>
        <w:rPr>
          <w:color w:val="auto"/>
        </w:rPr>
        <w:t xml:space="preserve">0.3 </w:t>
      </w:r>
      <w:r>
        <w:rPr>
          <w:rFonts w:hint="eastAsia"/>
          <w:color w:val="auto"/>
        </w:rPr>
        <w:t>应急处置措施</w:t>
      </w:r>
      <w:bookmarkEnd w:id="580"/>
      <w:bookmarkEnd w:id="581"/>
    </w:p>
    <w:p w14:paraId="1893F97A">
      <w:pPr>
        <w:pStyle w:val="4"/>
        <w:ind w:firstLine="482"/>
        <w:rPr>
          <w:rFonts w:hint="eastAsia"/>
          <w:color w:val="auto"/>
        </w:rPr>
      </w:pPr>
      <w:bookmarkStart w:id="582" w:name="_Toc511375493"/>
      <w:bookmarkStart w:id="583" w:name="_Toc10429"/>
      <w:bookmarkStart w:id="584" w:name="_Toc24468"/>
      <w:bookmarkStart w:id="585" w:name="_Toc3487"/>
      <w:bookmarkStart w:id="586" w:name="_Toc5370"/>
      <w:bookmarkStart w:id="587" w:name="_Toc500249193"/>
      <w:bookmarkStart w:id="588" w:name="_Toc23296"/>
      <w:bookmarkStart w:id="589" w:name="_Toc497832743"/>
      <w:bookmarkStart w:id="590" w:name="_Toc26920"/>
      <w:bookmarkStart w:id="591" w:name="_Toc500275556"/>
      <w:r>
        <w:rPr>
          <w:color w:val="auto"/>
        </w:rPr>
        <w:t>10</w:t>
      </w:r>
      <w:r>
        <w:rPr>
          <w:rFonts w:hint="eastAsia"/>
          <w:color w:val="auto"/>
        </w:rPr>
        <w:t>.</w:t>
      </w:r>
      <w:r>
        <w:rPr>
          <w:color w:val="auto"/>
        </w:rPr>
        <w:t>3</w:t>
      </w:r>
      <w:r>
        <w:rPr>
          <w:rFonts w:hint="eastAsia"/>
          <w:color w:val="auto"/>
        </w:rPr>
        <w:t>.1 突发事件应急救援流程</w:t>
      </w:r>
      <w:bookmarkEnd w:id="582"/>
      <w:bookmarkEnd w:id="583"/>
    </w:p>
    <w:p w14:paraId="7FD67EE1">
      <w:pPr>
        <w:ind w:firstLine="480"/>
        <w:rPr>
          <w:rFonts w:hint="eastAsia"/>
          <w:color w:val="auto"/>
        </w:rPr>
      </w:pPr>
      <w:r>
        <w:rPr>
          <w:rFonts w:hint="eastAsia"/>
          <w:color w:val="auto"/>
          <w:szCs w:val="24"/>
        </w:rPr>
        <w:t>当事故不幸发生，现场人员马上向应急救援领导小组报告，同时报告有无人员受伤情况，对外联络（包括拨打急救和报警电话）只能由领导小组进行，其他人员未经领导小组同意，不得擅自与外界联络。应急救援领导小组成员接到事故报告后迅速赶赴现场，指挥开展救援行动。</w:t>
      </w:r>
    </w:p>
    <w:bookmarkEnd w:id="584"/>
    <w:bookmarkEnd w:id="585"/>
    <w:bookmarkEnd w:id="586"/>
    <w:bookmarkEnd w:id="587"/>
    <w:bookmarkEnd w:id="588"/>
    <w:bookmarkEnd w:id="589"/>
    <w:bookmarkEnd w:id="590"/>
    <w:bookmarkEnd w:id="591"/>
    <w:p w14:paraId="440A5005">
      <w:pPr>
        <w:pStyle w:val="4"/>
        <w:rPr>
          <w:color w:val="000000"/>
        </w:rPr>
      </w:pPr>
      <w:bookmarkStart w:id="592" w:name="_Toc27732"/>
      <w:bookmarkStart w:id="593" w:name="_Toc857"/>
      <w:bookmarkStart w:id="594" w:name="_Toc17125"/>
      <w:bookmarkStart w:id="595" w:name="_Toc511375499"/>
      <w:bookmarkStart w:id="596" w:name="_Toc500275555"/>
      <w:bookmarkStart w:id="597" w:name="_Toc497832738"/>
      <w:bookmarkStart w:id="598" w:name="_Toc21664"/>
      <w:bookmarkStart w:id="599" w:name="_Toc25891"/>
      <w:bookmarkStart w:id="600" w:name="_Toc500275553"/>
      <w:bookmarkStart w:id="601" w:name="_Toc21919"/>
      <w:bookmarkStart w:id="602" w:name="_Toc11306"/>
      <w:bookmarkStart w:id="603" w:name="_Toc10142"/>
      <w:bookmarkStart w:id="604" w:name="_Toc500249190"/>
      <w:bookmarkStart w:id="605" w:name="_Toc26045"/>
      <w:bookmarkStart w:id="606" w:name="_Toc3274"/>
      <w:bookmarkStart w:id="607" w:name="_Toc427508283"/>
      <w:bookmarkStart w:id="608" w:name="_Toc500249188"/>
      <w:bookmarkStart w:id="609" w:name="_Toc16070"/>
      <w:bookmarkStart w:id="610" w:name="_Toc511375501"/>
      <w:bookmarkStart w:id="611" w:name="_Toc3867"/>
      <w:bookmarkStart w:id="612" w:name="_Toc427508281"/>
      <w:bookmarkStart w:id="613" w:name="_Toc500275551"/>
      <w:bookmarkStart w:id="614" w:name="_Toc497832742"/>
      <w:bookmarkStart w:id="615" w:name="_Toc497832740"/>
      <w:bookmarkStart w:id="616" w:name="_Toc28926"/>
      <w:bookmarkStart w:id="617" w:name="_Toc500249192"/>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2</w:t>
      </w:r>
      <w:r>
        <w:rPr>
          <w:color w:val="000000"/>
        </w:rPr>
        <w:t xml:space="preserve"> 高空坠落应急处置措施</w:t>
      </w:r>
      <w:bookmarkEnd w:id="592"/>
    </w:p>
    <w:p w14:paraId="5BD29777">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07C8590E">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1FE3A87C">
      <w:pPr>
        <w:ind w:firstLine="560"/>
      </w:pPr>
      <w:r>
        <w:t>3、掉到地面的，出事地点的20米范围要停止作业，迅速对现场进行警戒、疏散人员、维持秩序，并不得有无关人员围观，特别是要防止临边的其它作业人员的围观。</w:t>
      </w:r>
    </w:p>
    <w:p w14:paraId="7CC8AA9E">
      <w:pPr>
        <w:ind w:firstLine="560"/>
      </w:pPr>
      <w:r>
        <w:t>4、如掉落地点抢救难度大，首先应转至平台上才方便进行救治，必须召集在现场医务人员和抢险抢救组一起确定转移方案。</w:t>
      </w:r>
    </w:p>
    <w:p w14:paraId="77E8251D">
      <w:pPr>
        <w:pStyle w:val="4"/>
        <w:rPr>
          <w:color w:val="000000"/>
        </w:rPr>
      </w:pPr>
      <w:bookmarkStart w:id="618" w:name="_Toc31355"/>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3</w:t>
      </w:r>
      <w:r>
        <w:rPr>
          <w:color w:val="000000"/>
        </w:rPr>
        <w:t xml:space="preserve"> 起重吊装应急处置措施</w:t>
      </w:r>
      <w:bookmarkEnd w:id="618"/>
    </w:p>
    <w:p w14:paraId="5E160CE9">
      <w:pPr>
        <w:ind w:firstLine="560"/>
      </w:pPr>
      <w:r>
        <w:t>1、施工现场发生一般起重事故，无人员受伤，起重司机应保持冷静，立即停止起重作业，如重物悬空应在保证安全的情况下，落下重物，停掉电源，立即向上级汇报。</w:t>
      </w:r>
    </w:p>
    <w:p w14:paraId="2F136CE8">
      <w:pPr>
        <w:ind w:firstLine="560"/>
      </w:pPr>
      <w:r>
        <w:t>2、在施工作业过程中一旦发生起重伤害事故，应立即组织救援工作，同时要采取有效措施防止事故进一步扩大，有效减少人员伤亡和财产损失。</w:t>
      </w:r>
    </w:p>
    <w:p w14:paraId="4ABFF0EB">
      <w:pPr>
        <w:ind w:firstLine="560"/>
      </w:pPr>
      <w:r>
        <w:t>3、现场指挥应根据事态，迅速调动人员、设备进行现场救援，并做好现场警戒工作，以防事态扩大，同时向上级汇报。</w:t>
      </w:r>
    </w:p>
    <w:p w14:paraId="28BEFB96">
      <w:pPr>
        <w:ind w:firstLine="560"/>
      </w:pPr>
      <w:r>
        <w:t>4、应急小组成员到达事故现场后，对较轻的受伤人员，视伤情及时进行止血、包扎、固定等措施，送往医院治疗，并组织人员封锁事故现场，做好警示标志，等待专业人员进行处理。</w:t>
      </w:r>
    </w:p>
    <w:p w14:paraId="2622E2E6">
      <w:pPr>
        <w:ind w:firstLine="560"/>
      </w:pPr>
      <w:r>
        <w:t>5、若受伤人员被压在重物下面，立即采取搬开重物或使用起重工具吊起重物等措施，将受伤人员转移到安全地带，进行抢救。</w:t>
      </w:r>
    </w:p>
    <w:p w14:paraId="64FC24F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DB3A173">
      <w:pPr>
        <w:ind w:firstLine="560"/>
      </w:pPr>
      <w:r>
        <w:t>7、做好事故现场的清理和恢复工作，防止次生或滋生的事故。</w:t>
      </w:r>
    </w:p>
    <w:p w14:paraId="2D4E4040">
      <w:pPr>
        <w:pStyle w:val="4"/>
        <w:rPr>
          <w:color w:val="000000"/>
        </w:rPr>
      </w:pPr>
      <w:bookmarkStart w:id="619" w:name="_Toc7981"/>
      <w:r>
        <w:rPr>
          <w:rFonts w:hint="eastAsia"/>
          <w:color w:val="000000"/>
          <w:lang w:eastAsia="zh-CN"/>
        </w:rPr>
        <w:t>10.</w:t>
      </w:r>
      <w:r>
        <w:rPr>
          <w:rFonts w:hint="eastAsia"/>
          <w:color w:val="000000"/>
          <w:lang w:val="en-US" w:eastAsia="zh-CN"/>
        </w:rPr>
        <w:t>3</w:t>
      </w:r>
      <w:r>
        <w:rPr>
          <w:rFonts w:hint="eastAsia"/>
          <w:color w:val="000000"/>
        </w:rPr>
        <w:t>.</w:t>
      </w:r>
      <w:r>
        <w:rPr>
          <w:rFonts w:hint="eastAsia"/>
          <w:color w:val="000000"/>
          <w:lang w:val="en-US" w:eastAsia="zh-CN"/>
        </w:rPr>
        <w:t>4</w:t>
      </w:r>
      <w:r>
        <w:rPr>
          <w:color w:val="000000"/>
        </w:rPr>
        <w:t xml:space="preserve"> 坍塌应急处置措施</w:t>
      </w:r>
      <w:bookmarkEnd w:id="619"/>
    </w:p>
    <w:p w14:paraId="2DB066EC">
      <w:pPr>
        <w:ind w:firstLine="560"/>
      </w:pPr>
      <w:r>
        <w:t>1、发生坍塌事故时，事故发现人员高声呼救，同时拨打或要求其他目击者拨打应急电话，向应急指挥小组报告事故的相关信息。</w:t>
      </w:r>
    </w:p>
    <w:p w14:paraId="3E086B65">
      <w:pPr>
        <w:ind w:firstLine="560"/>
      </w:pPr>
      <w:r>
        <w:t>2、首先落实是否有人员和设备被掩埋，如果有人员设备被掩埋要判明被埋人员、设备的方位，迅速调集吊车等设备进行抢救。</w:t>
      </w:r>
    </w:p>
    <w:p w14:paraId="568FF8C2">
      <w:pPr>
        <w:ind w:firstLine="560"/>
      </w:pPr>
      <w:r>
        <w:t>3、紧急救援时，应先救被埋或被困在设备内的人员，尽快设法使其脱离危险。</w:t>
      </w:r>
    </w:p>
    <w:p w14:paraId="6B526B6D">
      <w:pPr>
        <w:ind w:firstLine="560"/>
      </w:pPr>
      <w:r>
        <w:t>4、若用电设备被埋，应设法先切断电源，然后进行救援。</w:t>
      </w:r>
    </w:p>
    <w:p w14:paraId="7CE34A89">
      <w:pPr>
        <w:ind w:firstLine="560"/>
      </w:pPr>
      <w:r>
        <w:t>5、及时疏散人群，并在危险区域设置明显的标志。</w:t>
      </w:r>
    </w:p>
    <w:p w14:paraId="3DD039A8">
      <w:pPr>
        <w:ind w:firstLine="560"/>
      </w:pPr>
      <w:r>
        <w:t>6、调离危险区域内与救援工作无关的设备，防止再次事故发生。</w:t>
      </w:r>
    </w:p>
    <w:p w14:paraId="782E4204">
      <w:pPr>
        <w:pStyle w:val="4"/>
        <w:rPr>
          <w:color w:val="000000"/>
        </w:rPr>
      </w:pPr>
      <w:bookmarkStart w:id="620" w:name="_Toc30164"/>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5</w:t>
      </w:r>
      <w:r>
        <w:rPr>
          <w:color w:val="000000"/>
        </w:rPr>
        <w:t xml:space="preserve"> 淹溺应急处置措施</w:t>
      </w:r>
      <w:bookmarkEnd w:id="620"/>
    </w:p>
    <w:p w14:paraId="5256AD91">
      <w:pPr>
        <w:ind w:firstLine="560"/>
      </w:pPr>
      <w:r>
        <w:t>1、施救人员及时向坠落溺水者抛投救生物品（如救生衣、救生圈等）</w:t>
      </w:r>
    </w:p>
    <w:p w14:paraId="1965941F">
      <w:pPr>
        <w:ind w:firstLine="560"/>
      </w:pPr>
      <w:r>
        <w:t>2、如坠落溺水者距离作业点、船舶较近，施救人员可采用向坠落溺水者抛投结实的绳索和递以硬性木条、竹竿将其拉起。</w:t>
      </w:r>
    </w:p>
    <w:p w14:paraId="0366598B">
      <w:pPr>
        <w:ind w:firstLine="560"/>
      </w:pPr>
      <w:r>
        <w:t>3、水性较好的人员携带救生物品（施救人员必须确认自身处在安全状态下）下水施救，施救时施救人员必须注意从溺水者背后靠近，抱住溺水者将其头部托出水面游至岸边。</w:t>
      </w:r>
    </w:p>
    <w:p w14:paraId="327C161E">
      <w:pPr>
        <w:ind w:firstLine="560"/>
      </w:pPr>
      <w:r>
        <w:t>4、如坠落溺水者漂离作业点、船舶较远，可派交通船前往施救。但交通船接近溺水者处时，不得靠的太近，防止将溺水者吸入船底。</w:t>
      </w:r>
    </w:p>
    <w:p w14:paraId="6435B57F">
      <w:pPr>
        <w:ind w:firstLine="560"/>
      </w:pPr>
      <w:r>
        <w:t>5、溺水者上岸后的应急处理</w:t>
      </w:r>
    </w:p>
    <w:p w14:paraId="210A8F7B">
      <w:pPr>
        <w:ind w:firstLine="560"/>
      </w:pPr>
      <w:r>
        <w:t>1）将伤员抬出水面后，应立即清除其口、鼻腔内的水、泥及污物，用纱布(手帕)裹着手指将伤员舌头拉出口外，解开衣扣、领口，以保持呼吸道通畅，然后抱起伤员的腰腹部，使其背朝上、头下垂进行倒水。或者抱起伤员双腿，将其腹部放在急救者肩上，快步奔跑使积水倒出。或施救人员取半跪位，将伤员的腹部放在施救人员腿上，使其头部下垂，并用手平压背部进行倒水。</w:t>
      </w:r>
    </w:p>
    <w:p w14:paraId="7BB7184B">
      <w:pPr>
        <w:ind w:firstLine="560"/>
      </w:pPr>
      <w:r>
        <w:t>2）呼吸停止者应立即进行人工呼吸，一般以口对口吹气为最佳。施救人员位于伤员一侧，托起伤员下颌，捏住伤员鼻孔，深吸一口气后，往伤员嘴里缓缓吹气，待其胸廓稍有抬起时，放松其鼻孔，并用一手压其胸部以助呼气。反复并有节律地(每分钟吹16～20次)进行，直至恢复呼吸为止。</w:t>
      </w:r>
    </w:p>
    <w:p w14:paraId="4379AB7A">
      <w:pPr>
        <w:ind w:firstLine="560"/>
      </w:pPr>
      <w:r>
        <w:t>3）心跳停止者应先进行胸外心脏按摩。让伤员仰卧，背部垫一块硬板，头低稍后仰，施救人员位于伤员一侧，面对伤员，右手掌平放在其胸骨下段，左手放在右手背上，借施救人员身体重量缓缓用力，不能用力太猛，以防骨折，将胸骨压下4厘米左右，然后松手腕(手不离开胸骨)使胸骨复原，反复有节律地(每分钟60～80次)进行，直到心跳恢复为止。</w:t>
      </w:r>
    </w:p>
    <w:p w14:paraId="5B206D6D">
      <w:pPr>
        <w:ind w:firstLine="560"/>
      </w:pPr>
      <w:r>
        <w:t>6、寻找医疗救护，拨打120，通知救护车尽快送医院治疗。</w:t>
      </w:r>
    </w:p>
    <w:p w14:paraId="15ADDD9F">
      <w:pPr>
        <w:pStyle w:val="4"/>
        <w:rPr>
          <w:color w:val="000000"/>
        </w:rPr>
      </w:pPr>
      <w:bookmarkStart w:id="621" w:name="_Toc19739"/>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6</w:t>
      </w:r>
      <w:r>
        <w:rPr>
          <w:color w:val="000000"/>
        </w:rPr>
        <w:t xml:space="preserve"> 物体打击应急处置措施</w:t>
      </w:r>
      <w:bookmarkEnd w:id="621"/>
    </w:p>
    <w:p w14:paraId="6C88B141">
      <w:pPr>
        <w:ind w:firstLine="560"/>
      </w:pPr>
      <w:r>
        <w:t>1、施工区发生物体打击事故，最早发现事故的人迅速向应急领导小组报告，进一步了解事故伤害程度。</w:t>
      </w:r>
    </w:p>
    <w:p w14:paraId="373C67C7">
      <w:pPr>
        <w:ind w:firstLine="560"/>
      </w:pPr>
      <w:r>
        <w:t>2、及时疏散现场闲杂人员，并保护事故现场，同时避免其他人员靠近现场。</w:t>
      </w:r>
    </w:p>
    <w:p w14:paraId="1AF0A92D">
      <w:pPr>
        <w:ind w:firstLine="560"/>
      </w:pPr>
      <w:r>
        <w:t>3、急救员立即通知现场应急小组组长，说明伤者受伤情况，并根据现场实际施行必要的医疗处理，在伤情允许情况下，抢救组负责组织人员搬运受伤人员，转移到安全地方。</w:t>
      </w:r>
    </w:p>
    <w:p w14:paraId="545AEE6F">
      <w:pPr>
        <w:ind w:firstLine="560"/>
      </w:pPr>
      <w:r>
        <w:t>4、由组长根据汇报，决定是否拨打120医疗急救电话，并说明伤员情况，行车路线，快速联系项目部值班车到场，随时待命。</w:t>
      </w:r>
    </w:p>
    <w:p w14:paraId="2CF39811">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57114E9">
      <w:pPr>
        <w:pStyle w:val="4"/>
        <w:rPr>
          <w:color w:val="000000"/>
        </w:rPr>
      </w:pPr>
      <w:bookmarkStart w:id="622" w:name="_Toc31039"/>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7</w:t>
      </w:r>
      <w:r>
        <w:rPr>
          <w:color w:val="000000"/>
        </w:rPr>
        <w:t xml:space="preserve"> 触电应急处置措施</w:t>
      </w:r>
      <w:bookmarkEnd w:id="622"/>
    </w:p>
    <w:p w14:paraId="65B3ED00">
      <w:pPr>
        <w:ind w:firstLine="560"/>
      </w:pPr>
      <w:r>
        <w:t>1、如果触电地点附近有电源开关或电源插销，可立即拉开开关拨出插销，断开电源，但应注意平时检查，防止单线开关断零而未断电源。</w:t>
      </w:r>
    </w:p>
    <w:p w14:paraId="18757D10">
      <w:pPr>
        <w:ind w:firstLine="560"/>
      </w:pPr>
      <w:r>
        <w:t>2、如果触电者附近没有电源开关或插销，可由电工用绝缘钳或有干燥木柄的斧头、立即切断电缆、断开电源。或用干燥木板等，绝缘物插到触电者身下，以隔离电源。</w:t>
      </w:r>
    </w:p>
    <w:p w14:paraId="0BE39A8D">
      <w:pPr>
        <w:ind w:firstLine="560"/>
      </w:pPr>
      <w:r>
        <w:t>3、当电线搭落在触电者身上或压在身下时，用干燥的衣服，手套，绳索，木板，木棒等绝缘物作为工具，拉开触电者或拉开电线，使触电者脱离电源。切忌徒手抢救触电者。</w:t>
      </w:r>
    </w:p>
    <w:p w14:paraId="107D4C40">
      <w:pPr>
        <w:ind w:firstLine="560"/>
      </w:pPr>
      <w:r>
        <w:t>4、发生触电事故时，现场突发事件应急组织立即赶赴现场，由负责人安排抢险人员按进行现场抢险，由医疗急救组对触电者进行救治。</w:t>
      </w:r>
    </w:p>
    <w:p w14:paraId="2ABDEA27">
      <w:pPr>
        <w:pStyle w:val="4"/>
        <w:rPr>
          <w:color w:val="000000"/>
        </w:rPr>
      </w:pPr>
      <w:bookmarkStart w:id="623" w:name="_Toc21465"/>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8</w:t>
      </w:r>
      <w:r>
        <w:rPr>
          <w:color w:val="000000"/>
        </w:rPr>
        <w:t xml:space="preserve"> 车辆伤害应急处置措施</w:t>
      </w:r>
      <w:bookmarkEnd w:id="623"/>
    </w:p>
    <w:p w14:paraId="52E1809E">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12636619">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07B3FF4F">
      <w:pPr>
        <w:ind w:firstLine="560"/>
      </w:pPr>
      <w:r>
        <w:t>3、在救助行动中，救助人员应严格执行安全操作规程，配齐安全设施和防护工具，加强自我保护，确保抢救行动过程中的人身安全和财产安全。</w:t>
      </w:r>
    </w:p>
    <w:p w14:paraId="33D6280E">
      <w:pPr>
        <w:ind w:firstLine="560"/>
      </w:pPr>
      <w:r>
        <w:t>4、车辆伤害事故发生后，采取车辆专业维修人员的一般救援措施，通过车辆专业维修人与对车辆的人工操作，完成救援活动。</w:t>
      </w:r>
    </w:p>
    <w:p w14:paraId="556C0005">
      <w:pPr>
        <w:pStyle w:val="4"/>
        <w:rPr>
          <w:color w:val="000000"/>
        </w:rPr>
      </w:pPr>
      <w:bookmarkStart w:id="624" w:name="_Toc2087"/>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9</w:t>
      </w:r>
      <w:r>
        <w:rPr>
          <w:color w:val="000000"/>
        </w:rPr>
        <w:t>机械伤害应急处置措施</w:t>
      </w:r>
      <w:bookmarkEnd w:id="624"/>
    </w:p>
    <w:p w14:paraId="607B76D8">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1AA28C00">
      <w:pPr>
        <w:ind w:firstLine="560"/>
      </w:pPr>
      <w:r>
        <w:t>2、动用最快的交通工具或其他措施，及时把伤者送往邻近医院抢救，运送途中应尽量减少颠簸。</w:t>
      </w:r>
    </w:p>
    <w:p w14:paraId="48D28C9B">
      <w:pPr>
        <w:ind w:firstLine="560"/>
      </w:pPr>
      <w:r>
        <w:t>3、消除不安全因素，如机械处于危险状态，应立即采用措施进行稳定，防止事故扩大，避免更大的人身伤害及财产损失。</w:t>
      </w:r>
    </w:p>
    <w:p w14:paraId="4FFA72A7">
      <w:pPr>
        <w:ind w:firstLine="560"/>
      </w:pPr>
      <w:r>
        <w:t>4、在不影响安全的前提下，切断机器的电源。</w:t>
      </w:r>
    </w:p>
    <w:p w14:paraId="7855AA15">
      <w:pPr>
        <w:ind w:firstLine="560"/>
      </w:pPr>
      <w:r>
        <w:t>5、注意保护现场，因抢救伤员和防止事故扩大，需要移动现场物件时，应做出标志，拍照，详细记录和绘制事故现场图。</w:t>
      </w:r>
    </w:p>
    <w:p w14:paraId="7B787781">
      <w:pPr>
        <w:pStyle w:val="4"/>
        <w:rPr>
          <w:color w:val="000000"/>
        </w:rPr>
      </w:pPr>
      <w:bookmarkStart w:id="625" w:name="_Toc15193"/>
      <w:r>
        <w:rPr>
          <w:rFonts w:hint="eastAsia"/>
          <w:color w:val="000000"/>
          <w:lang w:eastAsia="zh-CN"/>
        </w:rPr>
        <w:t>10.</w:t>
      </w:r>
      <w:r>
        <w:rPr>
          <w:rFonts w:hint="eastAsia"/>
          <w:color w:val="000000"/>
          <w:lang w:val="en-US" w:eastAsia="zh-CN"/>
        </w:rPr>
        <w:t>3</w:t>
      </w:r>
      <w:r>
        <w:rPr>
          <w:color w:val="000000"/>
        </w:rPr>
        <w:t>.</w:t>
      </w:r>
      <w:r>
        <w:rPr>
          <w:rFonts w:hint="eastAsia"/>
          <w:color w:val="000000"/>
          <w:lang w:val="en-US" w:eastAsia="zh-CN"/>
        </w:rPr>
        <w:t>10</w:t>
      </w:r>
      <w:r>
        <w:rPr>
          <w:color w:val="000000"/>
        </w:rPr>
        <w:t xml:space="preserve"> 火灾爆炸应急处置措施</w:t>
      </w:r>
      <w:bookmarkEnd w:id="625"/>
    </w:p>
    <w:p w14:paraId="7B9F8499">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1384CF3A">
      <w:pPr>
        <w:ind w:firstLine="560"/>
      </w:pPr>
      <w:r>
        <w:t>2、现场人员断开着火区电源，现场安全负责人或班组长立即组织人员迅速展开初期火灾的扑救工作，切断易燃物输送源或迅速隔离易燃物等。</w:t>
      </w:r>
    </w:p>
    <w:p w14:paraId="3CD130D2">
      <w:pPr>
        <w:ind w:firstLine="560"/>
      </w:pPr>
      <w:r>
        <w:t>3、立即组织营救受害人员，组织撤离或者采取其他措施，保护危害区域的其他人，迅速控制危险火源。</w:t>
      </w:r>
    </w:p>
    <w:p w14:paraId="390CB634">
      <w:pPr>
        <w:ind w:firstLine="560"/>
      </w:pPr>
      <w:r>
        <w:t>4、若衣服着火又不能及时扑灭时，应立即脱掉衣服，如来不及或无法脱掉应就地打滚，用身体压灭火种或就地用水灭火，切勿跑动。</w:t>
      </w:r>
    </w:p>
    <w:p w14:paraId="1018D3AD">
      <w:pPr>
        <w:ind w:firstLine="560"/>
      </w:pPr>
      <w:r>
        <w:t>5、发生爆炸事故时，现场负责人根据现场情况，立即致电“11</w:t>
      </w:r>
      <w:r>
        <w:rPr>
          <w:rFonts w:hint="eastAsia"/>
          <w:lang w:val="en-US" w:eastAsia="zh-CN"/>
        </w:rPr>
        <w:t>0</w:t>
      </w:r>
      <w:r>
        <w:t>”和“120”急救中心，详细报告事发地址、人员伤害的情况和可能需要配合救援的设备。</w:t>
      </w:r>
    </w:p>
    <w:p w14:paraId="71D21D29">
      <w:pPr>
        <w:ind w:firstLine="560"/>
      </w:pPr>
      <w:r>
        <w:t>6、根据爆炸后所产生的危险性，立即疏散人员和封锁事故现场。</w:t>
      </w:r>
    </w:p>
    <w:p w14:paraId="2F8838CC">
      <w:pPr>
        <w:ind w:firstLine="560"/>
      </w:pPr>
      <w:r>
        <w:t>7、撤离爆炸现场附近的可燃物，避免火灾区域扩大。</w:t>
      </w:r>
    </w:p>
    <w:p w14:paraId="03C1FEAF">
      <w:pPr>
        <w:ind w:firstLine="560"/>
      </w:pPr>
      <w:r>
        <w:t>8、做好事故现场的清理和恢复工作，防止次生或滋生的事故。</w:t>
      </w:r>
    </w:p>
    <w:p w14:paraId="5A487B2D">
      <w:pPr>
        <w:pStyle w:val="4"/>
        <w:ind w:firstLine="482"/>
        <w:rPr>
          <w:rFonts w:hint="eastAsia"/>
          <w:color w:val="auto"/>
        </w:rPr>
      </w:pPr>
      <w:bookmarkStart w:id="626" w:name="_Toc7202"/>
      <w:r>
        <w:rPr>
          <w:color w:val="auto"/>
        </w:rPr>
        <w:t>10.3</w:t>
      </w:r>
      <w:r>
        <w:rPr>
          <w:rFonts w:hint="eastAsia"/>
          <w:color w:val="auto"/>
        </w:rPr>
        <w:t>.</w:t>
      </w:r>
      <w:r>
        <w:rPr>
          <w:color w:val="auto"/>
        </w:rPr>
        <w:t>1</w:t>
      </w:r>
      <w:r>
        <w:rPr>
          <w:rFonts w:hint="eastAsia"/>
          <w:color w:val="auto"/>
          <w:lang w:val="en-US" w:eastAsia="zh-CN"/>
        </w:rPr>
        <w:t>1</w:t>
      </w:r>
      <w:r>
        <w:rPr>
          <w:rFonts w:hint="eastAsia"/>
          <w:color w:val="auto"/>
        </w:rPr>
        <w:t xml:space="preserve"> 大风、水灾等自然灾害的应急措施</w:t>
      </w:r>
      <w:bookmarkEnd w:id="626"/>
    </w:p>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29AA458A">
      <w:pPr>
        <w:ind w:firstLine="480"/>
        <w:rPr>
          <w:rFonts w:hint="eastAsia"/>
          <w:color w:val="auto"/>
        </w:rPr>
      </w:pPr>
      <w:r>
        <w:rPr>
          <w:rFonts w:hint="eastAsia"/>
          <w:color w:val="auto"/>
        </w:rPr>
        <w:t>对于大风、大暴雨、水灾等自然灾害密切关注气象预报，预先配备必要的抗灾资源，做好防御工作，减少灾害损失。在接到或听到大风警（预）报后，所有的大风影响区域必须在大风到来之前，对于现场作业的区域，全部停工，对于作业现场的施工用电全部拉闸停电，力争减少人员和财产的不必要损失。在大暴雨、水灾发生前，要密切关注气象报告，还要配备必要的防水物质，还要将处于水平面较低的物质设备转运到水平面较高的地方，以防物质财产的损失，住在低洼处的人员要全部转移，防止人员被淹。针对大风、大暴雨、水灾情况，人员不在停留在易塌地段。</w:t>
      </w:r>
    </w:p>
    <w:p w14:paraId="043A90F5">
      <w:pPr>
        <w:pStyle w:val="3"/>
        <w:ind w:left="480"/>
        <w:rPr>
          <w:rFonts w:hint="eastAsia"/>
          <w:color w:val="auto"/>
        </w:rPr>
      </w:pPr>
      <w:bookmarkStart w:id="627" w:name="_Toc182895432"/>
      <w:bookmarkStart w:id="628" w:name="_Toc2714"/>
      <w:r>
        <w:rPr>
          <w:rFonts w:hint="eastAsia"/>
          <w:color w:val="auto"/>
        </w:rPr>
        <w:t>1</w:t>
      </w:r>
      <w:r>
        <w:rPr>
          <w:color w:val="auto"/>
        </w:rPr>
        <w:t xml:space="preserve">0.4 </w:t>
      </w:r>
      <w:r>
        <w:rPr>
          <w:rFonts w:hint="eastAsia"/>
          <w:color w:val="auto"/>
        </w:rPr>
        <w:t>应急保障</w:t>
      </w:r>
      <w:bookmarkEnd w:id="627"/>
      <w:bookmarkEnd w:id="628"/>
    </w:p>
    <w:p w14:paraId="55D7C7F7">
      <w:pPr>
        <w:pStyle w:val="4"/>
        <w:ind w:firstLine="482"/>
        <w:rPr>
          <w:rFonts w:hint="eastAsia"/>
          <w:color w:val="auto"/>
        </w:rPr>
      </w:pPr>
      <w:bookmarkStart w:id="629" w:name="_Toc19690"/>
      <w:r>
        <w:rPr>
          <w:rFonts w:hint="eastAsia"/>
          <w:color w:val="auto"/>
        </w:rPr>
        <w:t>1</w:t>
      </w:r>
      <w:r>
        <w:rPr>
          <w:color w:val="auto"/>
        </w:rPr>
        <w:t xml:space="preserve">0.4.1 </w:t>
      </w:r>
      <w:r>
        <w:rPr>
          <w:rFonts w:hint="eastAsia"/>
          <w:color w:val="auto"/>
        </w:rPr>
        <w:t>通信与信息保障</w:t>
      </w:r>
      <w:bookmarkEnd w:id="629"/>
    </w:p>
    <w:p w14:paraId="521F3B13">
      <w:pPr>
        <w:ind w:firstLine="480"/>
        <w:rPr>
          <w:rFonts w:hint="eastAsia"/>
          <w:color w:val="auto"/>
        </w:rPr>
      </w:pPr>
      <w:r>
        <w:rPr>
          <w:rFonts w:hint="eastAsia"/>
          <w:color w:val="auto"/>
        </w:rPr>
        <w:t>（1）应急领导小组联系方式</w:t>
      </w:r>
    </w:p>
    <w:p w14:paraId="132A3AC5">
      <w:pPr>
        <w:ind w:firstLine="480"/>
        <w:rPr>
          <w:rFonts w:hint="eastAsia"/>
          <w:color w:val="auto"/>
        </w:rPr>
      </w:pPr>
      <w:r>
        <w:rPr>
          <w:rFonts w:hint="eastAsia"/>
          <w:color w:val="auto"/>
        </w:rPr>
        <w:t>为保障信息通畅，要求各级应急响应人员的手机必须24小时开机，确保能够及时沟通信息。发生较大事故，无法控制时，应请求外部支援，要求员工熟知常用的救援电话以及相关部门负责人的电话。</w:t>
      </w:r>
    </w:p>
    <w:p w14:paraId="146A8989">
      <w:pPr>
        <w:ind w:firstLine="480"/>
        <w:rPr>
          <w:rFonts w:hint="eastAsia"/>
          <w:color w:val="auto"/>
        </w:rPr>
      </w:pPr>
      <w:r>
        <w:rPr>
          <w:rFonts w:hint="eastAsia"/>
          <w:color w:val="auto"/>
        </w:rPr>
        <w:t>（2）报警与救援电话</w:t>
      </w:r>
    </w:p>
    <w:p w14:paraId="562B1107">
      <w:pPr>
        <w:pStyle w:val="83"/>
        <w:rPr>
          <w:rFonts w:hint="eastAsia"/>
          <w:color w:val="auto"/>
        </w:rPr>
      </w:pPr>
      <w:r>
        <w:rPr>
          <w:rFonts w:hint="eastAsia"/>
          <w:color w:val="auto"/>
        </w:rPr>
        <w:t>表</w:t>
      </w:r>
      <w:r>
        <w:rPr>
          <w:color w:val="auto"/>
        </w:rPr>
        <w:t xml:space="preserve">10.4-2  </w:t>
      </w:r>
      <w:r>
        <w:rPr>
          <w:rFonts w:hint="eastAsia"/>
          <w:color w:val="auto"/>
        </w:rPr>
        <w:t>相关单位联系方式</w:t>
      </w:r>
    </w:p>
    <w:tbl>
      <w:tblPr>
        <w:tblStyle w:val="28"/>
        <w:tblW w:w="4829" w:type="pct"/>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41"/>
        <w:gridCol w:w="442"/>
        <w:gridCol w:w="700"/>
        <w:gridCol w:w="2074"/>
        <w:gridCol w:w="1431"/>
        <w:gridCol w:w="1692"/>
        <w:gridCol w:w="1774"/>
      </w:tblGrid>
      <w:tr w14:paraId="0D1C610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27" w:hRule="atLeast"/>
          <w:tblHeader/>
          <w:jc w:val="center"/>
        </w:trPr>
        <w:tc>
          <w:tcPr>
            <w:tcW w:w="257" w:type="pct"/>
            <w:vMerge w:val="restart"/>
            <w:tcBorders>
              <w:top w:val="single" w:color="auto" w:sz="4" w:space="0"/>
              <w:left w:val="single" w:color="auto" w:sz="4" w:space="0"/>
              <w:bottom w:val="single" w:color="auto" w:sz="4" w:space="0"/>
              <w:right w:val="single" w:color="auto" w:sz="4" w:space="0"/>
              <w:tl2br w:val="nil"/>
            </w:tcBorders>
            <w:shd w:val="clear" w:color="auto" w:fill="FFFFFF"/>
            <w:vAlign w:val="center"/>
          </w:tcPr>
          <w:p w14:paraId="4D392597">
            <w:pPr>
              <w:pStyle w:val="54"/>
              <w:spacing w:line="300" w:lineRule="exact"/>
              <w:rPr>
                <w:rFonts w:hint="eastAsia" w:hAnsi="宋体" w:cs="宋体"/>
                <w:color w:val="auto"/>
                <w:szCs w:val="21"/>
              </w:rPr>
            </w:pPr>
            <w:r>
              <w:rPr>
                <w:rFonts w:hint="eastAsia" w:hAnsi="宋体" w:cs="宋体"/>
                <w:color w:val="auto"/>
                <w:szCs w:val="21"/>
              </w:rPr>
              <w:t>序号</w:t>
            </w:r>
          </w:p>
        </w:tc>
        <w:tc>
          <w:tcPr>
            <w:tcW w:w="1878" w:type="pct"/>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463E8D9">
            <w:pPr>
              <w:pStyle w:val="54"/>
              <w:spacing w:line="300" w:lineRule="exact"/>
              <w:rPr>
                <w:rFonts w:hint="eastAsia" w:hAnsi="宋体" w:cs="宋体"/>
                <w:color w:val="auto"/>
                <w:szCs w:val="21"/>
              </w:rPr>
            </w:pPr>
            <w:r>
              <w:rPr>
                <w:rFonts w:hint="eastAsia" w:hAnsi="宋体" w:cs="宋体"/>
                <w:color w:val="auto"/>
                <w:szCs w:val="21"/>
              </w:rPr>
              <w:t>外部救援力量</w:t>
            </w:r>
          </w:p>
        </w:tc>
        <w:tc>
          <w:tcPr>
            <w:tcW w:w="8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7E8A241">
            <w:pPr>
              <w:pStyle w:val="54"/>
              <w:spacing w:line="300" w:lineRule="exact"/>
              <w:rPr>
                <w:rFonts w:hint="eastAsia" w:hAnsi="宋体" w:cs="宋体"/>
                <w:color w:val="auto"/>
                <w:szCs w:val="21"/>
              </w:rPr>
            </w:pPr>
            <w:r>
              <w:rPr>
                <w:rFonts w:hint="eastAsia" w:hAnsi="宋体" w:cs="宋体"/>
                <w:color w:val="auto"/>
                <w:szCs w:val="21"/>
              </w:rPr>
              <w:t>职责</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2A54DCA">
            <w:pPr>
              <w:pStyle w:val="54"/>
              <w:spacing w:line="300" w:lineRule="exact"/>
              <w:rPr>
                <w:rFonts w:hint="eastAsia" w:hAnsi="宋体" w:cs="宋体"/>
                <w:color w:val="auto"/>
                <w:szCs w:val="21"/>
              </w:rPr>
            </w:pPr>
            <w:r>
              <w:rPr>
                <w:rFonts w:hint="eastAsia" w:hAnsi="宋体" w:cs="宋体"/>
                <w:color w:val="auto"/>
                <w:szCs w:val="21"/>
              </w:rPr>
              <w:t>应急电话</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3AA5FE5F">
            <w:pPr>
              <w:pStyle w:val="54"/>
              <w:spacing w:line="300" w:lineRule="exact"/>
              <w:rPr>
                <w:rFonts w:hint="eastAsia" w:hAnsi="宋体" w:cs="宋体"/>
                <w:color w:val="auto"/>
                <w:szCs w:val="21"/>
              </w:rPr>
            </w:pPr>
            <w:r>
              <w:rPr>
                <w:rFonts w:hint="eastAsia" w:hAnsi="宋体" w:cs="宋体"/>
                <w:color w:val="auto"/>
                <w:szCs w:val="21"/>
              </w:rPr>
              <w:t>备注</w:t>
            </w:r>
          </w:p>
        </w:tc>
      </w:tr>
      <w:tr w14:paraId="1195AB3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blHeader/>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4C1F25A">
            <w:pPr>
              <w:pStyle w:val="54"/>
              <w:spacing w:line="300" w:lineRule="exact"/>
              <w:rPr>
                <w:rFonts w:hint="eastAsia" w:hAnsi="宋体" w:cs="宋体"/>
                <w:color w:val="auto"/>
                <w:szCs w:val="21"/>
              </w:rPr>
            </w:pPr>
          </w:p>
        </w:tc>
        <w:tc>
          <w:tcPr>
            <w:tcW w:w="258" w:type="pct"/>
            <w:tcBorders>
              <w:top w:val="single" w:color="auto" w:sz="4" w:space="0"/>
              <w:left w:val="single" w:color="auto" w:sz="4" w:space="0"/>
              <w:bottom w:val="single" w:color="auto" w:sz="4" w:space="0"/>
              <w:right w:val="single" w:color="auto" w:sz="4" w:space="0"/>
            </w:tcBorders>
            <w:shd w:val="clear" w:color="auto" w:fill="FFFFFF"/>
            <w:vAlign w:val="center"/>
          </w:tcPr>
          <w:p w14:paraId="6F7B26C2">
            <w:pPr>
              <w:pStyle w:val="54"/>
              <w:spacing w:line="300" w:lineRule="exact"/>
              <w:rPr>
                <w:rFonts w:hint="eastAsia" w:hAnsi="宋体" w:cs="宋体"/>
                <w:color w:val="auto"/>
                <w:szCs w:val="21"/>
              </w:rPr>
            </w:pPr>
            <w:r>
              <w:rPr>
                <w:rFonts w:hint="eastAsia" w:hAnsi="宋体" w:cs="宋体"/>
                <w:color w:val="auto"/>
                <w:szCs w:val="21"/>
              </w:rPr>
              <w:t>区域</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628AC5ED">
            <w:pPr>
              <w:pStyle w:val="54"/>
              <w:spacing w:line="300" w:lineRule="exact"/>
              <w:rPr>
                <w:rFonts w:hint="eastAsia" w:hAnsi="宋体" w:cs="宋体"/>
                <w:color w:val="auto"/>
                <w:szCs w:val="21"/>
              </w:rPr>
            </w:pPr>
            <w:r>
              <w:rPr>
                <w:rFonts w:hint="eastAsia" w:hAnsi="宋体" w:cs="宋体"/>
                <w:color w:val="auto"/>
                <w:szCs w:val="21"/>
              </w:rPr>
              <w:t>主导力量</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00D81335">
            <w:pPr>
              <w:pStyle w:val="54"/>
              <w:spacing w:line="300" w:lineRule="exact"/>
              <w:rPr>
                <w:rFonts w:hint="eastAsia" w:hAnsi="宋体" w:cs="宋体"/>
                <w:color w:val="auto"/>
                <w:szCs w:val="21"/>
              </w:rPr>
            </w:pPr>
            <w:r>
              <w:rPr>
                <w:rFonts w:hint="eastAsia" w:hAnsi="宋体" w:cs="宋体"/>
                <w:color w:val="auto"/>
                <w:szCs w:val="21"/>
              </w:rPr>
              <w:t>调用力量</w:t>
            </w:r>
          </w:p>
        </w:tc>
        <w:tc>
          <w:tcPr>
            <w:tcW w:w="8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C658043">
            <w:pPr>
              <w:pStyle w:val="54"/>
              <w:spacing w:line="300" w:lineRule="exact"/>
              <w:rPr>
                <w:rFonts w:hint="eastAsia" w:hAnsi="宋体" w:cs="宋体"/>
                <w:color w:val="auto"/>
                <w:szCs w:val="21"/>
              </w:rPr>
            </w:pP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CF68A64">
            <w:pPr>
              <w:pStyle w:val="54"/>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928140A">
            <w:pPr>
              <w:pStyle w:val="54"/>
              <w:spacing w:line="300" w:lineRule="exact"/>
              <w:rPr>
                <w:rFonts w:hint="eastAsia" w:hAnsi="宋体" w:cs="宋体"/>
                <w:color w:val="auto"/>
                <w:szCs w:val="21"/>
              </w:rPr>
            </w:pPr>
          </w:p>
        </w:tc>
      </w:tr>
      <w:tr w14:paraId="63BEF58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1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35D5051D">
            <w:pPr>
              <w:pStyle w:val="54"/>
              <w:spacing w:line="300" w:lineRule="exact"/>
              <w:rPr>
                <w:rFonts w:hint="eastAsia" w:hAnsi="宋体" w:cs="宋体"/>
                <w:color w:val="auto"/>
                <w:szCs w:val="21"/>
              </w:rPr>
            </w:pPr>
            <w:r>
              <w:rPr>
                <w:rFonts w:hint="eastAsia" w:hAnsi="宋体" w:cs="宋体"/>
                <w:color w:val="auto"/>
                <w:szCs w:val="21"/>
              </w:rPr>
              <w:t>1</w:t>
            </w:r>
          </w:p>
        </w:tc>
        <w:tc>
          <w:tcPr>
            <w:tcW w:w="25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831F79C">
            <w:pPr>
              <w:pStyle w:val="54"/>
              <w:spacing w:line="300" w:lineRule="exact"/>
              <w:rPr>
                <w:rFonts w:hint="eastAsia" w:hAnsi="宋体" w:cs="宋体"/>
                <w:color w:val="auto"/>
                <w:szCs w:val="21"/>
              </w:rPr>
            </w:pPr>
          </w:p>
          <w:p w14:paraId="3FF4FFDA">
            <w:pPr>
              <w:pStyle w:val="54"/>
              <w:spacing w:line="300" w:lineRule="exact"/>
              <w:rPr>
                <w:rFonts w:hint="eastAsia" w:hAnsi="宋体" w:cs="宋体"/>
                <w:color w:val="auto"/>
                <w:szCs w:val="21"/>
              </w:rPr>
            </w:pPr>
          </w:p>
          <w:p w14:paraId="3508226A">
            <w:pPr>
              <w:pStyle w:val="54"/>
              <w:spacing w:line="300" w:lineRule="exact"/>
              <w:rPr>
                <w:rFonts w:hint="eastAsia" w:hAnsi="宋体" w:cs="宋体"/>
                <w:color w:val="auto"/>
                <w:szCs w:val="21"/>
              </w:rPr>
            </w:pPr>
            <w:r>
              <w:rPr>
                <w:rFonts w:hint="eastAsia" w:hAnsi="宋体" w:cs="宋体"/>
                <w:color w:val="auto"/>
                <w:szCs w:val="21"/>
              </w:rPr>
              <w:t>文山市</w:t>
            </w: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141D1CA5">
            <w:pPr>
              <w:pStyle w:val="54"/>
              <w:spacing w:line="300" w:lineRule="exact"/>
              <w:rPr>
                <w:rFonts w:hint="eastAsia" w:hAnsi="宋体" w:cs="宋体"/>
                <w:color w:val="auto"/>
                <w:szCs w:val="21"/>
              </w:rPr>
            </w:pPr>
            <w:r>
              <w:rPr>
                <w:rFonts w:hint="eastAsia" w:hAnsi="宋体" w:cs="宋体"/>
                <w:color w:val="auto"/>
                <w:szCs w:val="21"/>
              </w:rPr>
              <w:t>文山市应急管理局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3BE09B24">
            <w:pPr>
              <w:pStyle w:val="54"/>
              <w:spacing w:line="300" w:lineRule="exact"/>
              <w:rPr>
                <w:rFonts w:hint="eastAsia" w:hAnsi="宋体" w:cs="宋体"/>
                <w:color w:val="auto"/>
                <w:szCs w:val="21"/>
              </w:rPr>
            </w:pPr>
            <w:r>
              <w:rPr>
                <w:rFonts w:hint="eastAsia" w:hAnsi="宋体" w:cs="宋体"/>
                <w:color w:val="auto"/>
                <w:szCs w:val="21"/>
              </w:rPr>
              <w:t>文山市应急管理局安全生产应急救援力量和资源</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2AC8C92">
            <w:pPr>
              <w:pStyle w:val="54"/>
              <w:spacing w:line="300" w:lineRule="exact"/>
              <w:rPr>
                <w:rFonts w:hint="eastAsia" w:hAnsi="宋体" w:cs="宋体"/>
                <w:color w:val="auto"/>
                <w:szCs w:val="21"/>
              </w:rPr>
            </w:pPr>
            <w:r>
              <w:rPr>
                <w:rFonts w:hint="eastAsia" w:hAnsi="宋体" w:cs="宋体"/>
                <w:color w:val="auto"/>
                <w:szCs w:val="21"/>
              </w:rPr>
              <w:t>文山市安全生产应急救援资源综合监督管理</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099845F">
            <w:pPr>
              <w:pStyle w:val="54"/>
              <w:spacing w:line="300" w:lineRule="exact"/>
              <w:rPr>
                <w:rFonts w:hint="eastAsia" w:hAnsi="宋体" w:cs="宋体"/>
                <w:color w:val="auto"/>
                <w:szCs w:val="21"/>
              </w:rPr>
            </w:pPr>
            <w:r>
              <w:rPr>
                <w:rFonts w:hint="eastAsia" w:hAnsi="宋体" w:cs="宋体"/>
                <w:color w:val="auto"/>
                <w:szCs w:val="21"/>
              </w:rPr>
              <w:t>0876—2185845</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3C78075B">
            <w:pPr>
              <w:pStyle w:val="54"/>
              <w:spacing w:line="300" w:lineRule="exact"/>
              <w:rPr>
                <w:rFonts w:hint="eastAsia" w:hAnsi="宋体" w:cs="宋体"/>
                <w:color w:val="auto"/>
                <w:szCs w:val="21"/>
              </w:rPr>
            </w:pPr>
            <w:r>
              <w:rPr>
                <w:rFonts w:hint="eastAsia" w:hAnsi="宋体" w:cs="宋体"/>
                <w:color w:val="auto"/>
                <w:szCs w:val="21"/>
              </w:rPr>
              <w:t>文山市凤凰路30号政务服务大楼五楼</w:t>
            </w:r>
          </w:p>
        </w:tc>
      </w:tr>
      <w:tr w14:paraId="771D0FA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56" w:hRule="atLeast"/>
          <w:jc w:val="center"/>
        </w:trPr>
        <w:tc>
          <w:tcPr>
            <w:tcW w:w="25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FDE93EA">
            <w:pPr>
              <w:pStyle w:val="54"/>
              <w:spacing w:line="300" w:lineRule="exact"/>
              <w:rPr>
                <w:rFonts w:hint="eastAsia" w:hAnsi="宋体" w:cs="宋体"/>
                <w:color w:val="auto"/>
                <w:szCs w:val="21"/>
              </w:rPr>
            </w:pPr>
            <w:r>
              <w:rPr>
                <w:rFonts w:hint="eastAsia" w:hAnsi="宋体" w:cs="宋体"/>
                <w:color w:val="auto"/>
                <w:szCs w:val="21"/>
              </w:rPr>
              <w:t>2</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DD3740">
            <w:pPr>
              <w:pStyle w:val="54"/>
              <w:spacing w:line="300" w:lineRule="exact"/>
              <w:rPr>
                <w:rFonts w:hint="eastAsia" w:hAnsi="宋体" w:cs="宋体"/>
                <w:color w:val="auto"/>
                <w:szCs w:val="21"/>
              </w:rPr>
            </w:pPr>
          </w:p>
        </w:tc>
        <w:tc>
          <w:tcPr>
            <w:tcW w:w="40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99D516B">
            <w:pPr>
              <w:pStyle w:val="54"/>
              <w:spacing w:line="300" w:lineRule="exact"/>
              <w:rPr>
                <w:rFonts w:hint="eastAsia" w:hAnsi="宋体" w:cs="宋体"/>
                <w:color w:val="auto"/>
                <w:szCs w:val="21"/>
              </w:rPr>
            </w:pPr>
            <w:r>
              <w:rPr>
                <w:rFonts w:hint="eastAsia" w:hAnsi="宋体" w:cs="宋体"/>
                <w:color w:val="auto"/>
                <w:szCs w:val="21"/>
              </w:rPr>
              <w:t>文山市公安局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3492E12">
            <w:pPr>
              <w:pStyle w:val="54"/>
              <w:spacing w:line="300" w:lineRule="exact"/>
              <w:rPr>
                <w:rFonts w:hint="eastAsia" w:hAnsi="宋体" w:cs="宋体"/>
                <w:color w:val="auto"/>
                <w:szCs w:val="21"/>
              </w:rPr>
            </w:pPr>
            <w:r>
              <w:rPr>
                <w:rFonts w:hint="eastAsia" w:hAnsi="宋体" w:cs="宋体"/>
                <w:color w:val="auto"/>
                <w:szCs w:val="21"/>
              </w:rPr>
              <w:t>文山市公安消防局</w:t>
            </w:r>
          </w:p>
          <w:p w14:paraId="797924DA">
            <w:pPr>
              <w:pStyle w:val="54"/>
              <w:spacing w:line="300" w:lineRule="exact"/>
              <w:rPr>
                <w:rFonts w:hint="eastAsia" w:hAnsi="宋体" w:cs="宋体"/>
                <w:color w:val="auto"/>
                <w:szCs w:val="21"/>
              </w:rPr>
            </w:pPr>
            <w:r>
              <w:rPr>
                <w:rFonts w:hint="eastAsia" w:hAnsi="宋体" w:cs="宋体"/>
                <w:color w:val="auto"/>
                <w:szCs w:val="21"/>
              </w:rPr>
              <w:t>（报警电话：119）</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787C7DE">
            <w:pPr>
              <w:pStyle w:val="54"/>
              <w:spacing w:line="300" w:lineRule="exact"/>
              <w:rPr>
                <w:rFonts w:hint="eastAsia" w:hAnsi="宋体" w:cs="宋体"/>
                <w:color w:val="auto"/>
                <w:szCs w:val="21"/>
              </w:rPr>
            </w:pPr>
            <w:r>
              <w:rPr>
                <w:rFonts w:hint="eastAsia" w:hAnsi="宋体" w:cs="宋体"/>
                <w:color w:val="auto"/>
                <w:szCs w:val="21"/>
              </w:rPr>
              <w:t>陆上消防</w:t>
            </w:r>
          </w:p>
        </w:tc>
        <w:tc>
          <w:tcPr>
            <w:tcW w:w="989"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F0B4F1C">
            <w:pPr>
              <w:pStyle w:val="54"/>
              <w:spacing w:line="300" w:lineRule="exact"/>
              <w:rPr>
                <w:rFonts w:hint="eastAsia" w:hAnsi="宋体" w:cs="宋体"/>
                <w:color w:val="auto"/>
                <w:szCs w:val="21"/>
              </w:rPr>
            </w:pPr>
            <w:r>
              <w:rPr>
                <w:rFonts w:hint="eastAsia" w:hAnsi="宋体" w:cs="宋体"/>
                <w:color w:val="auto"/>
                <w:szCs w:val="21"/>
              </w:rPr>
              <w:t>110</w:t>
            </w:r>
          </w:p>
        </w:tc>
        <w:tc>
          <w:tcPr>
            <w:tcW w:w="1037"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FE6DF9B">
            <w:pPr>
              <w:pStyle w:val="54"/>
              <w:spacing w:line="300" w:lineRule="exact"/>
              <w:rPr>
                <w:rFonts w:hint="eastAsia" w:hAnsi="宋体" w:cs="宋体"/>
                <w:color w:val="auto"/>
                <w:szCs w:val="21"/>
              </w:rPr>
            </w:pPr>
            <w:r>
              <w:rPr>
                <w:rFonts w:hint="eastAsia" w:hAnsi="宋体" w:cs="宋体"/>
                <w:color w:val="auto"/>
                <w:szCs w:val="21"/>
              </w:rPr>
              <w:t>2.拨打时，只需按入“112”，然后按"Yes"或"OK"键。荧幕就会显示"Emergency"（紧急求援）信息，自动接驳到当地的求援热线。</w:t>
            </w:r>
          </w:p>
        </w:tc>
      </w:tr>
      <w:tr w14:paraId="091784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64" w:hRule="atLeast"/>
          <w:jc w:val="center"/>
        </w:trPr>
        <w:tc>
          <w:tcPr>
            <w:tcW w:w="25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0EE6B69">
            <w:pPr>
              <w:pStyle w:val="54"/>
              <w:spacing w:line="300" w:lineRule="exact"/>
              <w:rPr>
                <w:rFonts w:hint="eastAsia" w:hAnsi="宋体" w:cs="宋体"/>
                <w:color w:val="auto"/>
                <w:szCs w:val="21"/>
              </w:rPr>
            </w:pP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59B6ACB">
            <w:pPr>
              <w:pStyle w:val="54"/>
              <w:spacing w:line="300" w:lineRule="exact"/>
              <w:rPr>
                <w:rFonts w:hint="eastAsia" w:hAnsi="宋体" w:cs="宋体"/>
                <w:color w:val="auto"/>
                <w:szCs w:val="21"/>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65CCACE">
            <w:pPr>
              <w:pStyle w:val="54"/>
              <w:spacing w:line="300" w:lineRule="exact"/>
              <w:rPr>
                <w:rFonts w:hint="eastAsia" w:hAnsi="宋体" w:cs="宋体"/>
                <w:color w:val="auto"/>
                <w:szCs w:val="21"/>
              </w:rPr>
            </w:pP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60DD319A">
            <w:pPr>
              <w:pStyle w:val="54"/>
              <w:spacing w:line="300" w:lineRule="exact"/>
              <w:rPr>
                <w:rFonts w:hint="eastAsia" w:hAnsi="宋体" w:cs="宋体"/>
                <w:color w:val="auto"/>
                <w:szCs w:val="21"/>
              </w:rPr>
            </w:pPr>
            <w:r>
              <w:rPr>
                <w:rFonts w:hint="eastAsia" w:hAnsi="宋体" w:cs="宋体"/>
                <w:color w:val="auto"/>
                <w:szCs w:val="21"/>
              </w:rPr>
              <w:t>文山市公安局交通警察支队</w:t>
            </w:r>
          </w:p>
          <w:p w14:paraId="20C4C906">
            <w:pPr>
              <w:pStyle w:val="54"/>
              <w:spacing w:line="300" w:lineRule="exact"/>
              <w:rPr>
                <w:rFonts w:hint="eastAsia" w:hAnsi="宋体" w:cs="宋体"/>
                <w:color w:val="auto"/>
                <w:szCs w:val="21"/>
              </w:rPr>
            </w:pPr>
            <w:r>
              <w:rPr>
                <w:rFonts w:hint="eastAsia" w:hAnsi="宋体" w:cs="宋体"/>
                <w:color w:val="auto"/>
                <w:szCs w:val="21"/>
              </w:rPr>
              <w:t>（报警电话：122）</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3860AA1F">
            <w:pPr>
              <w:pStyle w:val="54"/>
              <w:spacing w:line="300" w:lineRule="exact"/>
              <w:rPr>
                <w:rFonts w:hint="eastAsia" w:hAnsi="宋体" w:cs="宋体"/>
                <w:color w:val="auto"/>
                <w:szCs w:val="21"/>
              </w:rPr>
            </w:pPr>
            <w:r>
              <w:rPr>
                <w:rFonts w:hint="eastAsia" w:hAnsi="宋体" w:cs="宋体"/>
                <w:color w:val="auto"/>
                <w:szCs w:val="21"/>
              </w:rPr>
              <w:t>陆上交通</w:t>
            </w:r>
          </w:p>
        </w:tc>
        <w:tc>
          <w:tcPr>
            <w:tcW w:w="989"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F6B30EA">
            <w:pPr>
              <w:pStyle w:val="54"/>
              <w:spacing w:line="300" w:lineRule="exact"/>
              <w:rPr>
                <w:rFonts w:hint="eastAsia" w:hAnsi="宋体" w:cs="宋体"/>
                <w:color w:val="auto"/>
                <w:szCs w:val="21"/>
              </w:rPr>
            </w:pP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40700C">
            <w:pPr>
              <w:pStyle w:val="54"/>
              <w:spacing w:line="300" w:lineRule="exact"/>
              <w:rPr>
                <w:rFonts w:hint="eastAsia" w:hAnsi="宋体" w:cs="宋体"/>
                <w:color w:val="auto"/>
                <w:szCs w:val="21"/>
              </w:rPr>
            </w:pPr>
          </w:p>
        </w:tc>
      </w:tr>
      <w:tr w14:paraId="729975B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9"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6631E520">
            <w:pPr>
              <w:pStyle w:val="54"/>
              <w:spacing w:line="300" w:lineRule="exact"/>
              <w:rPr>
                <w:rFonts w:hint="eastAsia" w:hAnsi="宋体" w:cs="宋体"/>
                <w:color w:val="auto"/>
                <w:szCs w:val="21"/>
              </w:rPr>
            </w:pPr>
            <w:r>
              <w:rPr>
                <w:rFonts w:hint="eastAsia" w:hAnsi="宋体" w:cs="宋体"/>
                <w:color w:val="auto"/>
                <w:szCs w:val="21"/>
              </w:rPr>
              <w:t>3</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2FE6E0">
            <w:pPr>
              <w:pStyle w:val="54"/>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7FB8E894">
            <w:pPr>
              <w:pStyle w:val="54"/>
              <w:spacing w:line="300" w:lineRule="exact"/>
              <w:rPr>
                <w:rFonts w:hint="eastAsia" w:hAnsi="宋体" w:cs="宋体"/>
                <w:color w:val="auto"/>
                <w:szCs w:val="21"/>
              </w:rPr>
            </w:pPr>
            <w:r>
              <w:rPr>
                <w:rFonts w:hint="eastAsia" w:hAnsi="宋体" w:cs="宋体"/>
                <w:color w:val="auto"/>
                <w:szCs w:val="21"/>
              </w:rPr>
              <w:t>文山市卫生局</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73BF615C">
            <w:pPr>
              <w:pStyle w:val="54"/>
              <w:spacing w:line="300" w:lineRule="exact"/>
              <w:rPr>
                <w:rFonts w:hint="eastAsia" w:hAnsi="宋体" w:cs="宋体"/>
                <w:color w:val="auto"/>
                <w:szCs w:val="21"/>
              </w:rPr>
            </w:pPr>
            <w:r>
              <w:rPr>
                <w:rFonts w:hint="eastAsia" w:hAnsi="宋体" w:cs="宋体"/>
                <w:color w:val="auto"/>
                <w:szCs w:val="21"/>
              </w:rPr>
              <w:t>文山市各医疗、卫生防疫机构</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10070055">
            <w:pPr>
              <w:pStyle w:val="54"/>
              <w:spacing w:line="300" w:lineRule="exact"/>
              <w:rPr>
                <w:rFonts w:hint="eastAsia" w:hAnsi="宋体" w:cs="宋体"/>
                <w:color w:val="auto"/>
                <w:szCs w:val="21"/>
              </w:rPr>
            </w:pPr>
            <w:r>
              <w:rPr>
                <w:rFonts w:hint="eastAsia" w:hAnsi="宋体" w:cs="宋体"/>
                <w:color w:val="auto"/>
                <w:szCs w:val="21"/>
              </w:rPr>
              <w:t>医疗救治与卫生防疫</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77A484BB">
            <w:pPr>
              <w:pStyle w:val="54"/>
              <w:spacing w:line="300" w:lineRule="exact"/>
              <w:rPr>
                <w:rFonts w:hint="eastAsia" w:hAnsi="宋体" w:cs="宋体"/>
                <w:color w:val="auto"/>
                <w:szCs w:val="21"/>
              </w:rPr>
            </w:pPr>
            <w:r>
              <w:rPr>
                <w:rFonts w:hint="eastAsia" w:hAnsi="宋体" w:cs="宋体"/>
                <w:color w:val="auto"/>
                <w:szCs w:val="21"/>
              </w:rPr>
              <w:t>120</w:t>
            </w:r>
          </w:p>
        </w:tc>
        <w:tc>
          <w:tcPr>
            <w:tcW w:w="1037"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85018D">
            <w:pPr>
              <w:pStyle w:val="54"/>
              <w:spacing w:line="300" w:lineRule="exact"/>
              <w:rPr>
                <w:rFonts w:hint="eastAsia" w:hAnsi="宋体" w:cs="宋体"/>
                <w:color w:val="auto"/>
                <w:szCs w:val="21"/>
              </w:rPr>
            </w:pPr>
          </w:p>
        </w:tc>
      </w:tr>
      <w:tr w14:paraId="66308B8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96" w:hRule="atLeast"/>
          <w:jc w:val="center"/>
        </w:trPr>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14:paraId="04467C5A">
            <w:pPr>
              <w:pStyle w:val="54"/>
              <w:spacing w:line="300" w:lineRule="exact"/>
              <w:rPr>
                <w:rFonts w:hint="eastAsia" w:hAnsi="宋体" w:cs="宋体"/>
                <w:color w:val="auto"/>
                <w:szCs w:val="21"/>
              </w:rPr>
            </w:pPr>
            <w:r>
              <w:rPr>
                <w:rFonts w:hint="eastAsia" w:hAnsi="宋体" w:cs="宋体"/>
                <w:color w:val="auto"/>
                <w:szCs w:val="21"/>
              </w:rPr>
              <w:t>4</w:t>
            </w:r>
          </w:p>
        </w:tc>
        <w:tc>
          <w:tcPr>
            <w:tcW w:w="258" w:type="pct"/>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F1D2E16">
            <w:pPr>
              <w:pStyle w:val="54"/>
              <w:spacing w:line="300" w:lineRule="exact"/>
              <w:rPr>
                <w:rFonts w:hint="eastAsia" w:hAnsi="宋体" w:cs="宋体"/>
                <w:color w:val="auto"/>
                <w:szCs w:val="21"/>
              </w:rPr>
            </w:pPr>
          </w:p>
        </w:tc>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14:paraId="3D7DCDF8">
            <w:pPr>
              <w:pStyle w:val="54"/>
              <w:spacing w:line="300" w:lineRule="exact"/>
              <w:rPr>
                <w:rFonts w:hint="eastAsia" w:hAnsi="宋体" w:cs="宋体"/>
                <w:color w:val="auto"/>
                <w:szCs w:val="21"/>
              </w:rPr>
            </w:pPr>
            <w:r>
              <w:rPr>
                <w:rFonts w:hint="eastAsia" w:hAnsi="宋体" w:cs="宋体"/>
                <w:color w:val="auto"/>
                <w:szCs w:val="21"/>
              </w:rPr>
              <w:t>文山市马塘正镇卫生院</w:t>
            </w:r>
          </w:p>
        </w:tc>
        <w:tc>
          <w:tcPr>
            <w:tcW w:w="1211" w:type="pct"/>
            <w:tcBorders>
              <w:top w:val="single" w:color="auto" w:sz="4" w:space="0"/>
              <w:left w:val="single" w:color="auto" w:sz="4" w:space="0"/>
              <w:bottom w:val="single" w:color="auto" w:sz="4" w:space="0"/>
              <w:right w:val="single" w:color="auto" w:sz="4" w:space="0"/>
            </w:tcBorders>
            <w:shd w:val="clear" w:color="auto" w:fill="FFFFFF"/>
            <w:vAlign w:val="center"/>
          </w:tcPr>
          <w:p w14:paraId="1E5383FA">
            <w:pPr>
              <w:pStyle w:val="54"/>
              <w:spacing w:line="300" w:lineRule="exact"/>
              <w:rPr>
                <w:rFonts w:hint="eastAsia" w:hAnsi="宋体" w:cs="宋体"/>
                <w:color w:val="auto"/>
                <w:szCs w:val="21"/>
              </w:rPr>
            </w:pPr>
            <w:r>
              <w:rPr>
                <w:rFonts w:hint="eastAsia" w:hAnsi="宋体" w:cs="宋体"/>
                <w:color w:val="auto"/>
                <w:szCs w:val="21"/>
              </w:rPr>
              <w:t>医院</w:t>
            </w:r>
          </w:p>
        </w:tc>
        <w:tc>
          <w:tcPr>
            <w:tcW w:w="837" w:type="pct"/>
            <w:tcBorders>
              <w:top w:val="single" w:color="auto" w:sz="4" w:space="0"/>
              <w:left w:val="single" w:color="auto" w:sz="4" w:space="0"/>
              <w:bottom w:val="single" w:color="auto" w:sz="4" w:space="0"/>
              <w:right w:val="single" w:color="auto" w:sz="4" w:space="0"/>
            </w:tcBorders>
            <w:shd w:val="clear" w:color="auto" w:fill="FFFFFF"/>
            <w:vAlign w:val="center"/>
          </w:tcPr>
          <w:p w14:paraId="04FAE258">
            <w:pPr>
              <w:pStyle w:val="54"/>
              <w:spacing w:line="300" w:lineRule="exact"/>
              <w:rPr>
                <w:rFonts w:hint="eastAsia" w:hAnsi="宋体" w:cs="宋体"/>
                <w:color w:val="auto"/>
                <w:szCs w:val="21"/>
              </w:rPr>
            </w:pPr>
            <w:r>
              <w:rPr>
                <w:rFonts w:hint="eastAsia" w:hAnsi="宋体" w:cs="宋体"/>
                <w:color w:val="auto"/>
                <w:szCs w:val="21"/>
              </w:rPr>
              <w:t>医疗救治</w:t>
            </w:r>
          </w:p>
        </w:tc>
        <w:tc>
          <w:tcPr>
            <w:tcW w:w="989" w:type="pct"/>
            <w:tcBorders>
              <w:top w:val="single" w:color="auto" w:sz="4" w:space="0"/>
              <w:left w:val="single" w:color="auto" w:sz="4" w:space="0"/>
              <w:bottom w:val="single" w:color="auto" w:sz="4" w:space="0"/>
              <w:right w:val="single" w:color="auto" w:sz="4" w:space="0"/>
            </w:tcBorders>
            <w:shd w:val="clear" w:color="auto" w:fill="FFFFFF"/>
            <w:vAlign w:val="center"/>
          </w:tcPr>
          <w:p w14:paraId="27C9F940">
            <w:pPr>
              <w:pStyle w:val="54"/>
              <w:spacing w:line="300" w:lineRule="exact"/>
              <w:rPr>
                <w:rFonts w:hint="eastAsia" w:hAnsi="宋体" w:cs="宋体"/>
                <w:color w:val="auto"/>
                <w:szCs w:val="21"/>
              </w:rPr>
            </w:pPr>
            <w:r>
              <w:rPr>
                <w:rFonts w:hint="eastAsia" w:hAnsi="宋体" w:cs="宋体"/>
                <w:color w:val="auto"/>
                <w:szCs w:val="21"/>
              </w:rPr>
              <w:t>0876-2190430</w:t>
            </w:r>
          </w:p>
        </w:tc>
        <w:tc>
          <w:tcPr>
            <w:tcW w:w="1037" w:type="pct"/>
            <w:tcBorders>
              <w:top w:val="single" w:color="auto" w:sz="4" w:space="0"/>
              <w:left w:val="single" w:color="auto" w:sz="4" w:space="0"/>
              <w:bottom w:val="single" w:color="auto" w:sz="4" w:space="0"/>
              <w:right w:val="single" w:color="auto" w:sz="4" w:space="0"/>
            </w:tcBorders>
            <w:shd w:val="clear" w:color="auto" w:fill="FFFFFF"/>
            <w:vAlign w:val="center"/>
          </w:tcPr>
          <w:p w14:paraId="0A6BD755">
            <w:pPr>
              <w:pStyle w:val="54"/>
              <w:spacing w:line="300" w:lineRule="exact"/>
              <w:rPr>
                <w:rFonts w:hint="eastAsia" w:hAnsi="宋体" w:cs="宋体"/>
                <w:color w:val="auto"/>
                <w:szCs w:val="21"/>
              </w:rPr>
            </w:pPr>
            <w:r>
              <w:rPr>
                <w:rFonts w:hint="eastAsia" w:hAnsi="宋体" w:cs="宋体"/>
                <w:color w:val="auto"/>
                <w:szCs w:val="21"/>
              </w:rPr>
              <w:t>云南省文山壮族苗族自治州文山市马塘镇</w:t>
            </w:r>
          </w:p>
        </w:tc>
      </w:tr>
    </w:tbl>
    <w:p w14:paraId="6F64B378">
      <w:pPr>
        <w:pStyle w:val="83"/>
        <w:rPr>
          <w:rFonts w:hint="eastAsia"/>
          <w:color w:val="auto"/>
        </w:rPr>
      </w:pPr>
    </w:p>
    <w:p w14:paraId="0545FA1C">
      <w:pPr>
        <w:pStyle w:val="4"/>
        <w:ind w:firstLine="482"/>
        <w:rPr>
          <w:rFonts w:hint="eastAsia"/>
          <w:color w:val="auto"/>
        </w:rPr>
      </w:pPr>
      <w:bookmarkStart w:id="630" w:name="_Toc23616"/>
      <w:r>
        <w:rPr>
          <w:rFonts w:hint="eastAsia"/>
          <w:color w:val="auto"/>
        </w:rPr>
        <w:t>1</w:t>
      </w:r>
      <w:r>
        <w:rPr>
          <w:color w:val="auto"/>
        </w:rPr>
        <w:t xml:space="preserve">0.4.2 </w:t>
      </w:r>
      <w:r>
        <w:rPr>
          <w:rFonts w:hint="eastAsia"/>
          <w:color w:val="auto"/>
        </w:rPr>
        <w:t>医疗卫生保障</w:t>
      </w:r>
      <w:bookmarkEnd w:id="630"/>
    </w:p>
    <w:p w14:paraId="6898ACDB">
      <w:pPr>
        <w:ind w:firstLine="480"/>
        <w:rPr>
          <w:rFonts w:hint="eastAsia"/>
          <w:color w:val="auto"/>
        </w:rPr>
      </w:pPr>
      <w:r>
        <w:rPr>
          <w:rFonts w:hint="eastAsia"/>
          <w:color w:val="auto"/>
        </w:rPr>
        <w:t>项目部要做好医疗卫生服务工作，配备必要的医疗救治药物、技术、设备和人员，加强同地方医疗卫生机构的联系，发生突发事件后，及时通知，协同救援。发生事故后伤者送往当地人民医院。应急救援医院为文山市薄竹镇卫生院</w:t>
      </w:r>
      <w:r>
        <w:rPr>
          <w:rFonts w:hint="eastAsia"/>
          <w:color w:val="auto"/>
          <w:lang w:eastAsia="zh-CN"/>
        </w:rPr>
        <w:t>，</w:t>
      </w:r>
      <w:r>
        <w:rPr>
          <w:rFonts w:hint="eastAsia"/>
          <w:color w:val="auto"/>
          <w:lang w:val="en-US" w:eastAsia="zh-CN"/>
        </w:rPr>
        <w:t>联系电话</w:t>
      </w:r>
      <w:r>
        <w:rPr>
          <w:rFonts w:hint="eastAsia"/>
          <w:color w:val="auto"/>
        </w:rPr>
        <w:t>：0876-2838054</w:t>
      </w:r>
    </w:p>
    <w:p w14:paraId="18EA3F3C">
      <w:pPr>
        <w:pStyle w:val="4"/>
        <w:ind w:firstLine="482"/>
        <w:rPr>
          <w:rFonts w:hint="eastAsia"/>
          <w:color w:val="auto"/>
        </w:rPr>
      </w:pPr>
      <w:bookmarkStart w:id="631" w:name="_Toc27936"/>
      <w:r>
        <w:rPr>
          <w:rFonts w:hint="eastAsia"/>
          <w:color w:val="auto"/>
        </w:rPr>
        <w:t>1</w:t>
      </w:r>
      <w:r>
        <w:rPr>
          <w:color w:val="auto"/>
        </w:rPr>
        <w:t xml:space="preserve">0.4.3 </w:t>
      </w:r>
      <w:r>
        <w:rPr>
          <w:rFonts w:hint="eastAsia"/>
          <w:color w:val="auto"/>
        </w:rPr>
        <w:t>应急物资保障</w:t>
      </w:r>
      <w:bookmarkEnd w:id="631"/>
    </w:p>
    <w:p w14:paraId="6D88A115">
      <w:pPr>
        <w:ind w:firstLine="480"/>
        <w:rPr>
          <w:rFonts w:hint="eastAsia"/>
          <w:color w:val="auto"/>
        </w:rPr>
      </w:pPr>
      <w:r>
        <w:rPr>
          <w:rFonts w:hint="eastAsia"/>
          <w:color w:val="auto"/>
        </w:rPr>
        <w:t>根据项目情况，配备一下应急救援物资设备，具体见下表。</w:t>
      </w:r>
    </w:p>
    <w:p w14:paraId="2D989CFD">
      <w:pPr>
        <w:pStyle w:val="83"/>
        <w:rPr>
          <w:rFonts w:hint="eastAsia"/>
          <w:color w:val="auto"/>
        </w:rPr>
      </w:pPr>
      <w:r>
        <w:rPr>
          <w:rFonts w:hint="eastAsia"/>
          <w:color w:val="auto"/>
        </w:rPr>
        <w:t>表1</w:t>
      </w:r>
      <w:r>
        <w:rPr>
          <w:color w:val="auto"/>
        </w:rPr>
        <w:t xml:space="preserve">0.4-3  </w:t>
      </w:r>
      <w:r>
        <w:rPr>
          <w:rFonts w:hint="eastAsia"/>
          <w:color w:val="auto"/>
        </w:rPr>
        <w:t>应急救援物资设备表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54"/>
        <w:gridCol w:w="2082"/>
        <w:gridCol w:w="1472"/>
        <w:gridCol w:w="1742"/>
      </w:tblGrid>
      <w:tr w14:paraId="40C4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CB6136">
            <w:pPr>
              <w:pStyle w:val="84"/>
              <w:widowControl w:val="0"/>
              <w:rPr>
                <w:color w:val="auto"/>
              </w:rPr>
            </w:pPr>
            <w:r>
              <w:rPr>
                <w:rFonts w:hint="eastAsia"/>
                <w:color w:val="auto"/>
              </w:rPr>
              <w:t>序号</w:t>
            </w:r>
          </w:p>
        </w:tc>
        <w:tc>
          <w:tcPr>
            <w:tcW w:w="2977" w:type="dxa"/>
            <w:vAlign w:val="center"/>
          </w:tcPr>
          <w:p w14:paraId="5F5D4382">
            <w:pPr>
              <w:pStyle w:val="84"/>
              <w:widowControl w:val="0"/>
              <w:rPr>
                <w:color w:val="auto"/>
              </w:rPr>
            </w:pPr>
            <w:r>
              <w:rPr>
                <w:rFonts w:hint="eastAsia"/>
                <w:color w:val="auto"/>
              </w:rPr>
              <w:t>名称</w:t>
            </w:r>
          </w:p>
        </w:tc>
        <w:tc>
          <w:tcPr>
            <w:tcW w:w="2126" w:type="dxa"/>
            <w:vAlign w:val="center"/>
          </w:tcPr>
          <w:p w14:paraId="17F3CBD7">
            <w:pPr>
              <w:pStyle w:val="84"/>
              <w:widowControl w:val="0"/>
              <w:rPr>
                <w:color w:val="auto"/>
              </w:rPr>
            </w:pPr>
            <w:r>
              <w:rPr>
                <w:rFonts w:hint="eastAsia"/>
                <w:color w:val="auto"/>
              </w:rPr>
              <w:t>规格（单位）</w:t>
            </w:r>
          </w:p>
        </w:tc>
        <w:tc>
          <w:tcPr>
            <w:tcW w:w="1571" w:type="dxa"/>
            <w:vAlign w:val="center"/>
          </w:tcPr>
          <w:p w14:paraId="7EDFA303">
            <w:pPr>
              <w:pStyle w:val="84"/>
              <w:widowControl w:val="0"/>
              <w:rPr>
                <w:color w:val="auto"/>
              </w:rPr>
            </w:pPr>
            <w:r>
              <w:rPr>
                <w:rFonts w:hint="eastAsia"/>
                <w:color w:val="auto"/>
              </w:rPr>
              <w:t>数量</w:t>
            </w:r>
          </w:p>
        </w:tc>
        <w:tc>
          <w:tcPr>
            <w:tcW w:w="1880" w:type="dxa"/>
            <w:vAlign w:val="center"/>
          </w:tcPr>
          <w:p w14:paraId="647D94DC">
            <w:pPr>
              <w:pStyle w:val="84"/>
              <w:widowControl w:val="0"/>
              <w:rPr>
                <w:color w:val="auto"/>
              </w:rPr>
            </w:pPr>
            <w:r>
              <w:rPr>
                <w:rFonts w:hint="eastAsia"/>
                <w:color w:val="auto"/>
              </w:rPr>
              <w:t>备注</w:t>
            </w:r>
          </w:p>
        </w:tc>
      </w:tr>
      <w:tr w14:paraId="27DD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58633E7">
            <w:pPr>
              <w:pStyle w:val="84"/>
              <w:widowControl w:val="0"/>
              <w:rPr>
                <w:color w:val="auto"/>
              </w:rPr>
            </w:pPr>
            <w:r>
              <w:rPr>
                <w:rFonts w:hint="eastAsia"/>
                <w:color w:val="auto"/>
              </w:rPr>
              <w:t>1</w:t>
            </w:r>
          </w:p>
        </w:tc>
        <w:tc>
          <w:tcPr>
            <w:tcW w:w="2977" w:type="dxa"/>
            <w:vAlign w:val="center"/>
          </w:tcPr>
          <w:p w14:paraId="1881F6F8">
            <w:pPr>
              <w:pStyle w:val="84"/>
              <w:widowControl w:val="0"/>
              <w:rPr>
                <w:color w:val="auto"/>
              </w:rPr>
            </w:pPr>
            <w:r>
              <w:rPr>
                <w:rFonts w:hint="eastAsia"/>
                <w:color w:val="auto"/>
              </w:rPr>
              <w:t>藿香正气水</w:t>
            </w:r>
          </w:p>
        </w:tc>
        <w:tc>
          <w:tcPr>
            <w:tcW w:w="2126" w:type="dxa"/>
            <w:vAlign w:val="center"/>
          </w:tcPr>
          <w:p w14:paraId="4CEC3799">
            <w:pPr>
              <w:pStyle w:val="84"/>
              <w:widowControl w:val="0"/>
              <w:rPr>
                <w:color w:val="auto"/>
              </w:rPr>
            </w:pPr>
            <w:r>
              <w:rPr>
                <w:rFonts w:hint="eastAsia"/>
                <w:color w:val="auto"/>
              </w:rPr>
              <w:t>盒</w:t>
            </w:r>
          </w:p>
        </w:tc>
        <w:tc>
          <w:tcPr>
            <w:tcW w:w="1571" w:type="dxa"/>
            <w:vAlign w:val="center"/>
          </w:tcPr>
          <w:p w14:paraId="1D1DC891">
            <w:pPr>
              <w:pStyle w:val="84"/>
              <w:widowControl w:val="0"/>
              <w:rPr>
                <w:color w:val="auto"/>
              </w:rPr>
            </w:pPr>
            <w:r>
              <w:rPr>
                <w:rFonts w:hint="eastAsia"/>
                <w:color w:val="auto"/>
              </w:rPr>
              <w:t>1</w:t>
            </w:r>
            <w:r>
              <w:rPr>
                <w:color w:val="auto"/>
              </w:rPr>
              <w:t>0</w:t>
            </w:r>
          </w:p>
        </w:tc>
        <w:tc>
          <w:tcPr>
            <w:tcW w:w="1880" w:type="dxa"/>
            <w:vAlign w:val="center"/>
          </w:tcPr>
          <w:p w14:paraId="1AA4304E">
            <w:pPr>
              <w:pStyle w:val="84"/>
              <w:widowControl w:val="0"/>
              <w:rPr>
                <w:color w:val="auto"/>
              </w:rPr>
            </w:pPr>
          </w:p>
        </w:tc>
      </w:tr>
      <w:tr w14:paraId="531D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51C1857">
            <w:pPr>
              <w:pStyle w:val="84"/>
              <w:widowControl w:val="0"/>
              <w:rPr>
                <w:color w:val="auto"/>
              </w:rPr>
            </w:pPr>
            <w:r>
              <w:rPr>
                <w:rFonts w:hint="eastAsia"/>
                <w:color w:val="auto"/>
              </w:rPr>
              <w:t>2</w:t>
            </w:r>
          </w:p>
        </w:tc>
        <w:tc>
          <w:tcPr>
            <w:tcW w:w="2977" w:type="dxa"/>
            <w:vAlign w:val="center"/>
          </w:tcPr>
          <w:p w14:paraId="21DE7921">
            <w:pPr>
              <w:pStyle w:val="84"/>
              <w:widowControl w:val="0"/>
              <w:rPr>
                <w:color w:val="auto"/>
              </w:rPr>
            </w:pPr>
            <w:r>
              <w:rPr>
                <w:rFonts w:hint="eastAsia"/>
                <w:color w:val="auto"/>
              </w:rPr>
              <w:t>人丹</w:t>
            </w:r>
          </w:p>
        </w:tc>
        <w:tc>
          <w:tcPr>
            <w:tcW w:w="2126" w:type="dxa"/>
            <w:vAlign w:val="center"/>
          </w:tcPr>
          <w:p w14:paraId="6ED9B151">
            <w:pPr>
              <w:pStyle w:val="84"/>
              <w:widowControl w:val="0"/>
              <w:rPr>
                <w:color w:val="auto"/>
              </w:rPr>
            </w:pPr>
            <w:r>
              <w:rPr>
                <w:rFonts w:hint="eastAsia"/>
                <w:color w:val="auto"/>
              </w:rPr>
              <w:t>袋</w:t>
            </w:r>
          </w:p>
        </w:tc>
        <w:tc>
          <w:tcPr>
            <w:tcW w:w="1571" w:type="dxa"/>
            <w:vAlign w:val="center"/>
          </w:tcPr>
          <w:p w14:paraId="30745176">
            <w:pPr>
              <w:pStyle w:val="84"/>
              <w:widowControl w:val="0"/>
              <w:rPr>
                <w:color w:val="auto"/>
              </w:rPr>
            </w:pPr>
            <w:r>
              <w:rPr>
                <w:rFonts w:hint="eastAsia"/>
                <w:color w:val="auto"/>
              </w:rPr>
              <w:t>1</w:t>
            </w:r>
            <w:r>
              <w:rPr>
                <w:color w:val="auto"/>
              </w:rPr>
              <w:t>0</w:t>
            </w:r>
          </w:p>
        </w:tc>
        <w:tc>
          <w:tcPr>
            <w:tcW w:w="1880" w:type="dxa"/>
            <w:vAlign w:val="center"/>
          </w:tcPr>
          <w:p w14:paraId="7965D808">
            <w:pPr>
              <w:pStyle w:val="84"/>
              <w:widowControl w:val="0"/>
              <w:rPr>
                <w:color w:val="auto"/>
              </w:rPr>
            </w:pPr>
          </w:p>
        </w:tc>
      </w:tr>
      <w:tr w14:paraId="122D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3684C6F">
            <w:pPr>
              <w:pStyle w:val="84"/>
              <w:widowControl w:val="0"/>
              <w:rPr>
                <w:color w:val="auto"/>
              </w:rPr>
            </w:pPr>
            <w:r>
              <w:rPr>
                <w:rFonts w:hint="eastAsia"/>
                <w:color w:val="auto"/>
              </w:rPr>
              <w:t>3</w:t>
            </w:r>
          </w:p>
        </w:tc>
        <w:tc>
          <w:tcPr>
            <w:tcW w:w="2977" w:type="dxa"/>
            <w:vAlign w:val="center"/>
          </w:tcPr>
          <w:p w14:paraId="43491F95">
            <w:pPr>
              <w:pStyle w:val="84"/>
              <w:widowControl w:val="0"/>
              <w:rPr>
                <w:color w:val="auto"/>
              </w:rPr>
            </w:pPr>
            <w:r>
              <w:rPr>
                <w:rFonts w:hint="eastAsia"/>
                <w:color w:val="auto"/>
              </w:rPr>
              <w:t>卡扣式止血带</w:t>
            </w:r>
          </w:p>
        </w:tc>
        <w:tc>
          <w:tcPr>
            <w:tcW w:w="2126" w:type="dxa"/>
            <w:vAlign w:val="center"/>
          </w:tcPr>
          <w:p w14:paraId="674D6820">
            <w:pPr>
              <w:pStyle w:val="84"/>
              <w:widowControl w:val="0"/>
              <w:rPr>
                <w:color w:val="auto"/>
              </w:rPr>
            </w:pPr>
            <w:r>
              <w:rPr>
                <w:rFonts w:hint="eastAsia"/>
                <w:color w:val="auto"/>
              </w:rPr>
              <w:t>中号</w:t>
            </w:r>
          </w:p>
        </w:tc>
        <w:tc>
          <w:tcPr>
            <w:tcW w:w="1571" w:type="dxa"/>
            <w:vAlign w:val="center"/>
          </w:tcPr>
          <w:p w14:paraId="1FA07B07">
            <w:pPr>
              <w:pStyle w:val="84"/>
              <w:widowControl w:val="0"/>
              <w:rPr>
                <w:color w:val="auto"/>
              </w:rPr>
            </w:pPr>
            <w:r>
              <w:rPr>
                <w:rFonts w:hint="eastAsia"/>
                <w:color w:val="auto"/>
              </w:rPr>
              <w:t>6</w:t>
            </w:r>
          </w:p>
        </w:tc>
        <w:tc>
          <w:tcPr>
            <w:tcW w:w="1880" w:type="dxa"/>
            <w:vAlign w:val="center"/>
          </w:tcPr>
          <w:p w14:paraId="6A9C887E">
            <w:pPr>
              <w:pStyle w:val="84"/>
              <w:widowControl w:val="0"/>
              <w:rPr>
                <w:color w:val="auto"/>
              </w:rPr>
            </w:pPr>
          </w:p>
        </w:tc>
      </w:tr>
      <w:tr w14:paraId="5F59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DE0B9F">
            <w:pPr>
              <w:pStyle w:val="84"/>
              <w:widowControl w:val="0"/>
              <w:rPr>
                <w:color w:val="auto"/>
              </w:rPr>
            </w:pPr>
            <w:r>
              <w:rPr>
                <w:rFonts w:hint="eastAsia"/>
                <w:color w:val="auto"/>
              </w:rPr>
              <w:t>4</w:t>
            </w:r>
          </w:p>
        </w:tc>
        <w:tc>
          <w:tcPr>
            <w:tcW w:w="2977" w:type="dxa"/>
            <w:vAlign w:val="center"/>
          </w:tcPr>
          <w:p w14:paraId="4070D3A4">
            <w:pPr>
              <w:pStyle w:val="84"/>
              <w:widowControl w:val="0"/>
              <w:rPr>
                <w:color w:val="auto"/>
              </w:rPr>
            </w:pPr>
            <w:r>
              <w:rPr>
                <w:rFonts w:hint="eastAsia"/>
                <w:color w:val="auto"/>
              </w:rPr>
              <w:t>创口贴</w:t>
            </w:r>
          </w:p>
        </w:tc>
        <w:tc>
          <w:tcPr>
            <w:tcW w:w="2126" w:type="dxa"/>
            <w:vAlign w:val="center"/>
          </w:tcPr>
          <w:p w14:paraId="4373FE3D">
            <w:pPr>
              <w:pStyle w:val="84"/>
              <w:widowControl w:val="0"/>
              <w:rPr>
                <w:color w:val="auto"/>
              </w:rPr>
            </w:pPr>
            <w:r>
              <w:rPr>
                <w:rFonts w:hint="eastAsia"/>
                <w:color w:val="auto"/>
              </w:rPr>
              <w:t>7</w:t>
            </w:r>
            <w:r>
              <w:rPr>
                <w:color w:val="auto"/>
              </w:rPr>
              <w:t>0mm</w:t>
            </w:r>
            <w:r>
              <w:rPr>
                <w:rFonts w:hint="eastAsia"/>
                <w:color w:val="auto"/>
              </w:rPr>
              <w:t>×18</w:t>
            </w:r>
            <w:r>
              <w:rPr>
                <w:color w:val="auto"/>
              </w:rPr>
              <w:t>mm</w:t>
            </w:r>
            <w:r>
              <w:rPr>
                <w:rFonts w:hint="eastAsia"/>
                <w:color w:val="auto"/>
              </w:rPr>
              <w:t>/6贴</w:t>
            </w:r>
          </w:p>
        </w:tc>
        <w:tc>
          <w:tcPr>
            <w:tcW w:w="1571" w:type="dxa"/>
            <w:vAlign w:val="center"/>
          </w:tcPr>
          <w:p w14:paraId="53ED44D3">
            <w:pPr>
              <w:pStyle w:val="84"/>
              <w:widowControl w:val="0"/>
              <w:rPr>
                <w:color w:val="auto"/>
              </w:rPr>
            </w:pPr>
            <w:r>
              <w:rPr>
                <w:rFonts w:hint="eastAsia"/>
                <w:color w:val="auto"/>
              </w:rPr>
              <w:t>6</w:t>
            </w:r>
          </w:p>
        </w:tc>
        <w:tc>
          <w:tcPr>
            <w:tcW w:w="1880" w:type="dxa"/>
            <w:vAlign w:val="center"/>
          </w:tcPr>
          <w:p w14:paraId="50762440">
            <w:pPr>
              <w:pStyle w:val="84"/>
              <w:widowControl w:val="0"/>
              <w:rPr>
                <w:color w:val="auto"/>
              </w:rPr>
            </w:pPr>
          </w:p>
        </w:tc>
      </w:tr>
      <w:tr w14:paraId="17A0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73701D6">
            <w:pPr>
              <w:pStyle w:val="84"/>
              <w:widowControl w:val="0"/>
              <w:rPr>
                <w:color w:val="auto"/>
              </w:rPr>
            </w:pPr>
            <w:r>
              <w:rPr>
                <w:rFonts w:hint="eastAsia"/>
                <w:color w:val="auto"/>
              </w:rPr>
              <w:t>5</w:t>
            </w:r>
          </w:p>
        </w:tc>
        <w:tc>
          <w:tcPr>
            <w:tcW w:w="2977" w:type="dxa"/>
            <w:vAlign w:val="center"/>
          </w:tcPr>
          <w:p w14:paraId="644E13C1">
            <w:pPr>
              <w:pStyle w:val="84"/>
              <w:widowControl w:val="0"/>
              <w:rPr>
                <w:color w:val="auto"/>
              </w:rPr>
            </w:pPr>
            <w:r>
              <w:rPr>
                <w:rFonts w:hint="eastAsia"/>
                <w:color w:val="auto"/>
              </w:rPr>
              <w:t>救生口哨</w:t>
            </w:r>
          </w:p>
        </w:tc>
        <w:tc>
          <w:tcPr>
            <w:tcW w:w="2126" w:type="dxa"/>
            <w:vAlign w:val="center"/>
          </w:tcPr>
          <w:p w14:paraId="2258C8FA">
            <w:pPr>
              <w:pStyle w:val="84"/>
              <w:widowControl w:val="0"/>
              <w:rPr>
                <w:color w:val="auto"/>
              </w:rPr>
            </w:pPr>
            <w:r>
              <w:rPr>
                <w:rFonts w:hint="eastAsia"/>
                <w:color w:val="auto"/>
              </w:rPr>
              <w:t>个</w:t>
            </w:r>
          </w:p>
        </w:tc>
        <w:tc>
          <w:tcPr>
            <w:tcW w:w="1571" w:type="dxa"/>
            <w:vAlign w:val="center"/>
          </w:tcPr>
          <w:p w14:paraId="4322EDF2">
            <w:pPr>
              <w:pStyle w:val="84"/>
              <w:widowControl w:val="0"/>
              <w:rPr>
                <w:color w:val="auto"/>
              </w:rPr>
            </w:pPr>
            <w:r>
              <w:rPr>
                <w:rFonts w:hint="eastAsia"/>
                <w:color w:val="auto"/>
              </w:rPr>
              <w:t>3</w:t>
            </w:r>
            <w:r>
              <w:rPr>
                <w:color w:val="auto"/>
              </w:rPr>
              <w:t>0</w:t>
            </w:r>
          </w:p>
        </w:tc>
        <w:tc>
          <w:tcPr>
            <w:tcW w:w="1880" w:type="dxa"/>
            <w:vAlign w:val="center"/>
          </w:tcPr>
          <w:p w14:paraId="2E0F2F90">
            <w:pPr>
              <w:pStyle w:val="84"/>
              <w:widowControl w:val="0"/>
              <w:rPr>
                <w:color w:val="auto"/>
              </w:rPr>
            </w:pPr>
          </w:p>
        </w:tc>
      </w:tr>
      <w:tr w14:paraId="76B4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7FCA51E7">
            <w:pPr>
              <w:pStyle w:val="84"/>
              <w:widowControl w:val="0"/>
              <w:rPr>
                <w:color w:val="auto"/>
              </w:rPr>
            </w:pPr>
            <w:r>
              <w:rPr>
                <w:rFonts w:hint="eastAsia"/>
                <w:color w:val="auto"/>
              </w:rPr>
              <w:t>6</w:t>
            </w:r>
          </w:p>
        </w:tc>
        <w:tc>
          <w:tcPr>
            <w:tcW w:w="2977" w:type="dxa"/>
            <w:vAlign w:val="center"/>
          </w:tcPr>
          <w:p w14:paraId="0FB501E8">
            <w:pPr>
              <w:pStyle w:val="84"/>
              <w:widowControl w:val="0"/>
              <w:rPr>
                <w:color w:val="auto"/>
              </w:rPr>
            </w:pPr>
            <w:r>
              <w:rPr>
                <w:rFonts w:hint="eastAsia"/>
                <w:color w:val="auto"/>
              </w:rPr>
              <w:t>安全绳</w:t>
            </w:r>
          </w:p>
        </w:tc>
        <w:tc>
          <w:tcPr>
            <w:tcW w:w="2126" w:type="dxa"/>
            <w:vAlign w:val="center"/>
          </w:tcPr>
          <w:p w14:paraId="2E16E5D8">
            <w:pPr>
              <w:pStyle w:val="84"/>
              <w:widowControl w:val="0"/>
              <w:rPr>
                <w:color w:val="auto"/>
              </w:rPr>
            </w:pPr>
            <w:r>
              <w:rPr>
                <w:rFonts w:hint="eastAsia"/>
                <w:color w:val="auto"/>
              </w:rPr>
              <w:t>米</w:t>
            </w:r>
          </w:p>
        </w:tc>
        <w:tc>
          <w:tcPr>
            <w:tcW w:w="1571" w:type="dxa"/>
            <w:vAlign w:val="center"/>
          </w:tcPr>
          <w:p w14:paraId="3F7C4AAA">
            <w:pPr>
              <w:pStyle w:val="84"/>
              <w:widowControl w:val="0"/>
              <w:rPr>
                <w:color w:val="auto"/>
              </w:rPr>
            </w:pPr>
            <w:r>
              <w:rPr>
                <w:rFonts w:hint="eastAsia"/>
                <w:color w:val="auto"/>
              </w:rPr>
              <w:t>1</w:t>
            </w:r>
            <w:r>
              <w:rPr>
                <w:color w:val="auto"/>
              </w:rPr>
              <w:t>00</w:t>
            </w:r>
          </w:p>
        </w:tc>
        <w:tc>
          <w:tcPr>
            <w:tcW w:w="1880" w:type="dxa"/>
            <w:vAlign w:val="center"/>
          </w:tcPr>
          <w:p w14:paraId="1E492245">
            <w:pPr>
              <w:pStyle w:val="84"/>
              <w:widowControl w:val="0"/>
              <w:rPr>
                <w:color w:val="auto"/>
              </w:rPr>
            </w:pPr>
          </w:p>
        </w:tc>
      </w:tr>
      <w:tr w14:paraId="3B0D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11DF37">
            <w:pPr>
              <w:pStyle w:val="84"/>
              <w:widowControl w:val="0"/>
              <w:rPr>
                <w:color w:val="auto"/>
              </w:rPr>
            </w:pPr>
            <w:r>
              <w:rPr>
                <w:rFonts w:hint="eastAsia"/>
                <w:color w:val="auto"/>
              </w:rPr>
              <w:t>7</w:t>
            </w:r>
          </w:p>
        </w:tc>
        <w:tc>
          <w:tcPr>
            <w:tcW w:w="2977" w:type="dxa"/>
            <w:vAlign w:val="center"/>
          </w:tcPr>
          <w:p w14:paraId="25ACFB5A">
            <w:pPr>
              <w:pStyle w:val="84"/>
              <w:widowControl w:val="0"/>
              <w:rPr>
                <w:color w:val="auto"/>
              </w:rPr>
            </w:pPr>
            <w:r>
              <w:rPr>
                <w:rFonts w:hint="eastAsia"/>
                <w:color w:val="auto"/>
              </w:rPr>
              <w:t>急救箱</w:t>
            </w:r>
          </w:p>
        </w:tc>
        <w:tc>
          <w:tcPr>
            <w:tcW w:w="2126" w:type="dxa"/>
            <w:vAlign w:val="center"/>
          </w:tcPr>
          <w:p w14:paraId="78337247">
            <w:pPr>
              <w:pStyle w:val="84"/>
              <w:widowControl w:val="0"/>
              <w:rPr>
                <w:color w:val="auto"/>
              </w:rPr>
            </w:pPr>
            <w:r>
              <w:rPr>
                <w:rFonts w:hint="eastAsia"/>
                <w:color w:val="auto"/>
              </w:rPr>
              <w:t>个</w:t>
            </w:r>
          </w:p>
        </w:tc>
        <w:tc>
          <w:tcPr>
            <w:tcW w:w="1571" w:type="dxa"/>
            <w:vAlign w:val="center"/>
          </w:tcPr>
          <w:p w14:paraId="68B3F72D">
            <w:pPr>
              <w:pStyle w:val="84"/>
              <w:widowControl w:val="0"/>
              <w:rPr>
                <w:color w:val="auto"/>
              </w:rPr>
            </w:pPr>
            <w:r>
              <w:rPr>
                <w:rFonts w:hint="eastAsia"/>
                <w:color w:val="auto"/>
              </w:rPr>
              <w:t>3</w:t>
            </w:r>
          </w:p>
        </w:tc>
        <w:tc>
          <w:tcPr>
            <w:tcW w:w="1880" w:type="dxa"/>
            <w:vAlign w:val="center"/>
          </w:tcPr>
          <w:p w14:paraId="5B1E78CD">
            <w:pPr>
              <w:pStyle w:val="84"/>
              <w:widowControl w:val="0"/>
              <w:rPr>
                <w:color w:val="auto"/>
              </w:rPr>
            </w:pPr>
          </w:p>
        </w:tc>
      </w:tr>
      <w:tr w14:paraId="6646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2F1F2AE">
            <w:pPr>
              <w:pStyle w:val="84"/>
              <w:widowControl w:val="0"/>
              <w:rPr>
                <w:color w:val="auto"/>
              </w:rPr>
            </w:pPr>
            <w:r>
              <w:rPr>
                <w:rFonts w:hint="eastAsia"/>
                <w:color w:val="auto"/>
              </w:rPr>
              <w:t>8</w:t>
            </w:r>
          </w:p>
        </w:tc>
        <w:tc>
          <w:tcPr>
            <w:tcW w:w="2977" w:type="dxa"/>
            <w:vAlign w:val="center"/>
          </w:tcPr>
          <w:p w14:paraId="16F7A154">
            <w:pPr>
              <w:pStyle w:val="84"/>
              <w:widowControl w:val="0"/>
              <w:rPr>
                <w:color w:val="auto"/>
              </w:rPr>
            </w:pPr>
            <w:r>
              <w:rPr>
                <w:rFonts w:hint="eastAsia"/>
                <w:color w:val="auto"/>
              </w:rPr>
              <w:t>安全带</w:t>
            </w:r>
          </w:p>
        </w:tc>
        <w:tc>
          <w:tcPr>
            <w:tcW w:w="2126" w:type="dxa"/>
            <w:vAlign w:val="center"/>
          </w:tcPr>
          <w:p w14:paraId="34F4DC20">
            <w:pPr>
              <w:pStyle w:val="84"/>
              <w:widowControl w:val="0"/>
              <w:rPr>
                <w:color w:val="auto"/>
              </w:rPr>
            </w:pPr>
            <w:r>
              <w:rPr>
                <w:rFonts w:hint="eastAsia"/>
                <w:color w:val="auto"/>
              </w:rPr>
              <w:t>条</w:t>
            </w:r>
          </w:p>
        </w:tc>
        <w:tc>
          <w:tcPr>
            <w:tcW w:w="1571" w:type="dxa"/>
            <w:vAlign w:val="center"/>
          </w:tcPr>
          <w:p w14:paraId="30AD827B">
            <w:pPr>
              <w:pStyle w:val="84"/>
              <w:widowControl w:val="0"/>
              <w:rPr>
                <w:color w:val="auto"/>
              </w:rPr>
            </w:pPr>
            <w:r>
              <w:rPr>
                <w:rFonts w:hint="eastAsia"/>
                <w:color w:val="auto"/>
              </w:rPr>
              <w:t>1</w:t>
            </w:r>
            <w:r>
              <w:rPr>
                <w:color w:val="auto"/>
              </w:rPr>
              <w:t>0</w:t>
            </w:r>
          </w:p>
        </w:tc>
        <w:tc>
          <w:tcPr>
            <w:tcW w:w="1880" w:type="dxa"/>
            <w:vAlign w:val="center"/>
          </w:tcPr>
          <w:p w14:paraId="0B736DC5">
            <w:pPr>
              <w:pStyle w:val="84"/>
              <w:widowControl w:val="0"/>
              <w:rPr>
                <w:color w:val="auto"/>
              </w:rPr>
            </w:pPr>
          </w:p>
        </w:tc>
      </w:tr>
      <w:tr w14:paraId="70BE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8AC625F">
            <w:pPr>
              <w:pStyle w:val="84"/>
              <w:widowControl w:val="0"/>
              <w:rPr>
                <w:color w:val="auto"/>
              </w:rPr>
            </w:pPr>
            <w:r>
              <w:rPr>
                <w:rFonts w:hint="eastAsia"/>
                <w:color w:val="auto"/>
              </w:rPr>
              <w:t>9</w:t>
            </w:r>
          </w:p>
        </w:tc>
        <w:tc>
          <w:tcPr>
            <w:tcW w:w="2977" w:type="dxa"/>
            <w:vAlign w:val="center"/>
          </w:tcPr>
          <w:p w14:paraId="1846B00E">
            <w:pPr>
              <w:pStyle w:val="84"/>
              <w:widowControl w:val="0"/>
              <w:rPr>
                <w:color w:val="auto"/>
              </w:rPr>
            </w:pPr>
            <w:r>
              <w:rPr>
                <w:rFonts w:hint="eastAsia"/>
                <w:color w:val="auto"/>
              </w:rPr>
              <w:t>担架</w:t>
            </w:r>
          </w:p>
        </w:tc>
        <w:tc>
          <w:tcPr>
            <w:tcW w:w="2126" w:type="dxa"/>
            <w:vAlign w:val="center"/>
          </w:tcPr>
          <w:p w14:paraId="6ADCBEE2">
            <w:pPr>
              <w:pStyle w:val="84"/>
              <w:widowControl w:val="0"/>
              <w:rPr>
                <w:color w:val="auto"/>
              </w:rPr>
            </w:pPr>
            <w:r>
              <w:rPr>
                <w:rFonts w:hint="eastAsia"/>
                <w:color w:val="auto"/>
              </w:rPr>
              <w:t>个</w:t>
            </w:r>
          </w:p>
        </w:tc>
        <w:tc>
          <w:tcPr>
            <w:tcW w:w="1571" w:type="dxa"/>
            <w:vAlign w:val="center"/>
          </w:tcPr>
          <w:p w14:paraId="3193CDFA">
            <w:pPr>
              <w:pStyle w:val="84"/>
              <w:widowControl w:val="0"/>
              <w:rPr>
                <w:color w:val="auto"/>
              </w:rPr>
            </w:pPr>
            <w:r>
              <w:rPr>
                <w:rFonts w:hint="eastAsia"/>
                <w:color w:val="auto"/>
              </w:rPr>
              <w:t>3</w:t>
            </w:r>
          </w:p>
        </w:tc>
        <w:tc>
          <w:tcPr>
            <w:tcW w:w="1880" w:type="dxa"/>
            <w:vAlign w:val="center"/>
          </w:tcPr>
          <w:p w14:paraId="0E51BCA0">
            <w:pPr>
              <w:pStyle w:val="84"/>
              <w:widowControl w:val="0"/>
              <w:rPr>
                <w:color w:val="auto"/>
              </w:rPr>
            </w:pPr>
          </w:p>
        </w:tc>
      </w:tr>
      <w:tr w14:paraId="2B5A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428AE97">
            <w:pPr>
              <w:pStyle w:val="84"/>
              <w:widowControl w:val="0"/>
              <w:rPr>
                <w:color w:val="auto"/>
              </w:rPr>
            </w:pPr>
            <w:r>
              <w:rPr>
                <w:rFonts w:hint="eastAsia"/>
                <w:color w:val="auto"/>
              </w:rPr>
              <w:t>1</w:t>
            </w:r>
            <w:r>
              <w:rPr>
                <w:color w:val="auto"/>
              </w:rPr>
              <w:t>0</w:t>
            </w:r>
          </w:p>
        </w:tc>
        <w:tc>
          <w:tcPr>
            <w:tcW w:w="2977" w:type="dxa"/>
            <w:vAlign w:val="center"/>
          </w:tcPr>
          <w:p w14:paraId="67BEB0B1">
            <w:pPr>
              <w:pStyle w:val="84"/>
              <w:widowControl w:val="0"/>
              <w:rPr>
                <w:color w:val="auto"/>
              </w:rPr>
            </w:pPr>
            <w:r>
              <w:rPr>
                <w:rFonts w:hint="eastAsia"/>
                <w:color w:val="auto"/>
              </w:rPr>
              <w:t>氧气瓶、乙炔瓶、气割设备</w:t>
            </w:r>
          </w:p>
        </w:tc>
        <w:tc>
          <w:tcPr>
            <w:tcW w:w="2126" w:type="dxa"/>
            <w:vAlign w:val="center"/>
          </w:tcPr>
          <w:p w14:paraId="198D6E57">
            <w:pPr>
              <w:pStyle w:val="84"/>
              <w:widowControl w:val="0"/>
              <w:rPr>
                <w:color w:val="auto"/>
              </w:rPr>
            </w:pPr>
            <w:r>
              <w:rPr>
                <w:rFonts w:hint="eastAsia"/>
                <w:color w:val="auto"/>
              </w:rPr>
              <w:t>套</w:t>
            </w:r>
          </w:p>
        </w:tc>
        <w:tc>
          <w:tcPr>
            <w:tcW w:w="1571" w:type="dxa"/>
            <w:vAlign w:val="center"/>
          </w:tcPr>
          <w:p w14:paraId="61CEB2A1">
            <w:pPr>
              <w:pStyle w:val="84"/>
              <w:widowControl w:val="0"/>
              <w:rPr>
                <w:color w:val="auto"/>
              </w:rPr>
            </w:pPr>
            <w:r>
              <w:rPr>
                <w:rFonts w:hint="eastAsia"/>
                <w:color w:val="auto"/>
              </w:rPr>
              <w:t>1</w:t>
            </w:r>
          </w:p>
        </w:tc>
        <w:tc>
          <w:tcPr>
            <w:tcW w:w="1880" w:type="dxa"/>
            <w:vAlign w:val="center"/>
          </w:tcPr>
          <w:p w14:paraId="51A7BF13">
            <w:pPr>
              <w:pStyle w:val="84"/>
              <w:widowControl w:val="0"/>
              <w:rPr>
                <w:color w:val="auto"/>
              </w:rPr>
            </w:pPr>
          </w:p>
        </w:tc>
      </w:tr>
      <w:tr w14:paraId="1342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3DA441CB">
            <w:pPr>
              <w:pStyle w:val="84"/>
              <w:widowControl w:val="0"/>
              <w:rPr>
                <w:color w:val="auto"/>
              </w:rPr>
            </w:pPr>
            <w:r>
              <w:rPr>
                <w:rFonts w:hint="eastAsia"/>
                <w:color w:val="auto"/>
              </w:rPr>
              <w:t>1</w:t>
            </w:r>
            <w:r>
              <w:rPr>
                <w:color w:val="auto"/>
              </w:rPr>
              <w:t>1</w:t>
            </w:r>
          </w:p>
        </w:tc>
        <w:tc>
          <w:tcPr>
            <w:tcW w:w="2977" w:type="dxa"/>
            <w:vAlign w:val="center"/>
          </w:tcPr>
          <w:p w14:paraId="617CE9A0">
            <w:pPr>
              <w:pStyle w:val="84"/>
              <w:widowControl w:val="0"/>
              <w:rPr>
                <w:color w:val="auto"/>
              </w:rPr>
            </w:pPr>
            <w:r>
              <w:rPr>
                <w:rFonts w:hint="eastAsia"/>
                <w:color w:val="auto"/>
              </w:rPr>
              <w:t>绝缘杆</w:t>
            </w:r>
          </w:p>
        </w:tc>
        <w:tc>
          <w:tcPr>
            <w:tcW w:w="2126" w:type="dxa"/>
            <w:vAlign w:val="center"/>
          </w:tcPr>
          <w:p w14:paraId="101B9A03">
            <w:pPr>
              <w:pStyle w:val="84"/>
              <w:widowControl w:val="0"/>
              <w:rPr>
                <w:color w:val="auto"/>
              </w:rPr>
            </w:pPr>
            <w:r>
              <w:rPr>
                <w:rFonts w:hint="eastAsia"/>
                <w:color w:val="auto"/>
              </w:rPr>
              <w:t>根/</w:t>
            </w:r>
            <w:r>
              <w:rPr>
                <w:color w:val="auto"/>
              </w:rPr>
              <w:t>5m</w:t>
            </w:r>
          </w:p>
        </w:tc>
        <w:tc>
          <w:tcPr>
            <w:tcW w:w="1571" w:type="dxa"/>
            <w:vAlign w:val="center"/>
          </w:tcPr>
          <w:p w14:paraId="0DF0145F">
            <w:pPr>
              <w:pStyle w:val="84"/>
              <w:widowControl w:val="0"/>
              <w:rPr>
                <w:color w:val="auto"/>
              </w:rPr>
            </w:pPr>
            <w:r>
              <w:rPr>
                <w:rFonts w:hint="eastAsia"/>
                <w:color w:val="auto"/>
              </w:rPr>
              <w:t>1</w:t>
            </w:r>
          </w:p>
        </w:tc>
        <w:tc>
          <w:tcPr>
            <w:tcW w:w="1880" w:type="dxa"/>
            <w:vAlign w:val="center"/>
          </w:tcPr>
          <w:p w14:paraId="4E4A4B97">
            <w:pPr>
              <w:pStyle w:val="84"/>
              <w:widowControl w:val="0"/>
              <w:rPr>
                <w:color w:val="auto"/>
              </w:rPr>
            </w:pPr>
          </w:p>
        </w:tc>
      </w:tr>
      <w:tr w14:paraId="4A4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01E07315">
            <w:pPr>
              <w:pStyle w:val="84"/>
              <w:widowControl w:val="0"/>
              <w:rPr>
                <w:color w:val="auto"/>
              </w:rPr>
            </w:pPr>
            <w:r>
              <w:rPr>
                <w:rFonts w:hint="eastAsia"/>
                <w:color w:val="auto"/>
              </w:rPr>
              <w:t>1</w:t>
            </w:r>
            <w:r>
              <w:rPr>
                <w:color w:val="auto"/>
              </w:rPr>
              <w:t>2</w:t>
            </w:r>
          </w:p>
        </w:tc>
        <w:tc>
          <w:tcPr>
            <w:tcW w:w="2977" w:type="dxa"/>
            <w:vAlign w:val="center"/>
          </w:tcPr>
          <w:p w14:paraId="1AAB976A">
            <w:pPr>
              <w:pStyle w:val="84"/>
              <w:widowControl w:val="0"/>
              <w:rPr>
                <w:color w:val="auto"/>
              </w:rPr>
            </w:pPr>
            <w:r>
              <w:rPr>
                <w:rFonts w:hint="eastAsia"/>
                <w:color w:val="auto"/>
              </w:rPr>
              <w:t>手电</w:t>
            </w:r>
          </w:p>
        </w:tc>
        <w:tc>
          <w:tcPr>
            <w:tcW w:w="2126" w:type="dxa"/>
            <w:vAlign w:val="center"/>
          </w:tcPr>
          <w:p w14:paraId="43DC8C7C">
            <w:pPr>
              <w:pStyle w:val="84"/>
              <w:widowControl w:val="0"/>
              <w:rPr>
                <w:color w:val="auto"/>
              </w:rPr>
            </w:pPr>
            <w:r>
              <w:rPr>
                <w:rFonts w:hint="eastAsia"/>
                <w:color w:val="auto"/>
              </w:rPr>
              <w:t>个</w:t>
            </w:r>
          </w:p>
        </w:tc>
        <w:tc>
          <w:tcPr>
            <w:tcW w:w="1571" w:type="dxa"/>
            <w:vAlign w:val="center"/>
          </w:tcPr>
          <w:p w14:paraId="7F064CC1">
            <w:pPr>
              <w:pStyle w:val="84"/>
              <w:widowControl w:val="0"/>
              <w:rPr>
                <w:color w:val="auto"/>
              </w:rPr>
            </w:pPr>
            <w:r>
              <w:rPr>
                <w:rFonts w:hint="eastAsia"/>
                <w:color w:val="auto"/>
              </w:rPr>
              <w:t>6</w:t>
            </w:r>
          </w:p>
        </w:tc>
        <w:tc>
          <w:tcPr>
            <w:tcW w:w="1880" w:type="dxa"/>
            <w:vAlign w:val="center"/>
          </w:tcPr>
          <w:p w14:paraId="2FBB94E8">
            <w:pPr>
              <w:pStyle w:val="84"/>
              <w:widowControl w:val="0"/>
              <w:rPr>
                <w:color w:val="auto"/>
              </w:rPr>
            </w:pPr>
          </w:p>
        </w:tc>
      </w:tr>
      <w:tr w14:paraId="058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6B5DBEF9">
            <w:pPr>
              <w:pStyle w:val="84"/>
              <w:widowControl w:val="0"/>
              <w:rPr>
                <w:color w:val="auto"/>
              </w:rPr>
            </w:pPr>
            <w:r>
              <w:rPr>
                <w:rFonts w:hint="eastAsia"/>
                <w:color w:val="auto"/>
              </w:rPr>
              <w:t>1</w:t>
            </w:r>
            <w:r>
              <w:rPr>
                <w:color w:val="auto"/>
              </w:rPr>
              <w:t>3</w:t>
            </w:r>
          </w:p>
        </w:tc>
        <w:tc>
          <w:tcPr>
            <w:tcW w:w="2977" w:type="dxa"/>
            <w:vAlign w:val="center"/>
          </w:tcPr>
          <w:p w14:paraId="06743924">
            <w:pPr>
              <w:pStyle w:val="84"/>
              <w:widowControl w:val="0"/>
              <w:rPr>
                <w:color w:val="auto"/>
              </w:rPr>
            </w:pPr>
            <w:r>
              <w:rPr>
                <w:rFonts w:hint="eastAsia"/>
                <w:color w:val="auto"/>
              </w:rPr>
              <w:t>对讲机</w:t>
            </w:r>
          </w:p>
        </w:tc>
        <w:tc>
          <w:tcPr>
            <w:tcW w:w="2126" w:type="dxa"/>
            <w:vAlign w:val="center"/>
          </w:tcPr>
          <w:p w14:paraId="33C0D619">
            <w:pPr>
              <w:pStyle w:val="84"/>
              <w:widowControl w:val="0"/>
              <w:rPr>
                <w:color w:val="auto"/>
              </w:rPr>
            </w:pPr>
            <w:r>
              <w:rPr>
                <w:rFonts w:hint="eastAsia"/>
                <w:color w:val="auto"/>
              </w:rPr>
              <w:t>部</w:t>
            </w:r>
          </w:p>
        </w:tc>
        <w:tc>
          <w:tcPr>
            <w:tcW w:w="1571" w:type="dxa"/>
            <w:vAlign w:val="center"/>
          </w:tcPr>
          <w:p w14:paraId="07E24385">
            <w:pPr>
              <w:pStyle w:val="84"/>
              <w:widowControl w:val="0"/>
              <w:rPr>
                <w:color w:val="auto"/>
              </w:rPr>
            </w:pPr>
            <w:r>
              <w:rPr>
                <w:rFonts w:hint="eastAsia"/>
                <w:color w:val="auto"/>
              </w:rPr>
              <w:t>6</w:t>
            </w:r>
          </w:p>
        </w:tc>
        <w:tc>
          <w:tcPr>
            <w:tcW w:w="1880" w:type="dxa"/>
            <w:vAlign w:val="center"/>
          </w:tcPr>
          <w:p w14:paraId="0E44EEE8">
            <w:pPr>
              <w:pStyle w:val="84"/>
              <w:widowControl w:val="0"/>
              <w:rPr>
                <w:color w:val="auto"/>
              </w:rPr>
            </w:pPr>
          </w:p>
        </w:tc>
      </w:tr>
      <w:tr w14:paraId="02C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2FD029B2">
            <w:pPr>
              <w:pStyle w:val="84"/>
              <w:widowControl w:val="0"/>
              <w:rPr>
                <w:color w:val="auto"/>
              </w:rPr>
            </w:pPr>
            <w:r>
              <w:rPr>
                <w:rFonts w:hint="eastAsia"/>
                <w:color w:val="auto"/>
              </w:rPr>
              <w:t>1</w:t>
            </w:r>
            <w:r>
              <w:rPr>
                <w:color w:val="auto"/>
              </w:rPr>
              <w:t>4</w:t>
            </w:r>
          </w:p>
        </w:tc>
        <w:tc>
          <w:tcPr>
            <w:tcW w:w="2977" w:type="dxa"/>
            <w:vAlign w:val="center"/>
          </w:tcPr>
          <w:p w14:paraId="5FDC54CC">
            <w:pPr>
              <w:pStyle w:val="84"/>
              <w:widowControl w:val="0"/>
              <w:rPr>
                <w:color w:val="auto"/>
              </w:rPr>
            </w:pPr>
            <w:r>
              <w:rPr>
                <w:rFonts w:hint="eastAsia"/>
                <w:color w:val="auto"/>
              </w:rPr>
              <w:t>液压汽车吊</w:t>
            </w:r>
          </w:p>
        </w:tc>
        <w:tc>
          <w:tcPr>
            <w:tcW w:w="2126" w:type="dxa"/>
            <w:vAlign w:val="center"/>
          </w:tcPr>
          <w:p w14:paraId="22AE0CB9">
            <w:pPr>
              <w:pStyle w:val="84"/>
              <w:widowControl w:val="0"/>
              <w:rPr>
                <w:color w:val="auto"/>
              </w:rPr>
            </w:pPr>
            <w:r>
              <w:rPr>
                <w:rFonts w:hint="eastAsia"/>
                <w:color w:val="auto"/>
              </w:rPr>
              <w:t>辆/</w:t>
            </w:r>
            <w:r>
              <w:rPr>
                <w:color w:val="auto"/>
              </w:rPr>
              <w:t>25t</w:t>
            </w:r>
          </w:p>
        </w:tc>
        <w:tc>
          <w:tcPr>
            <w:tcW w:w="1571" w:type="dxa"/>
            <w:vAlign w:val="center"/>
          </w:tcPr>
          <w:p w14:paraId="0A2ADD4B">
            <w:pPr>
              <w:pStyle w:val="84"/>
              <w:widowControl w:val="0"/>
              <w:rPr>
                <w:color w:val="auto"/>
              </w:rPr>
            </w:pPr>
            <w:r>
              <w:rPr>
                <w:rFonts w:hint="eastAsia"/>
                <w:color w:val="auto"/>
              </w:rPr>
              <w:t>1</w:t>
            </w:r>
          </w:p>
        </w:tc>
        <w:tc>
          <w:tcPr>
            <w:tcW w:w="1880" w:type="dxa"/>
            <w:vAlign w:val="center"/>
          </w:tcPr>
          <w:p w14:paraId="29782FAF">
            <w:pPr>
              <w:pStyle w:val="84"/>
              <w:widowControl w:val="0"/>
              <w:rPr>
                <w:color w:val="auto"/>
              </w:rPr>
            </w:pPr>
          </w:p>
        </w:tc>
      </w:tr>
      <w:tr w14:paraId="026C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0306C8">
            <w:pPr>
              <w:pStyle w:val="84"/>
              <w:widowControl w:val="0"/>
              <w:rPr>
                <w:color w:val="auto"/>
              </w:rPr>
            </w:pPr>
            <w:r>
              <w:rPr>
                <w:rFonts w:hint="eastAsia"/>
                <w:color w:val="auto"/>
              </w:rPr>
              <w:t>1</w:t>
            </w:r>
            <w:r>
              <w:rPr>
                <w:color w:val="auto"/>
              </w:rPr>
              <w:t>5</w:t>
            </w:r>
          </w:p>
        </w:tc>
        <w:tc>
          <w:tcPr>
            <w:tcW w:w="2977" w:type="dxa"/>
            <w:vAlign w:val="center"/>
          </w:tcPr>
          <w:p w14:paraId="1827E90C">
            <w:pPr>
              <w:pStyle w:val="84"/>
              <w:widowControl w:val="0"/>
              <w:rPr>
                <w:color w:val="auto"/>
              </w:rPr>
            </w:pPr>
            <w:r>
              <w:rPr>
                <w:rFonts w:hint="eastAsia"/>
                <w:color w:val="auto"/>
              </w:rPr>
              <w:t>电焊机</w:t>
            </w:r>
          </w:p>
        </w:tc>
        <w:tc>
          <w:tcPr>
            <w:tcW w:w="2126" w:type="dxa"/>
            <w:vAlign w:val="center"/>
          </w:tcPr>
          <w:p w14:paraId="4E24394A">
            <w:pPr>
              <w:pStyle w:val="84"/>
              <w:widowControl w:val="0"/>
              <w:rPr>
                <w:color w:val="auto"/>
              </w:rPr>
            </w:pPr>
            <w:r>
              <w:rPr>
                <w:rFonts w:hint="eastAsia"/>
                <w:color w:val="auto"/>
              </w:rPr>
              <w:t>台</w:t>
            </w:r>
          </w:p>
        </w:tc>
        <w:tc>
          <w:tcPr>
            <w:tcW w:w="1571" w:type="dxa"/>
            <w:vAlign w:val="center"/>
          </w:tcPr>
          <w:p w14:paraId="5EB6B41B">
            <w:pPr>
              <w:pStyle w:val="84"/>
              <w:widowControl w:val="0"/>
              <w:rPr>
                <w:color w:val="auto"/>
              </w:rPr>
            </w:pPr>
            <w:r>
              <w:rPr>
                <w:rFonts w:hint="eastAsia"/>
                <w:color w:val="auto"/>
              </w:rPr>
              <w:t>2</w:t>
            </w:r>
          </w:p>
        </w:tc>
        <w:tc>
          <w:tcPr>
            <w:tcW w:w="1880" w:type="dxa"/>
            <w:vAlign w:val="center"/>
          </w:tcPr>
          <w:p w14:paraId="2228630D">
            <w:pPr>
              <w:pStyle w:val="84"/>
              <w:widowControl w:val="0"/>
              <w:rPr>
                <w:color w:val="auto"/>
              </w:rPr>
            </w:pPr>
          </w:p>
        </w:tc>
      </w:tr>
      <w:tr w14:paraId="593E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1DEE2726">
            <w:pPr>
              <w:pStyle w:val="84"/>
              <w:widowControl w:val="0"/>
              <w:rPr>
                <w:color w:val="auto"/>
              </w:rPr>
            </w:pPr>
            <w:r>
              <w:rPr>
                <w:rFonts w:hint="eastAsia"/>
                <w:color w:val="auto"/>
              </w:rPr>
              <w:t>1</w:t>
            </w:r>
            <w:r>
              <w:rPr>
                <w:color w:val="auto"/>
              </w:rPr>
              <w:t>6</w:t>
            </w:r>
          </w:p>
        </w:tc>
        <w:tc>
          <w:tcPr>
            <w:tcW w:w="2977" w:type="dxa"/>
            <w:vAlign w:val="center"/>
          </w:tcPr>
          <w:p w14:paraId="54609095">
            <w:pPr>
              <w:pStyle w:val="84"/>
              <w:widowControl w:val="0"/>
              <w:rPr>
                <w:color w:val="auto"/>
              </w:rPr>
            </w:pPr>
            <w:r>
              <w:rPr>
                <w:rFonts w:hint="eastAsia"/>
                <w:color w:val="auto"/>
              </w:rPr>
              <w:t>手拉葫芦</w:t>
            </w:r>
          </w:p>
        </w:tc>
        <w:tc>
          <w:tcPr>
            <w:tcW w:w="2126" w:type="dxa"/>
            <w:vAlign w:val="center"/>
          </w:tcPr>
          <w:p w14:paraId="17978251">
            <w:pPr>
              <w:pStyle w:val="84"/>
              <w:widowControl w:val="0"/>
              <w:rPr>
                <w:color w:val="auto"/>
              </w:rPr>
            </w:pPr>
            <w:r>
              <w:rPr>
                <w:rFonts w:hint="eastAsia"/>
                <w:color w:val="auto"/>
              </w:rPr>
              <w:t>台/拉力5t</w:t>
            </w:r>
          </w:p>
        </w:tc>
        <w:tc>
          <w:tcPr>
            <w:tcW w:w="1571" w:type="dxa"/>
            <w:vAlign w:val="center"/>
          </w:tcPr>
          <w:p w14:paraId="2A6F1D44">
            <w:pPr>
              <w:pStyle w:val="84"/>
              <w:widowControl w:val="0"/>
              <w:rPr>
                <w:color w:val="auto"/>
              </w:rPr>
            </w:pPr>
            <w:r>
              <w:rPr>
                <w:rFonts w:hint="eastAsia"/>
                <w:color w:val="auto"/>
              </w:rPr>
              <w:t>2</w:t>
            </w:r>
          </w:p>
        </w:tc>
        <w:tc>
          <w:tcPr>
            <w:tcW w:w="1880" w:type="dxa"/>
            <w:vAlign w:val="center"/>
          </w:tcPr>
          <w:p w14:paraId="03C28A41">
            <w:pPr>
              <w:pStyle w:val="84"/>
              <w:widowControl w:val="0"/>
              <w:rPr>
                <w:color w:val="auto"/>
              </w:rPr>
            </w:pPr>
          </w:p>
        </w:tc>
      </w:tr>
      <w:tr w14:paraId="4F9C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5221B991">
            <w:pPr>
              <w:pStyle w:val="84"/>
              <w:widowControl w:val="0"/>
              <w:rPr>
                <w:color w:val="auto"/>
              </w:rPr>
            </w:pPr>
            <w:r>
              <w:rPr>
                <w:rFonts w:hint="eastAsia"/>
                <w:color w:val="auto"/>
              </w:rPr>
              <w:t>1</w:t>
            </w:r>
            <w:r>
              <w:rPr>
                <w:color w:val="auto"/>
              </w:rPr>
              <w:t>7</w:t>
            </w:r>
          </w:p>
        </w:tc>
        <w:tc>
          <w:tcPr>
            <w:tcW w:w="2977" w:type="dxa"/>
            <w:vAlign w:val="center"/>
          </w:tcPr>
          <w:p w14:paraId="72D8DC2B">
            <w:pPr>
              <w:pStyle w:val="84"/>
              <w:widowControl w:val="0"/>
              <w:rPr>
                <w:color w:val="auto"/>
              </w:rPr>
            </w:pPr>
            <w:r>
              <w:rPr>
                <w:rFonts w:hint="eastAsia"/>
                <w:color w:val="auto"/>
              </w:rPr>
              <w:t>发电机</w:t>
            </w:r>
          </w:p>
        </w:tc>
        <w:tc>
          <w:tcPr>
            <w:tcW w:w="2126" w:type="dxa"/>
            <w:vAlign w:val="center"/>
          </w:tcPr>
          <w:p w14:paraId="04835E6D">
            <w:pPr>
              <w:pStyle w:val="84"/>
              <w:widowControl w:val="0"/>
              <w:rPr>
                <w:color w:val="auto"/>
              </w:rPr>
            </w:pPr>
            <w:r>
              <w:rPr>
                <w:rFonts w:hint="eastAsia"/>
                <w:color w:val="auto"/>
              </w:rPr>
              <w:t>7</w:t>
            </w:r>
            <w:r>
              <w:rPr>
                <w:color w:val="auto"/>
              </w:rPr>
              <w:t>5kw</w:t>
            </w:r>
          </w:p>
        </w:tc>
        <w:tc>
          <w:tcPr>
            <w:tcW w:w="1571" w:type="dxa"/>
            <w:vAlign w:val="center"/>
          </w:tcPr>
          <w:p w14:paraId="3ECA385D">
            <w:pPr>
              <w:pStyle w:val="84"/>
              <w:widowControl w:val="0"/>
              <w:rPr>
                <w:color w:val="auto"/>
              </w:rPr>
            </w:pPr>
            <w:r>
              <w:rPr>
                <w:rFonts w:hint="eastAsia"/>
                <w:color w:val="auto"/>
              </w:rPr>
              <w:t>1</w:t>
            </w:r>
          </w:p>
        </w:tc>
        <w:tc>
          <w:tcPr>
            <w:tcW w:w="1880" w:type="dxa"/>
            <w:vAlign w:val="center"/>
          </w:tcPr>
          <w:p w14:paraId="6EE12D89">
            <w:pPr>
              <w:pStyle w:val="84"/>
              <w:widowControl w:val="0"/>
              <w:rPr>
                <w:color w:val="auto"/>
              </w:rPr>
            </w:pPr>
          </w:p>
        </w:tc>
      </w:tr>
      <w:tr w14:paraId="42EA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46" w:type="dxa"/>
            <w:vAlign w:val="center"/>
          </w:tcPr>
          <w:p w14:paraId="4E86D830">
            <w:pPr>
              <w:pStyle w:val="84"/>
              <w:widowControl w:val="0"/>
              <w:rPr>
                <w:color w:val="auto"/>
              </w:rPr>
            </w:pPr>
            <w:r>
              <w:rPr>
                <w:rFonts w:hint="eastAsia"/>
                <w:color w:val="auto"/>
              </w:rPr>
              <w:t>1</w:t>
            </w:r>
            <w:r>
              <w:rPr>
                <w:color w:val="auto"/>
              </w:rPr>
              <w:t>8</w:t>
            </w:r>
          </w:p>
        </w:tc>
        <w:tc>
          <w:tcPr>
            <w:tcW w:w="2977" w:type="dxa"/>
            <w:vAlign w:val="center"/>
          </w:tcPr>
          <w:p w14:paraId="262093D6">
            <w:pPr>
              <w:pStyle w:val="84"/>
              <w:widowControl w:val="0"/>
              <w:rPr>
                <w:color w:val="auto"/>
              </w:rPr>
            </w:pPr>
            <w:r>
              <w:rPr>
                <w:rFonts w:hint="eastAsia"/>
                <w:color w:val="auto"/>
              </w:rPr>
              <w:t>小汽车</w:t>
            </w:r>
          </w:p>
        </w:tc>
        <w:tc>
          <w:tcPr>
            <w:tcW w:w="2126" w:type="dxa"/>
            <w:vAlign w:val="center"/>
          </w:tcPr>
          <w:p w14:paraId="4AD44FE2">
            <w:pPr>
              <w:pStyle w:val="84"/>
              <w:widowControl w:val="0"/>
              <w:rPr>
                <w:color w:val="auto"/>
              </w:rPr>
            </w:pPr>
            <w:r>
              <w:rPr>
                <w:rFonts w:hint="eastAsia"/>
                <w:color w:val="auto"/>
              </w:rPr>
              <w:t>辆</w:t>
            </w:r>
          </w:p>
        </w:tc>
        <w:tc>
          <w:tcPr>
            <w:tcW w:w="1571" w:type="dxa"/>
            <w:vAlign w:val="center"/>
          </w:tcPr>
          <w:p w14:paraId="4E097475">
            <w:pPr>
              <w:pStyle w:val="84"/>
              <w:widowControl w:val="0"/>
              <w:rPr>
                <w:color w:val="auto"/>
              </w:rPr>
            </w:pPr>
            <w:r>
              <w:rPr>
                <w:rFonts w:hint="eastAsia"/>
                <w:color w:val="auto"/>
              </w:rPr>
              <w:t>1</w:t>
            </w:r>
          </w:p>
        </w:tc>
        <w:tc>
          <w:tcPr>
            <w:tcW w:w="1880" w:type="dxa"/>
            <w:vAlign w:val="center"/>
          </w:tcPr>
          <w:p w14:paraId="5BC580CC">
            <w:pPr>
              <w:pStyle w:val="84"/>
              <w:widowControl w:val="0"/>
              <w:rPr>
                <w:color w:val="auto"/>
              </w:rPr>
            </w:pPr>
          </w:p>
        </w:tc>
      </w:tr>
    </w:tbl>
    <w:p w14:paraId="4B67640F">
      <w:pPr>
        <w:pStyle w:val="84"/>
        <w:rPr>
          <w:color w:val="auto"/>
        </w:rPr>
      </w:pPr>
    </w:p>
    <w:p w14:paraId="58766C50">
      <w:pPr>
        <w:pStyle w:val="4"/>
        <w:ind w:firstLine="482"/>
        <w:rPr>
          <w:rFonts w:hint="eastAsia"/>
          <w:color w:val="auto"/>
        </w:rPr>
      </w:pPr>
      <w:bookmarkStart w:id="632" w:name="_Toc30922"/>
      <w:r>
        <w:rPr>
          <w:rFonts w:hint="eastAsia"/>
          <w:color w:val="auto"/>
        </w:rPr>
        <w:t>1</w:t>
      </w:r>
      <w:r>
        <w:rPr>
          <w:color w:val="auto"/>
        </w:rPr>
        <w:t xml:space="preserve">0.4.4 </w:t>
      </w:r>
      <w:r>
        <w:rPr>
          <w:rFonts w:hint="eastAsia"/>
          <w:color w:val="auto"/>
        </w:rPr>
        <w:t>应急队伍配置</w:t>
      </w:r>
      <w:bookmarkEnd w:id="632"/>
    </w:p>
    <w:p w14:paraId="5226233C">
      <w:pPr>
        <w:ind w:firstLine="480"/>
        <w:rPr>
          <w:rFonts w:hint="eastAsia"/>
          <w:color w:val="auto"/>
        </w:rPr>
      </w:pPr>
      <w:r>
        <w:rPr>
          <w:rFonts w:hint="eastAsia"/>
          <w:color w:val="auto"/>
        </w:rPr>
        <w:t>现场应急队伍由工区经理、现场施工管理人员以及各施工队伍班组长组成。</w:t>
      </w:r>
    </w:p>
    <w:p w14:paraId="1C229D66">
      <w:pPr>
        <w:pStyle w:val="4"/>
        <w:ind w:firstLine="482"/>
        <w:rPr>
          <w:rFonts w:hint="eastAsia"/>
          <w:color w:val="auto"/>
        </w:rPr>
      </w:pPr>
      <w:bookmarkStart w:id="633" w:name="_Toc27166"/>
      <w:r>
        <w:rPr>
          <w:rFonts w:hint="eastAsia"/>
          <w:color w:val="auto"/>
        </w:rPr>
        <w:t>1</w:t>
      </w:r>
      <w:r>
        <w:rPr>
          <w:color w:val="auto"/>
        </w:rPr>
        <w:t xml:space="preserve">0.4.5 </w:t>
      </w:r>
      <w:r>
        <w:rPr>
          <w:rFonts w:hint="eastAsia"/>
          <w:color w:val="auto"/>
        </w:rPr>
        <w:t>资金保障</w:t>
      </w:r>
      <w:bookmarkEnd w:id="633"/>
    </w:p>
    <w:p w14:paraId="76FD1B68">
      <w:pPr>
        <w:ind w:firstLine="480"/>
        <w:rPr>
          <w:rFonts w:hint="eastAsia"/>
          <w:color w:val="auto"/>
        </w:rPr>
      </w:pPr>
      <w:r>
        <w:rPr>
          <w:rFonts w:hint="eastAsia"/>
          <w:color w:val="auto"/>
        </w:rPr>
        <w:t>项目部做好事故应急救援必备的资金准备。平时项目部财务部要有一定数额的资金准备，做好事故的应急准备工作；发生事故时项目部财务部要首先确保伤员救护和事故处置所需的资金。</w:t>
      </w:r>
    </w:p>
    <w:p w14:paraId="67115E50">
      <w:pPr>
        <w:pStyle w:val="3"/>
        <w:ind w:left="480"/>
        <w:rPr>
          <w:rFonts w:hint="eastAsia"/>
          <w:color w:val="auto"/>
        </w:rPr>
      </w:pPr>
      <w:bookmarkStart w:id="634" w:name="_Toc182895433"/>
      <w:bookmarkStart w:id="635" w:name="_Toc11163"/>
      <w:r>
        <w:rPr>
          <w:rFonts w:hint="eastAsia"/>
          <w:color w:val="auto"/>
        </w:rPr>
        <w:t>1</w:t>
      </w:r>
      <w:r>
        <w:rPr>
          <w:color w:val="auto"/>
        </w:rPr>
        <w:t xml:space="preserve">0.5 </w:t>
      </w:r>
      <w:r>
        <w:rPr>
          <w:rFonts w:hint="eastAsia"/>
          <w:color w:val="auto"/>
        </w:rPr>
        <w:t>应急预案启动与结束</w:t>
      </w:r>
      <w:bookmarkEnd w:id="634"/>
      <w:bookmarkEnd w:id="635"/>
    </w:p>
    <w:p w14:paraId="205C14E1">
      <w:pPr>
        <w:pStyle w:val="4"/>
        <w:ind w:firstLine="482"/>
        <w:rPr>
          <w:rFonts w:hint="eastAsia"/>
          <w:color w:val="auto"/>
        </w:rPr>
      </w:pPr>
      <w:bookmarkStart w:id="636" w:name="_Toc28516"/>
      <w:r>
        <w:rPr>
          <w:color w:val="auto"/>
        </w:rPr>
        <w:t>10</w:t>
      </w:r>
      <w:r>
        <w:rPr>
          <w:rFonts w:hint="eastAsia"/>
          <w:color w:val="auto"/>
        </w:rPr>
        <w:t>.</w:t>
      </w:r>
      <w:r>
        <w:rPr>
          <w:color w:val="auto"/>
        </w:rPr>
        <w:t>5</w:t>
      </w:r>
      <w:r>
        <w:rPr>
          <w:rFonts w:hint="eastAsia"/>
          <w:color w:val="auto"/>
        </w:rPr>
        <w:t>.1 应急处置程序</w:t>
      </w:r>
      <w:bookmarkEnd w:id="636"/>
    </w:p>
    <w:p w14:paraId="0799D236">
      <w:pPr>
        <w:ind w:firstLine="480"/>
        <w:rPr>
          <w:rFonts w:hint="eastAsia"/>
          <w:color w:val="auto"/>
        </w:rPr>
      </w:pPr>
      <w:r>
        <w:rPr>
          <w:rFonts w:hint="eastAsia"/>
          <w:color w:val="auto"/>
        </w:rPr>
        <w:t>若施工现场发生事故，现场人员立即向应急救援领导小组报告，同时报告有无人员受伤情况，对外联络（包括拨打急救和报警电话）由领导小组统一进行，其他人员未经领导小组同意，不得擅自发布消息。应急救援领导小组成员接到事故报告后迅速赶赴现场，指挥开展救援行动，救援基本流程如下图：</w:t>
      </w:r>
    </w:p>
    <w:p w14:paraId="33220642">
      <w:pPr>
        <w:pStyle w:val="91"/>
        <w:rPr>
          <w:color w:val="auto"/>
        </w:rPr>
      </w:pPr>
      <w:r>
        <w:rPr>
          <w:color w:val="auto"/>
        </w:rPr>
        <w:drawing>
          <wp:inline distT="0" distB="0" distL="114300" distR="114300">
            <wp:extent cx="4152265" cy="2736850"/>
            <wp:effectExtent l="0" t="0" r="8255" b="6350"/>
            <wp:docPr id="1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
                    <pic:cNvPicPr>
                      <a:picLocks noChangeAspect="1"/>
                    </pic:cNvPicPr>
                  </pic:nvPicPr>
                  <pic:blipFill>
                    <a:blip r:embed="rId159"/>
                    <a:stretch>
                      <a:fillRect/>
                    </a:stretch>
                  </pic:blipFill>
                  <pic:spPr>
                    <a:xfrm>
                      <a:off x="0" y="0"/>
                      <a:ext cx="4152265" cy="2736850"/>
                    </a:xfrm>
                    <a:prstGeom prst="rect">
                      <a:avLst/>
                    </a:prstGeom>
                    <a:noFill/>
                    <a:ln>
                      <a:noFill/>
                    </a:ln>
                  </pic:spPr>
                </pic:pic>
              </a:graphicData>
            </a:graphic>
          </wp:inline>
        </w:drawing>
      </w:r>
    </w:p>
    <w:p w14:paraId="3B56E4FF">
      <w:pPr>
        <w:pStyle w:val="83"/>
        <w:rPr>
          <w:rFonts w:hint="eastAsia"/>
          <w:color w:val="auto"/>
        </w:rPr>
      </w:pPr>
      <w:r>
        <w:rPr>
          <w:rFonts w:hint="eastAsia"/>
          <w:color w:val="auto"/>
        </w:rPr>
        <w:t>图</w:t>
      </w:r>
      <w:r>
        <w:rPr>
          <w:color w:val="auto"/>
        </w:rPr>
        <w:t>10</w:t>
      </w:r>
      <w:r>
        <w:rPr>
          <w:rFonts w:hint="eastAsia"/>
          <w:color w:val="auto"/>
        </w:rPr>
        <w:t>.</w:t>
      </w:r>
      <w:r>
        <w:rPr>
          <w:color w:val="auto"/>
        </w:rPr>
        <w:t>5</w:t>
      </w:r>
      <w:r>
        <w:rPr>
          <w:rFonts w:hint="eastAsia"/>
          <w:color w:val="auto"/>
        </w:rPr>
        <w:t>-</w:t>
      </w:r>
      <w:r>
        <w:rPr>
          <w:color w:val="auto"/>
        </w:rPr>
        <w:t xml:space="preserve">1  </w:t>
      </w:r>
      <w:r>
        <w:rPr>
          <w:rFonts w:hint="eastAsia"/>
          <w:color w:val="auto"/>
        </w:rPr>
        <w:t>应急处理基本流程图</w:t>
      </w:r>
    </w:p>
    <w:p w14:paraId="0F9BEE5F">
      <w:pPr>
        <w:pStyle w:val="4"/>
        <w:ind w:firstLine="482"/>
        <w:rPr>
          <w:rFonts w:hint="eastAsia"/>
          <w:color w:val="auto"/>
        </w:rPr>
      </w:pPr>
      <w:bookmarkStart w:id="637" w:name="_Toc28983"/>
      <w:r>
        <w:rPr>
          <w:color w:val="auto"/>
        </w:rPr>
        <w:t>10</w:t>
      </w:r>
      <w:r>
        <w:rPr>
          <w:rFonts w:hint="eastAsia"/>
          <w:color w:val="auto"/>
        </w:rPr>
        <w:t>.</w:t>
      </w:r>
      <w:r>
        <w:rPr>
          <w:color w:val="auto"/>
        </w:rPr>
        <w:t>5</w:t>
      </w:r>
      <w:r>
        <w:rPr>
          <w:rFonts w:hint="eastAsia"/>
          <w:color w:val="auto"/>
        </w:rPr>
        <w:t>.2 应急启动</w:t>
      </w:r>
      <w:bookmarkEnd w:id="637"/>
    </w:p>
    <w:p w14:paraId="6C145CEB">
      <w:pPr>
        <w:ind w:firstLine="480"/>
        <w:rPr>
          <w:rFonts w:hint="eastAsia"/>
          <w:color w:val="auto"/>
        </w:rPr>
      </w:pPr>
      <w:r>
        <w:rPr>
          <w:rFonts w:hint="eastAsia"/>
          <w:color w:val="auto"/>
        </w:rPr>
        <w:t>（1）一旦发生事故，现场管理人员应带领员工立即组织就地抢险并救治人员，必要时报告应急领导小组拨打120急救中心到现场协助救护。</w:t>
      </w:r>
    </w:p>
    <w:p w14:paraId="643D9C3B">
      <w:pPr>
        <w:ind w:firstLine="480"/>
        <w:rPr>
          <w:rFonts w:hint="eastAsia"/>
          <w:color w:val="auto"/>
        </w:rPr>
      </w:pPr>
      <w:r>
        <w:rPr>
          <w:rFonts w:hint="eastAsia"/>
          <w:color w:val="auto"/>
        </w:rPr>
        <w:t>（2）事故发生后，现场管理人员第一时间内组织现场做好警戒工作，阻止一切无关人员进入事故现场。</w:t>
      </w:r>
    </w:p>
    <w:p w14:paraId="2A9F5CD3">
      <w:pPr>
        <w:ind w:firstLine="480"/>
        <w:rPr>
          <w:rFonts w:hint="eastAsia"/>
          <w:color w:val="auto"/>
        </w:rPr>
      </w:pPr>
      <w:r>
        <w:rPr>
          <w:rFonts w:hint="eastAsia"/>
          <w:color w:val="auto"/>
        </w:rPr>
        <w:t>（3）在现场应急小组组长指挥下，指导机械设备和抢险人员全力组织自救，并按就近、快速的原则调用搜救资源，按应急反应方案，组织、指挥和协调现场应急行动。</w:t>
      </w:r>
    </w:p>
    <w:p w14:paraId="3EB8D8E1">
      <w:pPr>
        <w:ind w:firstLine="480"/>
        <w:rPr>
          <w:rFonts w:hint="eastAsia"/>
          <w:snapToGrid w:val="0"/>
          <w:color w:val="auto"/>
        </w:rPr>
      </w:pPr>
      <w:r>
        <w:rPr>
          <w:rFonts w:hint="eastAsia"/>
          <w:snapToGrid w:val="0"/>
          <w:color w:val="auto"/>
        </w:rPr>
        <w:t>（4）立即准备救援相关设备和物资，由后勤负责人指挥，相关部门积极配合协调。</w:t>
      </w:r>
    </w:p>
    <w:p w14:paraId="5464FB7D">
      <w:pPr>
        <w:pStyle w:val="4"/>
        <w:ind w:firstLine="482"/>
        <w:rPr>
          <w:rFonts w:hint="eastAsia"/>
          <w:color w:val="auto"/>
        </w:rPr>
      </w:pPr>
      <w:bookmarkStart w:id="638" w:name="_Toc4709"/>
      <w:r>
        <w:rPr>
          <w:color w:val="auto"/>
        </w:rPr>
        <w:t>10</w:t>
      </w:r>
      <w:r>
        <w:rPr>
          <w:rFonts w:hint="eastAsia"/>
          <w:color w:val="auto"/>
        </w:rPr>
        <w:t>.</w:t>
      </w:r>
      <w:r>
        <w:rPr>
          <w:color w:val="auto"/>
        </w:rPr>
        <w:t>5</w:t>
      </w:r>
      <w:r>
        <w:rPr>
          <w:rFonts w:hint="eastAsia"/>
          <w:color w:val="auto"/>
        </w:rPr>
        <w:t>.</w:t>
      </w:r>
      <w:r>
        <w:rPr>
          <w:color w:val="auto"/>
        </w:rPr>
        <w:t>3</w:t>
      </w:r>
      <w:r>
        <w:rPr>
          <w:rFonts w:hint="eastAsia"/>
          <w:color w:val="auto"/>
        </w:rPr>
        <w:t xml:space="preserve"> 应急疏散</w:t>
      </w:r>
      <w:bookmarkEnd w:id="638"/>
    </w:p>
    <w:p w14:paraId="4110DCC0">
      <w:pPr>
        <w:ind w:firstLine="480"/>
        <w:rPr>
          <w:rFonts w:hint="eastAsia"/>
          <w:color w:val="auto"/>
        </w:rPr>
      </w:pPr>
      <w:r>
        <w:rPr>
          <w:rFonts w:hint="eastAsia"/>
          <w:color w:val="auto"/>
        </w:rPr>
        <w:t>（1）当事故比较严重，为避免不必要的人员伤亡，应急领导小组应及时下达紧急疏散令，命令一切无关人员紧急撤离现场。</w:t>
      </w:r>
    </w:p>
    <w:p w14:paraId="3EF192A2">
      <w:pPr>
        <w:ind w:firstLine="480"/>
        <w:rPr>
          <w:rFonts w:hint="eastAsia"/>
          <w:color w:val="auto"/>
        </w:rPr>
      </w:pPr>
      <w:r>
        <w:rPr>
          <w:rFonts w:hint="eastAsia"/>
          <w:color w:val="auto"/>
        </w:rPr>
        <w:t>（1）应急小组成员应赶赴现场，就地指挥分流人员疏散到指定地点，并及时报告应急组长，做到有条不紊、忙而不乱。</w:t>
      </w:r>
    </w:p>
    <w:p w14:paraId="5493255F">
      <w:pPr>
        <w:pStyle w:val="4"/>
        <w:ind w:firstLine="482"/>
        <w:rPr>
          <w:rFonts w:hint="eastAsia"/>
          <w:color w:val="auto"/>
        </w:rPr>
      </w:pPr>
      <w:bookmarkStart w:id="639" w:name="_Toc20567"/>
      <w:r>
        <w:rPr>
          <w:color w:val="auto"/>
        </w:rPr>
        <w:t>10</w:t>
      </w:r>
      <w:r>
        <w:rPr>
          <w:rFonts w:hint="eastAsia"/>
          <w:color w:val="auto"/>
        </w:rPr>
        <w:t>.</w:t>
      </w:r>
      <w:r>
        <w:rPr>
          <w:color w:val="auto"/>
        </w:rPr>
        <w:t>5</w:t>
      </w:r>
      <w:r>
        <w:rPr>
          <w:rFonts w:hint="eastAsia"/>
          <w:color w:val="auto"/>
        </w:rPr>
        <w:t>.</w:t>
      </w:r>
      <w:r>
        <w:rPr>
          <w:color w:val="auto"/>
        </w:rPr>
        <w:t>4</w:t>
      </w:r>
      <w:r>
        <w:rPr>
          <w:rFonts w:hint="eastAsia"/>
          <w:color w:val="auto"/>
        </w:rPr>
        <w:t xml:space="preserve"> 应急结束</w:t>
      </w:r>
      <w:bookmarkEnd w:id="639"/>
    </w:p>
    <w:p w14:paraId="2C0D8328">
      <w:pPr>
        <w:ind w:firstLine="480"/>
        <w:rPr>
          <w:rFonts w:hint="eastAsia"/>
          <w:color w:val="auto"/>
        </w:rPr>
      </w:pPr>
      <w:r>
        <w:rPr>
          <w:rFonts w:hint="eastAsia"/>
          <w:color w:val="auto"/>
        </w:rPr>
        <w:t>当作业现场的人员、机械、物资等脱离险境后，由应急小组组长确认，方可宣布应急结束。</w:t>
      </w:r>
    </w:p>
    <w:p w14:paraId="1D6D609D">
      <w:pPr>
        <w:pStyle w:val="3"/>
        <w:ind w:left="480"/>
        <w:rPr>
          <w:rFonts w:hint="eastAsia"/>
          <w:color w:val="auto"/>
        </w:rPr>
      </w:pPr>
      <w:bookmarkStart w:id="640" w:name="_Toc15614"/>
      <w:bookmarkStart w:id="641" w:name="_Toc16185070"/>
      <w:bookmarkStart w:id="642" w:name="_Toc31181"/>
      <w:bookmarkStart w:id="643" w:name="_Toc30363"/>
      <w:bookmarkStart w:id="644" w:name="_Toc32682"/>
      <w:bookmarkStart w:id="645" w:name="_Toc12732"/>
      <w:bookmarkStart w:id="646" w:name="_Toc9606"/>
      <w:bookmarkStart w:id="647" w:name="_Toc144188089"/>
      <w:bookmarkStart w:id="648" w:name="_Toc511375519"/>
      <w:bookmarkStart w:id="649" w:name="_Toc24158"/>
      <w:bookmarkStart w:id="650" w:name="_Toc182895434"/>
      <w:bookmarkStart w:id="651" w:name="_Toc16815"/>
      <w:bookmarkStart w:id="652" w:name="_Toc8009"/>
      <w:bookmarkStart w:id="653" w:name="_Toc5845"/>
      <w:bookmarkStart w:id="654" w:name="_Toc96868135"/>
      <w:r>
        <w:rPr>
          <w:color w:val="auto"/>
        </w:rPr>
        <w:t>10</w:t>
      </w:r>
      <w:r>
        <w:rPr>
          <w:rFonts w:hint="eastAsia"/>
          <w:color w:val="auto"/>
        </w:rPr>
        <w:t>.</w:t>
      </w:r>
      <w:r>
        <w:rPr>
          <w:color w:val="auto"/>
        </w:rPr>
        <w:t>6</w:t>
      </w:r>
      <w:r>
        <w:rPr>
          <w:rFonts w:hint="eastAsia"/>
          <w:color w:val="auto"/>
        </w:rPr>
        <w:t xml:space="preserve"> 事故报告</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08201AAA">
      <w:pPr>
        <w:pStyle w:val="4"/>
        <w:ind w:firstLine="482"/>
        <w:rPr>
          <w:rFonts w:hint="eastAsia"/>
          <w:color w:val="auto"/>
        </w:rPr>
      </w:pPr>
      <w:bookmarkStart w:id="655" w:name="_Toc31948"/>
      <w:bookmarkStart w:id="656" w:name="_Toc511375520"/>
      <w:bookmarkStart w:id="657" w:name="_Toc25441"/>
      <w:bookmarkStart w:id="658" w:name="_Toc30384"/>
      <w:r>
        <w:rPr>
          <w:color w:val="auto"/>
        </w:rPr>
        <w:t>10</w:t>
      </w:r>
      <w:r>
        <w:rPr>
          <w:rFonts w:hint="eastAsia"/>
          <w:color w:val="auto"/>
        </w:rPr>
        <w:t>.</w:t>
      </w:r>
      <w:r>
        <w:rPr>
          <w:color w:val="auto"/>
        </w:rPr>
        <w:t>6</w:t>
      </w:r>
      <w:r>
        <w:rPr>
          <w:rFonts w:hint="eastAsia"/>
          <w:color w:val="auto"/>
        </w:rPr>
        <w:t>.1 生产安全事故报告程序</w:t>
      </w:r>
      <w:bookmarkEnd w:id="655"/>
      <w:bookmarkEnd w:id="656"/>
      <w:bookmarkEnd w:id="657"/>
      <w:bookmarkEnd w:id="658"/>
    </w:p>
    <w:p w14:paraId="52ABA501">
      <w:pPr>
        <w:ind w:firstLine="480"/>
        <w:rPr>
          <w:rFonts w:hint="eastAsia"/>
          <w:color w:val="auto"/>
        </w:rPr>
      </w:pPr>
      <w:r>
        <w:rPr>
          <w:rFonts w:hint="eastAsia"/>
          <w:color w:val="auto"/>
        </w:rPr>
        <w:t>安全事故发生后，立即启动事故应急预案，采取有效措施，组织抢救，防止事故扩大，减少人员伤亡和财产损失，并立即上报驻地办和项目公司（总监办）。同时，应按《生产安全事故报告和处理条例》（国务院第 493 号令）的规定，应当于一小时内向事故发生地县级以上人民政府安全生产监督管理部门和负有安全生产监督管理职责的有关部门报告。</w:t>
      </w:r>
    </w:p>
    <w:p w14:paraId="1DE5E883">
      <w:pPr>
        <w:ind w:firstLine="480"/>
        <w:rPr>
          <w:rFonts w:hint="eastAsia"/>
          <w:color w:val="auto"/>
        </w:rPr>
      </w:pPr>
      <w:r>
        <w:rPr>
          <w:rFonts w:hint="eastAsia"/>
          <w:color w:val="auto"/>
        </w:rPr>
        <w:t>情况紧急时，事故现场有关人员可以直接向事故发生地县级以上人民政府安全生产监督管理部门和负有安全生产监督管理职责的有关部门报告。</w:t>
      </w:r>
    </w:p>
    <w:p w14:paraId="1815B891">
      <w:pPr>
        <w:pStyle w:val="4"/>
        <w:ind w:firstLine="482"/>
        <w:rPr>
          <w:rFonts w:hint="eastAsia"/>
          <w:color w:val="auto"/>
        </w:rPr>
      </w:pPr>
      <w:bookmarkStart w:id="659" w:name="_Toc511375521"/>
      <w:bookmarkStart w:id="660" w:name="_Toc31288"/>
      <w:bookmarkStart w:id="661" w:name="_Toc25092"/>
      <w:bookmarkStart w:id="662" w:name="_Toc19221"/>
      <w:r>
        <w:rPr>
          <w:color w:val="auto"/>
        </w:rPr>
        <w:t>10.6.2</w:t>
      </w:r>
      <w:r>
        <w:rPr>
          <w:rFonts w:hint="eastAsia"/>
          <w:color w:val="auto"/>
        </w:rPr>
        <w:t xml:space="preserve"> 生产安全事故报告内容</w:t>
      </w:r>
      <w:bookmarkEnd w:id="659"/>
      <w:bookmarkEnd w:id="660"/>
      <w:bookmarkEnd w:id="661"/>
      <w:bookmarkEnd w:id="662"/>
    </w:p>
    <w:p w14:paraId="14565763">
      <w:pPr>
        <w:ind w:firstLine="480"/>
        <w:rPr>
          <w:rFonts w:hint="eastAsia"/>
          <w:color w:val="auto"/>
        </w:rPr>
      </w:pPr>
      <w:r>
        <w:rPr>
          <w:rFonts w:hint="eastAsia"/>
          <w:color w:val="auto"/>
        </w:rPr>
        <w:t>（1）事故发生单位概况</w:t>
      </w:r>
    </w:p>
    <w:p w14:paraId="4F633A18">
      <w:pPr>
        <w:ind w:firstLine="480"/>
        <w:rPr>
          <w:rFonts w:hint="eastAsia"/>
          <w:color w:val="auto"/>
        </w:rPr>
      </w:pPr>
      <w:r>
        <w:rPr>
          <w:rFonts w:hint="eastAsia"/>
          <w:color w:val="auto"/>
        </w:rPr>
        <w:t>包括单位的全称、所处地理位置、所有制形式和隶属关系、生产经营范围和规模等。</w:t>
      </w:r>
    </w:p>
    <w:p w14:paraId="2CB88F59">
      <w:pPr>
        <w:ind w:firstLine="480"/>
        <w:rPr>
          <w:rFonts w:hint="eastAsia"/>
          <w:color w:val="auto"/>
        </w:rPr>
      </w:pPr>
      <w:r>
        <w:rPr>
          <w:rFonts w:hint="eastAsia"/>
          <w:color w:val="auto"/>
        </w:rPr>
        <w:t>（2）事故发生的时间、地点以及事故现场情况</w:t>
      </w:r>
    </w:p>
    <w:p w14:paraId="3F602100">
      <w:pPr>
        <w:ind w:firstLine="480"/>
        <w:rPr>
          <w:rFonts w:hint="eastAsia"/>
          <w:color w:val="auto"/>
        </w:rPr>
      </w:pPr>
      <w:r>
        <w:rPr>
          <w:rFonts w:hint="eastAsia"/>
          <w:color w:val="auto"/>
        </w:rPr>
        <w:t>报告事故发生的时间应当具体、地点应当准确、事故现场的情况应当全面。</w:t>
      </w:r>
    </w:p>
    <w:p w14:paraId="65DEC468">
      <w:pPr>
        <w:ind w:firstLine="480"/>
        <w:rPr>
          <w:rFonts w:hint="eastAsia"/>
          <w:color w:val="auto"/>
        </w:rPr>
      </w:pPr>
      <w:r>
        <w:rPr>
          <w:rFonts w:hint="eastAsia"/>
          <w:color w:val="auto"/>
        </w:rPr>
        <w:t>（3）事故的简要经过</w:t>
      </w:r>
    </w:p>
    <w:p w14:paraId="2E21A798">
      <w:pPr>
        <w:ind w:firstLine="480"/>
        <w:rPr>
          <w:rFonts w:hint="eastAsia"/>
          <w:color w:val="auto"/>
        </w:rPr>
      </w:pPr>
      <w:r>
        <w:rPr>
          <w:rFonts w:hint="eastAsia"/>
          <w:color w:val="auto"/>
        </w:rPr>
        <w:t>对事故全过程的简要叙述，核心要求在于“全”和“简”。“全”就是要全过程描述，“简”就是要简单明了。但是，描述要前后衔接、脉络清晰、因果相连。</w:t>
      </w:r>
    </w:p>
    <w:p w14:paraId="5C273594">
      <w:pPr>
        <w:ind w:firstLine="480"/>
        <w:rPr>
          <w:rFonts w:hint="eastAsia"/>
          <w:color w:val="auto"/>
        </w:rPr>
      </w:pPr>
      <w:r>
        <w:rPr>
          <w:rFonts w:hint="eastAsia"/>
          <w:color w:val="auto"/>
        </w:rPr>
        <w:t>（4）事故已经造成或者可能造成的伤亡人数（包括下落不明的人数）和初步估计的直接经济损失。</w:t>
      </w:r>
    </w:p>
    <w:p w14:paraId="673F53EB">
      <w:pPr>
        <w:ind w:firstLine="480"/>
        <w:rPr>
          <w:rFonts w:hint="eastAsia"/>
          <w:color w:val="auto"/>
        </w:rPr>
      </w:pPr>
      <w:r>
        <w:rPr>
          <w:rFonts w:hint="eastAsia"/>
          <w:color w:val="auto"/>
        </w:rPr>
        <w:t>由于人员伤亡的情况和经济损失情况直接影响事故等级的划分，并因此决定事故的调查处理等后续重大问题，在报告这方面情况时应当谨慎细致，力求准确。</w:t>
      </w:r>
    </w:p>
    <w:p w14:paraId="03834075">
      <w:pPr>
        <w:ind w:firstLine="480"/>
        <w:rPr>
          <w:rFonts w:hint="eastAsia"/>
          <w:color w:val="auto"/>
        </w:rPr>
      </w:pPr>
      <w:r>
        <w:rPr>
          <w:rFonts w:hint="eastAsia"/>
          <w:color w:val="auto"/>
        </w:rPr>
        <w:t>（5）已经采取的措施</w:t>
      </w:r>
    </w:p>
    <w:p w14:paraId="5D4C7310">
      <w:pPr>
        <w:ind w:firstLine="480"/>
        <w:rPr>
          <w:rFonts w:hint="eastAsia"/>
          <w:color w:val="auto"/>
        </w:rPr>
      </w:pPr>
      <w:r>
        <w:rPr>
          <w:rFonts w:hint="eastAsia"/>
          <w:color w:val="auto"/>
        </w:rPr>
        <w:t>已采取的为减少损失、防止事故扩大和便于事故调查所采取的应急救援和现场保护等具体措施。</w:t>
      </w:r>
    </w:p>
    <w:p w14:paraId="58E70D3E">
      <w:pPr>
        <w:ind w:firstLine="480"/>
        <w:rPr>
          <w:rFonts w:hint="eastAsia"/>
          <w:color w:val="auto"/>
        </w:rPr>
      </w:pPr>
      <w:r>
        <w:rPr>
          <w:rFonts w:hint="eastAsia"/>
          <w:color w:val="auto"/>
        </w:rPr>
        <w:t>（6）事故的补报</w:t>
      </w:r>
    </w:p>
    <w:p w14:paraId="32F3FAF6">
      <w:pPr>
        <w:ind w:firstLine="480"/>
        <w:rPr>
          <w:rFonts w:hint="eastAsia"/>
          <w:color w:val="auto"/>
        </w:rPr>
      </w:pPr>
      <w:r>
        <w:rPr>
          <w:rFonts w:hint="eastAsia"/>
          <w:color w:val="auto"/>
        </w:rPr>
        <w:t>事故报告后出现新情况的，应当及时进行补报。</w:t>
      </w:r>
    </w:p>
    <w:p w14:paraId="54EF775F">
      <w:pPr>
        <w:pStyle w:val="3"/>
        <w:ind w:left="480"/>
        <w:rPr>
          <w:rFonts w:hint="eastAsia"/>
          <w:color w:val="auto"/>
        </w:rPr>
      </w:pPr>
      <w:bookmarkStart w:id="663" w:name="_Toc182895435"/>
      <w:bookmarkStart w:id="664" w:name="_Toc6723"/>
      <w:r>
        <w:rPr>
          <w:rFonts w:hint="eastAsia"/>
          <w:color w:val="auto"/>
        </w:rPr>
        <w:t>1</w:t>
      </w:r>
      <w:r>
        <w:rPr>
          <w:color w:val="auto"/>
        </w:rPr>
        <w:t xml:space="preserve">0.7 </w:t>
      </w:r>
      <w:r>
        <w:rPr>
          <w:rFonts w:hint="eastAsia"/>
          <w:color w:val="auto"/>
        </w:rPr>
        <w:t>应急培训及演练</w:t>
      </w:r>
      <w:bookmarkEnd w:id="663"/>
      <w:bookmarkEnd w:id="664"/>
    </w:p>
    <w:p w14:paraId="01C366B6">
      <w:pPr>
        <w:pStyle w:val="4"/>
        <w:ind w:firstLine="482"/>
        <w:rPr>
          <w:rFonts w:hint="eastAsia"/>
          <w:color w:val="auto"/>
        </w:rPr>
      </w:pPr>
      <w:bookmarkStart w:id="665" w:name="_Toc497832756"/>
      <w:bookmarkStart w:id="666" w:name="_Toc19461"/>
      <w:bookmarkStart w:id="667" w:name="_Toc13568"/>
      <w:bookmarkStart w:id="668" w:name="_Toc25931"/>
      <w:bookmarkStart w:id="669" w:name="_Toc511375516"/>
      <w:bookmarkStart w:id="670" w:name="_Toc8102"/>
      <w:r>
        <w:rPr>
          <w:color w:val="auto"/>
        </w:rPr>
        <w:t>10</w:t>
      </w:r>
      <w:r>
        <w:rPr>
          <w:rFonts w:hint="eastAsia"/>
          <w:color w:val="auto"/>
        </w:rPr>
        <w:t>.</w:t>
      </w:r>
      <w:r>
        <w:rPr>
          <w:color w:val="auto"/>
        </w:rPr>
        <w:t>7</w:t>
      </w:r>
      <w:r>
        <w:rPr>
          <w:rFonts w:hint="eastAsia"/>
          <w:color w:val="auto"/>
        </w:rPr>
        <w:t>.1</w:t>
      </w:r>
      <w:r>
        <w:rPr>
          <w:color w:val="auto"/>
        </w:rPr>
        <w:t xml:space="preserve"> </w:t>
      </w:r>
      <w:r>
        <w:rPr>
          <w:rFonts w:hint="eastAsia"/>
          <w:color w:val="auto"/>
        </w:rPr>
        <w:t>应急培训</w:t>
      </w:r>
      <w:bookmarkEnd w:id="665"/>
      <w:bookmarkEnd w:id="666"/>
      <w:bookmarkEnd w:id="667"/>
      <w:bookmarkEnd w:id="668"/>
      <w:bookmarkEnd w:id="669"/>
      <w:bookmarkEnd w:id="670"/>
    </w:p>
    <w:p w14:paraId="4047F682">
      <w:pPr>
        <w:ind w:firstLine="480"/>
        <w:rPr>
          <w:rFonts w:hint="eastAsia"/>
          <w:color w:val="auto"/>
        </w:rPr>
      </w:pPr>
      <w:r>
        <w:rPr>
          <w:rFonts w:hint="eastAsia"/>
          <w:color w:val="auto"/>
        </w:rPr>
        <w:t>职工的应急培训由项目经理部综合办公室负责组织。安全环保部及其他相关部门协办，纳入职工上岗培训计划及上岗培训管理。以便不同岗位的应急人员都能全面熟悉并掌握相关施工应急事件处置的知识和技能。</w:t>
      </w:r>
    </w:p>
    <w:p w14:paraId="23C8C162">
      <w:pPr>
        <w:pStyle w:val="4"/>
        <w:ind w:firstLine="482"/>
        <w:rPr>
          <w:rFonts w:hint="eastAsia"/>
          <w:color w:val="auto"/>
        </w:rPr>
      </w:pPr>
      <w:bookmarkStart w:id="671" w:name="_Toc27227"/>
      <w:bookmarkStart w:id="672" w:name="_Toc26221"/>
      <w:bookmarkStart w:id="673" w:name="_Toc20407"/>
      <w:bookmarkStart w:id="674" w:name="_Toc497832757"/>
      <w:bookmarkStart w:id="675" w:name="_Toc20611"/>
      <w:bookmarkStart w:id="676" w:name="_Toc4599"/>
      <w:bookmarkStart w:id="677" w:name="_Toc511375517"/>
      <w:r>
        <w:rPr>
          <w:color w:val="auto"/>
        </w:rPr>
        <w:t>10</w:t>
      </w:r>
      <w:r>
        <w:rPr>
          <w:rFonts w:hint="eastAsia"/>
          <w:color w:val="auto"/>
        </w:rPr>
        <w:t>.</w:t>
      </w:r>
      <w:r>
        <w:rPr>
          <w:color w:val="auto"/>
        </w:rPr>
        <w:t>7</w:t>
      </w:r>
      <w:r>
        <w:rPr>
          <w:rFonts w:hint="eastAsia"/>
          <w:color w:val="auto"/>
        </w:rPr>
        <w:t>.2</w:t>
      </w:r>
      <w:r>
        <w:rPr>
          <w:color w:val="auto"/>
        </w:rPr>
        <w:t xml:space="preserve"> </w:t>
      </w:r>
      <w:r>
        <w:rPr>
          <w:rFonts w:hint="eastAsia"/>
          <w:color w:val="auto"/>
        </w:rPr>
        <w:t>预案演练</w:t>
      </w:r>
      <w:bookmarkEnd w:id="671"/>
      <w:bookmarkEnd w:id="672"/>
      <w:bookmarkEnd w:id="673"/>
      <w:bookmarkEnd w:id="674"/>
      <w:bookmarkEnd w:id="675"/>
      <w:bookmarkEnd w:id="676"/>
      <w:bookmarkEnd w:id="677"/>
    </w:p>
    <w:p w14:paraId="67AF8326">
      <w:pPr>
        <w:ind w:firstLine="480"/>
        <w:rPr>
          <w:rFonts w:hint="eastAsia"/>
          <w:color w:val="auto"/>
          <w:szCs w:val="24"/>
        </w:rPr>
      </w:pPr>
      <w:r>
        <w:rPr>
          <w:rFonts w:hint="eastAsia"/>
          <w:color w:val="auto"/>
          <w:szCs w:val="24"/>
        </w:rPr>
        <w:t>根据《生产安全事故应急预案管理办法》及有关法律法规的要求，为适应突发事故应急救援的需要，项目经理部每季度都要组织预案演练，检验应急预案各环节之间的通信、协调、指挥等是否符合快速、高效的要求，检验参加应急反应行动的车辆、救援器材等设备的性能及可靠性。</w:t>
      </w:r>
    </w:p>
    <w:p w14:paraId="53472BA2">
      <w:pPr>
        <w:pStyle w:val="4"/>
        <w:ind w:firstLine="482"/>
        <w:rPr>
          <w:rFonts w:hint="eastAsia"/>
          <w:color w:val="auto"/>
        </w:rPr>
      </w:pPr>
      <w:bookmarkStart w:id="678" w:name="_Toc22667"/>
      <w:r>
        <w:rPr>
          <w:color w:val="auto"/>
        </w:rPr>
        <w:t>10</w:t>
      </w:r>
      <w:r>
        <w:rPr>
          <w:rFonts w:hint="eastAsia"/>
          <w:color w:val="auto"/>
        </w:rPr>
        <w:t>.</w:t>
      </w:r>
      <w:r>
        <w:rPr>
          <w:color w:val="auto"/>
        </w:rPr>
        <w:t>7</w:t>
      </w:r>
      <w:r>
        <w:rPr>
          <w:rFonts w:hint="eastAsia"/>
          <w:color w:val="auto"/>
        </w:rPr>
        <w:t>.</w:t>
      </w:r>
      <w:r>
        <w:rPr>
          <w:color w:val="auto"/>
        </w:rPr>
        <w:t xml:space="preserve">3 </w:t>
      </w:r>
      <w:r>
        <w:rPr>
          <w:rFonts w:hint="eastAsia"/>
          <w:color w:val="auto"/>
        </w:rPr>
        <w:t>应急演练要求</w:t>
      </w:r>
      <w:bookmarkEnd w:id="678"/>
    </w:p>
    <w:p w14:paraId="6C61D617">
      <w:pPr>
        <w:ind w:firstLine="480"/>
        <w:rPr>
          <w:rFonts w:hint="eastAsia"/>
          <w:color w:val="auto"/>
          <w:szCs w:val="24"/>
        </w:rPr>
      </w:pPr>
      <w:r>
        <w:rPr>
          <w:rFonts w:hint="eastAsia"/>
          <w:color w:val="auto"/>
          <w:szCs w:val="24"/>
        </w:rPr>
        <w:t>（1）领导重视、科学计划。开展应急演练工作必须得到项目部的重视，给予资金等相应支持，必要时项目领导应参与演练过程并担当与其职责相当的角色。</w:t>
      </w:r>
    </w:p>
    <w:p w14:paraId="005F344F">
      <w:pPr>
        <w:ind w:firstLine="480"/>
        <w:rPr>
          <w:rFonts w:hint="eastAsia"/>
          <w:color w:val="auto"/>
          <w:szCs w:val="24"/>
        </w:rPr>
      </w:pPr>
      <w:r>
        <w:rPr>
          <w:rFonts w:hint="eastAsia"/>
          <w:color w:val="auto"/>
          <w:szCs w:val="24"/>
        </w:rPr>
        <w:t>（2）结合实际、突出重点。应急演练总结</w:t>
      </w:r>
      <w:r>
        <w:rPr>
          <w:rFonts w:hint="eastAsia"/>
          <w:color w:val="auto"/>
        </w:rPr>
        <w:t>门式起重机</w:t>
      </w:r>
      <w:r>
        <w:rPr>
          <w:rFonts w:hint="eastAsia"/>
          <w:color w:val="auto"/>
          <w:szCs w:val="24"/>
        </w:rPr>
        <w:t>安拆施工可能发生的危险源特点、潜在事故类型、可能发生事故的地点和气象条件及应急准备工作的实际情况进行。演练应重点解决应急过程中组织指挥和协同配合问题，解决应急准备工作的不足，以提高应急行动整体效能。</w:t>
      </w:r>
    </w:p>
    <w:p w14:paraId="5F66693A">
      <w:pPr>
        <w:ind w:firstLine="480"/>
        <w:rPr>
          <w:rFonts w:hint="eastAsia"/>
          <w:color w:val="auto"/>
          <w:szCs w:val="24"/>
        </w:rPr>
      </w:pPr>
      <w:r>
        <w:rPr>
          <w:rFonts w:hint="eastAsia"/>
          <w:color w:val="auto"/>
          <w:szCs w:val="24"/>
        </w:rPr>
        <w:t>（3）周密组织、统一指挥。演练策划人员必须制定并落实保证演练达到目标的具体措施，各项演习活动应在统一指挥下实施，参演人员要严守演习现场规则，确保演习过程的安全。演练不得影响生产的安全正常运行，不得使各类人员承受不必要的风险。</w:t>
      </w:r>
    </w:p>
    <w:p w14:paraId="76DFCE8E">
      <w:pPr>
        <w:ind w:firstLine="480"/>
        <w:rPr>
          <w:rFonts w:hint="eastAsia"/>
          <w:color w:val="auto"/>
          <w:szCs w:val="24"/>
        </w:rPr>
      </w:pPr>
      <w:r>
        <w:rPr>
          <w:rFonts w:hint="eastAsia"/>
          <w:color w:val="auto"/>
          <w:szCs w:val="24"/>
        </w:rPr>
        <w:t>（4）讲究实效、注重质量要求。应急演练指导机构应精干，工作程序要简明，各类学习文件要实用，避免一切形式主义的安排，以取得实效为检验演习质量的唯一标准。</w:t>
      </w:r>
    </w:p>
    <w:p w14:paraId="030408D0">
      <w:pPr>
        <w:ind w:firstLine="480"/>
        <w:rPr>
          <w:rFonts w:hint="eastAsia"/>
          <w:color w:val="auto"/>
          <w:szCs w:val="24"/>
        </w:rPr>
      </w:pPr>
      <w:r>
        <w:rPr>
          <w:rFonts w:hint="eastAsia"/>
          <w:color w:val="auto"/>
          <w:szCs w:val="24"/>
        </w:rPr>
        <w:t>（5）安全管理部要加强安全生产事故应急预案的监督和管理，加强应急预案制定、修订及演练工作的指导、服务和监督检查。</w:t>
      </w:r>
    </w:p>
    <w:p w14:paraId="4CD2C457">
      <w:pPr>
        <w:pStyle w:val="4"/>
        <w:ind w:firstLine="482"/>
        <w:rPr>
          <w:rFonts w:hint="eastAsia"/>
          <w:color w:val="auto"/>
        </w:rPr>
      </w:pPr>
      <w:bookmarkStart w:id="679" w:name="_Toc3348"/>
      <w:bookmarkStart w:id="680" w:name="_Toc511375518"/>
      <w:r>
        <w:rPr>
          <w:color w:val="auto"/>
        </w:rPr>
        <w:t>10</w:t>
      </w:r>
      <w:r>
        <w:rPr>
          <w:rFonts w:hint="eastAsia"/>
          <w:color w:val="auto"/>
        </w:rPr>
        <w:t>.</w:t>
      </w:r>
      <w:r>
        <w:rPr>
          <w:color w:val="auto"/>
        </w:rPr>
        <w:t>7</w:t>
      </w:r>
      <w:r>
        <w:rPr>
          <w:rFonts w:hint="eastAsia"/>
          <w:color w:val="auto"/>
        </w:rPr>
        <w:t>.4</w:t>
      </w:r>
      <w:r>
        <w:rPr>
          <w:color w:val="auto"/>
        </w:rPr>
        <w:t xml:space="preserve"> </w:t>
      </w:r>
      <w:r>
        <w:rPr>
          <w:rFonts w:hint="eastAsia"/>
          <w:color w:val="auto"/>
        </w:rPr>
        <w:t>评估与总结</w:t>
      </w:r>
      <w:bookmarkEnd w:id="679"/>
      <w:bookmarkEnd w:id="680"/>
    </w:p>
    <w:p w14:paraId="4CC320F6">
      <w:pPr>
        <w:ind w:firstLine="480"/>
        <w:rPr>
          <w:rFonts w:hint="eastAsia"/>
          <w:color w:val="auto"/>
        </w:rPr>
      </w:pPr>
      <w:r>
        <w:rPr>
          <w:rFonts w:hint="eastAsia"/>
          <w:color w:val="auto"/>
        </w:rPr>
        <w:t>演练结束后项目部应急领导小组组织人员分析演练中暴露出来的问题，评估演练是否达到了预定目标。为了确保演练总结评估工作公正、客观，采用评估人员访谈、参加者汇报、自我评估和公开会议协商相结合的方式进行演练评估，全面系统的了解演练情况，正确认识演练工作中的不足，为应急工作进一步完善提供依据。</w:t>
      </w:r>
    </w:p>
    <w:p w14:paraId="74D468A9">
      <w:pPr>
        <w:ind w:firstLine="480"/>
        <w:rPr>
          <w:rFonts w:hint="eastAsia"/>
          <w:color w:val="auto"/>
        </w:rPr>
      </w:pPr>
    </w:p>
    <w:p w14:paraId="13C01FCC">
      <w:pPr>
        <w:snapToGrid w:val="0"/>
        <w:ind w:firstLine="480"/>
        <w:jc w:val="left"/>
        <w:rPr>
          <w:rFonts w:hint="eastAsia" w:cs="仿宋_GB2312"/>
          <w:color w:val="auto"/>
        </w:rPr>
      </w:pPr>
      <w:r>
        <w:rPr>
          <w:rFonts w:cs="仿宋_GB2312"/>
          <w:color w:val="auto"/>
        </w:rPr>
        <w:br w:type="page"/>
      </w:r>
    </w:p>
    <w:p w14:paraId="4C908716">
      <w:pPr>
        <w:pStyle w:val="2"/>
        <w:spacing w:before="120" w:after="120"/>
        <w:rPr>
          <w:rFonts w:hint="eastAsia"/>
          <w:color w:val="auto"/>
        </w:rPr>
      </w:pPr>
      <w:bookmarkStart w:id="681" w:name="_Toc182895436"/>
      <w:bookmarkStart w:id="682" w:name="_Toc26433"/>
      <w:bookmarkStart w:id="683" w:name="_Toc25637"/>
      <w:bookmarkStart w:id="684" w:name="_Toc20949_WPSOffice_Level1"/>
      <w:bookmarkStart w:id="685" w:name="_Toc14449"/>
      <w:bookmarkStart w:id="686" w:name="_Toc19582"/>
      <w:bookmarkStart w:id="687" w:name="_Toc32316_WPSOffice_Level1"/>
      <w:bookmarkStart w:id="688" w:name="_Toc734"/>
      <w:bookmarkStart w:id="689" w:name="_Toc12346"/>
      <w:bookmarkStart w:id="690" w:name="_Toc19919_WPSOffice_Level1"/>
      <w:bookmarkStart w:id="691" w:name="_Toc8198"/>
      <w:bookmarkStart w:id="692" w:name="_Toc2596"/>
      <w:r>
        <w:rPr>
          <w:rFonts w:hint="eastAsia"/>
          <w:color w:val="auto"/>
        </w:rPr>
        <w:t xml:space="preserve">11 </w:t>
      </w:r>
      <w:r>
        <w:rPr>
          <w:color w:val="auto"/>
        </w:rPr>
        <w:t>附件</w:t>
      </w:r>
      <w:bookmarkEnd w:id="681"/>
      <w:bookmarkEnd w:id="682"/>
      <w:bookmarkEnd w:id="683"/>
      <w:bookmarkEnd w:id="684"/>
      <w:bookmarkEnd w:id="685"/>
      <w:bookmarkEnd w:id="686"/>
      <w:bookmarkEnd w:id="687"/>
      <w:bookmarkEnd w:id="688"/>
      <w:bookmarkEnd w:id="689"/>
      <w:bookmarkEnd w:id="690"/>
      <w:bookmarkEnd w:id="691"/>
      <w:bookmarkStart w:id="693" w:name="_Toc533610128"/>
    </w:p>
    <w:p w14:paraId="5F9B36C0">
      <w:pPr>
        <w:pStyle w:val="3"/>
        <w:ind w:left="480"/>
        <w:rPr>
          <w:rFonts w:ascii="Times New Roman" w:hAnsi="Times New Roman"/>
          <w:color w:val="auto"/>
        </w:rPr>
      </w:pPr>
      <w:bookmarkStart w:id="694" w:name="_Toc1509"/>
      <w:bookmarkStart w:id="695" w:name="_Toc2510"/>
      <w:bookmarkStart w:id="696" w:name="_Toc182895437"/>
      <w:bookmarkStart w:id="697" w:name="_Toc6677"/>
      <w:bookmarkStart w:id="698" w:name="_Toc8065"/>
      <w:bookmarkStart w:id="699" w:name="_Toc11193_WPSOffice_Level2"/>
      <w:bookmarkStart w:id="700" w:name="_Toc20473_WPSOffice_Level2"/>
      <w:bookmarkStart w:id="701" w:name="_Toc15906"/>
      <w:bookmarkStart w:id="702" w:name="_Toc18589"/>
      <w:bookmarkStart w:id="703" w:name="_Toc26001_WPSOffice_Level2"/>
      <w:bookmarkStart w:id="704" w:name="_Toc30521"/>
      <w:bookmarkStart w:id="705" w:name="_Toc19802"/>
      <w:r>
        <w:rPr>
          <w:rFonts w:hint="eastAsia" w:ascii="Times New Roman" w:hAnsi="Times New Roman"/>
          <w:color w:val="auto"/>
        </w:rPr>
        <w:t>附件1、</w:t>
      </w:r>
      <w:r>
        <w:rPr>
          <w:rFonts w:hint="eastAsia"/>
          <w:color w:val="auto"/>
        </w:rPr>
        <w:t>安拆</w:t>
      </w:r>
      <w:r>
        <w:rPr>
          <w:rFonts w:ascii="Times New Roman" w:hAnsi="Times New Roman"/>
          <w:color w:val="auto"/>
        </w:rPr>
        <w:t>单位证件</w:t>
      </w:r>
      <w:bookmarkEnd w:id="693"/>
      <w:bookmarkEnd w:id="694"/>
      <w:bookmarkEnd w:id="695"/>
      <w:bookmarkEnd w:id="696"/>
      <w:bookmarkEnd w:id="697"/>
      <w:bookmarkEnd w:id="698"/>
      <w:bookmarkEnd w:id="699"/>
      <w:bookmarkEnd w:id="700"/>
      <w:bookmarkEnd w:id="701"/>
      <w:bookmarkEnd w:id="702"/>
      <w:bookmarkEnd w:id="703"/>
      <w:bookmarkEnd w:id="704"/>
      <w:bookmarkEnd w:id="705"/>
    </w:p>
    <w:p w14:paraId="609042D5">
      <w:pPr>
        <w:snapToGrid w:val="0"/>
        <w:ind w:firstLine="0" w:firstLineChars="0"/>
        <w:jc w:val="both"/>
        <w:rPr>
          <w:rFonts w:hint="eastAsia" w:cs="仿宋_GB2312"/>
          <w:color w:val="auto"/>
        </w:rPr>
      </w:pPr>
      <w:r>
        <w:rPr>
          <w:sz w:val="32"/>
          <w:szCs w:val="32"/>
        </w:rPr>
        <w:drawing>
          <wp:inline distT="0" distB="0" distL="0" distR="0">
            <wp:extent cx="5265420" cy="7717155"/>
            <wp:effectExtent l="0" t="0" r="7620" b="9525"/>
            <wp:docPr id="1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
                    <pic:cNvPicPr>
                      <a:picLocks noChangeAspect="1"/>
                    </pic:cNvPicPr>
                  </pic:nvPicPr>
                  <pic:blipFill>
                    <a:blip r:embed="rId160"/>
                    <a:stretch>
                      <a:fillRect/>
                    </a:stretch>
                  </pic:blipFill>
                  <pic:spPr>
                    <a:xfrm>
                      <a:off x="0" y="0"/>
                      <a:ext cx="5265420" cy="7717155"/>
                    </a:xfrm>
                    <a:prstGeom prst="rect">
                      <a:avLst/>
                    </a:prstGeom>
                    <a:noFill/>
                    <a:ln>
                      <a:noFill/>
                    </a:ln>
                  </pic:spPr>
                </pic:pic>
              </a:graphicData>
            </a:graphic>
          </wp:inline>
        </w:drawing>
      </w:r>
    </w:p>
    <w:p w14:paraId="327757C8">
      <w:pPr>
        <w:snapToGrid w:val="0"/>
        <w:ind w:firstLine="0" w:firstLineChars="0"/>
        <w:jc w:val="center"/>
        <w:rPr>
          <w:rFonts w:hint="eastAsia" w:cs="仿宋_GB2312"/>
          <w:color w:val="auto"/>
        </w:rPr>
      </w:pPr>
    </w:p>
    <w:p w14:paraId="276F55BF">
      <w:pPr>
        <w:snapToGrid w:val="0"/>
        <w:ind w:firstLine="0" w:firstLineChars="0"/>
        <w:jc w:val="center"/>
        <w:rPr>
          <w:rFonts w:hint="eastAsia" w:cs="仿宋_GB2312"/>
          <w:color w:val="auto"/>
        </w:rPr>
      </w:pPr>
      <w:r>
        <w:drawing>
          <wp:inline distT="0" distB="0" distL="114300" distR="114300">
            <wp:extent cx="7534275" cy="5370830"/>
            <wp:effectExtent l="0" t="0" r="889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61"/>
                    <a:stretch>
                      <a:fillRect/>
                    </a:stretch>
                  </pic:blipFill>
                  <pic:spPr>
                    <a:xfrm rot="16200000">
                      <a:off x="0" y="0"/>
                      <a:ext cx="7534275" cy="5370830"/>
                    </a:xfrm>
                    <a:prstGeom prst="rect">
                      <a:avLst/>
                    </a:prstGeom>
                    <a:noFill/>
                    <a:ln>
                      <a:noFill/>
                    </a:ln>
                  </pic:spPr>
                </pic:pic>
              </a:graphicData>
            </a:graphic>
          </wp:inline>
        </w:drawing>
      </w:r>
    </w:p>
    <w:p w14:paraId="75393BCD">
      <w:pPr>
        <w:snapToGrid w:val="0"/>
        <w:ind w:firstLine="0" w:firstLineChars="0"/>
        <w:jc w:val="center"/>
        <w:rPr>
          <w:rFonts w:hint="eastAsia" w:cs="仿宋_GB2312"/>
          <w:color w:val="auto"/>
        </w:rPr>
      </w:pPr>
    </w:p>
    <w:p w14:paraId="2FB82940">
      <w:pPr>
        <w:snapToGrid w:val="0"/>
        <w:ind w:firstLine="0" w:firstLineChars="0"/>
        <w:jc w:val="center"/>
        <w:rPr>
          <w:rFonts w:hint="eastAsia" w:cs="仿宋_GB2312"/>
          <w:color w:val="auto"/>
        </w:rPr>
      </w:pPr>
    </w:p>
    <w:p w14:paraId="471346CE">
      <w:pPr>
        <w:snapToGrid w:val="0"/>
        <w:ind w:firstLine="0" w:firstLineChars="0"/>
        <w:jc w:val="center"/>
        <w:rPr>
          <w:rFonts w:hint="eastAsia" w:cs="仿宋_GB2312"/>
          <w:color w:val="auto"/>
        </w:rPr>
      </w:pPr>
    </w:p>
    <w:p w14:paraId="4C1300FB">
      <w:pPr>
        <w:snapToGrid w:val="0"/>
        <w:ind w:firstLine="0" w:firstLineChars="0"/>
        <w:jc w:val="center"/>
        <w:rPr>
          <w:rFonts w:hint="eastAsia" w:cs="仿宋_GB2312"/>
          <w:color w:val="auto"/>
        </w:rPr>
      </w:pPr>
      <w:bookmarkStart w:id="706" w:name="_Toc21123"/>
      <w:bookmarkStart w:id="707" w:name="_Toc8594"/>
      <w:bookmarkStart w:id="708" w:name="_Toc8174"/>
      <w:bookmarkStart w:id="709" w:name="_Toc25181"/>
      <w:bookmarkStart w:id="710" w:name="_Toc10558"/>
      <w:bookmarkStart w:id="711" w:name="_Toc1772"/>
    </w:p>
    <w:p w14:paraId="3ECF3222">
      <w:pPr>
        <w:pStyle w:val="3"/>
        <w:ind w:left="480"/>
        <w:rPr>
          <w:rFonts w:ascii="Times New Roman" w:hAnsi="Times New Roman"/>
          <w:color w:val="auto"/>
        </w:rPr>
      </w:pPr>
      <w:bookmarkStart w:id="712" w:name="_Toc182895438"/>
      <w:bookmarkStart w:id="713" w:name="_Toc17602"/>
      <w:r>
        <w:rPr>
          <w:rFonts w:hint="eastAsia" w:ascii="Times New Roman" w:hAnsi="Times New Roman"/>
          <w:color w:val="auto"/>
        </w:rPr>
        <w:t>附件2、</w:t>
      </w:r>
      <w:r>
        <w:rPr>
          <w:rFonts w:hint="eastAsia"/>
          <w:color w:val="auto"/>
        </w:rPr>
        <w:t>安拆人员</w:t>
      </w:r>
      <w:r>
        <w:rPr>
          <w:rFonts w:ascii="Times New Roman" w:hAnsi="Times New Roman"/>
          <w:color w:val="auto"/>
        </w:rPr>
        <w:t>证件</w:t>
      </w:r>
      <w:bookmarkEnd w:id="706"/>
      <w:bookmarkEnd w:id="707"/>
      <w:bookmarkEnd w:id="708"/>
      <w:bookmarkEnd w:id="709"/>
      <w:bookmarkEnd w:id="710"/>
      <w:bookmarkEnd w:id="711"/>
      <w:bookmarkEnd w:id="712"/>
      <w:bookmarkEnd w:id="713"/>
    </w:p>
    <w:bookmarkEnd w:id="692"/>
    <w:p w14:paraId="17ADE3AB">
      <w:pPr>
        <w:pStyle w:val="100"/>
      </w:pPr>
      <w:r>
        <w:drawing>
          <wp:inline distT="0" distB="0" distL="114300" distR="114300">
            <wp:extent cx="5179060" cy="7581265"/>
            <wp:effectExtent l="0" t="0" r="2540"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62"/>
                    <a:stretch>
                      <a:fillRect/>
                    </a:stretch>
                  </pic:blipFill>
                  <pic:spPr>
                    <a:xfrm>
                      <a:off x="0" y="0"/>
                      <a:ext cx="5179060" cy="7581265"/>
                    </a:xfrm>
                    <a:prstGeom prst="rect">
                      <a:avLst/>
                    </a:prstGeom>
                    <a:noFill/>
                    <a:ln>
                      <a:noFill/>
                    </a:ln>
                  </pic:spPr>
                </pic:pic>
              </a:graphicData>
            </a:graphic>
          </wp:inline>
        </w:drawing>
      </w:r>
      <w:r>
        <w:drawing>
          <wp:inline distT="0" distB="0" distL="114300" distR="114300">
            <wp:extent cx="5287010" cy="7790815"/>
            <wp:effectExtent l="0" t="0" r="1270" b="1206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63"/>
                    <a:stretch>
                      <a:fillRect/>
                    </a:stretch>
                  </pic:blipFill>
                  <pic:spPr>
                    <a:xfrm>
                      <a:off x="0" y="0"/>
                      <a:ext cx="5287010" cy="7790815"/>
                    </a:xfrm>
                    <a:prstGeom prst="rect">
                      <a:avLst/>
                    </a:prstGeom>
                    <a:noFill/>
                    <a:ln>
                      <a:noFill/>
                    </a:ln>
                  </pic:spPr>
                </pic:pic>
              </a:graphicData>
            </a:graphic>
          </wp:inline>
        </w:drawing>
      </w:r>
    </w:p>
    <w:p w14:paraId="1D3BD608">
      <w:pPr>
        <w:pStyle w:val="100"/>
      </w:pPr>
      <w:r>
        <w:drawing>
          <wp:inline distT="0" distB="0" distL="114300" distR="114300">
            <wp:extent cx="5255895" cy="7724140"/>
            <wp:effectExtent l="0" t="0" r="1905"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64"/>
                    <a:stretch>
                      <a:fillRect/>
                    </a:stretch>
                  </pic:blipFill>
                  <pic:spPr>
                    <a:xfrm>
                      <a:off x="0" y="0"/>
                      <a:ext cx="5255895" cy="7724140"/>
                    </a:xfrm>
                    <a:prstGeom prst="rect">
                      <a:avLst/>
                    </a:prstGeom>
                    <a:noFill/>
                    <a:ln>
                      <a:noFill/>
                    </a:ln>
                  </pic:spPr>
                </pic:pic>
              </a:graphicData>
            </a:graphic>
          </wp:inline>
        </w:drawing>
      </w:r>
    </w:p>
    <w:p w14:paraId="27239FE9">
      <w:pPr>
        <w:pStyle w:val="100"/>
      </w:pPr>
    </w:p>
    <w:p w14:paraId="444C2540">
      <w:pPr>
        <w:pStyle w:val="100"/>
      </w:pPr>
      <w:r>
        <w:drawing>
          <wp:inline distT="0" distB="0" distL="114300" distR="114300">
            <wp:extent cx="5294630" cy="7800975"/>
            <wp:effectExtent l="0" t="0" r="889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65"/>
                    <a:stretch>
                      <a:fillRect/>
                    </a:stretch>
                  </pic:blipFill>
                  <pic:spPr>
                    <a:xfrm>
                      <a:off x="0" y="0"/>
                      <a:ext cx="5294630" cy="7800975"/>
                    </a:xfrm>
                    <a:prstGeom prst="rect">
                      <a:avLst/>
                    </a:prstGeom>
                    <a:noFill/>
                    <a:ln>
                      <a:noFill/>
                    </a:ln>
                  </pic:spPr>
                </pic:pic>
              </a:graphicData>
            </a:graphic>
          </wp:inline>
        </w:drawing>
      </w:r>
    </w:p>
    <w:p w14:paraId="673C8342">
      <w:pPr>
        <w:pStyle w:val="100"/>
      </w:pPr>
      <w:r>
        <w:drawing>
          <wp:inline distT="0" distB="0" distL="114300" distR="114300">
            <wp:extent cx="5335270" cy="7815580"/>
            <wp:effectExtent l="0" t="0" r="13970" b="254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66"/>
                    <a:stretch>
                      <a:fillRect/>
                    </a:stretch>
                  </pic:blipFill>
                  <pic:spPr>
                    <a:xfrm>
                      <a:off x="0" y="0"/>
                      <a:ext cx="5335270" cy="7815580"/>
                    </a:xfrm>
                    <a:prstGeom prst="rect">
                      <a:avLst/>
                    </a:prstGeom>
                    <a:noFill/>
                    <a:ln>
                      <a:noFill/>
                    </a:ln>
                  </pic:spPr>
                </pic:pic>
              </a:graphicData>
            </a:graphic>
          </wp:inline>
        </w:drawing>
      </w:r>
    </w:p>
    <w:p w14:paraId="4DAAFC16">
      <w:pPr>
        <w:pStyle w:val="100"/>
      </w:pPr>
      <w:r>
        <w:drawing>
          <wp:inline distT="0" distB="0" distL="114300" distR="114300">
            <wp:extent cx="5041265" cy="7439660"/>
            <wp:effectExtent l="0" t="0" r="3175" b="1270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167"/>
                    <a:stretch>
                      <a:fillRect/>
                    </a:stretch>
                  </pic:blipFill>
                  <pic:spPr>
                    <a:xfrm>
                      <a:off x="0" y="0"/>
                      <a:ext cx="5041265" cy="7439660"/>
                    </a:xfrm>
                    <a:prstGeom prst="rect">
                      <a:avLst/>
                    </a:prstGeom>
                    <a:noFill/>
                    <a:ln>
                      <a:noFill/>
                    </a:ln>
                  </pic:spPr>
                </pic:pic>
              </a:graphicData>
            </a:graphic>
          </wp:inline>
        </w:drawing>
      </w:r>
    </w:p>
    <w:p w14:paraId="70E55E7B">
      <w:pPr>
        <w:pStyle w:val="100"/>
      </w:pPr>
    </w:p>
    <w:p w14:paraId="43C13461">
      <w:pPr>
        <w:pStyle w:val="100"/>
      </w:pPr>
    </w:p>
    <w:p w14:paraId="6D07AE9C">
      <w:pPr>
        <w:pStyle w:val="100"/>
      </w:pPr>
      <w:r>
        <w:drawing>
          <wp:inline distT="0" distB="0" distL="114300" distR="114300">
            <wp:extent cx="3928745" cy="5212080"/>
            <wp:effectExtent l="0" t="0" r="3175" b="0"/>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168"/>
                    <a:stretch>
                      <a:fillRect/>
                    </a:stretch>
                  </pic:blipFill>
                  <pic:spPr>
                    <a:xfrm>
                      <a:off x="0" y="0"/>
                      <a:ext cx="3928745" cy="5212080"/>
                    </a:xfrm>
                    <a:prstGeom prst="rect">
                      <a:avLst/>
                    </a:prstGeom>
                    <a:noFill/>
                    <a:ln>
                      <a:noFill/>
                    </a:ln>
                  </pic:spPr>
                </pic:pic>
              </a:graphicData>
            </a:graphic>
          </wp:inline>
        </w:drawing>
      </w:r>
    </w:p>
    <w:p w14:paraId="7BC74652">
      <w:pPr>
        <w:pStyle w:val="100"/>
      </w:pPr>
    </w:p>
    <w:p w14:paraId="4EBCB328">
      <w:pPr>
        <w:pStyle w:val="100"/>
      </w:pPr>
    </w:p>
    <w:p w14:paraId="68F6EAA6">
      <w:pPr>
        <w:pStyle w:val="100"/>
      </w:pPr>
    </w:p>
    <w:p w14:paraId="79C14AF7">
      <w:pPr>
        <w:pStyle w:val="100"/>
      </w:pPr>
    </w:p>
    <w:p w14:paraId="061559D9">
      <w:pPr>
        <w:pStyle w:val="100"/>
      </w:pPr>
    </w:p>
    <w:p w14:paraId="13715CB4">
      <w:pPr>
        <w:pStyle w:val="100"/>
      </w:pPr>
    </w:p>
    <w:p w14:paraId="51243FA8">
      <w:pPr>
        <w:pStyle w:val="100"/>
      </w:pPr>
    </w:p>
    <w:p w14:paraId="2C85172C">
      <w:pPr>
        <w:pStyle w:val="100"/>
      </w:pPr>
    </w:p>
    <w:p w14:paraId="0A513483">
      <w:pPr>
        <w:pStyle w:val="16"/>
        <w:ind w:left="0" w:leftChars="0" w:right="1680" w:firstLine="0" w:firstLineChars="0"/>
        <w:jc w:val="center"/>
      </w:pPr>
    </w:p>
    <w:p w14:paraId="652F847D">
      <w:pPr>
        <w:pStyle w:val="16"/>
        <w:ind w:left="0" w:leftChars="0" w:right="1680" w:firstLine="0" w:firstLineChars="0"/>
        <w:jc w:val="center"/>
      </w:pPr>
    </w:p>
    <w:p w14:paraId="4BE6F396">
      <w:pPr>
        <w:pStyle w:val="16"/>
        <w:ind w:left="0" w:leftChars="0" w:right="1680" w:firstLine="0" w:firstLineChars="0"/>
        <w:jc w:val="center"/>
      </w:pPr>
    </w:p>
    <w:p w14:paraId="15015976">
      <w:pPr>
        <w:pStyle w:val="16"/>
        <w:ind w:left="0" w:leftChars="0" w:right="1680" w:firstLine="0" w:firstLineChars="0"/>
        <w:jc w:val="center"/>
        <w:rPr>
          <w:rFonts w:hint="eastAsia"/>
          <w:color w:val="auto"/>
        </w:rPr>
      </w:pPr>
      <w:r>
        <w:drawing>
          <wp:inline distT="0" distB="0" distL="0" distR="0">
            <wp:extent cx="4592320" cy="2950845"/>
            <wp:effectExtent l="0" t="0" r="10160" b="5715"/>
            <wp:docPr id="408626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6398" name="图片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4592320" cy="2950845"/>
                    </a:xfrm>
                    <a:prstGeom prst="rect">
                      <a:avLst/>
                    </a:prstGeom>
                    <a:noFill/>
                  </pic:spPr>
                </pic:pic>
              </a:graphicData>
            </a:graphic>
          </wp:inline>
        </w:drawing>
      </w:r>
      <w:r>
        <w:rPr>
          <w:rFonts w:hint="eastAsia"/>
        </w:rPr>
        <w:drawing>
          <wp:inline distT="0" distB="0" distL="0" distR="0">
            <wp:extent cx="4552950" cy="3181985"/>
            <wp:effectExtent l="0" t="0" r="3810" b="3175"/>
            <wp:docPr id="88" name="图片 88" descr="7ac11db56131b63bf2e8b005cf53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7ac11db56131b63bf2e8b005cf53cf9"/>
                    <pic:cNvPicPr>
                      <a:picLocks noChangeAspect="1"/>
                    </pic:cNvPicPr>
                  </pic:nvPicPr>
                  <pic:blipFill>
                    <a:blip r:embed="rId170"/>
                    <a:srcRect l="4513" t="11101"/>
                    <a:stretch>
                      <a:fillRect/>
                    </a:stretch>
                  </pic:blipFill>
                  <pic:spPr>
                    <a:xfrm>
                      <a:off x="0" y="0"/>
                      <a:ext cx="4552950" cy="3181985"/>
                    </a:xfrm>
                    <a:prstGeom prst="rect">
                      <a:avLst/>
                    </a:prstGeom>
                    <a:ln>
                      <a:noFill/>
                    </a:ln>
                  </pic:spPr>
                </pic:pic>
              </a:graphicData>
            </a:graphic>
          </wp:inline>
        </w:drawing>
      </w:r>
    </w:p>
    <w:p w14:paraId="4DB163E5">
      <w:pPr>
        <w:pStyle w:val="16"/>
        <w:ind w:left="1680" w:right="1680" w:firstLine="480"/>
        <w:rPr>
          <w:rFonts w:hint="eastAsia"/>
          <w:color w:val="auto"/>
        </w:rPr>
      </w:pPr>
    </w:p>
    <w:p w14:paraId="51AA28DF">
      <w:pPr>
        <w:snapToGrid w:val="0"/>
        <w:ind w:firstLine="0" w:firstLineChars="0"/>
        <w:jc w:val="center"/>
        <w:rPr>
          <w:rFonts w:hint="eastAsia" w:cs="仿宋_GB2312"/>
          <w:color w:val="auto"/>
        </w:rPr>
      </w:pPr>
    </w:p>
    <w:p w14:paraId="2C341881">
      <w:pPr>
        <w:rPr>
          <w:rFonts w:hint="eastAsia"/>
        </w:rPr>
      </w:pPr>
      <w:r>
        <w:rPr>
          <w:rFonts w:hint="eastAsia"/>
        </w:rPr>
        <w:br w:type="page"/>
      </w:r>
    </w:p>
    <w:p w14:paraId="44CF36F6">
      <w:pPr>
        <w:pStyle w:val="3"/>
        <w:bidi w:val="0"/>
        <w:rPr>
          <w:rFonts w:hint="eastAsia"/>
        </w:rPr>
      </w:pPr>
      <w:bookmarkStart w:id="714" w:name="_Toc7340"/>
      <w:r>
        <w:rPr>
          <w:rFonts w:hint="eastAsia"/>
        </w:rPr>
        <w:t>附件</w:t>
      </w:r>
      <w:r>
        <w:rPr>
          <w:rFonts w:hint="eastAsia"/>
          <w:lang w:val="en-US" w:eastAsia="zh-CN"/>
        </w:rPr>
        <w:t>3</w:t>
      </w:r>
      <w:r>
        <w:rPr>
          <w:rFonts w:hint="eastAsia"/>
        </w:rPr>
        <w:t>、</w:t>
      </w:r>
      <w:r>
        <w:rPr>
          <w:rFonts w:hint="eastAsia"/>
          <w:lang w:val="en-US" w:eastAsia="zh-CN"/>
        </w:rPr>
        <w:t>XGT</w:t>
      </w:r>
      <w:r>
        <w:t>6015-8</w:t>
      </w:r>
      <w:r>
        <w:rPr>
          <w:rFonts w:hint="eastAsia"/>
          <w:lang w:val="en-US" w:eastAsia="zh-CN"/>
        </w:rPr>
        <w:t>S</w:t>
      </w:r>
      <w:r>
        <w:rPr>
          <w:rFonts w:hint="eastAsia"/>
        </w:rPr>
        <w:t>塔式起重机操作手册</w:t>
      </w:r>
      <w:bookmarkEnd w:id="714"/>
    </w:p>
    <w:p w14:paraId="2F1BB9FC">
      <w:pPr>
        <w:pStyle w:val="4"/>
        <w:rPr>
          <w:rFonts w:hint="eastAsia"/>
        </w:rPr>
      </w:pPr>
      <w:bookmarkStart w:id="715" w:name="_Toc5697"/>
      <w:r>
        <w:rPr>
          <w:rFonts w:hint="eastAsia"/>
        </w:rPr>
        <w:t>附件</w:t>
      </w:r>
      <w:r>
        <w:rPr>
          <w:rFonts w:hint="eastAsia"/>
          <w:lang w:val="en-US" w:eastAsia="zh-CN"/>
        </w:rPr>
        <w:t>4</w:t>
      </w:r>
      <w:r>
        <w:rPr>
          <w:rFonts w:hint="eastAsia"/>
        </w:rPr>
        <w:t>、</w:t>
      </w:r>
      <w:r>
        <w:rPr>
          <w:rFonts w:hint="eastAsia"/>
          <w:lang w:val="en-US" w:eastAsia="zh-CN"/>
        </w:rPr>
        <w:t>XGT</w:t>
      </w:r>
      <w:r>
        <w:t>6</w:t>
      </w:r>
      <w:r>
        <w:rPr>
          <w:rFonts w:hint="eastAsia"/>
          <w:lang w:val="en-US" w:eastAsia="zh-CN"/>
        </w:rPr>
        <w:t>5</w:t>
      </w:r>
      <w:r>
        <w:t>15</w:t>
      </w:r>
      <w:r>
        <w:rPr>
          <w:rFonts w:hint="eastAsia"/>
          <w:lang w:val="en-US" w:eastAsia="zh-CN"/>
        </w:rPr>
        <w:t>D</w:t>
      </w:r>
      <w:r>
        <w:t>-</w:t>
      </w:r>
      <w:r>
        <w:rPr>
          <w:rFonts w:hint="eastAsia"/>
          <w:lang w:val="en-US" w:eastAsia="zh-CN"/>
        </w:rPr>
        <w:t>10S</w:t>
      </w:r>
      <w:r>
        <w:rPr>
          <w:rFonts w:hint="eastAsia"/>
        </w:rPr>
        <w:t>塔式起重机操作手册</w:t>
      </w:r>
      <w:bookmarkEnd w:id="715"/>
    </w:p>
    <w:p w14:paraId="0F284C4C">
      <w:pPr>
        <w:pStyle w:val="4"/>
        <w:rPr>
          <w:rFonts w:hint="eastAsia" w:ascii="宋体" w:hAnsi="宋体" w:eastAsia="宋体"/>
        </w:rPr>
      </w:pPr>
      <w:bookmarkStart w:id="716" w:name="_Toc13348"/>
      <w:r>
        <w:rPr>
          <w:rFonts w:hint="eastAsia" w:ascii="宋体" w:hAnsi="宋体" w:eastAsia="宋体"/>
        </w:rPr>
        <w:t>附件</w:t>
      </w:r>
      <w:r>
        <w:rPr>
          <w:rFonts w:hint="eastAsia" w:ascii="宋体" w:hAnsi="宋体" w:eastAsia="宋体"/>
          <w:lang w:val="en-US" w:eastAsia="zh-CN"/>
        </w:rPr>
        <w:t>5</w:t>
      </w:r>
      <w:r>
        <w:rPr>
          <w:rFonts w:hint="eastAsia" w:ascii="宋体" w:hAnsi="宋体" w:eastAsia="宋体"/>
        </w:rPr>
        <w:t>、</w:t>
      </w:r>
      <w:r>
        <w:rPr>
          <w:rFonts w:hint="eastAsia" w:ascii="宋体" w:hAnsi="宋体" w:eastAsia="宋体"/>
          <w:lang w:val="en-US" w:eastAsia="zh-CN"/>
        </w:rPr>
        <w:t>XGT6516-10S</w:t>
      </w:r>
      <w:r>
        <w:rPr>
          <w:rFonts w:hint="eastAsia" w:ascii="宋体" w:hAnsi="宋体" w:eastAsia="宋体"/>
        </w:rPr>
        <w:t>塔式起重机操作手册</w:t>
      </w:r>
      <w:bookmarkEnd w:id="716"/>
    </w:p>
    <w:p w14:paraId="59167B5F">
      <w:pPr>
        <w:pStyle w:val="3"/>
        <w:bidi w:val="0"/>
      </w:pPr>
      <w:bookmarkStart w:id="717" w:name="_Toc32412"/>
      <w:r>
        <w:rPr>
          <w:rFonts w:hint="eastAsia"/>
        </w:rPr>
        <w:t>附录</w:t>
      </w:r>
      <w:r>
        <w:rPr>
          <w:rFonts w:hint="eastAsia"/>
          <w:lang w:val="en-US" w:eastAsia="zh-CN"/>
        </w:rPr>
        <w:t>6</w:t>
      </w:r>
      <w:r>
        <w:rPr>
          <w:rFonts w:hint="eastAsia"/>
        </w:rPr>
        <w:t>、</w:t>
      </w:r>
      <w:r>
        <w:rPr>
          <w:rFonts w:hint="eastAsia"/>
          <w:lang w:val="en-US" w:eastAsia="zh-CN"/>
        </w:rPr>
        <w:t>安装竣工验收样表</w:t>
      </w:r>
      <w:bookmarkEnd w:id="717"/>
    </w:p>
    <w:p w14:paraId="16DFD59C">
      <w:pPr>
        <w:ind w:firstLine="2530" w:firstLineChars="700"/>
        <w:jc w:val="both"/>
        <w:rPr>
          <w:b/>
          <w:sz w:val="36"/>
          <w:szCs w:val="36"/>
        </w:rPr>
      </w:pPr>
      <w:r>
        <w:rPr>
          <w:rFonts w:hint="eastAsia"/>
          <w:b/>
          <w:sz w:val="36"/>
          <w:szCs w:val="36"/>
        </w:rPr>
        <w:t>塔机安装前检查表</w:t>
      </w:r>
    </w:p>
    <w:p w14:paraId="6338C42A">
      <w:pPr>
        <w:rPr>
          <w:sz w:val="21"/>
          <w:szCs w:val="21"/>
        </w:rPr>
      </w:pPr>
      <w:r>
        <w:rPr>
          <w:rFonts w:hint="eastAsia"/>
          <w:sz w:val="21"/>
          <w:szCs w:val="21"/>
        </w:rPr>
        <w:t>塔机型号：_____________ 塔机编号：_____________ 工程名称：_____________</w:t>
      </w:r>
    </w:p>
    <w:p w14:paraId="2046E228">
      <w:r>
        <w:rPr>
          <w:rFonts w:hint="eastAsia"/>
          <w:sz w:val="21"/>
          <w:szCs w:val="21"/>
        </w:rPr>
        <w:t>安装单位：_____________ 使用单位：_____________ 检查日期：_____________</w:t>
      </w:r>
    </w:p>
    <w:tbl>
      <w:tblPr>
        <w:tblStyle w:val="29"/>
        <w:tblW w:w="853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10"/>
        <w:gridCol w:w="1947"/>
        <w:gridCol w:w="3722"/>
        <w:gridCol w:w="966"/>
        <w:gridCol w:w="1186"/>
      </w:tblGrid>
      <w:tr w14:paraId="37F09E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rPr>
        <w:tc>
          <w:tcPr>
            <w:tcW w:w="710" w:type="dxa"/>
            <w:vAlign w:val="center"/>
          </w:tcPr>
          <w:p w14:paraId="295EE165">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序号</w:t>
            </w:r>
          </w:p>
        </w:tc>
        <w:tc>
          <w:tcPr>
            <w:tcW w:w="1947" w:type="dxa"/>
            <w:vAlign w:val="center"/>
          </w:tcPr>
          <w:p w14:paraId="6B1088E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检查项目</w:t>
            </w:r>
          </w:p>
        </w:tc>
        <w:tc>
          <w:tcPr>
            <w:tcW w:w="3722" w:type="dxa"/>
            <w:vAlign w:val="center"/>
          </w:tcPr>
          <w:p w14:paraId="62FF9CB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内容及要求</w:t>
            </w:r>
          </w:p>
        </w:tc>
        <w:tc>
          <w:tcPr>
            <w:tcW w:w="966" w:type="dxa"/>
            <w:vAlign w:val="center"/>
          </w:tcPr>
          <w:p w14:paraId="6F3EA9B3">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结果</w:t>
            </w:r>
          </w:p>
        </w:tc>
        <w:tc>
          <w:tcPr>
            <w:tcW w:w="1186" w:type="dxa"/>
            <w:vAlign w:val="center"/>
          </w:tcPr>
          <w:p w14:paraId="3C59174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备注</w:t>
            </w:r>
          </w:p>
        </w:tc>
      </w:tr>
      <w:tr w14:paraId="78F20E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47292CC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1947" w:type="dxa"/>
            <w:vAlign w:val="center"/>
          </w:tcPr>
          <w:p w14:paraId="5BA56D7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钢结构</w:t>
            </w:r>
          </w:p>
        </w:tc>
        <w:tc>
          <w:tcPr>
            <w:tcW w:w="3722" w:type="dxa"/>
            <w:vAlign w:val="center"/>
          </w:tcPr>
          <w:p w14:paraId="1D8E6142">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无扭曲、变形、裂纹和严重锈蚀</w:t>
            </w:r>
          </w:p>
        </w:tc>
        <w:tc>
          <w:tcPr>
            <w:tcW w:w="966" w:type="dxa"/>
            <w:vAlign w:val="center"/>
          </w:tcPr>
          <w:p w14:paraId="0DA13B2A">
            <w:pPr>
              <w:ind w:left="0" w:leftChars="0" w:firstLine="0" w:firstLineChars="0"/>
              <w:jc w:val="center"/>
              <w:rPr>
                <w:rFonts w:hint="eastAsia" w:ascii="Times New Roman" w:hAnsi="Times New Roman" w:cs="Times New Roman"/>
                <w:sz w:val="21"/>
                <w:szCs w:val="21"/>
              </w:rPr>
            </w:pPr>
          </w:p>
        </w:tc>
        <w:tc>
          <w:tcPr>
            <w:tcW w:w="1186" w:type="dxa"/>
            <w:vAlign w:val="center"/>
          </w:tcPr>
          <w:p w14:paraId="6D99DEB3">
            <w:pPr>
              <w:ind w:left="0" w:leftChars="0" w:firstLine="0" w:firstLineChars="0"/>
              <w:jc w:val="center"/>
              <w:rPr>
                <w:rFonts w:hint="eastAsia" w:ascii="Times New Roman" w:hAnsi="Times New Roman" w:cs="Times New Roman"/>
                <w:sz w:val="21"/>
                <w:szCs w:val="21"/>
              </w:rPr>
            </w:pPr>
          </w:p>
        </w:tc>
      </w:tr>
      <w:tr w14:paraId="4A78ED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2C1BC07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1947" w:type="dxa"/>
            <w:vAlign w:val="center"/>
          </w:tcPr>
          <w:p w14:paraId="35D3779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连接件、紧固件</w:t>
            </w:r>
          </w:p>
        </w:tc>
        <w:tc>
          <w:tcPr>
            <w:tcW w:w="3722" w:type="dxa"/>
            <w:vAlign w:val="center"/>
          </w:tcPr>
          <w:p w14:paraId="69CA757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销轴及螺栓螺母规格正确，数量齐全，质量满足设计要求；配套开口销或卡板规格数量均符合要求</w:t>
            </w:r>
          </w:p>
        </w:tc>
        <w:tc>
          <w:tcPr>
            <w:tcW w:w="966" w:type="dxa"/>
            <w:vAlign w:val="center"/>
          </w:tcPr>
          <w:p w14:paraId="66BB7710">
            <w:pPr>
              <w:ind w:left="0" w:leftChars="0" w:firstLine="0" w:firstLineChars="0"/>
              <w:jc w:val="center"/>
              <w:rPr>
                <w:rFonts w:hint="eastAsia" w:ascii="Times New Roman" w:hAnsi="Times New Roman" w:cs="Times New Roman"/>
                <w:sz w:val="21"/>
                <w:szCs w:val="21"/>
              </w:rPr>
            </w:pPr>
          </w:p>
        </w:tc>
        <w:tc>
          <w:tcPr>
            <w:tcW w:w="1186" w:type="dxa"/>
            <w:vAlign w:val="center"/>
          </w:tcPr>
          <w:p w14:paraId="3177D6CB">
            <w:pPr>
              <w:ind w:left="0" w:leftChars="0" w:firstLine="0" w:firstLineChars="0"/>
              <w:jc w:val="center"/>
              <w:rPr>
                <w:rFonts w:hint="eastAsia" w:ascii="Times New Roman" w:hAnsi="Times New Roman" w:cs="Times New Roman"/>
                <w:sz w:val="21"/>
                <w:szCs w:val="21"/>
              </w:rPr>
            </w:pPr>
          </w:p>
        </w:tc>
      </w:tr>
      <w:tr w14:paraId="1EE214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Align w:val="center"/>
          </w:tcPr>
          <w:p w14:paraId="28319FA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1947" w:type="dxa"/>
            <w:vAlign w:val="center"/>
          </w:tcPr>
          <w:p w14:paraId="2E9A932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钢丝绳及其固结</w:t>
            </w:r>
          </w:p>
        </w:tc>
        <w:tc>
          <w:tcPr>
            <w:tcW w:w="3722" w:type="dxa"/>
            <w:vAlign w:val="center"/>
          </w:tcPr>
          <w:p w14:paraId="194A2342">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钢丝绳完好符合GB5972-86要求，钢丝绳固结符合JGJ33-2001要求</w:t>
            </w:r>
          </w:p>
        </w:tc>
        <w:tc>
          <w:tcPr>
            <w:tcW w:w="966" w:type="dxa"/>
            <w:vAlign w:val="center"/>
          </w:tcPr>
          <w:p w14:paraId="3B446BDC">
            <w:pPr>
              <w:ind w:left="0" w:leftChars="0" w:firstLine="0" w:firstLineChars="0"/>
              <w:jc w:val="center"/>
              <w:rPr>
                <w:rFonts w:hint="eastAsia" w:ascii="Times New Roman" w:hAnsi="Times New Roman" w:cs="Times New Roman"/>
                <w:sz w:val="21"/>
                <w:szCs w:val="21"/>
              </w:rPr>
            </w:pPr>
          </w:p>
        </w:tc>
        <w:tc>
          <w:tcPr>
            <w:tcW w:w="1186" w:type="dxa"/>
            <w:vAlign w:val="center"/>
          </w:tcPr>
          <w:p w14:paraId="26A88F62">
            <w:pPr>
              <w:ind w:left="0" w:leftChars="0" w:firstLine="0" w:firstLineChars="0"/>
              <w:jc w:val="center"/>
              <w:rPr>
                <w:rFonts w:hint="eastAsia" w:ascii="Times New Roman" w:hAnsi="Times New Roman" w:cs="Times New Roman"/>
                <w:sz w:val="21"/>
                <w:szCs w:val="21"/>
              </w:rPr>
            </w:pPr>
          </w:p>
        </w:tc>
      </w:tr>
      <w:tr w14:paraId="46DDDA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0" w:hRule="atLeast"/>
        </w:trPr>
        <w:tc>
          <w:tcPr>
            <w:tcW w:w="710" w:type="dxa"/>
            <w:vAlign w:val="center"/>
          </w:tcPr>
          <w:p w14:paraId="172A78C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1947" w:type="dxa"/>
            <w:vAlign w:val="center"/>
          </w:tcPr>
          <w:p w14:paraId="26E61C67">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制动器</w:t>
            </w:r>
          </w:p>
        </w:tc>
        <w:tc>
          <w:tcPr>
            <w:tcW w:w="3722" w:type="dxa"/>
            <w:vAlign w:val="center"/>
          </w:tcPr>
          <w:p w14:paraId="70A0024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制动带（块）磨损不大于原厚度的1/2，间隙符合标准要求，能正常动作，设有防护罩</w:t>
            </w:r>
          </w:p>
        </w:tc>
        <w:tc>
          <w:tcPr>
            <w:tcW w:w="966" w:type="dxa"/>
            <w:vAlign w:val="center"/>
          </w:tcPr>
          <w:p w14:paraId="01B4DA7B">
            <w:pPr>
              <w:ind w:left="0" w:leftChars="0" w:firstLine="0" w:firstLineChars="0"/>
              <w:jc w:val="center"/>
              <w:rPr>
                <w:rFonts w:hint="eastAsia" w:ascii="Times New Roman" w:hAnsi="Times New Roman" w:cs="Times New Roman"/>
                <w:sz w:val="21"/>
                <w:szCs w:val="21"/>
              </w:rPr>
            </w:pPr>
          </w:p>
        </w:tc>
        <w:tc>
          <w:tcPr>
            <w:tcW w:w="1186" w:type="dxa"/>
            <w:vAlign w:val="center"/>
          </w:tcPr>
          <w:p w14:paraId="79F6BDAB">
            <w:pPr>
              <w:ind w:left="0" w:leftChars="0" w:firstLine="0" w:firstLineChars="0"/>
              <w:jc w:val="center"/>
              <w:rPr>
                <w:rFonts w:hint="eastAsia" w:ascii="Times New Roman" w:hAnsi="Times New Roman" w:cs="Times New Roman"/>
                <w:sz w:val="21"/>
                <w:szCs w:val="21"/>
              </w:rPr>
            </w:pPr>
          </w:p>
        </w:tc>
      </w:tr>
      <w:tr w14:paraId="4AE76A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2D6C694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5</w:t>
            </w:r>
          </w:p>
        </w:tc>
        <w:tc>
          <w:tcPr>
            <w:tcW w:w="1947" w:type="dxa"/>
            <w:vAlign w:val="center"/>
          </w:tcPr>
          <w:p w14:paraId="16127E92">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安全装置</w:t>
            </w:r>
          </w:p>
        </w:tc>
        <w:tc>
          <w:tcPr>
            <w:tcW w:w="3722" w:type="dxa"/>
            <w:vAlign w:val="center"/>
          </w:tcPr>
          <w:p w14:paraId="7AA1FE6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各安全装置应齐全，保持完好</w:t>
            </w:r>
          </w:p>
        </w:tc>
        <w:tc>
          <w:tcPr>
            <w:tcW w:w="966" w:type="dxa"/>
            <w:vAlign w:val="center"/>
          </w:tcPr>
          <w:p w14:paraId="68110CA3">
            <w:pPr>
              <w:ind w:left="0" w:leftChars="0" w:firstLine="0" w:firstLineChars="0"/>
              <w:jc w:val="center"/>
              <w:rPr>
                <w:rFonts w:hint="eastAsia" w:ascii="Times New Roman" w:hAnsi="Times New Roman" w:cs="Times New Roman"/>
                <w:sz w:val="21"/>
                <w:szCs w:val="21"/>
              </w:rPr>
            </w:pPr>
          </w:p>
        </w:tc>
        <w:tc>
          <w:tcPr>
            <w:tcW w:w="1186" w:type="dxa"/>
            <w:vAlign w:val="center"/>
          </w:tcPr>
          <w:p w14:paraId="4239A897">
            <w:pPr>
              <w:ind w:left="0" w:leftChars="0" w:firstLine="0" w:firstLineChars="0"/>
              <w:jc w:val="center"/>
              <w:rPr>
                <w:rFonts w:hint="eastAsia" w:ascii="Times New Roman" w:hAnsi="Times New Roman" w:cs="Times New Roman"/>
                <w:sz w:val="21"/>
                <w:szCs w:val="21"/>
              </w:rPr>
            </w:pPr>
          </w:p>
        </w:tc>
      </w:tr>
      <w:tr w14:paraId="066ADD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Merge w:val="restart"/>
            <w:vAlign w:val="center"/>
          </w:tcPr>
          <w:p w14:paraId="7724C8E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6</w:t>
            </w:r>
          </w:p>
        </w:tc>
        <w:tc>
          <w:tcPr>
            <w:tcW w:w="1947" w:type="dxa"/>
            <w:vMerge w:val="restart"/>
            <w:vAlign w:val="center"/>
          </w:tcPr>
          <w:p w14:paraId="36EEC53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液压系统</w:t>
            </w:r>
          </w:p>
        </w:tc>
        <w:tc>
          <w:tcPr>
            <w:tcW w:w="3722" w:type="dxa"/>
            <w:vAlign w:val="center"/>
          </w:tcPr>
          <w:p w14:paraId="629C308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油质良好，测量充足</w:t>
            </w:r>
          </w:p>
        </w:tc>
        <w:tc>
          <w:tcPr>
            <w:tcW w:w="966" w:type="dxa"/>
            <w:vAlign w:val="center"/>
          </w:tcPr>
          <w:p w14:paraId="7B199E3D">
            <w:pPr>
              <w:ind w:left="0" w:leftChars="0" w:firstLine="0" w:firstLineChars="0"/>
              <w:jc w:val="center"/>
              <w:rPr>
                <w:rFonts w:hint="eastAsia" w:ascii="Times New Roman" w:hAnsi="Times New Roman" w:cs="Times New Roman"/>
                <w:sz w:val="21"/>
                <w:szCs w:val="21"/>
              </w:rPr>
            </w:pPr>
          </w:p>
        </w:tc>
        <w:tc>
          <w:tcPr>
            <w:tcW w:w="1186" w:type="dxa"/>
            <w:vAlign w:val="center"/>
          </w:tcPr>
          <w:p w14:paraId="625B9332">
            <w:pPr>
              <w:ind w:left="0" w:leftChars="0" w:firstLine="0" w:firstLineChars="0"/>
              <w:jc w:val="center"/>
              <w:rPr>
                <w:rFonts w:hint="eastAsia" w:ascii="Times New Roman" w:hAnsi="Times New Roman" w:cs="Times New Roman"/>
                <w:sz w:val="21"/>
                <w:szCs w:val="21"/>
              </w:rPr>
            </w:pPr>
          </w:p>
        </w:tc>
      </w:tr>
      <w:tr w14:paraId="252C44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4" w:hRule="atLeast"/>
        </w:trPr>
        <w:tc>
          <w:tcPr>
            <w:tcW w:w="710" w:type="dxa"/>
            <w:vMerge w:val="continue"/>
            <w:vAlign w:val="center"/>
          </w:tcPr>
          <w:p w14:paraId="014CABB5">
            <w:pPr>
              <w:ind w:left="0" w:leftChars="0" w:firstLine="0" w:firstLineChars="0"/>
              <w:jc w:val="center"/>
              <w:rPr>
                <w:rFonts w:hint="eastAsia" w:ascii="Times New Roman" w:hAnsi="Times New Roman" w:cs="Times New Roman"/>
                <w:sz w:val="21"/>
                <w:szCs w:val="21"/>
              </w:rPr>
            </w:pPr>
          </w:p>
        </w:tc>
        <w:tc>
          <w:tcPr>
            <w:tcW w:w="1947" w:type="dxa"/>
            <w:vMerge w:val="continue"/>
            <w:vAlign w:val="center"/>
          </w:tcPr>
          <w:p w14:paraId="14CA0726">
            <w:pPr>
              <w:ind w:left="0" w:leftChars="0" w:firstLine="0" w:firstLineChars="0"/>
              <w:jc w:val="center"/>
              <w:rPr>
                <w:rFonts w:hint="eastAsia" w:ascii="Times New Roman" w:hAnsi="Times New Roman" w:cs="Times New Roman"/>
                <w:sz w:val="21"/>
                <w:szCs w:val="21"/>
              </w:rPr>
            </w:pPr>
          </w:p>
        </w:tc>
        <w:tc>
          <w:tcPr>
            <w:tcW w:w="3722" w:type="dxa"/>
            <w:vAlign w:val="center"/>
          </w:tcPr>
          <w:p w14:paraId="5E3667D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各油管及管接头状况良好，平衡阀与油缸之间为硬管连接</w:t>
            </w:r>
          </w:p>
        </w:tc>
        <w:tc>
          <w:tcPr>
            <w:tcW w:w="966" w:type="dxa"/>
            <w:vAlign w:val="center"/>
          </w:tcPr>
          <w:p w14:paraId="770DEAA6">
            <w:pPr>
              <w:ind w:left="0" w:leftChars="0" w:firstLine="0" w:firstLineChars="0"/>
              <w:jc w:val="center"/>
              <w:rPr>
                <w:rFonts w:hint="eastAsia" w:ascii="Times New Roman" w:hAnsi="Times New Roman" w:cs="Times New Roman"/>
                <w:sz w:val="21"/>
                <w:szCs w:val="21"/>
              </w:rPr>
            </w:pPr>
          </w:p>
        </w:tc>
        <w:tc>
          <w:tcPr>
            <w:tcW w:w="1186" w:type="dxa"/>
            <w:vAlign w:val="center"/>
          </w:tcPr>
          <w:p w14:paraId="440F26F2">
            <w:pPr>
              <w:ind w:left="0" w:leftChars="0" w:firstLine="0" w:firstLineChars="0"/>
              <w:jc w:val="center"/>
              <w:rPr>
                <w:rFonts w:hint="eastAsia" w:ascii="Times New Roman" w:hAnsi="Times New Roman" w:cs="Times New Roman"/>
                <w:sz w:val="21"/>
                <w:szCs w:val="21"/>
              </w:rPr>
            </w:pPr>
          </w:p>
        </w:tc>
      </w:tr>
      <w:tr w14:paraId="41BA0A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8" w:hRule="atLeast"/>
        </w:trPr>
        <w:tc>
          <w:tcPr>
            <w:tcW w:w="710" w:type="dxa"/>
            <w:vAlign w:val="center"/>
          </w:tcPr>
          <w:p w14:paraId="64152CA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7</w:t>
            </w:r>
          </w:p>
        </w:tc>
        <w:tc>
          <w:tcPr>
            <w:tcW w:w="1947" w:type="dxa"/>
            <w:vAlign w:val="center"/>
          </w:tcPr>
          <w:p w14:paraId="2D04E28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电气系统</w:t>
            </w:r>
          </w:p>
        </w:tc>
        <w:tc>
          <w:tcPr>
            <w:tcW w:w="3722" w:type="dxa"/>
            <w:vAlign w:val="center"/>
          </w:tcPr>
          <w:p w14:paraId="7B8CEB1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保持较良好状况，能正常工作</w:t>
            </w:r>
          </w:p>
        </w:tc>
        <w:tc>
          <w:tcPr>
            <w:tcW w:w="966" w:type="dxa"/>
            <w:vAlign w:val="center"/>
          </w:tcPr>
          <w:p w14:paraId="08E8CF1B">
            <w:pPr>
              <w:ind w:left="0" w:leftChars="0" w:firstLine="0" w:firstLineChars="0"/>
              <w:jc w:val="center"/>
              <w:rPr>
                <w:rFonts w:hint="eastAsia" w:ascii="Times New Roman" w:hAnsi="Times New Roman" w:cs="Times New Roman"/>
                <w:sz w:val="21"/>
                <w:szCs w:val="21"/>
              </w:rPr>
            </w:pPr>
          </w:p>
        </w:tc>
        <w:tc>
          <w:tcPr>
            <w:tcW w:w="1186" w:type="dxa"/>
            <w:vAlign w:val="center"/>
          </w:tcPr>
          <w:p w14:paraId="6667B549">
            <w:pPr>
              <w:ind w:left="0" w:leftChars="0" w:firstLine="0" w:firstLineChars="0"/>
              <w:jc w:val="center"/>
              <w:rPr>
                <w:rFonts w:hint="eastAsia" w:ascii="Times New Roman" w:hAnsi="Times New Roman" w:cs="Times New Roman"/>
                <w:sz w:val="21"/>
                <w:szCs w:val="21"/>
              </w:rPr>
            </w:pPr>
          </w:p>
        </w:tc>
      </w:tr>
      <w:tr w14:paraId="21F58E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710" w:type="dxa"/>
            <w:vAlign w:val="center"/>
          </w:tcPr>
          <w:p w14:paraId="2554288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8</w:t>
            </w:r>
          </w:p>
        </w:tc>
        <w:tc>
          <w:tcPr>
            <w:tcW w:w="1947" w:type="dxa"/>
            <w:vAlign w:val="center"/>
          </w:tcPr>
          <w:p w14:paraId="681D31B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现场状况</w:t>
            </w:r>
          </w:p>
        </w:tc>
        <w:tc>
          <w:tcPr>
            <w:tcW w:w="3722" w:type="dxa"/>
            <w:vAlign w:val="center"/>
          </w:tcPr>
          <w:p w14:paraId="390E21F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安装现场应具备安全安装塔机的条件</w:t>
            </w:r>
          </w:p>
        </w:tc>
        <w:tc>
          <w:tcPr>
            <w:tcW w:w="966" w:type="dxa"/>
            <w:vAlign w:val="center"/>
          </w:tcPr>
          <w:p w14:paraId="5CFA3C32">
            <w:pPr>
              <w:ind w:left="0" w:leftChars="0" w:firstLine="0" w:firstLineChars="0"/>
              <w:jc w:val="center"/>
              <w:rPr>
                <w:rFonts w:hint="eastAsia" w:ascii="Times New Roman" w:hAnsi="Times New Roman" w:cs="Times New Roman"/>
                <w:sz w:val="21"/>
                <w:szCs w:val="21"/>
              </w:rPr>
            </w:pPr>
          </w:p>
        </w:tc>
        <w:tc>
          <w:tcPr>
            <w:tcW w:w="1186" w:type="dxa"/>
            <w:vAlign w:val="center"/>
          </w:tcPr>
          <w:p w14:paraId="6CA9A0F6">
            <w:pPr>
              <w:ind w:left="0" w:leftChars="0" w:firstLine="0" w:firstLineChars="0"/>
              <w:jc w:val="center"/>
              <w:rPr>
                <w:rFonts w:hint="eastAsia" w:ascii="Times New Roman" w:hAnsi="Times New Roman" w:cs="Times New Roman"/>
                <w:sz w:val="21"/>
                <w:szCs w:val="21"/>
              </w:rPr>
            </w:pPr>
          </w:p>
        </w:tc>
      </w:tr>
      <w:tr w14:paraId="277E69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8" w:hRule="atLeast"/>
        </w:trPr>
        <w:tc>
          <w:tcPr>
            <w:tcW w:w="710" w:type="dxa"/>
            <w:vAlign w:val="center"/>
          </w:tcPr>
          <w:p w14:paraId="3E2CA33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检查意见</w:t>
            </w:r>
          </w:p>
        </w:tc>
        <w:tc>
          <w:tcPr>
            <w:tcW w:w="7821" w:type="dxa"/>
            <w:gridSpan w:val="4"/>
            <w:vAlign w:val="center"/>
          </w:tcPr>
          <w:p w14:paraId="5899C662">
            <w:pPr>
              <w:ind w:left="0" w:leftChars="0" w:firstLine="0" w:firstLineChars="0"/>
              <w:jc w:val="center"/>
              <w:rPr>
                <w:rFonts w:hint="eastAsia" w:ascii="Times New Roman" w:hAnsi="Times New Roman" w:cs="Times New Roman"/>
                <w:sz w:val="21"/>
                <w:szCs w:val="21"/>
              </w:rPr>
            </w:pPr>
          </w:p>
        </w:tc>
      </w:tr>
      <w:tr w14:paraId="41EFD1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1" w:hRule="atLeast"/>
        </w:trPr>
        <w:tc>
          <w:tcPr>
            <w:tcW w:w="710" w:type="dxa"/>
            <w:vAlign w:val="center"/>
          </w:tcPr>
          <w:p w14:paraId="318EF825">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检查人</w:t>
            </w:r>
          </w:p>
        </w:tc>
        <w:tc>
          <w:tcPr>
            <w:tcW w:w="7821" w:type="dxa"/>
            <w:gridSpan w:val="4"/>
            <w:vAlign w:val="center"/>
          </w:tcPr>
          <w:p w14:paraId="2BE57A0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安装单位技术负责人：               使用单位设备主管：</w:t>
            </w:r>
          </w:p>
          <w:p w14:paraId="5B21794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安装队长（组长）：                 安装单位安全（质量）员：</w:t>
            </w:r>
          </w:p>
          <w:p w14:paraId="6391CEE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其他参检人员：</w:t>
            </w:r>
          </w:p>
        </w:tc>
      </w:tr>
    </w:tbl>
    <w:p w14:paraId="1C4994FE">
      <w:pPr>
        <w:ind w:left="0" w:leftChars="0" w:firstLine="0" w:firstLineChars="0"/>
        <w:jc w:val="center"/>
        <w:rPr>
          <w:b/>
          <w:sz w:val="36"/>
          <w:szCs w:val="36"/>
        </w:rPr>
      </w:pPr>
      <w:r>
        <w:rPr>
          <w:rFonts w:hint="eastAsia"/>
          <w:b/>
          <w:sz w:val="36"/>
          <w:szCs w:val="36"/>
        </w:rPr>
        <w:br w:type="page"/>
      </w:r>
      <w:r>
        <w:rPr>
          <w:rFonts w:hint="eastAsia"/>
          <w:b/>
          <w:sz w:val="36"/>
          <w:szCs w:val="36"/>
        </w:rPr>
        <w:t>塔机安装自检验收表</w:t>
      </w:r>
    </w:p>
    <w:p w14:paraId="014D3D0E">
      <w:pPr>
        <w:rPr>
          <w:sz w:val="21"/>
          <w:szCs w:val="21"/>
        </w:rPr>
      </w:pPr>
      <w:r>
        <w:rPr>
          <w:rFonts w:hint="eastAsia"/>
          <w:sz w:val="21"/>
          <w:szCs w:val="21"/>
        </w:rPr>
        <w:t>安装单位：___________________________________ 机型机号：_____________________</w:t>
      </w:r>
    </w:p>
    <w:p w14:paraId="677E6626">
      <w:pPr>
        <w:rPr>
          <w:sz w:val="21"/>
          <w:szCs w:val="21"/>
        </w:rPr>
      </w:pPr>
      <w:r>
        <w:rPr>
          <w:rFonts w:hint="eastAsia"/>
          <w:sz w:val="21"/>
          <w:szCs w:val="21"/>
        </w:rPr>
        <w:t>工程名称：___________________________________ 机械编号：_____________________</w:t>
      </w:r>
    </w:p>
    <w:p w14:paraId="58EE9085">
      <w:pPr>
        <w:rPr>
          <w:sz w:val="21"/>
          <w:szCs w:val="21"/>
        </w:rPr>
      </w:pPr>
      <w:r>
        <w:rPr>
          <w:rFonts w:hint="eastAsia"/>
          <w:sz w:val="21"/>
          <w:szCs w:val="21"/>
        </w:rPr>
        <w:t>自检高度：___________自检日期：_______年____月_____日  天气__________________</w:t>
      </w:r>
    </w:p>
    <w:tbl>
      <w:tblPr>
        <w:tblStyle w:val="29"/>
        <w:tblW w:w="854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0"/>
        <w:gridCol w:w="1810"/>
        <w:gridCol w:w="4708"/>
        <w:gridCol w:w="1592"/>
      </w:tblGrid>
      <w:tr w14:paraId="34D510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trPr>
        <w:tc>
          <w:tcPr>
            <w:tcW w:w="430" w:type="dxa"/>
            <w:vAlign w:val="center"/>
          </w:tcPr>
          <w:p w14:paraId="6832EB6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序号</w:t>
            </w:r>
          </w:p>
        </w:tc>
        <w:tc>
          <w:tcPr>
            <w:tcW w:w="1810" w:type="dxa"/>
            <w:vAlign w:val="center"/>
          </w:tcPr>
          <w:p w14:paraId="0FA9122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项目</w:t>
            </w:r>
          </w:p>
        </w:tc>
        <w:tc>
          <w:tcPr>
            <w:tcW w:w="4708" w:type="dxa"/>
            <w:vAlign w:val="center"/>
          </w:tcPr>
          <w:p w14:paraId="34C9BBF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标准及要求</w:t>
            </w:r>
          </w:p>
        </w:tc>
        <w:tc>
          <w:tcPr>
            <w:tcW w:w="1592" w:type="dxa"/>
            <w:vAlign w:val="center"/>
          </w:tcPr>
          <w:p w14:paraId="4756BC5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检查记录</w:t>
            </w:r>
          </w:p>
        </w:tc>
      </w:tr>
      <w:tr w14:paraId="007BD4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3C30C1B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w:t>
            </w:r>
          </w:p>
        </w:tc>
        <w:tc>
          <w:tcPr>
            <w:tcW w:w="1810" w:type="dxa"/>
            <w:vAlign w:val="center"/>
          </w:tcPr>
          <w:p w14:paraId="4604EFE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安装位置</w:t>
            </w:r>
          </w:p>
        </w:tc>
        <w:tc>
          <w:tcPr>
            <w:tcW w:w="4708" w:type="dxa"/>
            <w:vAlign w:val="center"/>
          </w:tcPr>
          <w:p w14:paraId="0D2FBE1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塔机与架空线、其它设施及建筑物的距离符合GB5144-94的有关要求</w:t>
            </w:r>
          </w:p>
        </w:tc>
        <w:tc>
          <w:tcPr>
            <w:tcW w:w="1592" w:type="dxa"/>
            <w:vAlign w:val="center"/>
          </w:tcPr>
          <w:p w14:paraId="7546B03C">
            <w:pPr>
              <w:ind w:left="0" w:leftChars="0" w:firstLine="0" w:firstLineChars="0"/>
              <w:jc w:val="center"/>
              <w:rPr>
                <w:rFonts w:hint="eastAsia" w:ascii="Times New Roman" w:hAnsi="Times New Roman" w:cs="Times New Roman"/>
                <w:sz w:val="21"/>
                <w:szCs w:val="21"/>
              </w:rPr>
            </w:pPr>
          </w:p>
        </w:tc>
      </w:tr>
      <w:tr w14:paraId="4478E6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430" w:type="dxa"/>
            <w:vAlign w:val="center"/>
          </w:tcPr>
          <w:p w14:paraId="3FC2DE8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2</w:t>
            </w:r>
          </w:p>
        </w:tc>
        <w:tc>
          <w:tcPr>
            <w:tcW w:w="1810" w:type="dxa"/>
            <w:vAlign w:val="center"/>
          </w:tcPr>
          <w:p w14:paraId="76E7C372">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塔身垂直度</w:t>
            </w:r>
          </w:p>
        </w:tc>
        <w:tc>
          <w:tcPr>
            <w:tcW w:w="4708" w:type="dxa"/>
            <w:vAlign w:val="center"/>
          </w:tcPr>
          <w:p w14:paraId="52C9258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独立高度≤4‰，附墙以上自由端≤3‰，附墙以下自由端≤2‰</w:t>
            </w:r>
          </w:p>
        </w:tc>
        <w:tc>
          <w:tcPr>
            <w:tcW w:w="1592" w:type="dxa"/>
            <w:vAlign w:val="center"/>
          </w:tcPr>
          <w:p w14:paraId="1FB461A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东西向：__mm</w:t>
            </w:r>
          </w:p>
          <w:p w14:paraId="7D1E2DC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南北向：__mm</w:t>
            </w:r>
          </w:p>
        </w:tc>
      </w:tr>
      <w:tr w14:paraId="415D6F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25D3A5F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3</w:t>
            </w:r>
          </w:p>
        </w:tc>
        <w:tc>
          <w:tcPr>
            <w:tcW w:w="1810" w:type="dxa"/>
            <w:vAlign w:val="center"/>
          </w:tcPr>
          <w:p w14:paraId="79DDF0C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基础</w:t>
            </w:r>
          </w:p>
        </w:tc>
        <w:tc>
          <w:tcPr>
            <w:tcW w:w="4708" w:type="dxa"/>
            <w:vAlign w:val="center"/>
          </w:tcPr>
          <w:p w14:paraId="06E7C9A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基础隐藏工程验收单、砼试压块报告、地耐力报告、基础验收单齐全，碎石基础符合GB5144-94要求</w:t>
            </w:r>
          </w:p>
        </w:tc>
        <w:tc>
          <w:tcPr>
            <w:tcW w:w="1592" w:type="dxa"/>
            <w:vAlign w:val="center"/>
          </w:tcPr>
          <w:p w14:paraId="25646FF6">
            <w:pPr>
              <w:ind w:left="0" w:leftChars="0" w:firstLine="0" w:firstLineChars="0"/>
              <w:jc w:val="center"/>
              <w:rPr>
                <w:rFonts w:hint="eastAsia" w:ascii="Times New Roman" w:hAnsi="Times New Roman" w:cs="Times New Roman"/>
                <w:sz w:val="21"/>
                <w:szCs w:val="21"/>
              </w:rPr>
            </w:pPr>
          </w:p>
        </w:tc>
      </w:tr>
      <w:tr w14:paraId="244E2D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 w:hRule="atLeast"/>
        </w:trPr>
        <w:tc>
          <w:tcPr>
            <w:tcW w:w="430" w:type="dxa"/>
            <w:vAlign w:val="center"/>
          </w:tcPr>
          <w:p w14:paraId="5FF08627">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4</w:t>
            </w:r>
          </w:p>
        </w:tc>
        <w:tc>
          <w:tcPr>
            <w:tcW w:w="1810" w:type="dxa"/>
            <w:vAlign w:val="center"/>
          </w:tcPr>
          <w:p w14:paraId="78D2478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结构件</w:t>
            </w:r>
          </w:p>
        </w:tc>
        <w:tc>
          <w:tcPr>
            <w:tcW w:w="4708" w:type="dxa"/>
            <w:vAlign w:val="center"/>
          </w:tcPr>
          <w:p w14:paraId="36B5306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无扭曲、变形、裂纹和严重锈蚀</w:t>
            </w:r>
          </w:p>
        </w:tc>
        <w:tc>
          <w:tcPr>
            <w:tcW w:w="1592" w:type="dxa"/>
            <w:vAlign w:val="center"/>
          </w:tcPr>
          <w:p w14:paraId="0F8C0FCB">
            <w:pPr>
              <w:ind w:left="0" w:leftChars="0" w:firstLine="0" w:firstLineChars="0"/>
              <w:jc w:val="center"/>
              <w:rPr>
                <w:rFonts w:hint="eastAsia" w:ascii="Times New Roman" w:hAnsi="Times New Roman" w:cs="Times New Roman"/>
                <w:sz w:val="21"/>
                <w:szCs w:val="21"/>
              </w:rPr>
            </w:pPr>
          </w:p>
        </w:tc>
      </w:tr>
      <w:tr w14:paraId="0A988F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73E39925">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5</w:t>
            </w:r>
          </w:p>
        </w:tc>
        <w:tc>
          <w:tcPr>
            <w:tcW w:w="1810" w:type="dxa"/>
            <w:vAlign w:val="center"/>
          </w:tcPr>
          <w:p w14:paraId="561DD0A7">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连接件、紧固件</w:t>
            </w:r>
          </w:p>
        </w:tc>
        <w:tc>
          <w:tcPr>
            <w:tcW w:w="4708" w:type="dxa"/>
            <w:vAlign w:val="center"/>
          </w:tcPr>
          <w:p w14:paraId="050C9CE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销轴齐全到位，有可靠轴向止动，正确使用开口销。螺栓连接齐全、坚固牢靠，均有防松措施，高强螺栓按要求预紧，螺栓高于螺母0-3扣</w:t>
            </w:r>
          </w:p>
        </w:tc>
        <w:tc>
          <w:tcPr>
            <w:tcW w:w="1592" w:type="dxa"/>
            <w:vAlign w:val="center"/>
          </w:tcPr>
          <w:p w14:paraId="03013D60">
            <w:pPr>
              <w:ind w:left="0" w:leftChars="0" w:firstLine="0" w:firstLineChars="0"/>
              <w:jc w:val="center"/>
              <w:rPr>
                <w:rFonts w:hint="eastAsia" w:ascii="Times New Roman" w:hAnsi="Times New Roman" w:cs="Times New Roman"/>
                <w:sz w:val="21"/>
                <w:szCs w:val="21"/>
              </w:rPr>
            </w:pPr>
          </w:p>
        </w:tc>
      </w:tr>
      <w:tr w14:paraId="4FCCC5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18960D4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6</w:t>
            </w:r>
          </w:p>
        </w:tc>
        <w:tc>
          <w:tcPr>
            <w:tcW w:w="1810" w:type="dxa"/>
            <w:vAlign w:val="center"/>
          </w:tcPr>
          <w:p w14:paraId="2817BFA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液压爬升系统</w:t>
            </w:r>
          </w:p>
        </w:tc>
        <w:tc>
          <w:tcPr>
            <w:tcW w:w="4708" w:type="dxa"/>
            <w:vAlign w:val="center"/>
          </w:tcPr>
          <w:p w14:paraId="485F7D6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结构件无变形、裂纹，油缸上下连接牢固、可靠、平衡阀与油缸不得用软管连接</w:t>
            </w:r>
          </w:p>
        </w:tc>
        <w:tc>
          <w:tcPr>
            <w:tcW w:w="1592" w:type="dxa"/>
            <w:vAlign w:val="center"/>
          </w:tcPr>
          <w:p w14:paraId="2C082655">
            <w:pPr>
              <w:ind w:left="0" w:leftChars="0" w:firstLine="0" w:firstLineChars="0"/>
              <w:jc w:val="center"/>
              <w:rPr>
                <w:rFonts w:hint="eastAsia" w:ascii="Times New Roman" w:hAnsi="Times New Roman" w:cs="Times New Roman"/>
                <w:sz w:val="21"/>
                <w:szCs w:val="21"/>
              </w:rPr>
            </w:pPr>
          </w:p>
        </w:tc>
      </w:tr>
      <w:tr w14:paraId="66D7F3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0D94CB0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7</w:t>
            </w:r>
          </w:p>
        </w:tc>
        <w:tc>
          <w:tcPr>
            <w:tcW w:w="1810" w:type="dxa"/>
            <w:vAlign w:val="center"/>
          </w:tcPr>
          <w:p w14:paraId="0FBBF90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配重</w:t>
            </w:r>
          </w:p>
        </w:tc>
        <w:tc>
          <w:tcPr>
            <w:tcW w:w="4708" w:type="dxa"/>
            <w:vAlign w:val="center"/>
          </w:tcPr>
          <w:p w14:paraId="0015F37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按规定堆放、固定连接正确可靠、重量符合设计要求</w:t>
            </w:r>
          </w:p>
        </w:tc>
        <w:tc>
          <w:tcPr>
            <w:tcW w:w="1592" w:type="dxa"/>
            <w:vAlign w:val="center"/>
          </w:tcPr>
          <w:p w14:paraId="45737781">
            <w:pPr>
              <w:ind w:left="0" w:leftChars="0" w:firstLine="0" w:firstLineChars="0"/>
              <w:jc w:val="center"/>
              <w:rPr>
                <w:rFonts w:hint="eastAsia" w:ascii="Times New Roman" w:hAnsi="Times New Roman" w:cs="Times New Roman"/>
                <w:sz w:val="21"/>
                <w:szCs w:val="21"/>
              </w:rPr>
            </w:pPr>
          </w:p>
        </w:tc>
      </w:tr>
      <w:tr w14:paraId="1CE312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4ACA80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8</w:t>
            </w:r>
          </w:p>
        </w:tc>
        <w:tc>
          <w:tcPr>
            <w:tcW w:w="1810" w:type="dxa"/>
            <w:vAlign w:val="center"/>
          </w:tcPr>
          <w:p w14:paraId="6E56EB2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钢丝绳及其固结</w:t>
            </w:r>
          </w:p>
        </w:tc>
        <w:tc>
          <w:tcPr>
            <w:tcW w:w="4708" w:type="dxa"/>
            <w:vAlign w:val="center"/>
          </w:tcPr>
          <w:p w14:paraId="02C8956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无严重损伤、变形、固结合理，符合JGJ33-2001、GB5972-86有关要求</w:t>
            </w:r>
          </w:p>
        </w:tc>
        <w:tc>
          <w:tcPr>
            <w:tcW w:w="1592" w:type="dxa"/>
            <w:vAlign w:val="center"/>
          </w:tcPr>
          <w:p w14:paraId="36F708FC">
            <w:pPr>
              <w:ind w:left="0" w:leftChars="0" w:firstLine="0" w:firstLineChars="0"/>
              <w:jc w:val="center"/>
              <w:rPr>
                <w:rFonts w:hint="eastAsia" w:ascii="Times New Roman" w:hAnsi="Times New Roman" w:cs="Times New Roman"/>
                <w:sz w:val="21"/>
                <w:szCs w:val="21"/>
              </w:rPr>
            </w:pPr>
          </w:p>
        </w:tc>
      </w:tr>
      <w:tr w14:paraId="36DAAE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Align w:val="center"/>
          </w:tcPr>
          <w:p w14:paraId="2CD6380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9</w:t>
            </w:r>
          </w:p>
        </w:tc>
        <w:tc>
          <w:tcPr>
            <w:tcW w:w="1810" w:type="dxa"/>
            <w:vAlign w:val="center"/>
          </w:tcPr>
          <w:p w14:paraId="040F710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钢丝绳在卷筒上固定及余留圈娄</w:t>
            </w:r>
          </w:p>
        </w:tc>
        <w:tc>
          <w:tcPr>
            <w:tcW w:w="4708" w:type="dxa"/>
            <w:vAlign w:val="center"/>
          </w:tcPr>
          <w:p w14:paraId="1BC125B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有防松和闩紧性能最少余留不少于3圈</w:t>
            </w:r>
          </w:p>
        </w:tc>
        <w:tc>
          <w:tcPr>
            <w:tcW w:w="1592" w:type="dxa"/>
            <w:vAlign w:val="center"/>
          </w:tcPr>
          <w:p w14:paraId="03338BA3">
            <w:pPr>
              <w:ind w:left="0" w:leftChars="0" w:firstLine="0" w:firstLineChars="0"/>
              <w:jc w:val="center"/>
              <w:rPr>
                <w:rFonts w:hint="eastAsia" w:ascii="Times New Roman" w:hAnsi="Times New Roman" w:cs="Times New Roman"/>
                <w:sz w:val="21"/>
                <w:szCs w:val="21"/>
              </w:rPr>
            </w:pPr>
          </w:p>
        </w:tc>
      </w:tr>
      <w:tr w14:paraId="7B8720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0" w:hRule="atLeast"/>
        </w:trPr>
        <w:tc>
          <w:tcPr>
            <w:tcW w:w="430" w:type="dxa"/>
            <w:vAlign w:val="center"/>
          </w:tcPr>
          <w:p w14:paraId="02FAB0F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10</w:t>
            </w:r>
          </w:p>
        </w:tc>
        <w:tc>
          <w:tcPr>
            <w:tcW w:w="1810" w:type="dxa"/>
            <w:vAlign w:val="center"/>
          </w:tcPr>
          <w:p w14:paraId="17DF21E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滑轮及滑轮组</w:t>
            </w:r>
          </w:p>
        </w:tc>
        <w:tc>
          <w:tcPr>
            <w:tcW w:w="4708" w:type="dxa"/>
            <w:vAlign w:val="center"/>
          </w:tcPr>
          <w:p w14:paraId="2C77FD6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转动自如，润滑良好，应设有效防跳绳装置。</w:t>
            </w:r>
          </w:p>
        </w:tc>
        <w:tc>
          <w:tcPr>
            <w:tcW w:w="1592" w:type="dxa"/>
            <w:vAlign w:val="center"/>
          </w:tcPr>
          <w:p w14:paraId="14214013">
            <w:pPr>
              <w:ind w:left="0" w:leftChars="0" w:firstLine="0" w:firstLineChars="0"/>
              <w:jc w:val="center"/>
              <w:rPr>
                <w:rFonts w:hint="eastAsia" w:ascii="Times New Roman" w:hAnsi="Times New Roman" w:cs="Times New Roman"/>
                <w:sz w:val="21"/>
                <w:szCs w:val="21"/>
              </w:rPr>
            </w:pPr>
          </w:p>
        </w:tc>
      </w:tr>
      <w:tr w14:paraId="5732D6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 w:hRule="atLeast"/>
        </w:trPr>
        <w:tc>
          <w:tcPr>
            <w:tcW w:w="430" w:type="dxa"/>
            <w:vAlign w:val="center"/>
          </w:tcPr>
          <w:p w14:paraId="25E9ACC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11</w:t>
            </w:r>
          </w:p>
        </w:tc>
        <w:tc>
          <w:tcPr>
            <w:tcW w:w="1810" w:type="dxa"/>
            <w:vAlign w:val="center"/>
          </w:tcPr>
          <w:p w14:paraId="65F51DA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爬梯、护圈、栏杆、平台、走台</w:t>
            </w:r>
          </w:p>
        </w:tc>
        <w:tc>
          <w:tcPr>
            <w:tcW w:w="4708" w:type="dxa"/>
            <w:vAlign w:val="center"/>
          </w:tcPr>
          <w:p w14:paraId="5E2B26C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符合GB6067-85有关要求</w:t>
            </w:r>
          </w:p>
        </w:tc>
        <w:tc>
          <w:tcPr>
            <w:tcW w:w="1592" w:type="dxa"/>
            <w:vAlign w:val="center"/>
          </w:tcPr>
          <w:p w14:paraId="2280FB88">
            <w:pPr>
              <w:ind w:left="0" w:leftChars="0" w:firstLine="0" w:firstLineChars="0"/>
              <w:jc w:val="center"/>
              <w:rPr>
                <w:rFonts w:hint="eastAsia" w:ascii="Times New Roman" w:hAnsi="Times New Roman" w:cs="Times New Roman"/>
                <w:sz w:val="21"/>
                <w:szCs w:val="21"/>
              </w:rPr>
            </w:pPr>
          </w:p>
        </w:tc>
      </w:tr>
      <w:tr w14:paraId="05E454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8" w:hRule="atLeast"/>
        </w:trPr>
        <w:tc>
          <w:tcPr>
            <w:tcW w:w="430" w:type="dxa"/>
            <w:vAlign w:val="center"/>
          </w:tcPr>
          <w:p w14:paraId="0BD34AA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12</w:t>
            </w:r>
          </w:p>
        </w:tc>
        <w:tc>
          <w:tcPr>
            <w:tcW w:w="1810" w:type="dxa"/>
            <w:vAlign w:val="center"/>
          </w:tcPr>
          <w:p w14:paraId="64E9D813">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吊钩</w:t>
            </w:r>
          </w:p>
        </w:tc>
        <w:tc>
          <w:tcPr>
            <w:tcW w:w="4708" w:type="dxa"/>
            <w:vAlign w:val="center"/>
          </w:tcPr>
          <w:p w14:paraId="7A70E2A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防脱钩装置完好。表面无破口、孔穴、裂纹、凹陷等，不得补焊，挂绳处断面磨损小于高度10%，无永久变形。</w:t>
            </w:r>
          </w:p>
        </w:tc>
        <w:tc>
          <w:tcPr>
            <w:tcW w:w="1592" w:type="dxa"/>
            <w:vAlign w:val="center"/>
          </w:tcPr>
          <w:p w14:paraId="5CFFAEBF">
            <w:pPr>
              <w:ind w:left="0" w:leftChars="0" w:firstLine="0" w:firstLineChars="0"/>
              <w:jc w:val="center"/>
              <w:rPr>
                <w:rFonts w:hint="eastAsia" w:ascii="Times New Roman" w:hAnsi="Times New Roman" w:cs="Times New Roman"/>
                <w:sz w:val="21"/>
                <w:szCs w:val="21"/>
              </w:rPr>
            </w:pPr>
          </w:p>
        </w:tc>
      </w:tr>
      <w:tr w14:paraId="06CF27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 w:hRule="atLeast"/>
        </w:trPr>
        <w:tc>
          <w:tcPr>
            <w:tcW w:w="430" w:type="dxa"/>
            <w:vAlign w:val="center"/>
          </w:tcPr>
          <w:p w14:paraId="05A5769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13</w:t>
            </w:r>
          </w:p>
        </w:tc>
        <w:tc>
          <w:tcPr>
            <w:tcW w:w="1810" w:type="dxa"/>
            <w:vAlign w:val="center"/>
          </w:tcPr>
          <w:p w14:paraId="13573ED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制动器</w:t>
            </w:r>
          </w:p>
        </w:tc>
        <w:tc>
          <w:tcPr>
            <w:tcW w:w="4708" w:type="dxa"/>
            <w:vAlign w:val="center"/>
          </w:tcPr>
          <w:p w14:paraId="7377C9A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制动带（块）清洁，磨损≤原厚度1/2，液压油洁净，油量充足，有防护罩，制动灵敏可靠，间隙正常。</w:t>
            </w:r>
          </w:p>
        </w:tc>
        <w:tc>
          <w:tcPr>
            <w:tcW w:w="1592" w:type="dxa"/>
            <w:vAlign w:val="center"/>
          </w:tcPr>
          <w:p w14:paraId="460DA31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磨损厚度____mm</w:t>
            </w:r>
          </w:p>
        </w:tc>
      </w:tr>
      <w:tr w14:paraId="7A9A21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restart"/>
            <w:vAlign w:val="center"/>
          </w:tcPr>
          <w:p w14:paraId="6FA19D3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14</w:t>
            </w:r>
          </w:p>
        </w:tc>
        <w:tc>
          <w:tcPr>
            <w:tcW w:w="1810" w:type="dxa"/>
            <w:vMerge w:val="restart"/>
            <w:vAlign w:val="center"/>
          </w:tcPr>
          <w:p w14:paraId="55FB035B">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安全防护装置</w:t>
            </w:r>
          </w:p>
        </w:tc>
        <w:tc>
          <w:tcPr>
            <w:tcW w:w="4708" w:type="dxa"/>
            <w:vAlign w:val="center"/>
          </w:tcPr>
          <w:p w14:paraId="2C998A2C">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起重量限制器，调试正确、灵敏有效（填数值）</w:t>
            </w:r>
          </w:p>
        </w:tc>
        <w:tc>
          <w:tcPr>
            <w:tcW w:w="1592" w:type="dxa"/>
            <w:vAlign w:val="center"/>
          </w:tcPr>
          <w:p w14:paraId="670766B0">
            <w:pPr>
              <w:ind w:left="0" w:leftChars="0" w:firstLine="0" w:firstLineChars="0"/>
              <w:jc w:val="center"/>
              <w:rPr>
                <w:rFonts w:hint="eastAsia" w:ascii="Times New Roman" w:hAnsi="Times New Roman" w:cs="Times New Roman"/>
                <w:sz w:val="21"/>
                <w:szCs w:val="21"/>
              </w:rPr>
            </w:pPr>
          </w:p>
        </w:tc>
      </w:tr>
      <w:tr w14:paraId="41284E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1FB9511">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3BB5A78F">
            <w:pPr>
              <w:ind w:left="0" w:leftChars="0" w:firstLine="0" w:firstLineChars="0"/>
              <w:jc w:val="center"/>
              <w:rPr>
                <w:rFonts w:hint="eastAsia" w:ascii="Times New Roman" w:hAnsi="Times New Roman" w:cs="Times New Roman"/>
                <w:sz w:val="21"/>
                <w:szCs w:val="21"/>
              </w:rPr>
            </w:pPr>
          </w:p>
        </w:tc>
        <w:tc>
          <w:tcPr>
            <w:tcW w:w="4708" w:type="dxa"/>
            <w:vAlign w:val="center"/>
          </w:tcPr>
          <w:p w14:paraId="34C2EE05">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起重力矩限制器，调试正确、灵敏有效（填数值）</w:t>
            </w:r>
          </w:p>
        </w:tc>
        <w:tc>
          <w:tcPr>
            <w:tcW w:w="1592" w:type="dxa"/>
            <w:vAlign w:val="center"/>
          </w:tcPr>
          <w:p w14:paraId="4ABC0DD7">
            <w:pPr>
              <w:ind w:left="0" w:leftChars="0" w:firstLine="0" w:firstLineChars="0"/>
              <w:jc w:val="center"/>
              <w:rPr>
                <w:rFonts w:hint="eastAsia" w:ascii="Times New Roman" w:hAnsi="Times New Roman" w:cs="Times New Roman"/>
                <w:sz w:val="21"/>
                <w:szCs w:val="21"/>
              </w:rPr>
            </w:pPr>
          </w:p>
        </w:tc>
      </w:tr>
      <w:tr w14:paraId="26A682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C9AE891">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0E802700">
            <w:pPr>
              <w:ind w:left="0" w:leftChars="0" w:firstLine="0" w:firstLineChars="0"/>
              <w:jc w:val="center"/>
              <w:rPr>
                <w:rFonts w:hint="eastAsia" w:ascii="Times New Roman" w:hAnsi="Times New Roman" w:cs="Times New Roman"/>
                <w:sz w:val="21"/>
                <w:szCs w:val="21"/>
              </w:rPr>
            </w:pPr>
          </w:p>
        </w:tc>
        <w:tc>
          <w:tcPr>
            <w:tcW w:w="4708" w:type="dxa"/>
            <w:vAlign w:val="center"/>
          </w:tcPr>
          <w:p w14:paraId="5BB7858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起升高度限制器，调试正确、灵敏有效（填数值）</w:t>
            </w:r>
          </w:p>
        </w:tc>
        <w:tc>
          <w:tcPr>
            <w:tcW w:w="1592" w:type="dxa"/>
            <w:vAlign w:val="center"/>
          </w:tcPr>
          <w:p w14:paraId="2B1D0B46">
            <w:pPr>
              <w:ind w:left="0" w:leftChars="0" w:firstLine="0" w:firstLineChars="0"/>
              <w:jc w:val="center"/>
              <w:rPr>
                <w:rFonts w:hint="eastAsia" w:ascii="Times New Roman" w:hAnsi="Times New Roman" w:cs="Times New Roman"/>
                <w:sz w:val="21"/>
                <w:szCs w:val="21"/>
              </w:rPr>
            </w:pPr>
          </w:p>
        </w:tc>
      </w:tr>
      <w:tr w14:paraId="52D250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1D6805A1">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5A775B77">
            <w:pPr>
              <w:ind w:left="0" w:leftChars="0" w:firstLine="0" w:firstLineChars="0"/>
              <w:jc w:val="center"/>
              <w:rPr>
                <w:rFonts w:hint="eastAsia" w:ascii="Times New Roman" w:hAnsi="Times New Roman" w:cs="Times New Roman"/>
                <w:sz w:val="21"/>
                <w:szCs w:val="21"/>
              </w:rPr>
            </w:pPr>
          </w:p>
        </w:tc>
        <w:tc>
          <w:tcPr>
            <w:tcW w:w="4708" w:type="dxa"/>
            <w:vAlign w:val="center"/>
          </w:tcPr>
          <w:p w14:paraId="654C6F8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回转限制器、调试正确、有效。</w:t>
            </w:r>
          </w:p>
        </w:tc>
        <w:tc>
          <w:tcPr>
            <w:tcW w:w="1592" w:type="dxa"/>
            <w:vAlign w:val="center"/>
          </w:tcPr>
          <w:p w14:paraId="312868EC">
            <w:pPr>
              <w:ind w:left="0" w:leftChars="0" w:firstLine="0" w:firstLineChars="0"/>
              <w:jc w:val="center"/>
              <w:rPr>
                <w:rFonts w:hint="eastAsia" w:ascii="Times New Roman" w:hAnsi="Times New Roman" w:cs="Times New Roman"/>
                <w:sz w:val="21"/>
                <w:szCs w:val="21"/>
              </w:rPr>
            </w:pPr>
          </w:p>
        </w:tc>
      </w:tr>
      <w:tr w14:paraId="37A743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3E0DB69F">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4AB5BE0F">
            <w:pPr>
              <w:ind w:left="0" w:leftChars="0" w:firstLine="0" w:firstLineChars="0"/>
              <w:jc w:val="center"/>
              <w:rPr>
                <w:rFonts w:hint="eastAsia" w:ascii="Times New Roman" w:hAnsi="Times New Roman" w:cs="Times New Roman"/>
                <w:sz w:val="21"/>
                <w:szCs w:val="21"/>
              </w:rPr>
            </w:pPr>
          </w:p>
        </w:tc>
        <w:tc>
          <w:tcPr>
            <w:tcW w:w="4708" w:type="dxa"/>
            <w:vAlign w:val="center"/>
          </w:tcPr>
          <w:p w14:paraId="4C382F9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变幅前后限制器，调试正确、灵敏有效</w:t>
            </w:r>
          </w:p>
        </w:tc>
        <w:tc>
          <w:tcPr>
            <w:tcW w:w="1592" w:type="dxa"/>
            <w:vAlign w:val="center"/>
          </w:tcPr>
          <w:p w14:paraId="51812A15">
            <w:pPr>
              <w:ind w:left="0" w:leftChars="0" w:firstLine="0" w:firstLineChars="0"/>
              <w:jc w:val="center"/>
              <w:rPr>
                <w:rFonts w:hint="eastAsia" w:ascii="Times New Roman" w:hAnsi="Times New Roman" w:cs="Times New Roman"/>
                <w:sz w:val="21"/>
                <w:szCs w:val="21"/>
              </w:rPr>
            </w:pPr>
          </w:p>
        </w:tc>
      </w:tr>
      <w:tr w14:paraId="1C200A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52155CEA">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0FE5B70B">
            <w:pPr>
              <w:ind w:left="0" w:leftChars="0" w:firstLine="0" w:firstLineChars="0"/>
              <w:jc w:val="center"/>
              <w:rPr>
                <w:rFonts w:hint="eastAsia" w:ascii="Times New Roman" w:hAnsi="Times New Roman" w:cs="Times New Roman"/>
                <w:sz w:val="21"/>
                <w:szCs w:val="21"/>
              </w:rPr>
            </w:pPr>
          </w:p>
        </w:tc>
        <w:tc>
          <w:tcPr>
            <w:tcW w:w="4708" w:type="dxa"/>
            <w:vAlign w:val="center"/>
          </w:tcPr>
          <w:p w14:paraId="15CE472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运转机构活动件外露部分应有防护罩</w:t>
            </w:r>
          </w:p>
        </w:tc>
        <w:tc>
          <w:tcPr>
            <w:tcW w:w="1592" w:type="dxa"/>
            <w:vAlign w:val="center"/>
          </w:tcPr>
          <w:p w14:paraId="00FA46A2">
            <w:pPr>
              <w:ind w:left="0" w:leftChars="0" w:firstLine="0" w:firstLineChars="0"/>
              <w:jc w:val="center"/>
              <w:rPr>
                <w:rFonts w:hint="eastAsia" w:ascii="Times New Roman" w:hAnsi="Times New Roman" w:cs="Times New Roman"/>
                <w:sz w:val="21"/>
                <w:szCs w:val="21"/>
              </w:rPr>
            </w:pPr>
          </w:p>
        </w:tc>
      </w:tr>
      <w:tr w14:paraId="109A71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3B47818E">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7482D756">
            <w:pPr>
              <w:ind w:left="0" w:leftChars="0" w:firstLine="0" w:firstLineChars="0"/>
              <w:jc w:val="center"/>
              <w:rPr>
                <w:rFonts w:hint="eastAsia" w:ascii="Times New Roman" w:hAnsi="Times New Roman" w:cs="Times New Roman"/>
                <w:sz w:val="21"/>
                <w:szCs w:val="21"/>
              </w:rPr>
            </w:pPr>
          </w:p>
        </w:tc>
        <w:tc>
          <w:tcPr>
            <w:tcW w:w="4708" w:type="dxa"/>
            <w:vAlign w:val="center"/>
          </w:tcPr>
          <w:p w14:paraId="1EDB2BE3">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变幅小车应装断绳保护装置，并有效、可靠。</w:t>
            </w:r>
          </w:p>
        </w:tc>
        <w:tc>
          <w:tcPr>
            <w:tcW w:w="1592" w:type="dxa"/>
            <w:vAlign w:val="center"/>
          </w:tcPr>
          <w:p w14:paraId="3360114F">
            <w:pPr>
              <w:ind w:left="0" w:leftChars="0" w:firstLine="0" w:firstLineChars="0"/>
              <w:jc w:val="center"/>
              <w:rPr>
                <w:rFonts w:hint="eastAsia" w:ascii="Times New Roman" w:hAnsi="Times New Roman" w:cs="Times New Roman"/>
                <w:sz w:val="21"/>
                <w:szCs w:val="21"/>
              </w:rPr>
            </w:pPr>
          </w:p>
        </w:tc>
      </w:tr>
      <w:tr w14:paraId="59F40F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79889A6">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6E2DC3DD">
            <w:pPr>
              <w:ind w:left="0" w:leftChars="0" w:firstLine="0" w:firstLineChars="0"/>
              <w:jc w:val="center"/>
              <w:rPr>
                <w:rFonts w:hint="eastAsia" w:ascii="Times New Roman" w:hAnsi="Times New Roman" w:cs="Times New Roman"/>
                <w:sz w:val="21"/>
                <w:szCs w:val="21"/>
              </w:rPr>
            </w:pPr>
          </w:p>
        </w:tc>
        <w:tc>
          <w:tcPr>
            <w:tcW w:w="4708" w:type="dxa"/>
            <w:vAlign w:val="center"/>
          </w:tcPr>
          <w:p w14:paraId="4816E34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变幅小车应装防坠落装置，并有效、可靠。</w:t>
            </w:r>
          </w:p>
        </w:tc>
        <w:tc>
          <w:tcPr>
            <w:tcW w:w="1592" w:type="dxa"/>
            <w:vAlign w:val="center"/>
          </w:tcPr>
          <w:p w14:paraId="45F05269">
            <w:pPr>
              <w:ind w:left="0" w:leftChars="0" w:firstLine="0" w:firstLineChars="0"/>
              <w:jc w:val="center"/>
              <w:rPr>
                <w:rFonts w:hint="eastAsia" w:ascii="Times New Roman" w:hAnsi="Times New Roman" w:cs="Times New Roman"/>
                <w:sz w:val="21"/>
                <w:szCs w:val="21"/>
              </w:rPr>
            </w:pPr>
          </w:p>
        </w:tc>
      </w:tr>
      <w:tr w14:paraId="0A2F0A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D1CFE92">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6BE8CC4B">
            <w:pPr>
              <w:ind w:left="0" w:leftChars="0" w:firstLine="0" w:firstLineChars="0"/>
              <w:jc w:val="center"/>
              <w:rPr>
                <w:rFonts w:hint="eastAsia" w:ascii="Times New Roman" w:hAnsi="Times New Roman" w:cs="Times New Roman"/>
                <w:sz w:val="21"/>
                <w:szCs w:val="21"/>
              </w:rPr>
            </w:pPr>
          </w:p>
        </w:tc>
        <w:tc>
          <w:tcPr>
            <w:tcW w:w="4708" w:type="dxa"/>
            <w:vAlign w:val="center"/>
          </w:tcPr>
          <w:p w14:paraId="655724A7">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动臂式塔机有防吊臂后倾装置。</w:t>
            </w:r>
          </w:p>
        </w:tc>
        <w:tc>
          <w:tcPr>
            <w:tcW w:w="1592" w:type="dxa"/>
            <w:vAlign w:val="center"/>
          </w:tcPr>
          <w:p w14:paraId="5C14A91D">
            <w:pPr>
              <w:ind w:left="0" w:leftChars="0" w:firstLine="0" w:firstLineChars="0"/>
              <w:jc w:val="center"/>
              <w:rPr>
                <w:rFonts w:hint="eastAsia" w:ascii="Times New Roman" w:hAnsi="Times New Roman" w:cs="Times New Roman"/>
                <w:sz w:val="21"/>
                <w:szCs w:val="21"/>
              </w:rPr>
            </w:pPr>
          </w:p>
        </w:tc>
      </w:tr>
      <w:tr w14:paraId="183E32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BD84C5E">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72FB8298">
            <w:pPr>
              <w:ind w:left="0" w:leftChars="0" w:firstLine="0" w:firstLineChars="0"/>
              <w:jc w:val="center"/>
              <w:rPr>
                <w:rFonts w:hint="eastAsia" w:ascii="Times New Roman" w:hAnsi="Times New Roman" w:cs="Times New Roman"/>
                <w:sz w:val="21"/>
                <w:szCs w:val="21"/>
              </w:rPr>
            </w:pPr>
          </w:p>
        </w:tc>
        <w:tc>
          <w:tcPr>
            <w:tcW w:w="4708" w:type="dxa"/>
            <w:vAlign w:val="center"/>
          </w:tcPr>
          <w:p w14:paraId="34B480C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红色障碍灯（总高度≥30m）应装</w:t>
            </w:r>
          </w:p>
        </w:tc>
        <w:tc>
          <w:tcPr>
            <w:tcW w:w="1592" w:type="dxa"/>
            <w:vAlign w:val="center"/>
          </w:tcPr>
          <w:p w14:paraId="630CBBC9">
            <w:pPr>
              <w:ind w:left="0" w:leftChars="0" w:firstLine="0" w:firstLineChars="0"/>
              <w:jc w:val="center"/>
              <w:rPr>
                <w:rFonts w:hint="eastAsia" w:ascii="Times New Roman" w:hAnsi="Times New Roman" w:cs="Times New Roman"/>
                <w:sz w:val="21"/>
                <w:szCs w:val="21"/>
              </w:rPr>
            </w:pPr>
          </w:p>
        </w:tc>
      </w:tr>
      <w:tr w14:paraId="2D50E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07332342">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2CEA8D70">
            <w:pPr>
              <w:ind w:left="0" w:leftChars="0" w:firstLine="0" w:firstLineChars="0"/>
              <w:jc w:val="center"/>
              <w:rPr>
                <w:rFonts w:hint="eastAsia" w:ascii="Times New Roman" w:hAnsi="Times New Roman" w:cs="Times New Roman"/>
                <w:sz w:val="21"/>
                <w:szCs w:val="21"/>
              </w:rPr>
            </w:pPr>
          </w:p>
        </w:tc>
        <w:tc>
          <w:tcPr>
            <w:tcW w:w="4708" w:type="dxa"/>
            <w:vAlign w:val="center"/>
          </w:tcPr>
          <w:p w14:paraId="6E90E01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升降司机室有防断绳坠落装置。</w:t>
            </w:r>
          </w:p>
        </w:tc>
        <w:tc>
          <w:tcPr>
            <w:tcW w:w="1592" w:type="dxa"/>
            <w:vAlign w:val="center"/>
          </w:tcPr>
          <w:p w14:paraId="41C0D9D8">
            <w:pPr>
              <w:ind w:left="0" w:leftChars="0" w:firstLine="0" w:firstLineChars="0"/>
              <w:jc w:val="center"/>
              <w:rPr>
                <w:rFonts w:hint="eastAsia" w:ascii="Times New Roman" w:hAnsi="Times New Roman" w:cs="Times New Roman"/>
                <w:sz w:val="21"/>
                <w:szCs w:val="21"/>
              </w:rPr>
            </w:pPr>
          </w:p>
        </w:tc>
      </w:tr>
      <w:tr w14:paraId="14129B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7905CE86">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7706E8C5">
            <w:pPr>
              <w:ind w:left="0" w:leftChars="0" w:firstLine="0" w:firstLineChars="0"/>
              <w:jc w:val="center"/>
              <w:rPr>
                <w:rFonts w:hint="eastAsia" w:ascii="Times New Roman" w:hAnsi="Times New Roman" w:cs="Times New Roman"/>
                <w:sz w:val="21"/>
                <w:szCs w:val="21"/>
              </w:rPr>
            </w:pPr>
          </w:p>
        </w:tc>
        <w:tc>
          <w:tcPr>
            <w:tcW w:w="4708" w:type="dxa"/>
            <w:vAlign w:val="center"/>
          </w:tcPr>
          <w:p w14:paraId="506B5F1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升降司机室有上、下极极位装置。</w:t>
            </w:r>
          </w:p>
        </w:tc>
        <w:tc>
          <w:tcPr>
            <w:tcW w:w="1592" w:type="dxa"/>
            <w:vAlign w:val="center"/>
          </w:tcPr>
          <w:p w14:paraId="21907300">
            <w:pPr>
              <w:ind w:left="0" w:leftChars="0" w:firstLine="0" w:firstLineChars="0"/>
              <w:jc w:val="center"/>
              <w:rPr>
                <w:rFonts w:hint="eastAsia" w:ascii="Times New Roman" w:hAnsi="Times New Roman" w:cs="Times New Roman"/>
                <w:sz w:val="21"/>
                <w:szCs w:val="21"/>
              </w:rPr>
            </w:pPr>
          </w:p>
        </w:tc>
      </w:tr>
      <w:tr w14:paraId="4F34DE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rPr>
        <w:tc>
          <w:tcPr>
            <w:tcW w:w="430" w:type="dxa"/>
            <w:vMerge w:val="restart"/>
            <w:vAlign w:val="center"/>
          </w:tcPr>
          <w:p w14:paraId="5E82363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15</w:t>
            </w:r>
          </w:p>
        </w:tc>
        <w:tc>
          <w:tcPr>
            <w:tcW w:w="1810" w:type="dxa"/>
            <w:vMerge w:val="restart"/>
            <w:vAlign w:val="center"/>
          </w:tcPr>
          <w:p w14:paraId="4DB764F3">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电气系统</w:t>
            </w:r>
          </w:p>
        </w:tc>
        <w:tc>
          <w:tcPr>
            <w:tcW w:w="4708" w:type="dxa"/>
            <w:vAlign w:val="center"/>
          </w:tcPr>
          <w:p w14:paraId="7331579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有独立专用电箱，并符合要求，有接地装置，安全符合要求，接地电阻阻值不大于4Ω</w:t>
            </w:r>
          </w:p>
        </w:tc>
        <w:tc>
          <w:tcPr>
            <w:tcW w:w="1592" w:type="dxa"/>
            <w:vAlign w:val="center"/>
          </w:tcPr>
          <w:p w14:paraId="3718ED03">
            <w:pPr>
              <w:ind w:left="0" w:leftChars="0" w:firstLine="0" w:firstLineChars="0"/>
              <w:jc w:val="center"/>
              <w:rPr>
                <w:rFonts w:hint="eastAsia" w:ascii="Times New Roman" w:hAnsi="Times New Roman" w:cs="Times New Roman"/>
                <w:sz w:val="21"/>
                <w:szCs w:val="21"/>
              </w:rPr>
            </w:pPr>
          </w:p>
        </w:tc>
      </w:tr>
      <w:tr w14:paraId="1977F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5836972">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6B96AB67">
            <w:pPr>
              <w:ind w:left="0" w:leftChars="0" w:firstLine="0" w:firstLineChars="0"/>
              <w:jc w:val="center"/>
              <w:rPr>
                <w:rFonts w:hint="eastAsia" w:ascii="Times New Roman" w:hAnsi="Times New Roman" w:cs="Times New Roman"/>
                <w:sz w:val="21"/>
                <w:szCs w:val="21"/>
              </w:rPr>
            </w:pPr>
          </w:p>
        </w:tc>
        <w:tc>
          <w:tcPr>
            <w:tcW w:w="4708" w:type="dxa"/>
            <w:vAlign w:val="center"/>
          </w:tcPr>
          <w:p w14:paraId="357DC7F8">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电源箱漏电保护灵敏、可靠</w:t>
            </w:r>
          </w:p>
        </w:tc>
        <w:tc>
          <w:tcPr>
            <w:tcW w:w="1592" w:type="dxa"/>
            <w:vAlign w:val="center"/>
          </w:tcPr>
          <w:p w14:paraId="0574F8B6">
            <w:pPr>
              <w:ind w:left="0" w:leftChars="0" w:firstLine="0" w:firstLineChars="0"/>
              <w:jc w:val="center"/>
              <w:rPr>
                <w:rFonts w:hint="eastAsia" w:ascii="Times New Roman" w:hAnsi="Times New Roman" w:cs="Times New Roman"/>
                <w:sz w:val="21"/>
                <w:szCs w:val="21"/>
              </w:rPr>
            </w:pPr>
          </w:p>
        </w:tc>
      </w:tr>
      <w:tr w14:paraId="794316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600F08EF">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34BC03E2">
            <w:pPr>
              <w:ind w:left="0" w:leftChars="0" w:firstLine="0" w:firstLineChars="0"/>
              <w:jc w:val="center"/>
              <w:rPr>
                <w:rFonts w:hint="eastAsia" w:ascii="Times New Roman" w:hAnsi="Times New Roman" w:cs="Times New Roman"/>
                <w:sz w:val="21"/>
                <w:szCs w:val="21"/>
              </w:rPr>
            </w:pPr>
          </w:p>
        </w:tc>
        <w:tc>
          <w:tcPr>
            <w:tcW w:w="4708" w:type="dxa"/>
            <w:vAlign w:val="center"/>
          </w:tcPr>
          <w:p w14:paraId="4C4D2B6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电控柜熔断器选配正确</w:t>
            </w:r>
          </w:p>
        </w:tc>
        <w:tc>
          <w:tcPr>
            <w:tcW w:w="1592" w:type="dxa"/>
            <w:vAlign w:val="center"/>
          </w:tcPr>
          <w:p w14:paraId="1E05F67A">
            <w:pPr>
              <w:ind w:left="0" w:leftChars="0" w:firstLine="0" w:firstLineChars="0"/>
              <w:jc w:val="center"/>
              <w:rPr>
                <w:rFonts w:hint="eastAsia" w:ascii="Times New Roman" w:hAnsi="Times New Roman" w:cs="Times New Roman"/>
                <w:sz w:val="21"/>
                <w:szCs w:val="21"/>
              </w:rPr>
            </w:pPr>
          </w:p>
        </w:tc>
      </w:tr>
      <w:tr w14:paraId="322DDF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trPr>
        <w:tc>
          <w:tcPr>
            <w:tcW w:w="430" w:type="dxa"/>
            <w:vMerge w:val="continue"/>
            <w:vAlign w:val="center"/>
          </w:tcPr>
          <w:p w14:paraId="28DE505A">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214BEA36">
            <w:pPr>
              <w:ind w:left="0" w:leftChars="0" w:firstLine="0" w:firstLineChars="0"/>
              <w:jc w:val="center"/>
              <w:rPr>
                <w:rFonts w:hint="eastAsia" w:ascii="Times New Roman" w:hAnsi="Times New Roman" w:cs="Times New Roman"/>
                <w:sz w:val="21"/>
                <w:szCs w:val="21"/>
              </w:rPr>
            </w:pPr>
          </w:p>
        </w:tc>
        <w:tc>
          <w:tcPr>
            <w:tcW w:w="4708" w:type="dxa"/>
            <w:vAlign w:val="center"/>
          </w:tcPr>
          <w:p w14:paraId="0DB1F34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控制线路有零位保护，照明线路独立</w:t>
            </w:r>
          </w:p>
        </w:tc>
        <w:tc>
          <w:tcPr>
            <w:tcW w:w="1592" w:type="dxa"/>
            <w:vAlign w:val="center"/>
          </w:tcPr>
          <w:p w14:paraId="092D959E">
            <w:pPr>
              <w:ind w:left="0" w:leftChars="0" w:firstLine="0" w:firstLineChars="0"/>
              <w:jc w:val="center"/>
              <w:rPr>
                <w:rFonts w:hint="eastAsia" w:ascii="Times New Roman" w:hAnsi="Times New Roman" w:cs="Times New Roman"/>
                <w:sz w:val="21"/>
                <w:szCs w:val="21"/>
              </w:rPr>
            </w:pPr>
          </w:p>
        </w:tc>
      </w:tr>
      <w:tr w14:paraId="7168F6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10534CA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16</w:t>
            </w:r>
          </w:p>
        </w:tc>
        <w:tc>
          <w:tcPr>
            <w:tcW w:w="1810" w:type="dxa"/>
            <w:vAlign w:val="center"/>
          </w:tcPr>
          <w:p w14:paraId="0745ADDF">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司机室</w:t>
            </w:r>
          </w:p>
        </w:tc>
        <w:tc>
          <w:tcPr>
            <w:tcW w:w="4708" w:type="dxa"/>
            <w:vAlign w:val="center"/>
          </w:tcPr>
          <w:p w14:paraId="108E479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结构安全可靠、连接牢固，装设绝缘地板、电铃，配备灭火器</w:t>
            </w:r>
          </w:p>
        </w:tc>
        <w:tc>
          <w:tcPr>
            <w:tcW w:w="1592" w:type="dxa"/>
            <w:vAlign w:val="center"/>
          </w:tcPr>
          <w:p w14:paraId="62CD40E9">
            <w:pPr>
              <w:ind w:left="0" w:leftChars="0" w:firstLine="0" w:firstLineChars="0"/>
              <w:jc w:val="center"/>
              <w:rPr>
                <w:rFonts w:hint="eastAsia" w:ascii="Times New Roman" w:hAnsi="Times New Roman" w:cs="Times New Roman"/>
                <w:sz w:val="21"/>
                <w:szCs w:val="21"/>
              </w:rPr>
            </w:pPr>
          </w:p>
        </w:tc>
      </w:tr>
      <w:tr w14:paraId="556BE0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430" w:type="dxa"/>
            <w:vAlign w:val="center"/>
          </w:tcPr>
          <w:p w14:paraId="49ACF18A">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17</w:t>
            </w:r>
          </w:p>
        </w:tc>
        <w:tc>
          <w:tcPr>
            <w:tcW w:w="1810" w:type="dxa"/>
            <w:vAlign w:val="center"/>
          </w:tcPr>
          <w:p w14:paraId="4B92288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机构部分</w:t>
            </w:r>
          </w:p>
        </w:tc>
        <w:tc>
          <w:tcPr>
            <w:tcW w:w="4708" w:type="dxa"/>
            <w:vAlign w:val="center"/>
          </w:tcPr>
          <w:p w14:paraId="543A4F6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运转正常，润滑良好，与结构件连接牢固可靠。卷筒上排绳无跳槽交叠现象。</w:t>
            </w:r>
          </w:p>
        </w:tc>
        <w:tc>
          <w:tcPr>
            <w:tcW w:w="1592" w:type="dxa"/>
            <w:vAlign w:val="center"/>
          </w:tcPr>
          <w:p w14:paraId="153507DD">
            <w:pPr>
              <w:ind w:left="0" w:leftChars="0" w:firstLine="0" w:firstLineChars="0"/>
              <w:jc w:val="center"/>
              <w:rPr>
                <w:rFonts w:hint="eastAsia" w:ascii="Times New Roman" w:hAnsi="Times New Roman" w:cs="Times New Roman"/>
                <w:sz w:val="21"/>
                <w:szCs w:val="21"/>
              </w:rPr>
            </w:pPr>
          </w:p>
        </w:tc>
      </w:tr>
      <w:tr w14:paraId="45A08E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430" w:type="dxa"/>
            <w:vAlign w:val="center"/>
          </w:tcPr>
          <w:p w14:paraId="50604E0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18</w:t>
            </w:r>
          </w:p>
        </w:tc>
        <w:tc>
          <w:tcPr>
            <w:tcW w:w="1810" w:type="dxa"/>
            <w:vAlign w:val="center"/>
          </w:tcPr>
          <w:p w14:paraId="263FB9D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空截试验</w:t>
            </w:r>
          </w:p>
        </w:tc>
        <w:tc>
          <w:tcPr>
            <w:tcW w:w="4708" w:type="dxa"/>
            <w:vAlign w:val="center"/>
          </w:tcPr>
          <w:p w14:paraId="69AA2B4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各工作机构单项动作和联合动作反复三次。各控制器灵敏、可靠、准确，无振动、异响。</w:t>
            </w:r>
          </w:p>
        </w:tc>
        <w:tc>
          <w:tcPr>
            <w:tcW w:w="1592" w:type="dxa"/>
            <w:vAlign w:val="center"/>
          </w:tcPr>
          <w:p w14:paraId="5F5F0320">
            <w:pPr>
              <w:ind w:left="0" w:leftChars="0" w:firstLine="0" w:firstLineChars="0"/>
              <w:jc w:val="center"/>
              <w:rPr>
                <w:rFonts w:hint="eastAsia" w:ascii="Times New Roman" w:hAnsi="Times New Roman" w:cs="Times New Roman"/>
                <w:sz w:val="21"/>
                <w:szCs w:val="21"/>
              </w:rPr>
            </w:pPr>
          </w:p>
        </w:tc>
      </w:tr>
      <w:tr w14:paraId="02875D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2" w:hRule="atLeast"/>
        </w:trPr>
        <w:tc>
          <w:tcPr>
            <w:tcW w:w="430" w:type="dxa"/>
            <w:vMerge w:val="restart"/>
            <w:vAlign w:val="center"/>
          </w:tcPr>
          <w:p w14:paraId="60847A8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19</w:t>
            </w:r>
          </w:p>
        </w:tc>
        <w:tc>
          <w:tcPr>
            <w:tcW w:w="1810" w:type="dxa"/>
            <w:vMerge w:val="restart"/>
            <w:vAlign w:val="center"/>
          </w:tcPr>
          <w:p w14:paraId="5B0EF74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额定载荷试验</w:t>
            </w:r>
          </w:p>
        </w:tc>
        <w:tc>
          <w:tcPr>
            <w:tcW w:w="4708" w:type="dxa"/>
            <w:vAlign w:val="center"/>
          </w:tcPr>
          <w:p w14:paraId="1E3634C9">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在最大幅度时起升额定起重量，在下降、起升过程中制动三次，以额定速度变幅，全回转。动作正确、制动可靠、钢结构正常。</w:t>
            </w:r>
          </w:p>
        </w:tc>
        <w:tc>
          <w:tcPr>
            <w:tcW w:w="1592" w:type="dxa"/>
            <w:vAlign w:val="center"/>
          </w:tcPr>
          <w:p w14:paraId="00AEDA08">
            <w:pPr>
              <w:ind w:left="0" w:leftChars="0" w:firstLine="0" w:firstLineChars="0"/>
              <w:jc w:val="center"/>
              <w:rPr>
                <w:rFonts w:hint="eastAsia" w:ascii="Times New Roman" w:hAnsi="Times New Roman" w:cs="Times New Roman"/>
                <w:sz w:val="21"/>
                <w:szCs w:val="21"/>
              </w:rPr>
            </w:pPr>
          </w:p>
        </w:tc>
      </w:tr>
      <w:tr w14:paraId="0E54D8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78780391">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5515980E">
            <w:pPr>
              <w:ind w:left="0" w:leftChars="0" w:firstLine="0" w:firstLineChars="0"/>
              <w:jc w:val="center"/>
              <w:rPr>
                <w:rFonts w:hint="eastAsia" w:ascii="Times New Roman" w:hAnsi="Times New Roman" w:cs="Times New Roman"/>
                <w:sz w:val="21"/>
                <w:szCs w:val="21"/>
              </w:rPr>
            </w:pPr>
          </w:p>
        </w:tc>
        <w:tc>
          <w:tcPr>
            <w:tcW w:w="4708" w:type="dxa"/>
            <w:vAlign w:val="center"/>
          </w:tcPr>
          <w:p w14:paraId="5BAA5DFD">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吊起最大起重量在相应的最大幅度时，起升、下降过程中制动三次，以额定速度向里变幅（动臂式不试），全回转。动作正确、制动可靠、钢结构正常。</w:t>
            </w:r>
          </w:p>
        </w:tc>
        <w:tc>
          <w:tcPr>
            <w:tcW w:w="1592" w:type="dxa"/>
            <w:vAlign w:val="center"/>
          </w:tcPr>
          <w:p w14:paraId="3DB2CE80">
            <w:pPr>
              <w:ind w:left="0" w:leftChars="0" w:firstLine="0" w:firstLineChars="0"/>
              <w:jc w:val="center"/>
              <w:rPr>
                <w:rFonts w:hint="eastAsia" w:ascii="Times New Roman" w:hAnsi="Times New Roman" w:cs="Times New Roman"/>
                <w:sz w:val="21"/>
                <w:szCs w:val="21"/>
              </w:rPr>
            </w:pPr>
          </w:p>
        </w:tc>
      </w:tr>
      <w:tr w14:paraId="290D59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30" w:type="dxa"/>
            <w:vMerge w:val="restart"/>
            <w:vAlign w:val="center"/>
          </w:tcPr>
          <w:p w14:paraId="69B98F6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20</w:t>
            </w:r>
          </w:p>
        </w:tc>
        <w:tc>
          <w:tcPr>
            <w:tcW w:w="1810" w:type="dxa"/>
            <w:vMerge w:val="restart"/>
            <w:vAlign w:val="center"/>
          </w:tcPr>
          <w:p w14:paraId="3BBD2A96">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超载10%动载试验</w:t>
            </w:r>
          </w:p>
        </w:tc>
        <w:tc>
          <w:tcPr>
            <w:tcW w:w="4708" w:type="dxa"/>
            <w:vAlign w:val="center"/>
          </w:tcPr>
          <w:p w14:paraId="77DA7B84">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最大幅度时吊起相应额定超重量的110%，以额定速度起升、下降变幅、回转。各机构运转灵活，制动可靠，连接无松动和破坏，钢结构完好正常。</w:t>
            </w:r>
          </w:p>
        </w:tc>
        <w:tc>
          <w:tcPr>
            <w:tcW w:w="1592" w:type="dxa"/>
            <w:vAlign w:val="center"/>
          </w:tcPr>
          <w:p w14:paraId="75A2DE4E">
            <w:pPr>
              <w:ind w:left="0" w:leftChars="0" w:firstLine="0" w:firstLineChars="0"/>
              <w:jc w:val="center"/>
              <w:rPr>
                <w:rFonts w:hint="eastAsia" w:ascii="Times New Roman" w:hAnsi="Times New Roman" w:cs="Times New Roman"/>
                <w:sz w:val="21"/>
                <w:szCs w:val="21"/>
              </w:rPr>
            </w:pPr>
          </w:p>
        </w:tc>
      </w:tr>
      <w:tr w14:paraId="51243D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Merge w:val="continue"/>
            <w:vAlign w:val="center"/>
          </w:tcPr>
          <w:p w14:paraId="1D6D1F1A">
            <w:pPr>
              <w:ind w:left="0" w:leftChars="0" w:firstLine="0" w:firstLineChars="0"/>
              <w:jc w:val="center"/>
              <w:rPr>
                <w:rFonts w:hint="eastAsia" w:ascii="Times New Roman" w:hAnsi="Times New Roman" w:cs="Times New Roman"/>
                <w:sz w:val="21"/>
                <w:szCs w:val="21"/>
              </w:rPr>
            </w:pPr>
          </w:p>
        </w:tc>
        <w:tc>
          <w:tcPr>
            <w:tcW w:w="1810" w:type="dxa"/>
            <w:vMerge w:val="continue"/>
            <w:vAlign w:val="center"/>
          </w:tcPr>
          <w:p w14:paraId="3C567E8D">
            <w:pPr>
              <w:ind w:left="0" w:leftChars="0" w:firstLine="0" w:firstLineChars="0"/>
              <w:jc w:val="center"/>
              <w:rPr>
                <w:rFonts w:hint="eastAsia" w:ascii="Times New Roman" w:hAnsi="Times New Roman" w:cs="Times New Roman"/>
                <w:sz w:val="21"/>
                <w:szCs w:val="21"/>
              </w:rPr>
            </w:pPr>
          </w:p>
        </w:tc>
        <w:tc>
          <w:tcPr>
            <w:tcW w:w="4708" w:type="dxa"/>
            <w:vAlign w:val="center"/>
          </w:tcPr>
          <w:p w14:paraId="22851442">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吊起最大起重量的110%，在相应的最大幅度时起升、下降变幅（向里）、回转。各机构运转灵活，制动可靠，连接无松动和破坏，钢结构完好正常。</w:t>
            </w:r>
          </w:p>
        </w:tc>
        <w:tc>
          <w:tcPr>
            <w:tcW w:w="1592" w:type="dxa"/>
            <w:vAlign w:val="center"/>
          </w:tcPr>
          <w:p w14:paraId="0F4AB206">
            <w:pPr>
              <w:ind w:left="0" w:leftChars="0" w:firstLine="0" w:firstLineChars="0"/>
              <w:jc w:val="center"/>
              <w:rPr>
                <w:rFonts w:hint="eastAsia" w:ascii="Times New Roman" w:hAnsi="Times New Roman" w:cs="Times New Roman"/>
                <w:sz w:val="21"/>
                <w:szCs w:val="21"/>
              </w:rPr>
            </w:pPr>
          </w:p>
        </w:tc>
      </w:tr>
      <w:tr w14:paraId="43CC59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430" w:type="dxa"/>
            <w:vAlign w:val="center"/>
          </w:tcPr>
          <w:p w14:paraId="1A90A87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21</w:t>
            </w:r>
          </w:p>
        </w:tc>
        <w:tc>
          <w:tcPr>
            <w:tcW w:w="1810" w:type="dxa"/>
            <w:vAlign w:val="center"/>
          </w:tcPr>
          <w:p w14:paraId="45EF720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超载25%静载试验</w:t>
            </w:r>
          </w:p>
        </w:tc>
        <w:tc>
          <w:tcPr>
            <w:tcW w:w="4708" w:type="dxa"/>
            <w:vAlign w:val="center"/>
          </w:tcPr>
          <w:p w14:paraId="27BD20A2">
            <w:pPr>
              <w:spacing w:line="240" w:lineRule="auto"/>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额定载荷的125%，以最低速度吊离地面100-200mm，停留10min。要求不下滑，卸载后，所有部件不得了现裂纹、永久变形、油漆剥落、连接松动等现象。</w:t>
            </w:r>
          </w:p>
        </w:tc>
        <w:tc>
          <w:tcPr>
            <w:tcW w:w="1592" w:type="dxa"/>
            <w:vAlign w:val="center"/>
          </w:tcPr>
          <w:p w14:paraId="1E7A5697">
            <w:pPr>
              <w:ind w:left="0" w:leftChars="0" w:firstLine="0" w:firstLineChars="0"/>
              <w:jc w:val="center"/>
              <w:rPr>
                <w:rFonts w:hint="eastAsia" w:ascii="Times New Roman" w:hAnsi="Times New Roman" w:cs="Times New Roman"/>
                <w:sz w:val="21"/>
                <w:szCs w:val="21"/>
              </w:rPr>
            </w:pPr>
          </w:p>
        </w:tc>
      </w:tr>
      <w:tr w14:paraId="5C8F5C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30" w:hRule="atLeast"/>
        </w:trPr>
        <w:tc>
          <w:tcPr>
            <w:tcW w:w="430" w:type="dxa"/>
            <w:vAlign w:val="center"/>
          </w:tcPr>
          <w:p w14:paraId="465792C3">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验收意见</w:t>
            </w:r>
          </w:p>
        </w:tc>
        <w:tc>
          <w:tcPr>
            <w:tcW w:w="8110" w:type="dxa"/>
            <w:gridSpan w:val="3"/>
            <w:vAlign w:val="center"/>
          </w:tcPr>
          <w:p w14:paraId="76F36418">
            <w:pPr>
              <w:ind w:left="0" w:leftChars="0" w:firstLine="0" w:firstLineChars="0"/>
              <w:jc w:val="center"/>
              <w:rPr>
                <w:rFonts w:hint="eastAsia" w:ascii="Times New Roman" w:hAnsi="Times New Roman" w:cs="Times New Roman"/>
                <w:sz w:val="21"/>
                <w:szCs w:val="21"/>
              </w:rPr>
            </w:pPr>
          </w:p>
          <w:p w14:paraId="0BE8752E">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 xml:space="preserve"> </w:t>
            </w:r>
          </w:p>
          <w:p w14:paraId="29386760">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 xml:space="preserve">                         安装单位公章</w:t>
            </w:r>
          </w:p>
          <w:p w14:paraId="645BF20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 xml:space="preserve">                         年  月   日</w:t>
            </w:r>
          </w:p>
        </w:tc>
      </w:tr>
      <w:tr w14:paraId="6091EE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9" w:hRule="atLeast"/>
        </w:trPr>
        <w:tc>
          <w:tcPr>
            <w:tcW w:w="430" w:type="dxa"/>
            <w:vAlign w:val="center"/>
          </w:tcPr>
          <w:p w14:paraId="5269124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验收人</w:t>
            </w:r>
          </w:p>
        </w:tc>
        <w:tc>
          <w:tcPr>
            <w:tcW w:w="8110" w:type="dxa"/>
            <w:gridSpan w:val="3"/>
            <w:vAlign w:val="center"/>
          </w:tcPr>
          <w:p w14:paraId="627C6466">
            <w:pPr>
              <w:ind w:left="0" w:leftChars="0" w:firstLine="420" w:firstLineChars="200"/>
              <w:jc w:val="both"/>
              <w:rPr>
                <w:rFonts w:hint="eastAsia" w:ascii="Times New Roman" w:hAnsi="Times New Roman" w:cs="Times New Roman"/>
                <w:sz w:val="21"/>
                <w:szCs w:val="21"/>
              </w:rPr>
            </w:pPr>
            <w:r>
              <w:rPr>
                <w:rFonts w:hint="eastAsia" w:ascii="Times New Roman" w:hAnsi="Times New Roman" w:cs="Times New Roman"/>
                <w:sz w:val="21"/>
                <w:szCs w:val="21"/>
              </w:rPr>
              <w:t>安装单位技术负责人：               使用单位设备主管：</w:t>
            </w:r>
          </w:p>
          <w:p w14:paraId="591E4DA5">
            <w:pPr>
              <w:ind w:left="0" w:leftChars="0" w:firstLine="420" w:firstLineChars="200"/>
              <w:jc w:val="both"/>
              <w:rPr>
                <w:rFonts w:hint="eastAsia" w:ascii="Times New Roman" w:hAnsi="Times New Roman" w:cs="Times New Roman"/>
                <w:sz w:val="21"/>
                <w:szCs w:val="21"/>
              </w:rPr>
            </w:pPr>
            <w:r>
              <w:rPr>
                <w:rFonts w:hint="eastAsia" w:ascii="Times New Roman" w:hAnsi="Times New Roman" w:cs="Times New Roman"/>
                <w:sz w:val="21"/>
                <w:szCs w:val="21"/>
              </w:rPr>
              <w:t xml:space="preserve">安装队长（组长）：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w:t>
            </w:r>
            <w:r>
              <w:rPr>
                <w:rFonts w:hint="eastAsia" w:ascii="Times New Roman" w:hAnsi="Times New Roman" w:cs="Times New Roman"/>
                <w:sz w:val="21"/>
                <w:szCs w:val="21"/>
                <w:lang w:val="en-US" w:eastAsia="zh-CN"/>
              </w:rPr>
              <w:t>监理</w:t>
            </w:r>
            <w:r>
              <w:rPr>
                <w:rFonts w:hint="eastAsia" w:ascii="Times New Roman" w:hAnsi="Times New Roman" w:cs="Times New Roman"/>
                <w:sz w:val="21"/>
                <w:szCs w:val="21"/>
              </w:rPr>
              <w:t>单</w:t>
            </w:r>
            <w:r>
              <w:rPr>
                <w:rFonts w:hint="eastAsia" w:ascii="Times New Roman" w:hAnsi="Times New Roman" w:cs="Times New Roman"/>
                <w:sz w:val="21"/>
                <w:szCs w:val="21"/>
                <w:lang w:val="en-US" w:eastAsia="zh-CN"/>
              </w:rPr>
              <w:t>位</w:t>
            </w:r>
            <w:r>
              <w:rPr>
                <w:rFonts w:hint="eastAsia" w:ascii="Times New Roman" w:hAnsi="Times New Roman" w:cs="Times New Roman"/>
                <w:sz w:val="21"/>
                <w:szCs w:val="21"/>
              </w:rPr>
              <w:t>：</w:t>
            </w:r>
          </w:p>
          <w:p w14:paraId="1B6454EB">
            <w:pPr>
              <w:ind w:left="0" w:leftChars="0" w:firstLine="420" w:firstLineChars="200"/>
              <w:jc w:val="both"/>
              <w:rPr>
                <w:rFonts w:hint="eastAsia" w:ascii="Times New Roman" w:hAnsi="Times New Roman" w:cs="Times New Roman"/>
                <w:sz w:val="21"/>
                <w:szCs w:val="21"/>
              </w:rPr>
            </w:pPr>
            <w:r>
              <w:rPr>
                <w:rFonts w:hint="eastAsia" w:ascii="Times New Roman" w:hAnsi="Times New Roman" w:cs="Times New Roman"/>
                <w:sz w:val="21"/>
                <w:szCs w:val="21"/>
              </w:rPr>
              <w:t>其他参检人员：</w:t>
            </w:r>
          </w:p>
        </w:tc>
      </w:tr>
      <w:tr w14:paraId="03BF3D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 w:hRule="atLeast"/>
        </w:trPr>
        <w:tc>
          <w:tcPr>
            <w:tcW w:w="430" w:type="dxa"/>
            <w:vAlign w:val="center"/>
          </w:tcPr>
          <w:p w14:paraId="69B535B1">
            <w:pPr>
              <w:ind w:left="0" w:leftChars="0"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注</w:t>
            </w:r>
          </w:p>
        </w:tc>
        <w:tc>
          <w:tcPr>
            <w:tcW w:w="8110" w:type="dxa"/>
            <w:gridSpan w:val="3"/>
            <w:vAlign w:val="center"/>
          </w:tcPr>
          <w:p w14:paraId="33B25DF0">
            <w:pPr>
              <w:ind w:left="0" w:leftChars="0" w:firstLine="0" w:firstLineChars="0"/>
              <w:jc w:val="left"/>
              <w:rPr>
                <w:rFonts w:hint="eastAsia" w:ascii="Times New Roman" w:hAnsi="Times New Roman" w:cs="Times New Roman"/>
                <w:sz w:val="21"/>
                <w:szCs w:val="21"/>
              </w:rPr>
            </w:pPr>
            <w:r>
              <w:rPr>
                <w:rFonts w:hint="eastAsia" w:ascii="Times New Roman" w:hAnsi="Times New Roman" w:cs="Times New Roman"/>
                <w:sz w:val="21"/>
                <w:szCs w:val="21"/>
              </w:rPr>
              <w:t>检查记录栏能填写具体数据的应尽量填写具体数据，检查有问题的应注明引起问题的原因</w:t>
            </w:r>
          </w:p>
        </w:tc>
      </w:tr>
    </w:tbl>
    <w:p w14:paraId="1FFDAA79">
      <w:pPr>
        <w:ind w:firstLine="0" w:firstLineChars="0"/>
        <w:rPr>
          <w:rFonts w:hint="eastAsia" w:cs="宋体"/>
          <w:color w:val="auto"/>
        </w:rPr>
      </w:pPr>
    </w:p>
    <w:sectPr>
      <w:headerReference r:id="rId13" w:type="default"/>
      <w:footerReference r:id="rId14" w:type="default"/>
      <w:pgSz w:w="11906" w:h="16838"/>
      <w:pgMar w:top="1440" w:right="1633" w:bottom="1440" w:left="1633"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9DED">
    <w:pPr>
      <w:pStyle w:val="20"/>
      <w:ind w:firstLine="360"/>
      <w:jc w:val="center"/>
      <w:rPr>
        <w:rFonts w:hint="eastAsia"/>
      </w:rPr>
    </w:pPr>
  </w:p>
  <w:p w14:paraId="1EC97447">
    <w:pPr>
      <w:pStyle w:val="20"/>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3807B">
    <w:pPr>
      <w:pStyle w:val="20"/>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DF885">
    <w:pPr>
      <w:pStyle w:val="20"/>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764C">
    <w:pPr>
      <w:pStyle w:val="20"/>
      <w:ind w:firstLine="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20C942A">
                          <w:pPr>
                            <w:pStyle w:val="20"/>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5"/>
                          </w:pP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OqXm5zwAAAAUBAAAP&#10;AAAAAAAAAAEAIAAAACIAAABkcnMvZG93bnJldi54bWxQSwECFAAUAAAACACHTuJAi5uVjOgBAADL&#10;AwAADgAAAAAAAAABACAAAAAeAQAAZHJzL2Uyb0RvYy54bWxQSwUGAAAAAAYABgBZAQAAeAUAAAAA&#10;">
              <v:fill on="f" focussize="0,0"/>
              <v:stroke on="f"/>
              <v:imagedata o:title=""/>
              <o:lock v:ext="edit" aspectratio="f"/>
              <v:textbox inset="0mm,0mm,0mm,0mm" style="mso-fit-shape-to-text:t;">
                <w:txbxContent>
                  <w:p w14:paraId="620C942A">
                    <w:pPr>
                      <w:pStyle w:val="20"/>
                      <w:ind w:firstLine="360"/>
                      <w:jc w:val="center"/>
                      <w:rPr>
                        <w:rFonts w:hint="eastAsia" w:cs="宋体"/>
                      </w:rPr>
                    </w:pPr>
                    <w:r>
                      <w:rPr>
                        <w:rFonts w:hint="eastAsia" w:cs="宋体"/>
                      </w:rPr>
                      <w:fldChar w:fldCharType="begin"/>
                    </w:r>
                    <w:r>
                      <w:rPr>
                        <w:rFonts w:hint="eastAsia" w:cs="宋体"/>
                      </w:rPr>
                      <w:instrText xml:space="preserve">PAGE   \* MERGEFORMAT</w:instrText>
                    </w:r>
                    <w:r>
                      <w:rPr>
                        <w:rFonts w:hint="eastAsia" w:cs="宋体"/>
                      </w:rPr>
                      <w:fldChar w:fldCharType="separate"/>
                    </w:r>
                    <w:r>
                      <w:rPr>
                        <w:rFonts w:hint="eastAsia" w:cs="宋体"/>
                        <w:lang w:val="zh-CN"/>
                      </w:rPr>
                      <w:t>2</w:t>
                    </w:r>
                    <w:r>
                      <w:rPr>
                        <w:rFonts w:hint="eastAsia" w:cs="宋体"/>
                        <w:lang w:val="zh-CN"/>
                      </w:rPr>
                      <w:fldChar w:fldCharType="end"/>
                    </w:r>
                  </w:p>
                  <w:p w14:paraId="179CFE75">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91F1">
    <w:pPr>
      <w:pStyle w:val="20"/>
      <w:ind w:firstLine="36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419"/>
                          </w:sdtPr>
                          <w:sdtContent>
                            <w:p w14:paraId="3B0BBAD5">
                              <w:pPr>
                                <w:pStyle w:val="20"/>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sdt>
                    <w:sdtPr>
                      <w:id w:val="147468419"/>
                    </w:sdtPr>
                    <w:sdtContent>
                      <w:p w14:paraId="3B0BBAD5">
                        <w:pPr>
                          <w:pStyle w:val="20"/>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0B5498">
                    <w:pPr>
                      <w:ind w:firstLine="480"/>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DC82">
    <w:pPr>
      <w:pStyle w:val="21"/>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ED4C2">
    <w:pPr>
      <w:pStyle w:val="21"/>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0FB8">
    <w:pPr>
      <w:pStyle w:val="21"/>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4F415">
    <w:pPr>
      <w:pStyle w:val="21"/>
      <w:pBdr>
        <w:bottom w:val="single" w:color="auto" w:sz="4" w:space="1"/>
      </w:pBdr>
      <w:ind w:firstLine="0" w:firstLineChars="0"/>
      <w:jc w:val="both"/>
      <w:rPr>
        <w:rFonts w:hint="eastAsia" w:cs="宋体"/>
      </w:rPr>
    </w:pPr>
    <w:r>
      <w:rPr>
        <w:rFonts w:hint="eastAsia" w:cs="宋体"/>
      </w:rPr>
      <w:t>新建文山至蒙自铁路站前工程WMZQ-1标</w:t>
    </w:r>
    <w:r>
      <w:rPr>
        <w:rFonts w:hint="eastAsia" w:cs="宋体"/>
        <w:lang w:val="en-US" w:eastAsia="zh-CN"/>
      </w:rPr>
      <w:t xml:space="preserve">               盘龙河三号</w:t>
    </w:r>
    <w:r>
      <w:rPr>
        <w:rFonts w:hint="eastAsia" w:cs="宋体"/>
      </w:rPr>
      <w:t>特大桥塔式起重机安装拆卸专项施工方案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2C7">
    <w:pPr>
      <w:pStyle w:val="21"/>
      <w:pBdr>
        <w:bottom w:val="single" w:color="auto" w:sz="4" w:space="1"/>
      </w:pBdr>
      <w:ind w:firstLine="0" w:firstLineChars="0"/>
      <w:jc w:val="both"/>
      <w:rPr>
        <w:rFonts w:hint="eastAsia" w:cs="宋体"/>
      </w:rPr>
    </w:pPr>
    <w:r>
      <w:rPr>
        <w:rFonts w:hint="eastAsia" w:cs="宋体"/>
      </w:rPr>
      <w:t>新建文山至蒙自铁路站前工程WMZQ-1标</w:t>
    </w:r>
    <w:r>
      <w:rPr>
        <w:rFonts w:hint="eastAsia" w:cs="宋体"/>
        <w:lang w:val="en-US" w:eastAsia="zh-CN"/>
      </w:rPr>
      <w:t xml:space="preserve">              盘龙河三号</w:t>
    </w:r>
    <w:r>
      <w:rPr>
        <w:rFonts w:hint="eastAsia" w:cs="宋体"/>
      </w:rPr>
      <w:t>特大桥塔式起重机安装拆卸专项施工方案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328AAF"/>
    <w:multiLevelType w:val="singleLevel"/>
    <w:tmpl w:val="9D328AAF"/>
    <w:lvl w:ilvl="0" w:tentative="0">
      <w:start w:val="1"/>
      <w:numFmt w:val="decimal"/>
      <w:suff w:val="nothing"/>
      <w:lvlText w:val="%1"/>
      <w:lvlJc w:val="left"/>
      <w:pPr>
        <w:tabs>
          <w:tab w:val="left" w:pos="0"/>
        </w:tabs>
        <w:ind w:left="425" w:hanging="425"/>
      </w:pPr>
      <w:rPr>
        <w:rFonts w:hint="default"/>
      </w:rPr>
    </w:lvl>
  </w:abstractNum>
  <w:abstractNum w:abstractNumId="1">
    <w:nsid w:val="C6D73433"/>
    <w:multiLevelType w:val="singleLevel"/>
    <w:tmpl w:val="C6D73433"/>
    <w:lvl w:ilvl="0" w:tentative="0">
      <w:start w:val="1"/>
      <w:numFmt w:val="decimal"/>
      <w:suff w:val="nothing"/>
      <w:lvlText w:val="%1)"/>
      <w:lvlJc w:val="left"/>
      <w:pPr>
        <w:ind w:left="425" w:hanging="425"/>
      </w:pPr>
      <w:rPr>
        <w:rFonts w:hint="default"/>
      </w:rPr>
    </w:lvl>
  </w:abstractNum>
  <w:abstractNum w:abstractNumId="2">
    <w:nsid w:val="C722D348"/>
    <w:multiLevelType w:val="multilevel"/>
    <w:tmpl w:val="C722D348"/>
    <w:lvl w:ilvl="0" w:tentative="0">
      <w:start w:val="7"/>
      <w:numFmt w:val="decimal"/>
      <w:lvlText w:val="%1."/>
      <w:lvlJc w:val="left"/>
      <w:pPr>
        <w:ind w:left="425" w:hanging="425"/>
      </w:pPr>
      <w:rPr>
        <w:rFonts w:hint="default"/>
      </w:rPr>
    </w:lvl>
    <w:lvl w:ilvl="1" w:tentative="0">
      <w:start w:val="4"/>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C8066441"/>
    <w:multiLevelType w:val="singleLevel"/>
    <w:tmpl w:val="C8066441"/>
    <w:lvl w:ilvl="0" w:tentative="0">
      <w:start w:val="1"/>
      <w:numFmt w:val="decimal"/>
      <w:suff w:val="nothing"/>
      <w:lvlText w:val="%1"/>
      <w:lvlJc w:val="left"/>
      <w:pPr>
        <w:tabs>
          <w:tab w:val="left" w:pos="0"/>
        </w:tabs>
        <w:ind w:left="425" w:hanging="425"/>
      </w:pPr>
      <w:rPr>
        <w:rFonts w:hint="default"/>
      </w:rPr>
    </w:lvl>
  </w:abstractNum>
  <w:abstractNum w:abstractNumId="4">
    <w:nsid w:val="CE3357DE"/>
    <w:multiLevelType w:val="singleLevel"/>
    <w:tmpl w:val="CE3357DE"/>
    <w:lvl w:ilvl="0" w:tentative="0">
      <w:start w:val="1"/>
      <w:numFmt w:val="upperLetter"/>
      <w:suff w:val="nothing"/>
      <w:lvlText w:val="%1."/>
      <w:lvlJc w:val="left"/>
      <w:pPr>
        <w:ind w:left="0" w:leftChars="0" w:firstLine="0" w:firstLineChars="0"/>
      </w:pPr>
      <w:rPr>
        <w:rFonts w:hint="default"/>
      </w:rPr>
    </w:lvl>
  </w:abstractNum>
  <w:abstractNum w:abstractNumId="5">
    <w:nsid w:val="DBE06C9C"/>
    <w:multiLevelType w:val="singleLevel"/>
    <w:tmpl w:val="DBE06C9C"/>
    <w:lvl w:ilvl="0" w:tentative="0">
      <w:start w:val="1"/>
      <w:numFmt w:val="decimal"/>
      <w:suff w:val="nothing"/>
      <w:lvlText w:val="（%1）"/>
      <w:lvlJc w:val="left"/>
    </w:lvl>
  </w:abstractNum>
  <w:abstractNum w:abstractNumId="6">
    <w:nsid w:val="E44C1380"/>
    <w:multiLevelType w:val="singleLevel"/>
    <w:tmpl w:val="E44C1380"/>
    <w:lvl w:ilvl="0" w:tentative="0">
      <w:start w:val="1"/>
      <w:numFmt w:val="decimal"/>
      <w:suff w:val="nothing"/>
      <w:lvlText w:val="%1"/>
      <w:lvlJc w:val="left"/>
      <w:pPr>
        <w:tabs>
          <w:tab w:val="left" w:pos="0"/>
        </w:tabs>
        <w:ind w:left="425" w:hanging="425"/>
      </w:pPr>
      <w:rPr>
        <w:rFonts w:hint="default"/>
      </w:rPr>
    </w:lvl>
  </w:abstractNum>
  <w:abstractNum w:abstractNumId="7">
    <w:nsid w:val="00417132"/>
    <w:multiLevelType w:val="singleLevel"/>
    <w:tmpl w:val="00417132"/>
    <w:lvl w:ilvl="0" w:tentative="0">
      <w:start w:val="1"/>
      <w:numFmt w:val="decimal"/>
      <w:suff w:val="nothing"/>
      <w:lvlText w:val="(%1)"/>
      <w:lvlJc w:val="left"/>
      <w:pPr>
        <w:ind w:left="425" w:hanging="425"/>
      </w:pPr>
      <w:rPr>
        <w:rFonts w:hint="default"/>
      </w:rPr>
    </w:lvl>
  </w:abstractNum>
  <w:abstractNum w:abstractNumId="8">
    <w:nsid w:val="008D50B1"/>
    <w:multiLevelType w:val="multilevel"/>
    <w:tmpl w:val="008D50B1"/>
    <w:lvl w:ilvl="0" w:tentative="0">
      <w:start w:val="1"/>
      <w:numFmt w:val="chineseCountingThousand"/>
      <w:suff w:val="space"/>
      <w:lvlText w:val="第%1章 "/>
      <w:lvlJc w:val="left"/>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103"/>
      <w:isLgl/>
      <w:suff w:val="space"/>
      <w:lvlText w:val="%1.%2 "/>
      <w:lvlJc w:val="left"/>
      <w:pPr>
        <w:ind w:left="0" w:firstLine="0"/>
      </w:pPr>
      <w:rPr>
        <w:rFonts w:hint="eastAsia" w:ascii="黑体" w:eastAsia="黑体" w:hAnsiTheme="majorHAnsi"/>
        <w:b/>
        <w:i w:val="0"/>
        <w:caps w:val="0"/>
        <w:strike w:val="0"/>
        <w:dstrike w:val="0"/>
        <w:vanish w:val="0"/>
        <w:sz w:val="28"/>
        <w:vertAlign w:val="baseline"/>
      </w:rPr>
    </w:lvl>
    <w:lvl w:ilvl="2" w:tentative="0">
      <w:start w:val="1"/>
      <w:numFmt w:val="decimal"/>
      <w:pStyle w:val="104"/>
      <w:isLgl/>
      <w:suff w:val="space"/>
      <w:lvlText w:val="%1.%2.%3 "/>
      <w:lvlJc w:val="left"/>
      <w:pPr>
        <w:ind w:left="1021" w:firstLine="539"/>
      </w:pPr>
      <w:rPr>
        <w:rFonts w:hint="eastAsia" w:ascii="黑体" w:eastAsia="黑体"/>
        <w:b/>
        <w:i w:val="0"/>
        <w:caps w:val="0"/>
        <w:strike w:val="0"/>
        <w:dstrike w:val="0"/>
        <w:vanish w:val="0"/>
        <w:sz w:val="28"/>
        <w:vertAlign w:val="baseline"/>
      </w:rPr>
    </w:lvl>
    <w:lvl w:ilvl="3" w:tentative="0">
      <w:start w:val="1"/>
      <w:numFmt w:val="decimal"/>
      <w:isLgl/>
      <w:suff w:val="space"/>
      <w:lvlText w:val="%1.%2.%3.%4 "/>
      <w:lvlJc w:val="left"/>
      <w:pPr>
        <w:ind w:left="0" w:firstLine="539"/>
      </w:pPr>
      <w:rPr>
        <w:rFonts w:hint="eastAsia" w:ascii="黑体" w:eastAsia="黑体"/>
        <w:b w:val="0"/>
        <w:i w:val="0"/>
        <w:caps w:val="0"/>
        <w:strike w:val="0"/>
        <w:dstrike w:val="0"/>
        <w:vanish w:val="0"/>
        <w:sz w:val="28"/>
        <w:vertAlign w:val="baseline"/>
      </w:rPr>
    </w:lvl>
    <w:lvl w:ilvl="4" w:tentative="0">
      <w:start w:val="1"/>
      <w:numFmt w:val="decimal"/>
      <w:lvlRestart w:val="2"/>
      <w:pStyle w:val="106"/>
      <w:isLgl/>
      <w:suff w:val="space"/>
      <w:lvlText w:val="图%1.%2-%5 "/>
      <w:lvlJc w:val="left"/>
      <w:pPr>
        <w:ind w:left="0" w:firstLine="0"/>
      </w:pPr>
      <w:rPr>
        <w:rFonts w:hint="eastAsia" w:ascii="黑体" w:eastAsia="黑体"/>
        <w:caps w:val="0"/>
        <w:strike w:val="0"/>
        <w:dstrike w:val="0"/>
        <w:vanish w:val="0"/>
        <w:sz w:val="21"/>
        <w:vertAlign w:val="baseline"/>
      </w:rPr>
    </w:lvl>
    <w:lvl w:ilvl="5" w:tentative="0">
      <w:start w:val="1"/>
      <w:numFmt w:val="decimal"/>
      <w:lvlRestart w:val="2"/>
      <w:pStyle w:val="105"/>
      <w:isLgl/>
      <w:suff w:val="space"/>
      <w:lvlText w:val="表%1.%2-%6 "/>
      <w:lvlJc w:val="left"/>
      <w:pPr>
        <w:ind w:left="0" w:firstLine="0"/>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9">
    <w:nsid w:val="1432DFA2"/>
    <w:multiLevelType w:val="singleLevel"/>
    <w:tmpl w:val="1432DFA2"/>
    <w:lvl w:ilvl="0" w:tentative="0">
      <w:start w:val="1"/>
      <w:numFmt w:val="decimal"/>
      <w:suff w:val="nothing"/>
      <w:lvlText w:val="%1．"/>
      <w:lvlJc w:val="left"/>
      <w:pPr>
        <w:ind w:left="0" w:firstLine="400"/>
      </w:pPr>
      <w:rPr>
        <w:rFonts w:hint="default"/>
      </w:rPr>
    </w:lvl>
  </w:abstractNum>
  <w:abstractNum w:abstractNumId="10">
    <w:nsid w:val="1FC6B92C"/>
    <w:multiLevelType w:val="singleLevel"/>
    <w:tmpl w:val="1FC6B92C"/>
    <w:lvl w:ilvl="0" w:tentative="0">
      <w:start w:val="1"/>
      <w:numFmt w:val="decimal"/>
      <w:suff w:val="nothing"/>
      <w:lvlText w:val="（%1）"/>
      <w:lvlJc w:val="left"/>
    </w:lvl>
  </w:abstractNum>
  <w:abstractNum w:abstractNumId="11">
    <w:nsid w:val="27D0791C"/>
    <w:multiLevelType w:val="singleLevel"/>
    <w:tmpl w:val="27D0791C"/>
    <w:lvl w:ilvl="0" w:tentative="0">
      <w:start w:val="1"/>
      <w:numFmt w:val="decimal"/>
      <w:suff w:val="nothing"/>
      <w:lvlText w:val="%1)"/>
      <w:lvlJc w:val="left"/>
      <w:pPr>
        <w:ind w:left="425" w:hanging="425"/>
      </w:pPr>
      <w:rPr>
        <w:rFonts w:hint="default"/>
      </w:rPr>
    </w:lvl>
  </w:abstractNum>
  <w:abstractNum w:abstractNumId="12">
    <w:nsid w:val="3B77DC00"/>
    <w:multiLevelType w:val="singleLevel"/>
    <w:tmpl w:val="3B77DC00"/>
    <w:lvl w:ilvl="0" w:tentative="0">
      <w:start w:val="1"/>
      <w:numFmt w:val="decimal"/>
      <w:suff w:val="nothing"/>
      <w:lvlText w:val="(%1)"/>
      <w:lvlJc w:val="left"/>
    </w:lvl>
  </w:abstractNum>
  <w:abstractNum w:abstractNumId="13">
    <w:nsid w:val="3B9CC4C5"/>
    <w:multiLevelType w:val="multilevel"/>
    <w:tmpl w:val="3B9CC4C5"/>
    <w:lvl w:ilvl="0" w:tentative="0">
      <w:start w:val="6"/>
      <w:numFmt w:val="decimal"/>
      <w:lvlText w:val="%1."/>
      <w:lvlJc w:val="left"/>
      <w:pPr>
        <w:ind w:left="425" w:hanging="425"/>
      </w:pPr>
      <w:rPr>
        <w:rFonts w:hint="default"/>
      </w:rPr>
    </w:lvl>
    <w:lvl w:ilvl="1" w:tentative="0">
      <w:start w:val="10"/>
      <w:numFmt w:val="decimal"/>
      <w:lvlText w:val="%1.%2."/>
      <w:lvlJc w:val="left"/>
      <w:pPr>
        <w:tabs>
          <w:tab w:val="left" w:pos="420"/>
        </w:tabs>
        <w:ind w:left="567" w:hanging="567"/>
      </w:pPr>
      <w:rPr>
        <w:rFonts w:hint="default"/>
      </w:rPr>
    </w:lvl>
    <w:lvl w:ilvl="2" w:tentative="0">
      <w:start w:val="1"/>
      <w:numFmt w:val="decimal"/>
      <w:suff w:val="nothing"/>
      <w:lvlText w:val="%1.%2.%3."/>
      <w:lvlJc w:val="left"/>
      <w:pPr>
        <w:tabs>
          <w:tab w:val="left" w:pos="0"/>
        </w:tabs>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abstractNum w:abstractNumId="15">
    <w:nsid w:val="403B6B6A"/>
    <w:multiLevelType w:val="singleLevel"/>
    <w:tmpl w:val="403B6B6A"/>
    <w:lvl w:ilvl="0" w:tentative="0">
      <w:start w:val="11"/>
      <w:numFmt w:val="upperLetter"/>
      <w:suff w:val="nothing"/>
      <w:lvlText w:val="%1-"/>
      <w:lvlJc w:val="left"/>
    </w:lvl>
  </w:abstractNum>
  <w:abstractNum w:abstractNumId="16">
    <w:nsid w:val="47E6CD27"/>
    <w:multiLevelType w:val="multilevel"/>
    <w:tmpl w:val="47E6CD27"/>
    <w:lvl w:ilvl="0" w:tentative="0">
      <w:start w:val="7"/>
      <w:numFmt w:val="decimal"/>
      <w:lvlText w:val="%1."/>
      <w:lvlJc w:val="left"/>
      <w:pPr>
        <w:ind w:left="425" w:hanging="425"/>
      </w:pPr>
      <w:rPr>
        <w:rFonts w:hint="default"/>
      </w:rPr>
    </w:lvl>
    <w:lvl w:ilvl="1" w:tentative="0">
      <w:start w:val="1"/>
      <w:numFmt w:val="decimal"/>
      <w:suff w:val="nothing"/>
      <w:lvlText w:val="%1.%2."/>
      <w:lvlJc w:val="left"/>
      <w:pPr>
        <w:ind w:left="104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D014376"/>
    <w:multiLevelType w:val="multilevel"/>
    <w:tmpl w:val="5D01437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DE3C273"/>
    <w:multiLevelType w:val="singleLevel"/>
    <w:tmpl w:val="6DE3C273"/>
    <w:lvl w:ilvl="0" w:tentative="0">
      <w:start w:val="1"/>
      <w:numFmt w:val="decimal"/>
      <w:suff w:val="nothing"/>
      <w:lvlText w:val="%1．"/>
      <w:lvlJc w:val="left"/>
      <w:pPr>
        <w:ind w:left="0" w:firstLine="400"/>
      </w:pPr>
      <w:rPr>
        <w:rFonts w:hint="default"/>
      </w:rPr>
    </w:lvl>
  </w:abstractNum>
  <w:num w:numId="1">
    <w:abstractNumId w:val="14"/>
  </w:num>
  <w:num w:numId="2">
    <w:abstractNumId w:val="8"/>
  </w:num>
  <w:num w:numId="3">
    <w:abstractNumId w:val="0"/>
  </w:num>
  <w:num w:numId="4">
    <w:abstractNumId w:val="3"/>
  </w:num>
  <w:num w:numId="5">
    <w:abstractNumId w:val="6"/>
  </w:num>
  <w:num w:numId="6">
    <w:abstractNumId w:val="15"/>
  </w:num>
  <w:num w:numId="7">
    <w:abstractNumId w:val="17"/>
  </w:num>
  <w:num w:numId="8">
    <w:abstractNumId w:val="11"/>
  </w:num>
  <w:num w:numId="9">
    <w:abstractNumId w:val="1"/>
  </w:num>
  <w:num w:numId="10">
    <w:abstractNumId w:val="10"/>
  </w:num>
  <w:num w:numId="11">
    <w:abstractNumId w:val="4"/>
  </w:num>
  <w:num w:numId="12">
    <w:abstractNumId w:val="13"/>
  </w:num>
  <w:num w:numId="13">
    <w:abstractNumId w:val="16"/>
  </w:num>
  <w:num w:numId="14">
    <w:abstractNumId w:val="12"/>
  </w:num>
  <w:num w:numId="15">
    <w:abstractNumId w:val="2"/>
  </w:num>
  <w:num w:numId="16">
    <w:abstractNumId w:val="9"/>
  </w:num>
  <w:num w:numId="17">
    <w:abstractNumId w:val="18"/>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YzY5MmVlMzE0MDZjNTk4NmVhMjQxOTc3OWVmZTAifQ=="/>
  </w:docVars>
  <w:rsids>
    <w:rsidRoot w:val="00A83AE5"/>
    <w:rsid w:val="00032F7A"/>
    <w:rsid w:val="000351C6"/>
    <w:rsid w:val="000A21F7"/>
    <w:rsid w:val="000B44D3"/>
    <w:rsid w:val="000E7B1F"/>
    <w:rsid w:val="00135135"/>
    <w:rsid w:val="00155351"/>
    <w:rsid w:val="00190460"/>
    <w:rsid w:val="001A00E6"/>
    <w:rsid w:val="001C5ABB"/>
    <w:rsid w:val="001F010A"/>
    <w:rsid w:val="00212915"/>
    <w:rsid w:val="00214EA5"/>
    <w:rsid w:val="00242597"/>
    <w:rsid w:val="002527A1"/>
    <w:rsid w:val="00290E29"/>
    <w:rsid w:val="002B163B"/>
    <w:rsid w:val="002C6715"/>
    <w:rsid w:val="002D43CB"/>
    <w:rsid w:val="002F435B"/>
    <w:rsid w:val="00302B59"/>
    <w:rsid w:val="00305CE7"/>
    <w:rsid w:val="0033339C"/>
    <w:rsid w:val="003759D1"/>
    <w:rsid w:val="003D1533"/>
    <w:rsid w:val="003E7FD3"/>
    <w:rsid w:val="003F2D7C"/>
    <w:rsid w:val="003F60EF"/>
    <w:rsid w:val="0041255D"/>
    <w:rsid w:val="00416146"/>
    <w:rsid w:val="00417EF4"/>
    <w:rsid w:val="004628D8"/>
    <w:rsid w:val="004E2611"/>
    <w:rsid w:val="004F0116"/>
    <w:rsid w:val="0050638A"/>
    <w:rsid w:val="00511A84"/>
    <w:rsid w:val="005145CA"/>
    <w:rsid w:val="005301B0"/>
    <w:rsid w:val="0055722E"/>
    <w:rsid w:val="00562A1A"/>
    <w:rsid w:val="00566E85"/>
    <w:rsid w:val="00586FEC"/>
    <w:rsid w:val="0059736A"/>
    <w:rsid w:val="005B7974"/>
    <w:rsid w:val="00634A41"/>
    <w:rsid w:val="00645594"/>
    <w:rsid w:val="006744FB"/>
    <w:rsid w:val="006B4C16"/>
    <w:rsid w:val="007044A5"/>
    <w:rsid w:val="00733D57"/>
    <w:rsid w:val="00752E4F"/>
    <w:rsid w:val="007A51C3"/>
    <w:rsid w:val="007C7EAB"/>
    <w:rsid w:val="007D583D"/>
    <w:rsid w:val="007E66F6"/>
    <w:rsid w:val="00822455"/>
    <w:rsid w:val="00831BB4"/>
    <w:rsid w:val="00841968"/>
    <w:rsid w:val="00880C79"/>
    <w:rsid w:val="00887250"/>
    <w:rsid w:val="00893649"/>
    <w:rsid w:val="008B5119"/>
    <w:rsid w:val="008F7B70"/>
    <w:rsid w:val="008F7CAF"/>
    <w:rsid w:val="00913574"/>
    <w:rsid w:val="00914725"/>
    <w:rsid w:val="00917D51"/>
    <w:rsid w:val="00936EC3"/>
    <w:rsid w:val="00952D34"/>
    <w:rsid w:val="009C4F2B"/>
    <w:rsid w:val="009E5FE7"/>
    <w:rsid w:val="00A00D2D"/>
    <w:rsid w:val="00A038F4"/>
    <w:rsid w:val="00A0717A"/>
    <w:rsid w:val="00A12ADD"/>
    <w:rsid w:val="00A16C0E"/>
    <w:rsid w:val="00A17F70"/>
    <w:rsid w:val="00A3684A"/>
    <w:rsid w:val="00A375A7"/>
    <w:rsid w:val="00A520EC"/>
    <w:rsid w:val="00A6244D"/>
    <w:rsid w:val="00A83AD0"/>
    <w:rsid w:val="00A83AE5"/>
    <w:rsid w:val="00A971DA"/>
    <w:rsid w:val="00B04906"/>
    <w:rsid w:val="00B209CA"/>
    <w:rsid w:val="00B26C12"/>
    <w:rsid w:val="00B353B9"/>
    <w:rsid w:val="00B63486"/>
    <w:rsid w:val="00C071FB"/>
    <w:rsid w:val="00C10015"/>
    <w:rsid w:val="00C74B1D"/>
    <w:rsid w:val="00C871F7"/>
    <w:rsid w:val="00CA3E4A"/>
    <w:rsid w:val="00CC7C0E"/>
    <w:rsid w:val="00CE52B8"/>
    <w:rsid w:val="00D017E5"/>
    <w:rsid w:val="00D242B6"/>
    <w:rsid w:val="00D278C8"/>
    <w:rsid w:val="00D45CF7"/>
    <w:rsid w:val="00D51878"/>
    <w:rsid w:val="00D81DA1"/>
    <w:rsid w:val="00D86A23"/>
    <w:rsid w:val="00DC19CB"/>
    <w:rsid w:val="00DD3F7D"/>
    <w:rsid w:val="00E12308"/>
    <w:rsid w:val="00E1410C"/>
    <w:rsid w:val="00E95587"/>
    <w:rsid w:val="00EB60B2"/>
    <w:rsid w:val="00EE3A01"/>
    <w:rsid w:val="00F04673"/>
    <w:rsid w:val="00F6673C"/>
    <w:rsid w:val="00F82BAA"/>
    <w:rsid w:val="00F95544"/>
    <w:rsid w:val="00FE269E"/>
    <w:rsid w:val="01006DF2"/>
    <w:rsid w:val="0127269D"/>
    <w:rsid w:val="012878FE"/>
    <w:rsid w:val="01317F69"/>
    <w:rsid w:val="013D5FBE"/>
    <w:rsid w:val="013E4434"/>
    <w:rsid w:val="01453A14"/>
    <w:rsid w:val="015253D2"/>
    <w:rsid w:val="016814B1"/>
    <w:rsid w:val="01785B98"/>
    <w:rsid w:val="0182106A"/>
    <w:rsid w:val="018267F2"/>
    <w:rsid w:val="01A52705"/>
    <w:rsid w:val="01B36BD0"/>
    <w:rsid w:val="01B70956"/>
    <w:rsid w:val="01C71A8A"/>
    <w:rsid w:val="01CA5CC8"/>
    <w:rsid w:val="01CF1530"/>
    <w:rsid w:val="01D657BB"/>
    <w:rsid w:val="01D73961"/>
    <w:rsid w:val="01F62F61"/>
    <w:rsid w:val="0206306B"/>
    <w:rsid w:val="020E5AC9"/>
    <w:rsid w:val="021B0334"/>
    <w:rsid w:val="02363E28"/>
    <w:rsid w:val="023D14B8"/>
    <w:rsid w:val="024B3AE7"/>
    <w:rsid w:val="024F32C4"/>
    <w:rsid w:val="027F6AB2"/>
    <w:rsid w:val="02810A7C"/>
    <w:rsid w:val="02840426"/>
    <w:rsid w:val="0284056C"/>
    <w:rsid w:val="028574C3"/>
    <w:rsid w:val="0288005D"/>
    <w:rsid w:val="028E13EB"/>
    <w:rsid w:val="029562D6"/>
    <w:rsid w:val="02AF383B"/>
    <w:rsid w:val="02BE10CC"/>
    <w:rsid w:val="02C362F0"/>
    <w:rsid w:val="02C941D1"/>
    <w:rsid w:val="02CC49C1"/>
    <w:rsid w:val="02D05D23"/>
    <w:rsid w:val="02D945BF"/>
    <w:rsid w:val="02DB2FCC"/>
    <w:rsid w:val="02E6168A"/>
    <w:rsid w:val="02E9000B"/>
    <w:rsid w:val="02F35D20"/>
    <w:rsid w:val="03060F81"/>
    <w:rsid w:val="031B62B7"/>
    <w:rsid w:val="033E4BBF"/>
    <w:rsid w:val="03411FB9"/>
    <w:rsid w:val="035000AB"/>
    <w:rsid w:val="0361265C"/>
    <w:rsid w:val="036A3943"/>
    <w:rsid w:val="036B5288"/>
    <w:rsid w:val="036D6950"/>
    <w:rsid w:val="037118E4"/>
    <w:rsid w:val="03A76C6E"/>
    <w:rsid w:val="03BA222B"/>
    <w:rsid w:val="03D1158F"/>
    <w:rsid w:val="03E11F9B"/>
    <w:rsid w:val="03E77005"/>
    <w:rsid w:val="03EC63C9"/>
    <w:rsid w:val="04114082"/>
    <w:rsid w:val="043E3628"/>
    <w:rsid w:val="04402271"/>
    <w:rsid w:val="045621C5"/>
    <w:rsid w:val="04564DE0"/>
    <w:rsid w:val="04605389"/>
    <w:rsid w:val="046057CC"/>
    <w:rsid w:val="047D2F71"/>
    <w:rsid w:val="048E2C65"/>
    <w:rsid w:val="049251C3"/>
    <w:rsid w:val="04A96068"/>
    <w:rsid w:val="04C035DB"/>
    <w:rsid w:val="04CB4231"/>
    <w:rsid w:val="04D70A40"/>
    <w:rsid w:val="04F01EE9"/>
    <w:rsid w:val="04FD0C1C"/>
    <w:rsid w:val="05047743"/>
    <w:rsid w:val="05094D59"/>
    <w:rsid w:val="05186F3E"/>
    <w:rsid w:val="051E0804"/>
    <w:rsid w:val="05234C3E"/>
    <w:rsid w:val="05241B93"/>
    <w:rsid w:val="052B1173"/>
    <w:rsid w:val="0534627A"/>
    <w:rsid w:val="05360D72"/>
    <w:rsid w:val="053E7BB0"/>
    <w:rsid w:val="0571302A"/>
    <w:rsid w:val="05917228"/>
    <w:rsid w:val="05A86320"/>
    <w:rsid w:val="05AF3484"/>
    <w:rsid w:val="05CF1AFF"/>
    <w:rsid w:val="05DE16D7"/>
    <w:rsid w:val="05F6352F"/>
    <w:rsid w:val="05FE23E4"/>
    <w:rsid w:val="0616772D"/>
    <w:rsid w:val="06304C93"/>
    <w:rsid w:val="06385001"/>
    <w:rsid w:val="06441289"/>
    <w:rsid w:val="064F3545"/>
    <w:rsid w:val="066C1A43"/>
    <w:rsid w:val="067A5F0E"/>
    <w:rsid w:val="067F1777"/>
    <w:rsid w:val="067F1A0F"/>
    <w:rsid w:val="0680104B"/>
    <w:rsid w:val="06824DC3"/>
    <w:rsid w:val="068B1EC9"/>
    <w:rsid w:val="069A035E"/>
    <w:rsid w:val="06A27D82"/>
    <w:rsid w:val="06A74829"/>
    <w:rsid w:val="06AF200D"/>
    <w:rsid w:val="06B036DE"/>
    <w:rsid w:val="06B31420"/>
    <w:rsid w:val="06B331CE"/>
    <w:rsid w:val="06C929F2"/>
    <w:rsid w:val="06CE625A"/>
    <w:rsid w:val="06DD114A"/>
    <w:rsid w:val="06E21E94"/>
    <w:rsid w:val="06F37A6F"/>
    <w:rsid w:val="07026C51"/>
    <w:rsid w:val="07034156"/>
    <w:rsid w:val="07035F04"/>
    <w:rsid w:val="071A68E6"/>
    <w:rsid w:val="072639A0"/>
    <w:rsid w:val="07353D1F"/>
    <w:rsid w:val="0737795B"/>
    <w:rsid w:val="07395EC4"/>
    <w:rsid w:val="074958E1"/>
    <w:rsid w:val="076D38BD"/>
    <w:rsid w:val="077A0F7B"/>
    <w:rsid w:val="077A1F3E"/>
    <w:rsid w:val="07834DF6"/>
    <w:rsid w:val="07846919"/>
    <w:rsid w:val="07950FBD"/>
    <w:rsid w:val="07A1571D"/>
    <w:rsid w:val="07A256F0"/>
    <w:rsid w:val="07BC10B3"/>
    <w:rsid w:val="07BF4985"/>
    <w:rsid w:val="07CD7318"/>
    <w:rsid w:val="07D96C64"/>
    <w:rsid w:val="07E15B19"/>
    <w:rsid w:val="07E21FBD"/>
    <w:rsid w:val="07F01986"/>
    <w:rsid w:val="07FE2BE0"/>
    <w:rsid w:val="08055206"/>
    <w:rsid w:val="08073B0D"/>
    <w:rsid w:val="0808579C"/>
    <w:rsid w:val="0834033F"/>
    <w:rsid w:val="08386081"/>
    <w:rsid w:val="083B2549"/>
    <w:rsid w:val="083E6008"/>
    <w:rsid w:val="083F4318"/>
    <w:rsid w:val="085F360E"/>
    <w:rsid w:val="08852948"/>
    <w:rsid w:val="0896169B"/>
    <w:rsid w:val="089D4136"/>
    <w:rsid w:val="08B351E7"/>
    <w:rsid w:val="08C25591"/>
    <w:rsid w:val="08DF3D86"/>
    <w:rsid w:val="08F556CF"/>
    <w:rsid w:val="09016473"/>
    <w:rsid w:val="09025280"/>
    <w:rsid w:val="090C3F9D"/>
    <w:rsid w:val="09123C52"/>
    <w:rsid w:val="091361A6"/>
    <w:rsid w:val="09175198"/>
    <w:rsid w:val="092263E9"/>
    <w:rsid w:val="09273A00"/>
    <w:rsid w:val="09293C1C"/>
    <w:rsid w:val="09410A35"/>
    <w:rsid w:val="0957582C"/>
    <w:rsid w:val="095B087A"/>
    <w:rsid w:val="0963712E"/>
    <w:rsid w:val="098B0897"/>
    <w:rsid w:val="098F7537"/>
    <w:rsid w:val="099077F7"/>
    <w:rsid w:val="09970B85"/>
    <w:rsid w:val="099B68C7"/>
    <w:rsid w:val="09A82D92"/>
    <w:rsid w:val="09AB63DF"/>
    <w:rsid w:val="09B023D6"/>
    <w:rsid w:val="09BA4874"/>
    <w:rsid w:val="09BB74F4"/>
    <w:rsid w:val="09EC7123"/>
    <w:rsid w:val="09F02978"/>
    <w:rsid w:val="09F1168A"/>
    <w:rsid w:val="09FD62EE"/>
    <w:rsid w:val="0A036731"/>
    <w:rsid w:val="0A086F7F"/>
    <w:rsid w:val="0A206DCD"/>
    <w:rsid w:val="0A285CBA"/>
    <w:rsid w:val="0A2D14EA"/>
    <w:rsid w:val="0A345624"/>
    <w:rsid w:val="0A36194A"/>
    <w:rsid w:val="0A3665F0"/>
    <w:rsid w:val="0A391C3C"/>
    <w:rsid w:val="0A456833"/>
    <w:rsid w:val="0A6071C9"/>
    <w:rsid w:val="0A611D98"/>
    <w:rsid w:val="0A6671C1"/>
    <w:rsid w:val="0A674B0B"/>
    <w:rsid w:val="0A7809B7"/>
    <w:rsid w:val="0AA90B70"/>
    <w:rsid w:val="0AB6328D"/>
    <w:rsid w:val="0AEE6ECB"/>
    <w:rsid w:val="0AF049F1"/>
    <w:rsid w:val="0AF73FD1"/>
    <w:rsid w:val="0B057D70"/>
    <w:rsid w:val="0B065FC2"/>
    <w:rsid w:val="0B1B1E94"/>
    <w:rsid w:val="0B2D79F3"/>
    <w:rsid w:val="0B300F0F"/>
    <w:rsid w:val="0B316DB7"/>
    <w:rsid w:val="0B347497"/>
    <w:rsid w:val="0B350656"/>
    <w:rsid w:val="0B365F32"/>
    <w:rsid w:val="0B4D2B27"/>
    <w:rsid w:val="0B662F05"/>
    <w:rsid w:val="0B680A2B"/>
    <w:rsid w:val="0B741D83"/>
    <w:rsid w:val="0B753148"/>
    <w:rsid w:val="0B865355"/>
    <w:rsid w:val="0B86619C"/>
    <w:rsid w:val="0B957346"/>
    <w:rsid w:val="0B985065"/>
    <w:rsid w:val="0BAD7D4D"/>
    <w:rsid w:val="0BB30BFA"/>
    <w:rsid w:val="0BB340EA"/>
    <w:rsid w:val="0BB35A1E"/>
    <w:rsid w:val="0BBE530B"/>
    <w:rsid w:val="0BD95198"/>
    <w:rsid w:val="0BE572AB"/>
    <w:rsid w:val="0BED706C"/>
    <w:rsid w:val="0BF027CF"/>
    <w:rsid w:val="0BF81316"/>
    <w:rsid w:val="0BFE6C9A"/>
    <w:rsid w:val="0BFE7065"/>
    <w:rsid w:val="0C0D512F"/>
    <w:rsid w:val="0C116D7F"/>
    <w:rsid w:val="0C255A7A"/>
    <w:rsid w:val="0C271058"/>
    <w:rsid w:val="0C2B3807"/>
    <w:rsid w:val="0C2F32F7"/>
    <w:rsid w:val="0C4843B9"/>
    <w:rsid w:val="0C676F35"/>
    <w:rsid w:val="0C686809"/>
    <w:rsid w:val="0C752EE2"/>
    <w:rsid w:val="0C8278CB"/>
    <w:rsid w:val="0CAF06D2"/>
    <w:rsid w:val="0CB10912"/>
    <w:rsid w:val="0CB8153E"/>
    <w:rsid w:val="0CC15CA8"/>
    <w:rsid w:val="0CD524E3"/>
    <w:rsid w:val="0CE340E1"/>
    <w:rsid w:val="0CE40585"/>
    <w:rsid w:val="0CF445AA"/>
    <w:rsid w:val="0D013602"/>
    <w:rsid w:val="0D0206F6"/>
    <w:rsid w:val="0D10137A"/>
    <w:rsid w:val="0D131A73"/>
    <w:rsid w:val="0D186481"/>
    <w:rsid w:val="0D2B61B4"/>
    <w:rsid w:val="0D2C5A88"/>
    <w:rsid w:val="0D536846"/>
    <w:rsid w:val="0D5A25F6"/>
    <w:rsid w:val="0D6214AA"/>
    <w:rsid w:val="0D633347"/>
    <w:rsid w:val="0D696CDD"/>
    <w:rsid w:val="0D8C6527"/>
    <w:rsid w:val="0D98311E"/>
    <w:rsid w:val="0D985869"/>
    <w:rsid w:val="0DA6037A"/>
    <w:rsid w:val="0DAE2941"/>
    <w:rsid w:val="0DB1023D"/>
    <w:rsid w:val="0DB60ADD"/>
    <w:rsid w:val="0DBF5665"/>
    <w:rsid w:val="0DCE08EE"/>
    <w:rsid w:val="0DD26844"/>
    <w:rsid w:val="0DD3572C"/>
    <w:rsid w:val="0DDA7292"/>
    <w:rsid w:val="0DE10B00"/>
    <w:rsid w:val="0DE21D60"/>
    <w:rsid w:val="0DFE7425"/>
    <w:rsid w:val="0E1409F6"/>
    <w:rsid w:val="0E1A28BF"/>
    <w:rsid w:val="0E1B195D"/>
    <w:rsid w:val="0E1C5AFD"/>
    <w:rsid w:val="0E1C78AB"/>
    <w:rsid w:val="0E205822"/>
    <w:rsid w:val="0E367F50"/>
    <w:rsid w:val="0E45220C"/>
    <w:rsid w:val="0E541013"/>
    <w:rsid w:val="0E675CD8"/>
    <w:rsid w:val="0E6F0323"/>
    <w:rsid w:val="0E8116C4"/>
    <w:rsid w:val="0E813BB2"/>
    <w:rsid w:val="0E820056"/>
    <w:rsid w:val="0E855450"/>
    <w:rsid w:val="0E8609E4"/>
    <w:rsid w:val="0E8D2C1E"/>
    <w:rsid w:val="0E8D69FB"/>
    <w:rsid w:val="0EAB1EED"/>
    <w:rsid w:val="0EAC50D3"/>
    <w:rsid w:val="0EAE5466"/>
    <w:rsid w:val="0EB43F87"/>
    <w:rsid w:val="0ED463D8"/>
    <w:rsid w:val="0EE64FE1"/>
    <w:rsid w:val="0EEA4289"/>
    <w:rsid w:val="0EF40828"/>
    <w:rsid w:val="0EFD592E"/>
    <w:rsid w:val="0F166D2F"/>
    <w:rsid w:val="0F1D1B2D"/>
    <w:rsid w:val="0F20466E"/>
    <w:rsid w:val="0F29227F"/>
    <w:rsid w:val="0F3479B4"/>
    <w:rsid w:val="0F3B253B"/>
    <w:rsid w:val="0F501F02"/>
    <w:rsid w:val="0F7D081D"/>
    <w:rsid w:val="0F8B118C"/>
    <w:rsid w:val="0F930041"/>
    <w:rsid w:val="0F957915"/>
    <w:rsid w:val="0FA07BF0"/>
    <w:rsid w:val="0FA47F0D"/>
    <w:rsid w:val="0FE20680"/>
    <w:rsid w:val="0FF01B07"/>
    <w:rsid w:val="0FF55E19"/>
    <w:rsid w:val="0FF87EA4"/>
    <w:rsid w:val="10067155"/>
    <w:rsid w:val="100D1BA1"/>
    <w:rsid w:val="101271B8"/>
    <w:rsid w:val="101C1DE4"/>
    <w:rsid w:val="1025513D"/>
    <w:rsid w:val="10305E2E"/>
    <w:rsid w:val="10484251"/>
    <w:rsid w:val="1065381B"/>
    <w:rsid w:val="10790FE5"/>
    <w:rsid w:val="108A4E9E"/>
    <w:rsid w:val="109127D2"/>
    <w:rsid w:val="10993758"/>
    <w:rsid w:val="10A8365F"/>
    <w:rsid w:val="10B169D0"/>
    <w:rsid w:val="10C44237"/>
    <w:rsid w:val="10D821AF"/>
    <w:rsid w:val="10E01064"/>
    <w:rsid w:val="11072A94"/>
    <w:rsid w:val="110C3C07"/>
    <w:rsid w:val="111451B1"/>
    <w:rsid w:val="11252F1A"/>
    <w:rsid w:val="112D6732"/>
    <w:rsid w:val="11364558"/>
    <w:rsid w:val="113E5D8A"/>
    <w:rsid w:val="114C52EE"/>
    <w:rsid w:val="115135FC"/>
    <w:rsid w:val="11513D10"/>
    <w:rsid w:val="115630D4"/>
    <w:rsid w:val="116577BB"/>
    <w:rsid w:val="11852919"/>
    <w:rsid w:val="11904838"/>
    <w:rsid w:val="11976BFB"/>
    <w:rsid w:val="119F2CCD"/>
    <w:rsid w:val="11AC2C70"/>
    <w:rsid w:val="11B0086C"/>
    <w:rsid w:val="11DB0E46"/>
    <w:rsid w:val="11EE557B"/>
    <w:rsid w:val="11F45FB1"/>
    <w:rsid w:val="120C0A61"/>
    <w:rsid w:val="12490E8B"/>
    <w:rsid w:val="12521748"/>
    <w:rsid w:val="12527D3F"/>
    <w:rsid w:val="126C269A"/>
    <w:rsid w:val="128738AA"/>
    <w:rsid w:val="12883761"/>
    <w:rsid w:val="128D6FC9"/>
    <w:rsid w:val="12B64C5E"/>
    <w:rsid w:val="12BB58E4"/>
    <w:rsid w:val="12CC5D44"/>
    <w:rsid w:val="12D02A1E"/>
    <w:rsid w:val="12E4180D"/>
    <w:rsid w:val="12EF7943"/>
    <w:rsid w:val="12F31522"/>
    <w:rsid w:val="13182D37"/>
    <w:rsid w:val="13196AAF"/>
    <w:rsid w:val="131B1B39"/>
    <w:rsid w:val="13207E3D"/>
    <w:rsid w:val="13312C69"/>
    <w:rsid w:val="13394A5B"/>
    <w:rsid w:val="1340403C"/>
    <w:rsid w:val="13585D28"/>
    <w:rsid w:val="13672C4C"/>
    <w:rsid w:val="136E2957"/>
    <w:rsid w:val="136F66CF"/>
    <w:rsid w:val="137912FC"/>
    <w:rsid w:val="1379754E"/>
    <w:rsid w:val="137E6602"/>
    <w:rsid w:val="13894B56"/>
    <w:rsid w:val="138B2047"/>
    <w:rsid w:val="138B65C8"/>
    <w:rsid w:val="139879D4"/>
    <w:rsid w:val="139B3968"/>
    <w:rsid w:val="13A10F7E"/>
    <w:rsid w:val="13B3480E"/>
    <w:rsid w:val="13C61AF2"/>
    <w:rsid w:val="13C83593"/>
    <w:rsid w:val="13DE3B1C"/>
    <w:rsid w:val="13F015BE"/>
    <w:rsid w:val="13F34D56"/>
    <w:rsid w:val="13F83C36"/>
    <w:rsid w:val="14033B64"/>
    <w:rsid w:val="14121CFA"/>
    <w:rsid w:val="141319BD"/>
    <w:rsid w:val="141A663B"/>
    <w:rsid w:val="141B7BC0"/>
    <w:rsid w:val="14223741"/>
    <w:rsid w:val="142E1B4C"/>
    <w:rsid w:val="14327E28"/>
    <w:rsid w:val="1461426A"/>
    <w:rsid w:val="14703A58"/>
    <w:rsid w:val="147072F3"/>
    <w:rsid w:val="14881128"/>
    <w:rsid w:val="148971D0"/>
    <w:rsid w:val="149F2FE4"/>
    <w:rsid w:val="14B27AFC"/>
    <w:rsid w:val="14B7657F"/>
    <w:rsid w:val="14CF5677"/>
    <w:rsid w:val="14E50530"/>
    <w:rsid w:val="14E53B8B"/>
    <w:rsid w:val="150A4C13"/>
    <w:rsid w:val="152C0D1B"/>
    <w:rsid w:val="156404B5"/>
    <w:rsid w:val="156F29B6"/>
    <w:rsid w:val="157035C4"/>
    <w:rsid w:val="158F12AA"/>
    <w:rsid w:val="159C31AF"/>
    <w:rsid w:val="15A718D7"/>
    <w:rsid w:val="15A877A4"/>
    <w:rsid w:val="15AF54A9"/>
    <w:rsid w:val="15CA50C0"/>
    <w:rsid w:val="15CF11DB"/>
    <w:rsid w:val="15D10DEA"/>
    <w:rsid w:val="15D55597"/>
    <w:rsid w:val="15DD562F"/>
    <w:rsid w:val="15E106CA"/>
    <w:rsid w:val="15E909BB"/>
    <w:rsid w:val="15EA64E1"/>
    <w:rsid w:val="15F075B0"/>
    <w:rsid w:val="15F555B1"/>
    <w:rsid w:val="16076AAC"/>
    <w:rsid w:val="16094BB9"/>
    <w:rsid w:val="1609726C"/>
    <w:rsid w:val="160B6B83"/>
    <w:rsid w:val="161A5018"/>
    <w:rsid w:val="162B44C6"/>
    <w:rsid w:val="16554775"/>
    <w:rsid w:val="165B2F3A"/>
    <w:rsid w:val="1672275E"/>
    <w:rsid w:val="16794CAE"/>
    <w:rsid w:val="167A3D95"/>
    <w:rsid w:val="167A5BE3"/>
    <w:rsid w:val="1686445B"/>
    <w:rsid w:val="169052DA"/>
    <w:rsid w:val="16974786"/>
    <w:rsid w:val="16A14DF1"/>
    <w:rsid w:val="16C77949"/>
    <w:rsid w:val="16C93687"/>
    <w:rsid w:val="16D82C42"/>
    <w:rsid w:val="16E318AE"/>
    <w:rsid w:val="16FD70D9"/>
    <w:rsid w:val="17013AE2"/>
    <w:rsid w:val="171B4A05"/>
    <w:rsid w:val="17306175"/>
    <w:rsid w:val="17306E6C"/>
    <w:rsid w:val="17370680"/>
    <w:rsid w:val="17375756"/>
    <w:rsid w:val="175D340E"/>
    <w:rsid w:val="17606A5A"/>
    <w:rsid w:val="176104DD"/>
    <w:rsid w:val="176127D3"/>
    <w:rsid w:val="17654071"/>
    <w:rsid w:val="176F2E6E"/>
    <w:rsid w:val="17780248"/>
    <w:rsid w:val="177B050D"/>
    <w:rsid w:val="17A15D96"/>
    <w:rsid w:val="17A70B2D"/>
    <w:rsid w:val="17CA65CA"/>
    <w:rsid w:val="17D64F6F"/>
    <w:rsid w:val="17DC3DC5"/>
    <w:rsid w:val="17E017CB"/>
    <w:rsid w:val="17F453F5"/>
    <w:rsid w:val="18030F95"/>
    <w:rsid w:val="18041ADC"/>
    <w:rsid w:val="18094EC6"/>
    <w:rsid w:val="181844A7"/>
    <w:rsid w:val="18243F2C"/>
    <w:rsid w:val="182A0E16"/>
    <w:rsid w:val="18357EE7"/>
    <w:rsid w:val="18492359"/>
    <w:rsid w:val="185D1C5F"/>
    <w:rsid w:val="185D4DCA"/>
    <w:rsid w:val="185F6D12"/>
    <w:rsid w:val="18616F2E"/>
    <w:rsid w:val="1864257A"/>
    <w:rsid w:val="18654260"/>
    <w:rsid w:val="1890511D"/>
    <w:rsid w:val="18932E60"/>
    <w:rsid w:val="18950986"/>
    <w:rsid w:val="18A64941"/>
    <w:rsid w:val="18B11B41"/>
    <w:rsid w:val="18BA4890"/>
    <w:rsid w:val="18CD6371"/>
    <w:rsid w:val="18E30C2C"/>
    <w:rsid w:val="18ED07C2"/>
    <w:rsid w:val="18F338FE"/>
    <w:rsid w:val="18F90F15"/>
    <w:rsid w:val="18FE29CF"/>
    <w:rsid w:val="19306900"/>
    <w:rsid w:val="19377C8F"/>
    <w:rsid w:val="193D1B13"/>
    <w:rsid w:val="19461C80"/>
    <w:rsid w:val="194D6D12"/>
    <w:rsid w:val="19670574"/>
    <w:rsid w:val="1968609A"/>
    <w:rsid w:val="197B7B7C"/>
    <w:rsid w:val="198033E4"/>
    <w:rsid w:val="19832ED4"/>
    <w:rsid w:val="198473A5"/>
    <w:rsid w:val="198527A8"/>
    <w:rsid w:val="198B210F"/>
    <w:rsid w:val="199944A6"/>
    <w:rsid w:val="19A76BC3"/>
    <w:rsid w:val="19AE52C2"/>
    <w:rsid w:val="19B7492C"/>
    <w:rsid w:val="19B94B48"/>
    <w:rsid w:val="19BB441C"/>
    <w:rsid w:val="19C613F9"/>
    <w:rsid w:val="19CC03D7"/>
    <w:rsid w:val="19D76D7C"/>
    <w:rsid w:val="19DB52CE"/>
    <w:rsid w:val="19DE27E1"/>
    <w:rsid w:val="19EC4A8E"/>
    <w:rsid w:val="19F17E3E"/>
    <w:rsid w:val="1A09162B"/>
    <w:rsid w:val="1A107A07"/>
    <w:rsid w:val="1A2367C2"/>
    <w:rsid w:val="1A246465"/>
    <w:rsid w:val="1A2C531A"/>
    <w:rsid w:val="1A3441CE"/>
    <w:rsid w:val="1A3E55FB"/>
    <w:rsid w:val="1A40282D"/>
    <w:rsid w:val="1A4E784B"/>
    <w:rsid w:val="1A502F22"/>
    <w:rsid w:val="1A516B2E"/>
    <w:rsid w:val="1A6C043C"/>
    <w:rsid w:val="1A705206"/>
    <w:rsid w:val="1A7A4350"/>
    <w:rsid w:val="1A89451A"/>
    <w:rsid w:val="1A8E1B30"/>
    <w:rsid w:val="1AA17AB6"/>
    <w:rsid w:val="1ABF4528"/>
    <w:rsid w:val="1AC5282E"/>
    <w:rsid w:val="1AD31C39"/>
    <w:rsid w:val="1AE31E7C"/>
    <w:rsid w:val="1AF000F5"/>
    <w:rsid w:val="1AF44AA7"/>
    <w:rsid w:val="1B0167A6"/>
    <w:rsid w:val="1B041DF3"/>
    <w:rsid w:val="1B057A55"/>
    <w:rsid w:val="1B09565B"/>
    <w:rsid w:val="1B1437C1"/>
    <w:rsid w:val="1B1C0EEA"/>
    <w:rsid w:val="1B1C6A25"/>
    <w:rsid w:val="1B1E473C"/>
    <w:rsid w:val="1B1F6C2C"/>
    <w:rsid w:val="1B32070E"/>
    <w:rsid w:val="1B46065D"/>
    <w:rsid w:val="1B46240B"/>
    <w:rsid w:val="1B4A02FA"/>
    <w:rsid w:val="1B4A1EFB"/>
    <w:rsid w:val="1B4D0145"/>
    <w:rsid w:val="1B50328A"/>
    <w:rsid w:val="1B505038"/>
    <w:rsid w:val="1B527002"/>
    <w:rsid w:val="1B562D46"/>
    <w:rsid w:val="1B5A7A68"/>
    <w:rsid w:val="1B7E7BD4"/>
    <w:rsid w:val="1B7E7DF7"/>
    <w:rsid w:val="1B8459DF"/>
    <w:rsid w:val="1B8A679C"/>
    <w:rsid w:val="1B8F790E"/>
    <w:rsid w:val="1B9273FE"/>
    <w:rsid w:val="1B985996"/>
    <w:rsid w:val="1B9E5DA3"/>
    <w:rsid w:val="1BA01B1B"/>
    <w:rsid w:val="1BC25F36"/>
    <w:rsid w:val="1BC53330"/>
    <w:rsid w:val="1BD96DDB"/>
    <w:rsid w:val="1BF63E31"/>
    <w:rsid w:val="1BFD51C0"/>
    <w:rsid w:val="1BFD6F6E"/>
    <w:rsid w:val="1C03166F"/>
    <w:rsid w:val="1C0F155E"/>
    <w:rsid w:val="1C197B20"/>
    <w:rsid w:val="1C297D63"/>
    <w:rsid w:val="1C4A7CD9"/>
    <w:rsid w:val="1C5B3C94"/>
    <w:rsid w:val="1C626DD1"/>
    <w:rsid w:val="1C6C3B15"/>
    <w:rsid w:val="1C915908"/>
    <w:rsid w:val="1CA64C69"/>
    <w:rsid w:val="1CB03FE0"/>
    <w:rsid w:val="1CCD0955"/>
    <w:rsid w:val="1CCE4466"/>
    <w:rsid w:val="1CD3637E"/>
    <w:rsid w:val="1CD53BD4"/>
    <w:rsid w:val="1CE343B6"/>
    <w:rsid w:val="1CEF7F37"/>
    <w:rsid w:val="1D214EDE"/>
    <w:rsid w:val="1D2220FF"/>
    <w:rsid w:val="1D235D75"/>
    <w:rsid w:val="1D2A0352"/>
    <w:rsid w:val="1D2D73DF"/>
    <w:rsid w:val="1D4D7A81"/>
    <w:rsid w:val="1D524EB3"/>
    <w:rsid w:val="1D5C2A5E"/>
    <w:rsid w:val="1D631A85"/>
    <w:rsid w:val="1D7F39B2"/>
    <w:rsid w:val="1D840FC9"/>
    <w:rsid w:val="1D887DB3"/>
    <w:rsid w:val="1D990F18"/>
    <w:rsid w:val="1DC35F95"/>
    <w:rsid w:val="1DC51D0D"/>
    <w:rsid w:val="1DE008F5"/>
    <w:rsid w:val="1DEB1048"/>
    <w:rsid w:val="1DFF0AA0"/>
    <w:rsid w:val="1E01086B"/>
    <w:rsid w:val="1E2F53D8"/>
    <w:rsid w:val="1E3E5320"/>
    <w:rsid w:val="1E4F7829"/>
    <w:rsid w:val="1E5D4FF0"/>
    <w:rsid w:val="1E682698"/>
    <w:rsid w:val="1E776F29"/>
    <w:rsid w:val="1E7948A6"/>
    <w:rsid w:val="1E8F40C9"/>
    <w:rsid w:val="1E911BEF"/>
    <w:rsid w:val="1E952A60"/>
    <w:rsid w:val="1E9B09EF"/>
    <w:rsid w:val="1EAC0FDD"/>
    <w:rsid w:val="1EAE09F3"/>
    <w:rsid w:val="1EB47989"/>
    <w:rsid w:val="1EBA0EAC"/>
    <w:rsid w:val="1ED32208"/>
    <w:rsid w:val="1EDD6BE3"/>
    <w:rsid w:val="1EE77A61"/>
    <w:rsid w:val="1EF76F5F"/>
    <w:rsid w:val="1F050AA0"/>
    <w:rsid w:val="1F122D30"/>
    <w:rsid w:val="1F1541C9"/>
    <w:rsid w:val="1F282554"/>
    <w:rsid w:val="1F2E5690"/>
    <w:rsid w:val="1F394761"/>
    <w:rsid w:val="1F3C4893"/>
    <w:rsid w:val="1F5062A3"/>
    <w:rsid w:val="1F542870"/>
    <w:rsid w:val="1F574BE7"/>
    <w:rsid w:val="1F78690B"/>
    <w:rsid w:val="1F794E23"/>
    <w:rsid w:val="1F8A4FBC"/>
    <w:rsid w:val="1F9A2CCC"/>
    <w:rsid w:val="1F9D47A3"/>
    <w:rsid w:val="1F9D6372"/>
    <w:rsid w:val="1F9F20EA"/>
    <w:rsid w:val="1FA228EE"/>
    <w:rsid w:val="1FA85442"/>
    <w:rsid w:val="1FB02549"/>
    <w:rsid w:val="1FC7371A"/>
    <w:rsid w:val="1FD61FB0"/>
    <w:rsid w:val="1FE37A81"/>
    <w:rsid w:val="1FE424F1"/>
    <w:rsid w:val="1FEE215E"/>
    <w:rsid w:val="1FFB37C4"/>
    <w:rsid w:val="2007660D"/>
    <w:rsid w:val="200F101E"/>
    <w:rsid w:val="201F0DFD"/>
    <w:rsid w:val="202037E5"/>
    <w:rsid w:val="2027280B"/>
    <w:rsid w:val="20275CE4"/>
    <w:rsid w:val="2058178A"/>
    <w:rsid w:val="20653333"/>
    <w:rsid w:val="20665ACC"/>
    <w:rsid w:val="20684783"/>
    <w:rsid w:val="207848CC"/>
    <w:rsid w:val="2079211C"/>
    <w:rsid w:val="207C511D"/>
    <w:rsid w:val="20803CC9"/>
    <w:rsid w:val="20895274"/>
    <w:rsid w:val="209239FD"/>
    <w:rsid w:val="20977005"/>
    <w:rsid w:val="209D487B"/>
    <w:rsid w:val="20A02648"/>
    <w:rsid w:val="20A774A8"/>
    <w:rsid w:val="20AA6E79"/>
    <w:rsid w:val="20AC0F62"/>
    <w:rsid w:val="20C52024"/>
    <w:rsid w:val="20D64231"/>
    <w:rsid w:val="20DF487F"/>
    <w:rsid w:val="20F91DC3"/>
    <w:rsid w:val="2100305C"/>
    <w:rsid w:val="21082D78"/>
    <w:rsid w:val="21097045"/>
    <w:rsid w:val="21283453"/>
    <w:rsid w:val="212A1E87"/>
    <w:rsid w:val="213A656E"/>
    <w:rsid w:val="21422072"/>
    <w:rsid w:val="21537630"/>
    <w:rsid w:val="215D400B"/>
    <w:rsid w:val="21701F90"/>
    <w:rsid w:val="21825888"/>
    <w:rsid w:val="21880312"/>
    <w:rsid w:val="21891469"/>
    <w:rsid w:val="21957C48"/>
    <w:rsid w:val="21A845AE"/>
    <w:rsid w:val="21AB205E"/>
    <w:rsid w:val="21B77BBF"/>
    <w:rsid w:val="21B856E5"/>
    <w:rsid w:val="21C85928"/>
    <w:rsid w:val="21C978F2"/>
    <w:rsid w:val="21E530D7"/>
    <w:rsid w:val="21EB7D9D"/>
    <w:rsid w:val="21FE66A4"/>
    <w:rsid w:val="220D1042"/>
    <w:rsid w:val="220F17A9"/>
    <w:rsid w:val="221E3BBB"/>
    <w:rsid w:val="225260A7"/>
    <w:rsid w:val="22534720"/>
    <w:rsid w:val="22603DB2"/>
    <w:rsid w:val="2264745D"/>
    <w:rsid w:val="226513C9"/>
    <w:rsid w:val="226C5BEF"/>
    <w:rsid w:val="22717D6E"/>
    <w:rsid w:val="22835CF3"/>
    <w:rsid w:val="228E00CB"/>
    <w:rsid w:val="22A85759"/>
    <w:rsid w:val="22BE2C8B"/>
    <w:rsid w:val="22C5455D"/>
    <w:rsid w:val="22CB3471"/>
    <w:rsid w:val="22DA352E"/>
    <w:rsid w:val="2320351E"/>
    <w:rsid w:val="23452FA8"/>
    <w:rsid w:val="23492A98"/>
    <w:rsid w:val="234E6301"/>
    <w:rsid w:val="23601CDC"/>
    <w:rsid w:val="2369138D"/>
    <w:rsid w:val="237A0EA4"/>
    <w:rsid w:val="237C429E"/>
    <w:rsid w:val="237E30B1"/>
    <w:rsid w:val="238B66EA"/>
    <w:rsid w:val="23952182"/>
    <w:rsid w:val="239C73C7"/>
    <w:rsid w:val="239F377F"/>
    <w:rsid w:val="23B32608"/>
    <w:rsid w:val="23B73EA6"/>
    <w:rsid w:val="23B82DFD"/>
    <w:rsid w:val="23B95E70"/>
    <w:rsid w:val="23CD36CA"/>
    <w:rsid w:val="23E6166C"/>
    <w:rsid w:val="23E6478B"/>
    <w:rsid w:val="23ED5B1A"/>
    <w:rsid w:val="23FD25D0"/>
    <w:rsid w:val="24013373"/>
    <w:rsid w:val="2426102C"/>
    <w:rsid w:val="242B03F0"/>
    <w:rsid w:val="243E6A67"/>
    <w:rsid w:val="2443398C"/>
    <w:rsid w:val="244871F4"/>
    <w:rsid w:val="2455456D"/>
    <w:rsid w:val="24585098"/>
    <w:rsid w:val="2473727F"/>
    <w:rsid w:val="24855D52"/>
    <w:rsid w:val="24863878"/>
    <w:rsid w:val="24945F95"/>
    <w:rsid w:val="24AC5084"/>
    <w:rsid w:val="24B333EB"/>
    <w:rsid w:val="24BB5C18"/>
    <w:rsid w:val="24CF3471"/>
    <w:rsid w:val="24D740D4"/>
    <w:rsid w:val="250A44A9"/>
    <w:rsid w:val="25194946"/>
    <w:rsid w:val="25257535"/>
    <w:rsid w:val="253908EB"/>
    <w:rsid w:val="253B2D06"/>
    <w:rsid w:val="25513E86"/>
    <w:rsid w:val="25530B0D"/>
    <w:rsid w:val="2556149D"/>
    <w:rsid w:val="25616AB8"/>
    <w:rsid w:val="257200BD"/>
    <w:rsid w:val="25777D91"/>
    <w:rsid w:val="258F73AB"/>
    <w:rsid w:val="25910666"/>
    <w:rsid w:val="25AF7E08"/>
    <w:rsid w:val="25B3069D"/>
    <w:rsid w:val="25B54415"/>
    <w:rsid w:val="25B6055D"/>
    <w:rsid w:val="25C14096"/>
    <w:rsid w:val="25CA3D5E"/>
    <w:rsid w:val="25DA2D03"/>
    <w:rsid w:val="25DD3DEF"/>
    <w:rsid w:val="261C6242"/>
    <w:rsid w:val="26213B00"/>
    <w:rsid w:val="26393298"/>
    <w:rsid w:val="26404627"/>
    <w:rsid w:val="264F6618"/>
    <w:rsid w:val="265A409B"/>
    <w:rsid w:val="266B4401"/>
    <w:rsid w:val="267E0CAB"/>
    <w:rsid w:val="268362C1"/>
    <w:rsid w:val="26840D16"/>
    <w:rsid w:val="26902A34"/>
    <w:rsid w:val="26906C30"/>
    <w:rsid w:val="26946721"/>
    <w:rsid w:val="269A360B"/>
    <w:rsid w:val="269C7383"/>
    <w:rsid w:val="26BD2221"/>
    <w:rsid w:val="26C64400"/>
    <w:rsid w:val="26CC5EBA"/>
    <w:rsid w:val="27093571"/>
    <w:rsid w:val="270C275B"/>
    <w:rsid w:val="27111B1F"/>
    <w:rsid w:val="27167136"/>
    <w:rsid w:val="271A7B0E"/>
    <w:rsid w:val="2720435B"/>
    <w:rsid w:val="27427F2B"/>
    <w:rsid w:val="27484CC0"/>
    <w:rsid w:val="274B6F9C"/>
    <w:rsid w:val="2750238F"/>
    <w:rsid w:val="275C3DCA"/>
    <w:rsid w:val="27936CC4"/>
    <w:rsid w:val="2799737A"/>
    <w:rsid w:val="27A13526"/>
    <w:rsid w:val="27A95320"/>
    <w:rsid w:val="27B150B0"/>
    <w:rsid w:val="27D72414"/>
    <w:rsid w:val="27E55952"/>
    <w:rsid w:val="27FF7BCA"/>
    <w:rsid w:val="2800305F"/>
    <w:rsid w:val="28243AD4"/>
    <w:rsid w:val="282B4E63"/>
    <w:rsid w:val="28327F9F"/>
    <w:rsid w:val="28357A8F"/>
    <w:rsid w:val="28687E65"/>
    <w:rsid w:val="2873398C"/>
    <w:rsid w:val="287A36F4"/>
    <w:rsid w:val="288D2644"/>
    <w:rsid w:val="288F1208"/>
    <w:rsid w:val="28924C1A"/>
    <w:rsid w:val="28997FF9"/>
    <w:rsid w:val="289E3886"/>
    <w:rsid w:val="289F2500"/>
    <w:rsid w:val="28A76701"/>
    <w:rsid w:val="28BF4F28"/>
    <w:rsid w:val="28CA4757"/>
    <w:rsid w:val="28CE5EEB"/>
    <w:rsid w:val="28D42E04"/>
    <w:rsid w:val="28D466DD"/>
    <w:rsid w:val="28D948BF"/>
    <w:rsid w:val="28E31299"/>
    <w:rsid w:val="28E976B6"/>
    <w:rsid w:val="2900009D"/>
    <w:rsid w:val="29172C46"/>
    <w:rsid w:val="291E22D1"/>
    <w:rsid w:val="29337FB9"/>
    <w:rsid w:val="29387837"/>
    <w:rsid w:val="29447358"/>
    <w:rsid w:val="295E3016"/>
    <w:rsid w:val="29631AF9"/>
    <w:rsid w:val="29634188"/>
    <w:rsid w:val="29656152"/>
    <w:rsid w:val="29711FD4"/>
    <w:rsid w:val="297A18A6"/>
    <w:rsid w:val="29AF07B9"/>
    <w:rsid w:val="29C60D55"/>
    <w:rsid w:val="29C76E0D"/>
    <w:rsid w:val="29D76728"/>
    <w:rsid w:val="29DA121A"/>
    <w:rsid w:val="29DB2BB8"/>
    <w:rsid w:val="29E76B67"/>
    <w:rsid w:val="29EA3434"/>
    <w:rsid w:val="29F15C38"/>
    <w:rsid w:val="29FD0A39"/>
    <w:rsid w:val="2A015918"/>
    <w:rsid w:val="2A043BBD"/>
    <w:rsid w:val="2A4F6835"/>
    <w:rsid w:val="2A500BB0"/>
    <w:rsid w:val="2A757CA7"/>
    <w:rsid w:val="2A8940C2"/>
    <w:rsid w:val="2AA6472C"/>
    <w:rsid w:val="2ABC587B"/>
    <w:rsid w:val="2AC87340"/>
    <w:rsid w:val="2ACA111E"/>
    <w:rsid w:val="2ADC41F2"/>
    <w:rsid w:val="2ADC6528"/>
    <w:rsid w:val="2ADE61BC"/>
    <w:rsid w:val="2AE01EFD"/>
    <w:rsid w:val="2AE8528D"/>
    <w:rsid w:val="2AFC6642"/>
    <w:rsid w:val="2B0379D1"/>
    <w:rsid w:val="2B0F6376"/>
    <w:rsid w:val="2B1020EE"/>
    <w:rsid w:val="2B317A55"/>
    <w:rsid w:val="2B4F2B4A"/>
    <w:rsid w:val="2B731A47"/>
    <w:rsid w:val="2B8A6344"/>
    <w:rsid w:val="2BA271EA"/>
    <w:rsid w:val="2BAE5454"/>
    <w:rsid w:val="2BB533C1"/>
    <w:rsid w:val="2BC52ED8"/>
    <w:rsid w:val="2BDA267D"/>
    <w:rsid w:val="2BE02DF6"/>
    <w:rsid w:val="2BF50C7C"/>
    <w:rsid w:val="2C1D4AC2"/>
    <w:rsid w:val="2C214282"/>
    <w:rsid w:val="2C477D91"/>
    <w:rsid w:val="2C5129BE"/>
    <w:rsid w:val="2C567FD4"/>
    <w:rsid w:val="2C882884"/>
    <w:rsid w:val="2C9C632F"/>
    <w:rsid w:val="2CB73169"/>
    <w:rsid w:val="2CD47877"/>
    <w:rsid w:val="2CD978E2"/>
    <w:rsid w:val="2CDC497D"/>
    <w:rsid w:val="2D130FEA"/>
    <w:rsid w:val="2D1A5319"/>
    <w:rsid w:val="2D4254F8"/>
    <w:rsid w:val="2D5B3AF4"/>
    <w:rsid w:val="2D76092E"/>
    <w:rsid w:val="2D7E3C87"/>
    <w:rsid w:val="2D866516"/>
    <w:rsid w:val="2D915768"/>
    <w:rsid w:val="2D9B65E7"/>
    <w:rsid w:val="2D9E04B7"/>
    <w:rsid w:val="2DAD00C8"/>
    <w:rsid w:val="2DBF554A"/>
    <w:rsid w:val="2DC23B73"/>
    <w:rsid w:val="2DC55411"/>
    <w:rsid w:val="2DD1025A"/>
    <w:rsid w:val="2DD2088C"/>
    <w:rsid w:val="2DE27D71"/>
    <w:rsid w:val="2DF301D1"/>
    <w:rsid w:val="2E106020"/>
    <w:rsid w:val="2E2B3406"/>
    <w:rsid w:val="2E312AA7"/>
    <w:rsid w:val="2E3600BD"/>
    <w:rsid w:val="2E3C21B3"/>
    <w:rsid w:val="2E5A0250"/>
    <w:rsid w:val="2E6828E8"/>
    <w:rsid w:val="2E701821"/>
    <w:rsid w:val="2E745DDB"/>
    <w:rsid w:val="2E755089"/>
    <w:rsid w:val="2E7C01C6"/>
    <w:rsid w:val="2E7C61BE"/>
    <w:rsid w:val="2E80471D"/>
    <w:rsid w:val="2E895C66"/>
    <w:rsid w:val="2E8C71AC"/>
    <w:rsid w:val="2E915112"/>
    <w:rsid w:val="2E941D53"/>
    <w:rsid w:val="2E9B72ED"/>
    <w:rsid w:val="2EA72D69"/>
    <w:rsid w:val="2EA84BA8"/>
    <w:rsid w:val="2EB21E3A"/>
    <w:rsid w:val="2EBE07DF"/>
    <w:rsid w:val="2ECD6C74"/>
    <w:rsid w:val="2EE61893"/>
    <w:rsid w:val="2F012479"/>
    <w:rsid w:val="2F3565C7"/>
    <w:rsid w:val="2F417A4A"/>
    <w:rsid w:val="2F523172"/>
    <w:rsid w:val="2F594288"/>
    <w:rsid w:val="2F5C3B54"/>
    <w:rsid w:val="2F6173BC"/>
    <w:rsid w:val="2F6C7195"/>
    <w:rsid w:val="2F6D5D61"/>
    <w:rsid w:val="2F7D7BFE"/>
    <w:rsid w:val="2F911A4F"/>
    <w:rsid w:val="2F932167"/>
    <w:rsid w:val="2FA13062"/>
    <w:rsid w:val="2FAA48BF"/>
    <w:rsid w:val="2FB27BEF"/>
    <w:rsid w:val="2FB31BE0"/>
    <w:rsid w:val="2FCC2A87"/>
    <w:rsid w:val="2FCD4A51"/>
    <w:rsid w:val="2FCF36BB"/>
    <w:rsid w:val="2FD1009E"/>
    <w:rsid w:val="2FEC46AA"/>
    <w:rsid w:val="2FF10740"/>
    <w:rsid w:val="30110DE2"/>
    <w:rsid w:val="30182170"/>
    <w:rsid w:val="30183F1E"/>
    <w:rsid w:val="3029612C"/>
    <w:rsid w:val="30322A82"/>
    <w:rsid w:val="303E28B3"/>
    <w:rsid w:val="304216B8"/>
    <w:rsid w:val="305667F5"/>
    <w:rsid w:val="306058C5"/>
    <w:rsid w:val="306272AA"/>
    <w:rsid w:val="306951B4"/>
    <w:rsid w:val="306A6683"/>
    <w:rsid w:val="306F3AB4"/>
    <w:rsid w:val="307D0225"/>
    <w:rsid w:val="3088073D"/>
    <w:rsid w:val="309317F7"/>
    <w:rsid w:val="30945B60"/>
    <w:rsid w:val="309A2B85"/>
    <w:rsid w:val="309D1C07"/>
    <w:rsid w:val="309D2676"/>
    <w:rsid w:val="309F1F4A"/>
    <w:rsid w:val="30A413A6"/>
    <w:rsid w:val="30AB4D93"/>
    <w:rsid w:val="30B30F08"/>
    <w:rsid w:val="30B824E6"/>
    <w:rsid w:val="30BD0622"/>
    <w:rsid w:val="30D07DE1"/>
    <w:rsid w:val="30D20571"/>
    <w:rsid w:val="30E16343"/>
    <w:rsid w:val="30E3452C"/>
    <w:rsid w:val="30FA1876"/>
    <w:rsid w:val="30FC114A"/>
    <w:rsid w:val="311C17EC"/>
    <w:rsid w:val="311C359A"/>
    <w:rsid w:val="311F12DD"/>
    <w:rsid w:val="31455E9E"/>
    <w:rsid w:val="314A45AB"/>
    <w:rsid w:val="316E7B6E"/>
    <w:rsid w:val="316F0A25"/>
    <w:rsid w:val="31723B02"/>
    <w:rsid w:val="317C672F"/>
    <w:rsid w:val="318D26EA"/>
    <w:rsid w:val="31905300"/>
    <w:rsid w:val="31A6555A"/>
    <w:rsid w:val="31AD0696"/>
    <w:rsid w:val="31B1462B"/>
    <w:rsid w:val="31B639EF"/>
    <w:rsid w:val="31BC3137"/>
    <w:rsid w:val="31C14142"/>
    <w:rsid w:val="31C84926"/>
    <w:rsid w:val="31E542D4"/>
    <w:rsid w:val="31F77B64"/>
    <w:rsid w:val="3201127A"/>
    <w:rsid w:val="320C1861"/>
    <w:rsid w:val="320E7271"/>
    <w:rsid w:val="324E00CB"/>
    <w:rsid w:val="32526702"/>
    <w:rsid w:val="32636037"/>
    <w:rsid w:val="327B5E28"/>
    <w:rsid w:val="327C6A16"/>
    <w:rsid w:val="32904240"/>
    <w:rsid w:val="32CF5ADE"/>
    <w:rsid w:val="32D464E5"/>
    <w:rsid w:val="32DE7359"/>
    <w:rsid w:val="32E60304"/>
    <w:rsid w:val="330F7364"/>
    <w:rsid w:val="33171483"/>
    <w:rsid w:val="3317784C"/>
    <w:rsid w:val="33321EB8"/>
    <w:rsid w:val="33330402"/>
    <w:rsid w:val="334B63B9"/>
    <w:rsid w:val="33544D63"/>
    <w:rsid w:val="335E1849"/>
    <w:rsid w:val="33631954"/>
    <w:rsid w:val="33957634"/>
    <w:rsid w:val="33A1247D"/>
    <w:rsid w:val="33B34C59"/>
    <w:rsid w:val="33B57A89"/>
    <w:rsid w:val="33B95A18"/>
    <w:rsid w:val="33BA699C"/>
    <w:rsid w:val="33CD6DCE"/>
    <w:rsid w:val="33D463AE"/>
    <w:rsid w:val="33D97099"/>
    <w:rsid w:val="33DF6B01"/>
    <w:rsid w:val="33E41108"/>
    <w:rsid w:val="340053F5"/>
    <w:rsid w:val="34036C94"/>
    <w:rsid w:val="341B5D8B"/>
    <w:rsid w:val="342235BE"/>
    <w:rsid w:val="34297002"/>
    <w:rsid w:val="342F15DE"/>
    <w:rsid w:val="343E5F1E"/>
    <w:rsid w:val="34515C51"/>
    <w:rsid w:val="345E036E"/>
    <w:rsid w:val="34941AF6"/>
    <w:rsid w:val="349D6A11"/>
    <w:rsid w:val="34A57D4B"/>
    <w:rsid w:val="34B34216"/>
    <w:rsid w:val="34D36666"/>
    <w:rsid w:val="34E356C0"/>
    <w:rsid w:val="34F82570"/>
    <w:rsid w:val="352073D1"/>
    <w:rsid w:val="3529097C"/>
    <w:rsid w:val="352B64A2"/>
    <w:rsid w:val="352C3FC8"/>
    <w:rsid w:val="352E5F92"/>
    <w:rsid w:val="35386E11"/>
    <w:rsid w:val="35447564"/>
    <w:rsid w:val="35777939"/>
    <w:rsid w:val="3589141A"/>
    <w:rsid w:val="358A2367"/>
    <w:rsid w:val="3599165E"/>
    <w:rsid w:val="359978AF"/>
    <w:rsid w:val="35A95D2A"/>
    <w:rsid w:val="35BA15D4"/>
    <w:rsid w:val="35BC3837"/>
    <w:rsid w:val="35BE10C4"/>
    <w:rsid w:val="35C35020"/>
    <w:rsid w:val="35C56367"/>
    <w:rsid w:val="35D54660"/>
    <w:rsid w:val="35E14DB3"/>
    <w:rsid w:val="35E46651"/>
    <w:rsid w:val="35EE5D7D"/>
    <w:rsid w:val="35FB40C6"/>
    <w:rsid w:val="35FC6A17"/>
    <w:rsid w:val="361231BE"/>
    <w:rsid w:val="362B4280"/>
    <w:rsid w:val="363C023B"/>
    <w:rsid w:val="366A6D9B"/>
    <w:rsid w:val="366C6D72"/>
    <w:rsid w:val="366D1C16"/>
    <w:rsid w:val="367125DA"/>
    <w:rsid w:val="368A0514"/>
    <w:rsid w:val="368E5920"/>
    <w:rsid w:val="36CC5A63"/>
    <w:rsid w:val="36F56D7F"/>
    <w:rsid w:val="36FE6E8E"/>
    <w:rsid w:val="371165E7"/>
    <w:rsid w:val="37185630"/>
    <w:rsid w:val="37227431"/>
    <w:rsid w:val="37337890"/>
    <w:rsid w:val="37384EA6"/>
    <w:rsid w:val="373D28D9"/>
    <w:rsid w:val="374D44BF"/>
    <w:rsid w:val="374E46CA"/>
    <w:rsid w:val="375810A4"/>
    <w:rsid w:val="376B1D40"/>
    <w:rsid w:val="376C68FE"/>
    <w:rsid w:val="37900F7E"/>
    <w:rsid w:val="37985945"/>
    <w:rsid w:val="379C0B52"/>
    <w:rsid w:val="37A8202C"/>
    <w:rsid w:val="37BA58BB"/>
    <w:rsid w:val="37C36E66"/>
    <w:rsid w:val="37CE4DF4"/>
    <w:rsid w:val="37D83F93"/>
    <w:rsid w:val="37E40B8A"/>
    <w:rsid w:val="37E719AA"/>
    <w:rsid w:val="37F05781"/>
    <w:rsid w:val="37F61ECE"/>
    <w:rsid w:val="38115664"/>
    <w:rsid w:val="38190834"/>
    <w:rsid w:val="382A0C93"/>
    <w:rsid w:val="382E3860"/>
    <w:rsid w:val="38521F98"/>
    <w:rsid w:val="38787C50"/>
    <w:rsid w:val="387B4990"/>
    <w:rsid w:val="387B504A"/>
    <w:rsid w:val="388008B3"/>
    <w:rsid w:val="38895D5B"/>
    <w:rsid w:val="38963D20"/>
    <w:rsid w:val="38AB76D3"/>
    <w:rsid w:val="38B60778"/>
    <w:rsid w:val="38B62526"/>
    <w:rsid w:val="38CE3C99"/>
    <w:rsid w:val="38D429AD"/>
    <w:rsid w:val="38D5710E"/>
    <w:rsid w:val="38EF616F"/>
    <w:rsid w:val="390239BE"/>
    <w:rsid w:val="392207EA"/>
    <w:rsid w:val="39243934"/>
    <w:rsid w:val="39262192"/>
    <w:rsid w:val="393D0552"/>
    <w:rsid w:val="39553AED"/>
    <w:rsid w:val="39561D2C"/>
    <w:rsid w:val="395835DE"/>
    <w:rsid w:val="396957EB"/>
    <w:rsid w:val="396E4BAF"/>
    <w:rsid w:val="397A68C0"/>
    <w:rsid w:val="398808B3"/>
    <w:rsid w:val="399C796E"/>
    <w:rsid w:val="39A13EE2"/>
    <w:rsid w:val="39B8407C"/>
    <w:rsid w:val="39B85D22"/>
    <w:rsid w:val="39C003F2"/>
    <w:rsid w:val="39C90037"/>
    <w:rsid w:val="39CC6340"/>
    <w:rsid w:val="39D07618"/>
    <w:rsid w:val="39DA162C"/>
    <w:rsid w:val="39DA3296"/>
    <w:rsid w:val="39DC6679"/>
    <w:rsid w:val="39E11825"/>
    <w:rsid w:val="39E71C6D"/>
    <w:rsid w:val="39ED1F78"/>
    <w:rsid w:val="39F71049"/>
    <w:rsid w:val="3A025330"/>
    <w:rsid w:val="3A06128C"/>
    <w:rsid w:val="3A0977A4"/>
    <w:rsid w:val="3A0A7C97"/>
    <w:rsid w:val="3A0E2186"/>
    <w:rsid w:val="3A1E4827"/>
    <w:rsid w:val="3A221E29"/>
    <w:rsid w:val="3A240A4F"/>
    <w:rsid w:val="3A283B2E"/>
    <w:rsid w:val="3A3000B7"/>
    <w:rsid w:val="3A3C1CBB"/>
    <w:rsid w:val="3A3F02FA"/>
    <w:rsid w:val="3A465B2C"/>
    <w:rsid w:val="3A485400"/>
    <w:rsid w:val="3A515B6D"/>
    <w:rsid w:val="3A5D2EE4"/>
    <w:rsid w:val="3A6A7A6C"/>
    <w:rsid w:val="3A8D375B"/>
    <w:rsid w:val="3A922B1F"/>
    <w:rsid w:val="3A97759C"/>
    <w:rsid w:val="3A9E14C4"/>
    <w:rsid w:val="3A9E3272"/>
    <w:rsid w:val="3AB111F7"/>
    <w:rsid w:val="3AB40CFA"/>
    <w:rsid w:val="3AEC66D3"/>
    <w:rsid w:val="3AED6B17"/>
    <w:rsid w:val="3AFE1F63"/>
    <w:rsid w:val="3B003D26"/>
    <w:rsid w:val="3B031466"/>
    <w:rsid w:val="3B086638"/>
    <w:rsid w:val="3B11613A"/>
    <w:rsid w:val="3B1B105C"/>
    <w:rsid w:val="3B2C087E"/>
    <w:rsid w:val="3B59544E"/>
    <w:rsid w:val="3B6039CF"/>
    <w:rsid w:val="3B627E58"/>
    <w:rsid w:val="3B7A3CDF"/>
    <w:rsid w:val="3B7B41D1"/>
    <w:rsid w:val="3B820DE6"/>
    <w:rsid w:val="3B822B94"/>
    <w:rsid w:val="3B9052B1"/>
    <w:rsid w:val="3B934A90"/>
    <w:rsid w:val="3BA13299"/>
    <w:rsid w:val="3BA75D9B"/>
    <w:rsid w:val="3BAE1BDB"/>
    <w:rsid w:val="3BB222F8"/>
    <w:rsid w:val="3BB645EB"/>
    <w:rsid w:val="3BBA2C5F"/>
    <w:rsid w:val="3BBC60A6"/>
    <w:rsid w:val="3BC136BC"/>
    <w:rsid w:val="3BD0708F"/>
    <w:rsid w:val="3BDF01B2"/>
    <w:rsid w:val="3BE949C1"/>
    <w:rsid w:val="3C060D16"/>
    <w:rsid w:val="3C073099"/>
    <w:rsid w:val="3C0B1BBF"/>
    <w:rsid w:val="3C0D2965"/>
    <w:rsid w:val="3C185099"/>
    <w:rsid w:val="3C1E0B0E"/>
    <w:rsid w:val="3C1F3E49"/>
    <w:rsid w:val="3C235333"/>
    <w:rsid w:val="3C3419C0"/>
    <w:rsid w:val="3C3420E0"/>
    <w:rsid w:val="3C37397E"/>
    <w:rsid w:val="3C3814A4"/>
    <w:rsid w:val="3C406CD7"/>
    <w:rsid w:val="3C4C02AC"/>
    <w:rsid w:val="3C607CD7"/>
    <w:rsid w:val="3C6329C5"/>
    <w:rsid w:val="3C654DB3"/>
    <w:rsid w:val="3C865DF7"/>
    <w:rsid w:val="3C887F78"/>
    <w:rsid w:val="3C9506A5"/>
    <w:rsid w:val="3CAF4497"/>
    <w:rsid w:val="3CB44C6F"/>
    <w:rsid w:val="3CC0362E"/>
    <w:rsid w:val="3CD967E3"/>
    <w:rsid w:val="3CDB717B"/>
    <w:rsid w:val="3CE6634A"/>
    <w:rsid w:val="3CEA4D9C"/>
    <w:rsid w:val="3CEF3C6A"/>
    <w:rsid w:val="3CF4361D"/>
    <w:rsid w:val="3D05582A"/>
    <w:rsid w:val="3D2263DC"/>
    <w:rsid w:val="3D2A17C1"/>
    <w:rsid w:val="3D2C725B"/>
    <w:rsid w:val="3D4445A5"/>
    <w:rsid w:val="3D453E79"/>
    <w:rsid w:val="3D510A70"/>
    <w:rsid w:val="3D57037E"/>
    <w:rsid w:val="3D6709BE"/>
    <w:rsid w:val="3D9646D4"/>
    <w:rsid w:val="3D9B1CEB"/>
    <w:rsid w:val="3DB37034"/>
    <w:rsid w:val="3DC5669A"/>
    <w:rsid w:val="3DCB0822"/>
    <w:rsid w:val="3DDC2A2F"/>
    <w:rsid w:val="3DE23DBE"/>
    <w:rsid w:val="3DE71FBC"/>
    <w:rsid w:val="3E0C2BE9"/>
    <w:rsid w:val="3E1F291C"/>
    <w:rsid w:val="3E2D1E59"/>
    <w:rsid w:val="3E373AB4"/>
    <w:rsid w:val="3E391C30"/>
    <w:rsid w:val="3E3C34CE"/>
    <w:rsid w:val="3E3E06E7"/>
    <w:rsid w:val="3E442382"/>
    <w:rsid w:val="3E5959D1"/>
    <w:rsid w:val="3E5A5620"/>
    <w:rsid w:val="3E667015"/>
    <w:rsid w:val="3E7A4693"/>
    <w:rsid w:val="3E7C7B37"/>
    <w:rsid w:val="3E815385"/>
    <w:rsid w:val="3E9A368F"/>
    <w:rsid w:val="3E9E5F37"/>
    <w:rsid w:val="3EA03A5D"/>
    <w:rsid w:val="3EA177D5"/>
    <w:rsid w:val="3EB9437E"/>
    <w:rsid w:val="3EB968CD"/>
    <w:rsid w:val="3EC15781"/>
    <w:rsid w:val="3EC2402A"/>
    <w:rsid w:val="3ED6747E"/>
    <w:rsid w:val="3EDF3E59"/>
    <w:rsid w:val="3EE51336"/>
    <w:rsid w:val="3EE576C2"/>
    <w:rsid w:val="3EE85404"/>
    <w:rsid w:val="3EE92E4F"/>
    <w:rsid w:val="3EF101E4"/>
    <w:rsid w:val="3F00274D"/>
    <w:rsid w:val="3F03404E"/>
    <w:rsid w:val="3F1356D9"/>
    <w:rsid w:val="3F4343E8"/>
    <w:rsid w:val="3F4C14EF"/>
    <w:rsid w:val="3F7864CC"/>
    <w:rsid w:val="3F833D9D"/>
    <w:rsid w:val="3F9C37D5"/>
    <w:rsid w:val="3F9D1D4A"/>
    <w:rsid w:val="3FA06D36"/>
    <w:rsid w:val="3FBA180C"/>
    <w:rsid w:val="3FBD063E"/>
    <w:rsid w:val="3FC512A1"/>
    <w:rsid w:val="3FCB77F0"/>
    <w:rsid w:val="3FE51248"/>
    <w:rsid w:val="3FFA36B8"/>
    <w:rsid w:val="40073668"/>
    <w:rsid w:val="40272886"/>
    <w:rsid w:val="40307062"/>
    <w:rsid w:val="4032447A"/>
    <w:rsid w:val="40425D31"/>
    <w:rsid w:val="40477B2D"/>
    <w:rsid w:val="40481A68"/>
    <w:rsid w:val="404D1D57"/>
    <w:rsid w:val="405368AD"/>
    <w:rsid w:val="40583EC3"/>
    <w:rsid w:val="405E2028"/>
    <w:rsid w:val="40610FCA"/>
    <w:rsid w:val="40647E75"/>
    <w:rsid w:val="40A13ABC"/>
    <w:rsid w:val="40AF6026"/>
    <w:rsid w:val="40C050C3"/>
    <w:rsid w:val="40D7128C"/>
    <w:rsid w:val="40ED0AAF"/>
    <w:rsid w:val="41011A4F"/>
    <w:rsid w:val="41127431"/>
    <w:rsid w:val="412B15D8"/>
    <w:rsid w:val="41572E55"/>
    <w:rsid w:val="415820EB"/>
    <w:rsid w:val="416241F1"/>
    <w:rsid w:val="416D1BF0"/>
    <w:rsid w:val="418238EE"/>
    <w:rsid w:val="41923435"/>
    <w:rsid w:val="419A3E69"/>
    <w:rsid w:val="41AF2209"/>
    <w:rsid w:val="41BD2B78"/>
    <w:rsid w:val="41BF069E"/>
    <w:rsid w:val="41D14912"/>
    <w:rsid w:val="41E9571B"/>
    <w:rsid w:val="41FD4D22"/>
    <w:rsid w:val="421A0D47"/>
    <w:rsid w:val="421C5AFC"/>
    <w:rsid w:val="424C5CAA"/>
    <w:rsid w:val="425014D4"/>
    <w:rsid w:val="4262727B"/>
    <w:rsid w:val="4263372B"/>
    <w:rsid w:val="426C648E"/>
    <w:rsid w:val="42703746"/>
    <w:rsid w:val="427F0774"/>
    <w:rsid w:val="428D254A"/>
    <w:rsid w:val="428E1E1E"/>
    <w:rsid w:val="429F2355"/>
    <w:rsid w:val="42AB1D0E"/>
    <w:rsid w:val="42B074C9"/>
    <w:rsid w:val="42C6780A"/>
    <w:rsid w:val="42D956C8"/>
    <w:rsid w:val="42DF2EEE"/>
    <w:rsid w:val="42E665AE"/>
    <w:rsid w:val="42FC322C"/>
    <w:rsid w:val="43071E5B"/>
    <w:rsid w:val="431C742A"/>
    <w:rsid w:val="4332051F"/>
    <w:rsid w:val="43347A55"/>
    <w:rsid w:val="433B1FA6"/>
    <w:rsid w:val="433E3844"/>
    <w:rsid w:val="43476426"/>
    <w:rsid w:val="4350530C"/>
    <w:rsid w:val="43543068"/>
    <w:rsid w:val="435B61A4"/>
    <w:rsid w:val="43747266"/>
    <w:rsid w:val="43841508"/>
    <w:rsid w:val="439C4B3A"/>
    <w:rsid w:val="43A21908"/>
    <w:rsid w:val="43AD4526"/>
    <w:rsid w:val="43B6162D"/>
    <w:rsid w:val="43BF2BD7"/>
    <w:rsid w:val="43D30430"/>
    <w:rsid w:val="43D72AC4"/>
    <w:rsid w:val="43E85D96"/>
    <w:rsid w:val="43F65ECD"/>
    <w:rsid w:val="4401693D"/>
    <w:rsid w:val="441376CE"/>
    <w:rsid w:val="441427F7"/>
    <w:rsid w:val="441F5424"/>
    <w:rsid w:val="44336BFB"/>
    <w:rsid w:val="444855B2"/>
    <w:rsid w:val="444D24EA"/>
    <w:rsid w:val="444F0990"/>
    <w:rsid w:val="44641089"/>
    <w:rsid w:val="44663053"/>
    <w:rsid w:val="447514E8"/>
    <w:rsid w:val="44774E4D"/>
    <w:rsid w:val="447A4003"/>
    <w:rsid w:val="447D65EE"/>
    <w:rsid w:val="44983D5E"/>
    <w:rsid w:val="449E34A1"/>
    <w:rsid w:val="44A21BB1"/>
    <w:rsid w:val="44A578BE"/>
    <w:rsid w:val="44AD0C81"/>
    <w:rsid w:val="44C61D43"/>
    <w:rsid w:val="44D206E8"/>
    <w:rsid w:val="44DE19E8"/>
    <w:rsid w:val="44ED4282"/>
    <w:rsid w:val="450308A1"/>
    <w:rsid w:val="45114E6C"/>
    <w:rsid w:val="45126D36"/>
    <w:rsid w:val="4513485D"/>
    <w:rsid w:val="45140D01"/>
    <w:rsid w:val="45343151"/>
    <w:rsid w:val="453C3DB3"/>
    <w:rsid w:val="454341EB"/>
    <w:rsid w:val="454F7F8B"/>
    <w:rsid w:val="45576E3F"/>
    <w:rsid w:val="456A0921"/>
    <w:rsid w:val="456D4F53"/>
    <w:rsid w:val="457572C5"/>
    <w:rsid w:val="45763769"/>
    <w:rsid w:val="45921C25"/>
    <w:rsid w:val="45AA3413"/>
    <w:rsid w:val="45B61DB8"/>
    <w:rsid w:val="45E16709"/>
    <w:rsid w:val="460348D1"/>
    <w:rsid w:val="460A3EB2"/>
    <w:rsid w:val="460A5E25"/>
    <w:rsid w:val="461B60BF"/>
    <w:rsid w:val="461D1E37"/>
    <w:rsid w:val="46380A1F"/>
    <w:rsid w:val="463D02E0"/>
    <w:rsid w:val="463E3B5B"/>
    <w:rsid w:val="4646298C"/>
    <w:rsid w:val="464D4CA7"/>
    <w:rsid w:val="46517D32"/>
    <w:rsid w:val="46540183"/>
    <w:rsid w:val="465D66D7"/>
    <w:rsid w:val="46651743"/>
    <w:rsid w:val="46794B93"/>
    <w:rsid w:val="467F5121"/>
    <w:rsid w:val="468429E7"/>
    <w:rsid w:val="4690085B"/>
    <w:rsid w:val="469C1FB7"/>
    <w:rsid w:val="46A676CF"/>
    <w:rsid w:val="46C202E8"/>
    <w:rsid w:val="46D36AB5"/>
    <w:rsid w:val="46DA3884"/>
    <w:rsid w:val="470628CB"/>
    <w:rsid w:val="470D3C59"/>
    <w:rsid w:val="471E03DE"/>
    <w:rsid w:val="471E7C15"/>
    <w:rsid w:val="47216726"/>
    <w:rsid w:val="4733370C"/>
    <w:rsid w:val="473A4323"/>
    <w:rsid w:val="47434CC7"/>
    <w:rsid w:val="47495429"/>
    <w:rsid w:val="474A22AA"/>
    <w:rsid w:val="47540076"/>
    <w:rsid w:val="47615D53"/>
    <w:rsid w:val="477D3B0A"/>
    <w:rsid w:val="47881532"/>
    <w:rsid w:val="47941662"/>
    <w:rsid w:val="479559FD"/>
    <w:rsid w:val="479779C7"/>
    <w:rsid w:val="479C04F0"/>
    <w:rsid w:val="479E2B03"/>
    <w:rsid w:val="479E777A"/>
    <w:rsid w:val="479F09BE"/>
    <w:rsid w:val="47A125F4"/>
    <w:rsid w:val="47A85730"/>
    <w:rsid w:val="47B73BC5"/>
    <w:rsid w:val="47BC11DC"/>
    <w:rsid w:val="47BC774C"/>
    <w:rsid w:val="47CE1FDE"/>
    <w:rsid w:val="47D91D8D"/>
    <w:rsid w:val="47F0441B"/>
    <w:rsid w:val="47FB61A8"/>
    <w:rsid w:val="47FD0860"/>
    <w:rsid w:val="480A1F47"/>
    <w:rsid w:val="480D0991"/>
    <w:rsid w:val="48123C4D"/>
    <w:rsid w:val="48221986"/>
    <w:rsid w:val="48331B28"/>
    <w:rsid w:val="48362D3C"/>
    <w:rsid w:val="48533C2F"/>
    <w:rsid w:val="485458B8"/>
    <w:rsid w:val="485633DE"/>
    <w:rsid w:val="4856518C"/>
    <w:rsid w:val="48580F04"/>
    <w:rsid w:val="488A12DA"/>
    <w:rsid w:val="48A04659"/>
    <w:rsid w:val="48B412A8"/>
    <w:rsid w:val="48BD345D"/>
    <w:rsid w:val="48C06AA9"/>
    <w:rsid w:val="48DD480D"/>
    <w:rsid w:val="48E5353B"/>
    <w:rsid w:val="48F91B47"/>
    <w:rsid w:val="48FB13E9"/>
    <w:rsid w:val="49105C83"/>
    <w:rsid w:val="49172B6D"/>
    <w:rsid w:val="49246C51"/>
    <w:rsid w:val="4930226B"/>
    <w:rsid w:val="4933371F"/>
    <w:rsid w:val="49402818"/>
    <w:rsid w:val="494B2817"/>
    <w:rsid w:val="494B61A2"/>
    <w:rsid w:val="495D022C"/>
    <w:rsid w:val="495E1254"/>
    <w:rsid w:val="49820ADF"/>
    <w:rsid w:val="4985446E"/>
    <w:rsid w:val="498B2D66"/>
    <w:rsid w:val="498B355B"/>
    <w:rsid w:val="498F4DFA"/>
    <w:rsid w:val="499B4A9F"/>
    <w:rsid w:val="49A10911"/>
    <w:rsid w:val="49A14B2D"/>
    <w:rsid w:val="49A4503C"/>
    <w:rsid w:val="49B760FE"/>
    <w:rsid w:val="49CD3E5F"/>
    <w:rsid w:val="49D24CE6"/>
    <w:rsid w:val="49D77C92"/>
    <w:rsid w:val="49DB1DED"/>
    <w:rsid w:val="49DB5E2A"/>
    <w:rsid w:val="49DC5B65"/>
    <w:rsid w:val="49E10D22"/>
    <w:rsid w:val="49F6164F"/>
    <w:rsid w:val="4A201EF6"/>
    <w:rsid w:val="4A203CA4"/>
    <w:rsid w:val="4A203FAA"/>
    <w:rsid w:val="4A3239D7"/>
    <w:rsid w:val="4A5B6485"/>
    <w:rsid w:val="4A5D667F"/>
    <w:rsid w:val="4A6E2CCE"/>
    <w:rsid w:val="4A760D6C"/>
    <w:rsid w:val="4A7914D7"/>
    <w:rsid w:val="4A802994"/>
    <w:rsid w:val="4A8C2D94"/>
    <w:rsid w:val="4A944E15"/>
    <w:rsid w:val="4A985F30"/>
    <w:rsid w:val="4AAE12AF"/>
    <w:rsid w:val="4AB501B1"/>
    <w:rsid w:val="4ABB0340"/>
    <w:rsid w:val="4ABF170F"/>
    <w:rsid w:val="4AC42881"/>
    <w:rsid w:val="4AC7411F"/>
    <w:rsid w:val="4ACF7478"/>
    <w:rsid w:val="4ADA20A4"/>
    <w:rsid w:val="4AE103D8"/>
    <w:rsid w:val="4AE15816"/>
    <w:rsid w:val="4B0E61F2"/>
    <w:rsid w:val="4B307F16"/>
    <w:rsid w:val="4B335C59"/>
    <w:rsid w:val="4B392BBC"/>
    <w:rsid w:val="4B3D2633"/>
    <w:rsid w:val="4B55797D"/>
    <w:rsid w:val="4B683851"/>
    <w:rsid w:val="4B6978CC"/>
    <w:rsid w:val="4B6E4EE3"/>
    <w:rsid w:val="4B754053"/>
    <w:rsid w:val="4B8464B4"/>
    <w:rsid w:val="4B8B2273"/>
    <w:rsid w:val="4BA83F51"/>
    <w:rsid w:val="4BBA3C84"/>
    <w:rsid w:val="4BBE19C6"/>
    <w:rsid w:val="4BC13264"/>
    <w:rsid w:val="4BC845F3"/>
    <w:rsid w:val="4BDF36EB"/>
    <w:rsid w:val="4BE66C5C"/>
    <w:rsid w:val="4BE8259F"/>
    <w:rsid w:val="4BE90BA4"/>
    <w:rsid w:val="4BF802E4"/>
    <w:rsid w:val="4BF90C50"/>
    <w:rsid w:val="4C013661"/>
    <w:rsid w:val="4C03562B"/>
    <w:rsid w:val="4C08552D"/>
    <w:rsid w:val="4C1A6793"/>
    <w:rsid w:val="4C360DAD"/>
    <w:rsid w:val="4C4023DB"/>
    <w:rsid w:val="4C4243A5"/>
    <w:rsid w:val="4C4F1EE3"/>
    <w:rsid w:val="4C52210E"/>
    <w:rsid w:val="4C6A24D5"/>
    <w:rsid w:val="4C6F0F12"/>
    <w:rsid w:val="4C735FF7"/>
    <w:rsid w:val="4C7E2F03"/>
    <w:rsid w:val="4C822968"/>
    <w:rsid w:val="4C8C3872"/>
    <w:rsid w:val="4C975D73"/>
    <w:rsid w:val="4CA0731E"/>
    <w:rsid w:val="4CCE79E7"/>
    <w:rsid w:val="4CFA0B77"/>
    <w:rsid w:val="4D0005C3"/>
    <w:rsid w:val="4D115B26"/>
    <w:rsid w:val="4D183358"/>
    <w:rsid w:val="4D1D44CA"/>
    <w:rsid w:val="4D3F08E5"/>
    <w:rsid w:val="4D3F4582"/>
    <w:rsid w:val="4D5048A0"/>
    <w:rsid w:val="4D5C3245"/>
    <w:rsid w:val="4D7E765F"/>
    <w:rsid w:val="4D7F5185"/>
    <w:rsid w:val="4D8B0032"/>
    <w:rsid w:val="4DA02B5D"/>
    <w:rsid w:val="4DBC3DA8"/>
    <w:rsid w:val="4DC67FAF"/>
    <w:rsid w:val="4DCF2397"/>
    <w:rsid w:val="4DE65204"/>
    <w:rsid w:val="4DE81E14"/>
    <w:rsid w:val="4DE90CFC"/>
    <w:rsid w:val="4DFA1FE8"/>
    <w:rsid w:val="4DFF0074"/>
    <w:rsid w:val="4DFF1E22"/>
    <w:rsid w:val="4E15678B"/>
    <w:rsid w:val="4E18052F"/>
    <w:rsid w:val="4E192EE4"/>
    <w:rsid w:val="4E257ADB"/>
    <w:rsid w:val="4E2D698F"/>
    <w:rsid w:val="4E3213BC"/>
    <w:rsid w:val="4E353A96"/>
    <w:rsid w:val="4E3E2A8E"/>
    <w:rsid w:val="4E3F1B84"/>
    <w:rsid w:val="4E571C5E"/>
    <w:rsid w:val="4E742810"/>
    <w:rsid w:val="4E7B76FB"/>
    <w:rsid w:val="4E7C134A"/>
    <w:rsid w:val="4E830CA5"/>
    <w:rsid w:val="4E874A52"/>
    <w:rsid w:val="4E881E17"/>
    <w:rsid w:val="4EB40E5E"/>
    <w:rsid w:val="4EBE7F2F"/>
    <w:rsid w:val="4ECA2430"/>
    <w:rsid w:val="4EE03A01"/>
    <w:rsid w:val="4EF80DAD"/>
    <w:rsid w:val="4EF844C2"/>
    <w:rsid w:val="4EFD4602"/>
    <w:rsid w:val="4F0040A4"/>
    <w:rsid w:val="4F1418FD"/>
    <w:rsid w:val="4F147DB1"/>
    <w:rsid w:val="4F155DA1"/>
    <w:rsid w:val="4F1D6A04"/>
    <w:rsid w:val="4F2411C2"/>
    <w:rsid w:val="4F2663C3"/>
    <w:rsid w:val="4F2C30EB"/>
    <w:rsid w:val="4F3F2261"/>
    <w:rsid w:val="4F413EF0"/>
    <w:rsid w:val="4F4F0B87"/>
    <w:rsid w:val="4F7359CF"/>
    <w:rsid w:val="4F9361EE"/>
    <w:rsid w:val="4FA113E3"/>
    <w:rsid w:val="4FA905DB"/>
    <w:rsid w:val="4FAA7FE7"/>
    <w:rsid w:val="4FBC621D"/>
    <w:rsid w:val="4FC60E49"/>
    <w:rsid w:val="4FE63299"/>
    <w:rsid w:val="4FE63D4E"/>
    <w:rsid w:val="50032AE0"/>
    <w:rsid w:val="501A2F43"/>
    <w:rsid w:val="50214041"/>
    <w:rsid w:val="502A5210"/>
    <w:rsid w:val="5032019A"/>
    <w:rsid w:val="50493828"/>
    <w:rsid w:val="50545FFA"/>
    <w:rsid w:val="50550202"/>
    <w:rsid w:val="509A4B98"/>
    <w:rsid w:val="50A66AE2"/>
    <w:rsid w:val="50AC4BB9"/>
    <w:rsid w:val="50CE26AB"/>
    <w:rsid w:val="50E21C39"/>
    <w:rsid w:val="50E91456"/>
    <w:rsid w:val="50EF2622"/>
    <w:rsid w:val="50F360E5"/>
    <w:rsid w:val="50F644C2"/>
    <w:rsid w:val="51090C30"/>
    <w:rsid w:val="51165E00"/>
    <w:rsid w:val="51600E2A"/>
    <w:rsid w:val="51626FFE"/>
    <w:rsid w:val="517E430A"/>
    <w:rsid w:val="51854DEF"/>
    <w:rsid w:val="518E3BE9"/>
    <w:rsid w:val="519059F2"/>
    <w:rsid w:val="519C1831"/>
    <w:rsid w:val="51A21442"/>
    <w:rsid w:val="51A96C75"/>
    <w:rsid w:val="51AC0513"/>
    <w:rsid w:val="51D61265"/>
    <w:rsid w:val="51E077A4"/>
    <w:rsid w:val="51E41A5B"/>
    <w:rsid w:val="51FB0B52"/>
    <w:rsid w:val="520E4374"/>
    <w:rsid w:val="521A337C"/>
    <w:rsid w:val="521C2FA3"/>
    <w:rsid w:val="522856A0"/>
    <w:rsid w:val="522B1438"/>
    <w:rsid w:val="5240491E"/>
    <w:rsid w:val="524D493D"/>
    <w:rsid w:val="524E7AD5"/>
    <w:rsid w:val="52527E09"/>
    <w:rsid w:val="525C7108"/>
    <w:rsid w:val="526861E8"/>
    <w:rsid w:val="5272350A"/>
    <w:rsid w:val="527B23BF"/>
    <w:rsid w:val="52826BFE"/>
    <w:rsid w:val="528A593B"/>
    <w:rsid w:val="5296031C"/>
    <w:rsid w:val="529A036B"/>
    <w:rsid w:val="52A80CDA"/>
    <w:rsid w:val="52AE7B7C"/>
    <w:rsid w:val="52B21B59"/>
    <w:rsid w:val="52CD24EF"/>
    <w:rsid w:val="52E11A47"/>
    <w:rsid w:val="52F134E4"/>
    <w:rsid w:val="52F85E4C"/>
    <w:rsid w:val="53051C89"/>
    <w:rsid w:val="53126652"/>
    <w:rsid w:val="531B420E"/>
    <w:rsid w:val="53243A4C"/>
    <w:rsid w:val="5325232B"/>
    <w:rsid w:val="532C5467"/>
    <w:rsid w:val="533113DD"/>
    <w:rsid w:val="533E503D"/>
    <w:rsid w:val="534851C2"/>
    <w:rsid w:val="53513120"/>
    <w:rsid w:val="535C1095"/>
    <w:rsid w:val="5366378B"/>
    <w:rsid w:val="53670B95"/>
    <w:rsid w:val="5367649F"/>
    <w:rsid w:val="536D782E"/>
    <w:rsid w:val="536F00C7"/>
    <w:rsid w:val="538431FB"/>
    <w:rsid w:val="5387030B"/>
    <w:rsid w:val="539B23CA"/>
    <w:rsid w:val="53A4599C"/>
    <w:rsid w:val="53A94D0A"/>
    <w:rsid w:val="53BE40A3"/>
    <w:rsid w:val="53D04386"/>
    <w:rsid w:val="53DD2AFE"/>
    <w:rsid w:val="53EB614B"/>
    <w:rsid w:val="53EF7B49"/>
    <w:rsid w:val="53FB3291"/>
    <w:rsid w:val="53FD6E04"/>
    <w:rsid w:val="541F44D5"/>
    <w:rsid w:val="54244390"/>
    <w:rsid w:val="542919A7"/>
    <w:rsid w:val="542E520F"/>
    <w:rsid w:val="54332825"/>
    <w:rsid w:val="5447181A"/>
    <w:rsid w:val="544B4013"/>
    <w:rsid w:val="546E385E"/>
    <w:rsid w:val="547C5F7A"/>
    <w:rsid w:val="5486329D"/>
    <w:rsid w:val="548E0C37"/>
    <w:rsid w:val="54905ECA"/>
    <w:rsid w:val="54994CF6"/>
    <w:rsid w:val="54994D7E"/>
    <w:rsid w:val="549B4DB8"/>
    <w:rsid w:val="54AD4386"/>
    <w:rsid w:val="54C067AF"/>
    <w:rsid w:val="54C142D5"/>
    <w:rsid w:val="54E56216"/>
    <w:rsid w:val="54EB17C9"/>
    <w:rsid w:val="54EB3100"/>
    <w:rsid w:val="54F32895"/>
    <w:rsid w:val="54F93A6F"/>
    <w:rsid w:val="55032FC6"/>
    <w:rsid w:val="55061B43"/>
    <w:rsid w:val="550B5550"/>
    <w:rsid w:val="550C1CD4"/>
    <w:rsid w:val="55117231"/>
    <w:rsid w:val="552C5BF2"/>
    <w:rsid w:val="552D1C4B"/>
    <w:rsid w:val="552E2619"/>
    <w:rsid w:val="553C57C6"/>
    <w:rsid w:val="55456CB4"/>
    <w:rsid w:val="55467DF7"/>
    <w:rsid w:val="55486565"/>
    <w:rsid w:val="554D1BF6"/>
    <w:rsid w:val="55674DDF"/>
    <w:rsid w:val="556829A3"/>
    <w:rsid w:val="55733821"/>
    <w:rsid w:val="557F3BF8"/>
    <w:rsid w:val="55943272"/>
    <w:rsid w:val="55A27C63"/>
    <w:rsid w:val="55BB2AD2"/>
    <w:rsid w:val="55C4749E"/>
    <w:rsid w:val="55C94C6F"/>
    <w:rsid w:val="55D32512"/>
    <w:rsid w:val="55F34962"/>
    <w:rsid w:val="561F43C7"/>
    <w:rsid w:val="56417E01"/>
    <w:rsid w:val="564F2E6A"/>
    <w:rsid w:val="565076BF"/>
    <w:rsid w:val="56521689"/>
    <w:rsid w:val="56576C9F"/>
    <w:rsid w:val="565D002E"/>
    <w:rsid w:val="56690780"/>
    <w:rsid w:val="56692FD1"/>
    <w:rsid w:val="566C73E3"/>
    <w:rsid w:val="56AB5BA7"/>
    <w:rsid w:val="56B57E6A"/>
    <w:rsid w:val="56BD287A"/>
    <w:rsid w:val="56C63E25"/>
    <w:rsid w:val="56D36709"/>
    <w:rsid w:val="56E524FD"/>
    <w:rsid w:val="56E66275"/>
    <w:rsid w:val="56EB388B"/>
    <w:rsid w:val="57212E09"/>
    <w:rsid w:val="5730129E"/>
    <w:rsid w:val="57315742"/>
    <w:rsid w:val="573174F0"/>
    <w:rsid w:val="573B5393"/>
    <w:rsid w:val="57447AE2"/>
    <w:rsid w:val="574C432A"/>
    <w:rsid w:val="574F5BC8"/>
    <w:rsid w:val="575C6D34"/>
    <w:rsid w:val="577B4620"/>
    <w:rsid w:val="57A64363"/>
    <w:rsid w:val="57AD2361"/>
    <w:rsid w:val="57BF2D4E"/>
    <w:rsid w:val="57C77106"/>
    <w:rsid w:val="57C93BCD"/>
    <w:rsid w:val="57CB50E3"/>
    <w:rsid w:val="57CF0AB7"/>
    <w:rsid w:val="57D00325"/>
    <w:rsid w:val="57E239DF"/>
    <w:rsid w:val="57E47C99"/>
    <w:rsid w:val="58015B00"/>
    <w:rsid w:val="58030761"/>
    <w:rsid w:val="58112E7E"/>
    <w:rsid w:val="581D1822"/>
    <w:rsid w:val="5822508B"/>
    <w:rsid w:val="582351DE"/>
    <w:rsid w:val="583C1E47"/>
    <w:rsid w:val="583D0117"/>
    <w:rsid w:val="583E4E73"/>
    <w:rsid w:val="58443253"/>
    <w:rsid w:val="58445835"/>
    <w:rsid w:val="584566AF"/>
    <w:rsid w:val="5847689F"/>
    <w:rsid w:val="584B4D97"/>
    <w:rsid w:val="584D65AC"/>
    <w:rsid w:val="58577DBC"/>
    <w:rsid w:val="585A65D3"/>
    <w:rsid w:val="585B059D"/>
    <w:rsid w:val="58791FDE"/>
    <w:rsid w:val="588B432B"/>
    <w:rsid w:val="58AB5080"/>
    <w:rsid w:val="58D565A1"/>
    <w:rsid w:val="58DF4D2A"/>
    <w:rsid w:val="58E6255C"/>
    <w:rsid w:val="58E74DA8"/>
    <w:rsid w:val="58FC4439"/>
    <w:rsid w:val="58FE78A6"/>
    <w:rsid w:val="58FF53CC"/>
    <w:rsid w:val="59140E77"/>
    <w:rsid w:val="591C5F7E"/>
    <w:rsid w:val="591F1435"/>
    <w:rsid w:val="59314E4A"/>
    <w:rsid w:val="59445A94"/>
    <w:rsid w:val="594A4899"/>
    <w:rsid w:val="59537B91"/>
    <w:rsid w:val="595B0854"/>
    <w:rsid w:val="595C5227"/>
    <w:rsid w:val="59611A1D"/>
    <w:rsid w:val="59611BE3"/>
    <w:rsid w:val="59613991"/>
    <w:rsid w:val="596479EA"/>
    <w:rsid w:val="596A4706"/>
    <w:rsid w:val="596C6317"/>
    <w:rsid w:val="59747100"/>
    <w:rsid w:val="59815DE1"/>
    <w:rsid w:val="598E2878"/>
    <w:rsid w:val="59960F02"/>
    <w:rsid w:val="599C2C1B"/>
    <w:rsid w:val="59AC5E01"/>
    <w:rsid w:val="59B04782"/>
    <w:rsid w:val="59BE6C04"/>
    <w:rsid w:val="59C503C4"/>
    <w:rsid w:val="59C86B3A"/>
    <w:rsid w:val="59CD1026"/>
    <w:rsid w:val="59CE54CA"/>
    <w:rsid w:val="59E43D35"/>
    <w:rsid w:val="59E7658C"/>
    <w:rsid w:val="59EA6BEE"/>
    <w:rsid w:val="59F24158"/>
    <w:rsid w:val="59FD7B5D"/>
    <w:rsid w:val="5A0C5EAD"/>
    <w:rsid w:val="5A221372"/>
    <w:rsid w:val="5A255588"/>
    <w:rsid w:val="5A2B4A8D"/>
    <w:rsid w:val="5A2C3F9F"/>
    <w:rsid w:val="5A364E1D"/>
    <w:rsid w:val="5A42250B"/>
    <w:rsid w:val="5A5D47F8"/>
    <w:rsid w:val="5A625C12"/>
    <w:rsid w:val="5A712320"/>
    <w:rsid w:val="5A715E56"/>
    <w:rsid w:val="5A87203E"/>
    <w:rsid w:val="5A951B44"/>
    <w:rsid w:val="5AAE2C06"/>
    <w:rsid w:val="5ABF4E13"/>
    <w:rsid w:val="5AC60A34"/>
    <w:rsid w:val="5AC661A1"/>
    <w:rsid w:val="5ACC1D6C"/>
    <w:rsid w:val="5ACE08E9"/>
    <w:rsid w:val="5AD05272"/>
    <w:rsid w:val="5AE66844"/>
    <w:rsid w:val="5AEF6D32"/>
    <w:rsid w:val="5AF267C5"/>
    <w:rsid w:val="5AF727FF"/>
    <w:rsid w:val="5AFA03B5"/>
    <w:rsid w:val="5AFD593B"/>
    <w:rsid w:val="5B0A0784"/>
    <w:rsid w:val="5B193CF8"/>
    <w:rsid w:val="5B210005"/>
    <w:rsid w:val="5B296730"/>
    <w:rsid w:val="5B321A89"/>
    <w:rsid w:val="5B353327"/>
    <w:rsid w:val="5B490B80"/>
    <w:rsid w:val="5B4D432B"/>
    <w:rsid w:val="5B4F263B"/>
    <w:rsid w:val="5B5F2152"/>
    <w:rsid w:val="5B624E39"/>
    <w:rsid w:val="5B7C46CC"/>
    <w:rsid w:val="5B7F07AB"/>
    <w:rsid w:val="5B8A73CA"/>
    <w:rsid w:val="5BB4249E"/>
    <w:rsid w:val="5BC915A3"/>
    <w:rsid w:val="5BD47131"/>
    <w:rsid w:val="5BE2525D"/>
    <w:rsid w:val="5BE30FD5"/>
    <w:rsid w:val="5BF136F2"/>
    <w:rsid w:val="5C0B5A8A"/>
    <w:rsid w:val="5C1B076F"/>
    <w:rsid w:val="5C292E8C"/>
    <w:rsid w:val="5C6A5252"/>
    <w:rsid w:val="5C6E6AF1"/>
    <w:rsid w:val="5C784A82"/>
    <w:rsid w:val="5C787ACA"/>
    <w:rsid w:val="5C7906B8"/>
    <w:rsid w:val="5C7940C1"/>
    <w:rsid w:val="5C7C7FC2"/>
    <w:rsid w:val="5C8005D2"/>
    <w:rsid w:val="5C837D51"/>
    <w:rsid w:val="5C853E3A"/>
    <w:rsid w:val="5C8B76A2"/>
    <w:rsid w:val="5C950521"/>
    <w:rsid w:val="5CA240BE"/>
    <w:rsid w:val="5CA47E6E"/>
    <w:rsid w:val="5CAA0818"/>
    <w:rsid w:val="5CAC7619"/>
    <w:rsid w:val="5CB37FB2"/>
    <w:rsid w:val="5CBD12A0"/>
    <w:rsid w:val="5CD92DF5"/>
    <w:rsid w:val="5CDA750D"/>
    <w:rsid w:val="5CDF79EE"/>
    <w:rsid w:val="5CF214D0"/>
    <w:rsid w:val="5D096819"/>
    <w:rsid w:val="5D1706B9"/>
    <w:rsid w:val="5D2031A1"/>
    <w:rsid w:val="5D235C93"/>
    <w:rsid w:val="5D290C69"/>
    <w:rsid w:val="5D347FAC"/>
    <w:rsid w:val="5D3A69D3"/>
    <w:rsid w:val="5D3F048D"/>
    <w:rsid w:val="5D5205EE"/>
    <w:rsid w:val="5D557CB0"/>
    <w:rsid w:val="5D600B2F"/>
    <w:rsid w:val="5D641CA2"/>
    <w:rsid w:val="5D6677C8"/>
    <w:rsid w:val="5D6A3CB1"/>
    <w:rsid w:val="5D7243BE"/>
    <w:rsid w:val="5D814602"/>
    <w:rsid w:val="5D8F6D1E"/>
    <w:rsid w:val="5D980A2B"/>
    <w:rsid w:val="5DA12EF6"/>
    <w:rsid w:val="5DA9139E"/>
    <w:rsid w:val="5DAD189A"/>
    <w:rsid w:val="5DDF5B1F"/>
    <w:rsid w:val="5DF05DE5"/>
    <w:rsid w:val="5DF9688E"/>
    <w:rsid w:val="5DFB2606"/>
    <w:rsid w:val="5DFC1EDA"/>
    <w:rsid w:val="5E0B450A"/>
    <w:rsid w:val="5E1E00A2"/>
    <w:rsid w:val="5E2C27BF"/>
    <w:rsid w:val="5E337FF2"/>
    <w:rsid w:val="5E437B09"/>
    <w:rsid w:val="5E5227B4"/>
    <w:rsid w:val="5E5C60D3"/>
    <w:rsid w:val="5E5D0BCB"/>
    <w:rsid w:val="5E8F0FA0"/>
    <w:rsid w:val="5E9A5DEE"/>
    <w:rsid w:val="5EA031AD"/>
    <w:rsid w:val="5EA05A1B"/>
    <w:rsid w:val="5EA26F25"/>
    <w:rsid w:val="5EB03D8B"/>
    <w:rsid w:val="5EB32EE1"/>
    <w:rsid w:val="5EC5419E"/>
    <w:rsid w:val="5EC62C14"/>
    <w:rsid w:val="5EC724E8"/>
    <w:rsid w:val="5EC7698C"/>
    <w:rsid w:val="5EE035AA"/>
    <w:rsid w:val="5EE21505"/>
    <w:rsid w:val="5EFA466C"/>
    <w:rsid w:val="5F13572D"/>
    <w:rsid w:val="5F16521D"/>
    <w:rsid w:val="5F226505"/>
    <w:rsid w:val="5F230066"/>
    <w:rsid w:val="5F2E6A0B"/>
    <w:rsid w:val="5F3D27AA"/>
    <w:rsid w:val="5F473629"/>
    <w:rsid w:val="5F5D2E4C"/>
    <w:rsid w:val="5F5E6BA9"/>
    <w:rsid w:val="5F61293D"/>
    <w:rsid w:val="5F6256F9"/>
    <w:rsid w:val="5F681F1D"/>
    <w:rsid w:val="5F7563E8"/>
    <w:rsid w:val="5F76780E"/>
    <w:rsid w:val="5F784221"/>
    <w:rsid w:val="5F801283"/>
    <w:rsid w:val="5F84250C"/>
    <w:rsid w:val="5F845D15"/>
    <w:rsid w:val="5F8E3006"/>
    <w:rsid w:val="5F9C3975"/>
    <w:rsid w:val="5F9D61ED"/>
    <w:rsid w:val="5FB707AE"/>
    <w:rsid w:val="5FBF7663"/>
    <w:rsid w:val="5FCA136C"/>
    <w:rsid w:val="5FDC720B"/>
    <w:rsid w:val="5FE33B7B"/>
    <w:rsid w:val="5FE71934"/>
    <w:rsid w:val="5FF67529"/>
    <w:rsid w:val="60086A2A"/>
    <w:rsid w:val="60200102"/>
    <w:rsid w:val="602B6AA7"/>
    <w:rsid w:val="6042451C"/>
    <w:rsid w:val="60432042"/>
    <w:rsid w:val="60457B68"/>
    <w:rsid w:val="6065020A"/>
    <w:rsid w:val="60762418"/>
    <w:rsid w:val="607641C6"/>
    <w:rsid w:val="607C0C01"/>
    <w:rsid w:val="608E2871"/>
    <w:rsid w:val="60980A56"/>
    <w:rsid w:val="60A26D69"/>
    <w:rsid w:val="60A76A75"/>
    <w:rsid w:val="60A9459B"/>
    <w:rsid w:val="60AA20C1"/>
    <w:rsid w:val="60AE1BB1"/>
    <w:rsid w:val="60B76AAB"/>
    <w:rsid w:val="60B91A27"/>
    <w:rsid w:val="60BA67A8"/>
    <w:rsid w:val="60C43183"/>
    <w:rsid w:val="60C505B5"/>
    <w:rsid w:val="60EE7D2A"/>
    <w:rsid w:val="60F1091D"/>
    <w:rsid w:val="60F63558"/>
    <w:rsid w:val="60F8107F"/>
    <w:rsid w:val="60F916CB"/>
    <w:rsid w:val="611A0FF5"/>
    <w:rsid w:val="6128091C"/>
    <w:rsid w:val="612E2CF2"/>
    <w:rsid w:val="613A51F3"/>
    <w:rsid w:val="613F6CAD"/>
    <w:rsid w:val="614044EB"/>
    <w:rsid w:val="616821E1"/>
    <w:rsid w:val="616B35FF"/>
    <w:rsid w:val="617C787B"/>
    <w:rsid w:val="619C1A0A"/>
    <w:rsid w:val="61A50EA2"/>
    <w:rsid w:val="61A808E2"/>
    <w:rsid w:val="61AB4343"/>
    <w:rsid w:val="61AD242D"/>
    <w:rsid w:val="61D84C37"/>
    <w:rsid w:val="61DA73EA"/>
    <w:rsid w:val="61DE64C6"/>
    <w:rsid w:val="61F45CEA"/>
    <w:rsid w:val="620023CB"/>
    <w:rsid w:val="62084A6A"/>
    <w:rsid w:val="621243C2"/>
    <w:rsid w:val="62157A0E"/>
    <w:rsid w:val="62385A78"/>
    <w:rsid w:val="62593D9F"/>
    <w:rsid w:val="62740BD9"/>
    <w:rsid w:val="627831CA"/>
    <w:rsid w:val="627E7362"/>
    <w:rsid w:val="629E17B2"/>
    <w:rsid w:val="62A014DD"/>
    <w:rsid w:val="62C72F81"/>
    <w:rsid w:val="62D11B87"/>
    <w:rsid w:val="62D653F0"/>
    <w:rsid w:val="62E0626E"/>
    <w:rsid w:val="62E31766"/>
    <w:rsid w:val="62E573E1"/>
    <w:rsid w:val="62F35FA1"/>
    <w:rsid w:val="62F90887"/>
    <w:rsid w:val="631018DF"/>
    <w:rsid w:val="631830BF"/>
    <w:rsid w:val="63291CB0"/>
    <w:rsid w:val="63512CC8"/>
    <w:rsid w:val="63544514"/>
    <w:rsid w:val="635A2C28"/>
    <w:rsid w:val="635F7193"/>
    <w:rsid w:val="636831B2"/>
    <w:rsid w:val="637D1D0F"/>
    <w:rsid w:val="63950E07"/>
    <w:rsid w:val="63A948B2"/>
    <w:rsid w:val="63B956FE"/>
    <w:rsid w:val="63BF40D6"/>
    <w:rsid w:val="63C01BA2"/>
    <w:rsid w:val="63C87650"/>
    <w:rsid w:val="63CB2A7A"/>
    <w:rsid w:val="63D25BB7"/>
    <w:rsid w:val="63D61B74"/>
    <w:rsid w:val="63DF2082"/>
    <w:rsid w:val="63FE0DF3"/>
    <w:rsid w:val="64010CE0"/>
    <w:rsid w:val="640A35A3"/>
    <w:rsid w:val="642A59F3"/>
    <w:rsid w:val="6445389F"/>
    <w:rsid w:val="646560DB"/>
    <w:rsid w:val="64684F66"/>
    <w:rsid w:val="64764029"/>
    <w:rsid w:val="64881F9E"/>
    <w:rsid w:val="64A37553"/>
    <w:rsid w:val="64AF43F5"/>
    <w:rsid w:val="64B82FFF"/>
    <w:rsid w:val="64BD0615"/>
    <w:rsid w:val="64D15E6F"/>
    <w:rsid w:val="64DB0A9B"/>
    <w:rsid w:val="64E04304"/>
    <w:rsid w:val="64E6182C"/>
    <w:rsid w:val="64EA6F30"/>
    <w:rsid w:val="64F32289"/>
    <w:rsid w:val="650136CD"/>
    <w:rsid w:val="65046F40"/>
    <w:rsid w:val="650638CC"/>
    <w:rsid w:val="6509631A"/>
    <w:rsid w:val="65322CBF"/>
    <w:rsid w:val="65670E6D"/>
    <w:rsid w:val="656D260F"/>
    <w:rsid w:val="657A7D74"/>
    <w:rsid w:val="657F1D6E"/>
    <w:rsid w:val="6582177B"/>
    <w:rsid w:val="6582360D"/>
    <w:rsid w:val="6583773F"/>
    <w:rsid w:val="65960E66"/>
    <w:rsid w:val="65A610A9"/>
    <w:rsid w:val="65A76BCF"/>
    <w:rsid w:val="65B512EC"/>
    <w:rsid w:val="65B8702E"/>
    <w:rsid w:val="65C14135"/>
    <w:rsid w:val="65D33E68"/>
    <w:rsid w:val="65D82D5A"/>
    <w:rsid w:val="65E34A28"/>
    <w:rsid w:val="65E676F8"/>
    <w:rsid w:val="65EE47FE"/>
    <w:rsid w:val="65EE670F"/>
    <w:rsid w:val="65EF4235"/>
    <w:rsid w:val="65F500A7"/>
    <w:rsid w:val="660724BC"/>
    <w:rsid w:val="661C532E"/>
    <w:rsid w:val="66271AA6"/>
    <w:rsid w:val="66285F62"/>
    <w:rsid w:val="662D5327"/>
    <w:rsid w:val="66372649"/>
    <w:rsid w:val="665B2639"/>
    <w:rsid w:val="66633E9A"/>
    <w:rsid w:val="666B22F3"/>
    <w:rsid w:val="6679056C"/>
    <w:rsid w:val="66846F11"/>
    <w:rsid w:val="668B4284"/>
    <w:rsid w:val="66A31A8D"/>
    <w:rsid w:val="66A3383B"/>
    <w:rsid w:val="66BB1790"/>
    <w:rsid w:val="67057182"/>
    <w:rsid w:val="670A1B0C"/>
    <w:rsid w:val="670F2417"/>
    <w:rsid w:val="6740552D"/>
    <w:rsid w:val="674C7A59"/>
    <w:rsid w:val="67566EED"/>
    <w:rsid w:val="6787315C"/>
    <w:rsid w:val="679118E5"/>
    <w:rsid w:val="67957D98"/>
    <w:rsid w:val="67A535E2"/>
    <w:rsid w:val="67B04461"/>
    <w:rsid w:val="67B6759E"/>
    <w:rsid w:val="67BB4BB4"/>
    <w:rsid w:val="67BC2E06"/>
    <w:rsid w:val="67BF6452"/>
    <w:rsid w:val="67D30150"/>
    <w:rsid w:val="67F72090"/>
    <w:rsid w:val="67FF2A96"/>
    <w:rsid w:val="68071723"/>
    <w:rsid w:val="682A65AB"/>
    <w:rsid w:val="6833299C"/>
    <w:rsid w:val="684D3A5E"/>
    <w:rsid w:val="685E210F"/>
    <w:rsid w:val="68602AED"/>
    <w:rsid w:val="686671D3"/>
    <w:rsid w:val="686C2BEE"/>
    <w:rsid w:val="686E3B13"/>
    <w:rsid w:val="687B2EBE"/>
    <w:rsid w:val="688E4077"/>
    <w:rsid w:val="689A0C6D"/>
    <w:rsid w:val="68A51AEC"/>
    <w:rsid w:val="68A94F58"/>
    <w:rsid w:val="68AF296B"/>
    <w:rsid w:val="68B27D65"/>
    <w:rsid w:val="68B65AA7"/>
    <w:rsid w:val="68BB5E0A"/>
    <w:rsid w:val="68DC3034"/>
    <w:rsid w:val="68E048D2"/>
    <w:rsid w:val="68E329CB"/>
    <w:rsid w:val="68E87C2B"/>
    <w:rsid w:val="68ED6FEF"/>
    <w:rsid w:val="69041ADC"/>
    <w:rsid w:val="6905258B"/>
    <w:rsid w:val="690A7914"/>
    <w:rsid w:val="690B0E8D"/>
    <w:rsid w:val="690E0CE9"/>
    <w:rsid w:val="690E6DF0"/>
    <w:rsid w:val="691F2499"/>
    <w:rsid w:val="69232A11"/>
    <w:rsid w:val="692549DB"/>
    <w:rsid w:val="69342E70"/>
    <w:rsid w:val="694921C5"/>
    <w:rsid w:val="694926E6"/>
    <w:rsid w:val="694D2DB0"/>
    <w:rsid w:val="69556F7E"/>
    <w:rsid w:val="69584DB0"/>
    <w:rsid w:val="69695723"/>
    <w:rsid w:val="69847953"/>
    <w:rsid w:val="698E07D2"/>
    <w:rsid w:val="69912070"/>
    <w:rsid w:val="69B83AA1"/>
    <w:rsid w:val="69BC2182"/>
    <w:rsid w:val="69C441F4"/>
    <w:rsid w:val="69C45FA2"/>
    <w:rsid w:val="69C54260"/>
    <w:rsid w:val="69C629D5"/>
    <w:rsid w:val="69C935B8"/>
    <w:rsid w:val="69E71DDD"/>
    <w:rsid w:val="69E72135"/>
    <w:rsid w:val="69F83E9D"/>
    <w:rsid w:val="69FA7C16"/>
    <w:rsid w:val="6A0E1913"/>
    <w:rsid w:val="6A280161"/>
    <w:rsid w:val="6A2E6CAD"/>
    <w:rsid w:val="6A3273AF"/>
    <w:rsid w:val="6A51241A"/>
    <w:rsid w:val="6A5A4C82"/>
    <w:rsid w:val="6A617270"/>
    <w:rsid w:val="6A622A21"/>
    <w:rsid w:val="6A6A7183"/>
    <w:rsid w:val="6A890F99"/>
    <w:rsid w:val="6A8A71EB"/>
    <w:rsid w:val="6A8B2F63"/>
    <w:rsid w:val="6AA23FC4"/>
    <w:rsid w:val="6AA560DB"/>
    <w:rsid w:val="6AAD49C6"/>
    <w:rsid w:val="6AB63450"/>
    <w:rsid w:val="6AD333E1"/>
    <w:rsid w:val="6AE14931"/>
    <w:rsid w:val="6AEB3A02"/>
    <w:rsid w:val="6AEB57B0"/>
    <w:rsid w:val="6AF040C6"/>
    <w:rsid w:val="6AF428B7"/>
    <w:rsid w:val="6AF462B5"/>
    <w:rsid w:val="6AF723A7"/>
    <w:rsid w:val="6B104226"/>
    <w:rsid w:val="6B2E2BC2"/>
    <w:rsid w:val="6B350035"/>
    <w:rsid w:val="6B432AA4"/>
    <w:rsid w:val="6B645EC0"/>
    <w:rsid w:val="6B9305A5"/>
    <w:rsid w:val="6B972A27"/>
    <w:rsid w:val="6B9D4CFC"/>
    <w:rsid w:val="6B9E0A74"/>
    <w:rsid w:val="6BB14984"/>
    <w:rsid w:val="6BB14C38"/>
    <w:rsid w:val="6BB543DA"/>
    <w:rsid w:val="6BC04E8F"/>
    <w:rsid w:val="6BCB007C"/>
    <w:rsid w:val="6BD77B89"/>
    <w:rsid w:val="6BD90880"/>
    <w:rsid w:val="6BE20961"/>
    <w:rsid w:val="6BE57BD0"/>
    <w:rsid w:val="6BE648F5"/>
    <w:rsid w:val="6BFE570C"/>
    <w:rsid w:val="6C022DB1"/>
    <w:rsid w:val="6C040F0E"/>
    <w:rsid w:val="6C135CED"/>
    <w:rsid w:val="6C230435"/>
    <w:rsid w:val="6C2704D7"/>
    <w:rsid w:val="6C2E7901"/>
    <w:rsid w:val="6C330194"/>
    <w:rsid w:val="6C3F7B62"/>
    <w:rsid w:val="6C4E2F0F"/>
    <w:rsid w:val="6C603C39"/>
    <w:rsid w:val="6C64581A"/>
    <w:rsid w:val="6C662237"/>
    <w:rsid w:val="6C682001"/>
    <w:rsid w:val="6C692BA0"/>
    <w:rsid w:val="6C692E30"/>
    <w:rsid w:val="6C6B4A74"/>
    <w:rsid w:val="6C6C00BA"/>
    <w:rsid w:val="6CA255BF"/>
    <w:rsid w:val="6CD91C43"/>
    <w:rsid w:val="6CE81FA7"/>
    <w:rsid w:val="6CEB7CE9"/>
    <w:rsid w:val="6D0A4613"/>
    <w:rsid w:val="6D194A59"/>
    <w:rsid w:val="6D301BA0"/>
    <w:rsid w:val="6D396CA7"/>
    <w:rsid w:val="6D4F0278"/>
    <w:rsid w:val="6D527D69"/>
    <w:rsid w:val="6D611149"/>
    <w:rsid w:val="6D76179F"/>
    <w:rsid w:val="6D7E46BA"/>
    <w:rsid w:val="6D7E5FDA"/>
    <w:rsid w:val="6D7F2AB6"/>
    <w:rsid w:val="6D8F4B19"/>
    <w:rsid w:val="6D9A2BFD"/>
    <w:rsid w:val="6D9A6DA4"/>
    <w:rsid w:val="6DA93623"/>
    <w:rsid w:val="6DAD4F9F"/>
    <w:rsid w:val="6DB8659F"/>
    <w:rsid w:val="6DDA2238"/>
    <w:rsid w:val="6DEC2A36"/>
    <w:rsid w:val="6DEE5CE3"/>
    <w:rsid w:val="6E05302D"/>
    <w:rsid w:val="6E153270"/>
    <w:rsid w:val="6E1D772D"/>
    <w:rsid w:val="6E237BE1"/>
    <w:rsid w:val="6E2406F8"/>
    <w:rsid w:val="6E291648"/>
    <w:rsid w:val="6E2B392B"/>
    <w:rsid w:val="6E3A4A84"/>
    <w:rsid w:val="6E465D28"/>
    <w:rsid w:val="6E533D98"/>
    <w:rsid w:val="6E5D4C17"/>
    <w:rsid w:val="6E5E47A4"/>
    <w:rsid w:val="6E606731"/>
    <w:rsid w:val="6E681C4E"/>
    <w:rsid w:val="6E763BDC"/>
    <w:rsid w:val="6E7A0E9D"/>
    <w:rsid w:val="6E823952"/>
    <w:rsid w:val="6EA42846"/>
    <w:rsid w:val="6EBC42C7"/>
    <w:rsid w:val="6EC10D02"/>
    <w:rsid w:val="6EC627BC"/>
    <w:rsid w:val="6EC72090"/>
    <w:rsid w:val="6EC938FB"/>
    <w:rsid w:val="6ED36C87"/>
    <w:rsid w:val="6EE01353"/>
    <w:rsid w:val="6EFA0593"/>
    <w:rsid w:val="6F0A08FB"/>
    <w:rsid w:val="6F11681F"/>
    <w:rsid w:val="6F1677CA"/>
    <w:rsid w:val="6F215C44"/>
    <w:rsid w:val="6F315F2F"/>
    <w:rsid w:val="6F35349E"/>
    <w:rsid w:val="6F3B64CA"/>
    <w:rsid w:val="6F5A4CB2"/>
    <w:rsid w:val="6F5E29F5"/>
    <w:rsid w:val="6F7264A0"/>
    <w:rsid w:val="6F7F4719"/>
    <w:rsid w:val="6FA74AC1"/>
    <w:rsid w:val="6FB70357"/>
    <w:rsid w:val="6FC47839"/>
    <w:rsid w:val="6FC82564"/>
    <w:rsid w:val="6FCA62DC"/>
    <w:rsid w:val="6FDB5DF3"/>
    <w:rsid w:val="6FE32EFA"/>
    <w:rsid w:val="6FE4497B"/>
    <w:rsid w:val="6FEB4A8E"/>
    <w:rsid w:val="6FFD4F62"/>
    <w:rsid w:val="70003AAC"/>
    <w:rsid w:val="700A3711"/>
    <w:rsid w:val="700A66D9"/>
    <w:rsid w:val="701557A9"/>
    <w:rsid w:val="703419A7"/>
    <w:rsid w:val="704E18BF"/>
    <w:rsid w:val="70531E2E"/>
    <w:rsid w:val="705A21FF"/>
    <w:rsid w:val="707A0C11"/>
    <w:rsid w:val="70810A07"/>
    <w:rsid w:val="709D579F"/>
    <w:rsid w:val="70AD6B66"/>
    <w:rsid w:val="70B14B75"/>
    <w:rsid w:val="70C920F0"/>
    <w:rsid w:val="70DA48D4"/>
    <w:rsid w:val="70DB7A60"/>
    <w:rsid w:val="70DF7B65"/>
    <w:rsid w:val="70E76A1A"/>
    <w:rsid w:val="71123A97"/>
    <w:rsid w:val="712778BC"/>
    <w:rsid w:val="713F6856"/>
    <w:rsid w:val="7155207D"/>
    <w:rsid w:val="715E6CDC"/>
    <w:rsid w:val="716C160F"/>
    <w:rsid w:val="717604C9"/>
    <w:rsid w:val="71844269"/>
    <w:rsid w:val="71936857"/>
    <w:rsid w:val="719C0B6D"/>
    <w:rsid w:val="71A5490B"/>
    <w:rsid w:val="71B52674"/>
    <w:rsid w:val="71BD2D91"/>
    <w:rsid w:val="71BF27D3"/>
    <w:rsid w:val="71C13B33"/>
    <w:rsid w:val="71D23226"/>
    <w:rsid w:val="71D8211F"/>
    <w:rsid w:val="71DD4436"/>
    <w:rsid w:val="71DE7E1D"/>
    <w:rsid w:val="720164C3"/>
    <w:rsid w:val="720900CF"/>
    <w:rsid w:val="720A061B"/>
    <w:rsid w:val="720A6E64"/>
    <w:rsid w:val="720C498A"/>
    <w:rsid w:val="720F6228"/>
    <w:rsid w:val="72247F25"/>
    <w:rsid w:val="72331F17"/>
    <w:rsid w:val="72495B34"/>
    <w:rsid w:val="724A54B2"/>
    <w:rsid w:val="726227FC"/>
    <w:rsid w:val="726D7CEA"/>
    <w:rsid w:val="7271123C"/>
    <w:rsid w:val="72753AB5"/>
    <w:rsid w:val="72850298"/>
    <w:rsid w:val="72933146"/>
    <w:rsid w:val="72976388"/>
    <w:rsid w:val="72AE5A41"/>
    <w:rsid w:val="72C2329A"/>
    <w:rsid w:val="72C840F4"/>
    <w:rsid w:val="72E71B23"/>
    <w:rsid w:val="72F33A41"/>
    <w:rsid w:val="72FE3595"/>
    <w:rsid w:val="73025D8D"/>
    <w:rsid w:val="730E64E0"/>
    <w:rsid w:val="73222073"/>
    <w:rsid w:val="732857F3"/>
    <w:rsid w:val="7329276F"/>
    <w:rsid w:val="732B7092"/>
    <w:rsid w:val="7338355D"/>
    <w:rsid w:val="733A0D89"/>
    <w:rsid w:val="733E17AF"/>
    <w:rsid w:val="73567625"/>
    <w:rsid w:val="735E192B"/>
    <w:rsid w:val="738E13CF"/>
    <w:rsid w:val="739509AF"/>
    <w:rsid w:val="73997EF2"/>
    <w:rsid w:val="739F538A"/>
    <w:rsid w:val="73A76B37"/>
    <w:rsid w:val="73BA4A84"/>
    <w:rsid w:val="73CD6E05"/>
    <w:rsid w:val="73D40519"/>
    <w:rsid w:val="73DD0409"/>
    <w:rsid w:val="74033B6B"/>
    <w:rsid w:val="740A4266"/>
    <w:rsid w:val="74116287"/>
    <w:rsid w:val="7416389E"/>
    <w:rsid w:val="74311D4B"/>
    <w:rsid w:val="74312486"/>
    <w:rsid w:val="7431692A"/>
    <w:rsid w:val="74454183"/>
    <w:rsid w:val="745D2AE8"/>
    <w:rsid w:val="74653797"/>
    <w:rsid w:val="746A6679"/>
    <w:rsid w:val="746C1710"/>
    <w:rsid w:val="748372AA"/>
    <w:rsid w:val="749F7D09"/>
    <w:rsid w:val="74A1466C"/>
    <w:rsid w:val="74AE1D28"/>
    <w:rsid w:val="74AF5AA0"/>
    <w:rsid w:val="74B05E45"/>
    <w:rsid w:val="74BE41EE"/>
    <w:rsid w:val="74C55B4B"/>
    <w:rsid w:val="74DA28B2"/>
    <w:rsid w:val="74E7523A"/>
    <w:rsid w:val="750000AA"/>
    <w:rsid w:val="75102F42"/>
    <w:rsid w:val="75154854"/>
    <w:rsid w:val="751D2A0A"/>
    <w:rsid w:val="752124FA"/>
    <w:rsid w:val="752709C8"/>
    <w:rsid w:val="75295853"/>
    <w:rsid w:val="752C70F1"/>
    <w:rsid w:val="7533222E"/>
    <w:rsid w:val="754F71E0"/>
    <w:rsid w:val="755503F6"/>
    <w:rsid w:val="75556648"/>
    <w:rsid w:val="755F12D5"/>
    <w:rsid w:val="75671ED7"/>
    <w:rsid w:val="756E3266"/>
    <w:rsid w:val="75734D20"/>
    <w:rsid w:val="7580596F"/>
    <w:rsid w:val="75834F63"/>
    <w:rsid w:val="759667EF"/>
    <w:rsid w:val="759C4277"/>
    <w:rsid w:val="75A924F0"/>
    <w:rsid w:val="75BC4BFC"/>
    <w:rsid w:val="75C27D42"/>
    <w:rsid w:val="75E654F2"/>
    <w:rsid w:val="75F145C2"/>
    <w:rsid w:val="75FC2F67"/>
    <w:rsid w:val="76071518"/>
    <w:rsid w:val="760D6F22"/>
    <w:rsid w:val="76124028"/>
    <w:rsid w:val="76257DC8"/>
    <w:rsid w:val="763D362D"/>
    <w:rsid w:val="76425E06"/>
    <w:rsid w:val="764C7B3D"/>
    <w:rsid w:val="766052A4"/>
    <w:rsid w:val="76653C30"/>
    <w:rsid w:val="76770854"/>
    <w:rsid w:val="767C19B2"/>
    <w:rsid w:val="76936FD7"/>
    <w:rsid w:val="76A41635"/>
    <w:rsid w:val="76A827A7"/>
    <w:rsid w:val="76AE24B4"/>
    <w:rsid w:val="76C269AB"/>
    <w:rsid w:val="76C70E7F"/>
    <w:rsid w:val="76D13247"/>
    <w:rsid w:val="76DE728B"/>
    <w:rsid w:val="76F4145D"/>
    <w:rsid w:val="771158E3"/>
    <w:rsid w:val="77261019"/>
    <w:rsid w:val="77361931"/>
    <w:rsid w:val="775360CA"/>
    <w:rsid w:val="77584CA8"/>
    <w:rsid w:val="775D17E4"/>
    <w:rsid w:val="77660698"/>
    <w:rsid w:val="77747C82"/>
    <w:rsid w:val="77814EED"/>
    <w:rsid w:val="778623A6"/>
    <w:rsid w:val="778A15ED"/>
    <w:rsid w:val="778E3171"/>
    <w:rsid w:val="779C3C11"/>
    <w:rsid w:val="77A13DC6"/>
    <w:rsid w:val="77AE0291"/>
    <w:rsid w:val="77B04009"/>
    <w:rsid w:val="77C83101"/>
    <w:rsid w:val="77E3618D"/>
    <w:rsid w:val="781C344D"/>
    <w:rsid w:val="78252301"/>
    <w:rsid w:val="782878D8"/>
    <w:rsid w:val="782C1E65"/>
    <w:rsid w:val="78451759"/>
    <w:rsid w:val="784655B3"/>
    <w:rsid w:val="784C3D32"/>
    <w:rsid w:val="786372CE"/>
    <w:rsid w:val="78665E09"/>
    <w:rsid w:val="78760DAF"/>
    <w:rsid w:val="787B0961"/>
    <w:rsid w:val="787D213D"/>
    <w:rsid w:val="787E7C64"/>
    <w:rsid w:val="788259A6"/>
    <w:rsid w:val="7884723A"/>
    <w:rsid w:val="78847910"/>
    <w:rsid w:val="78970D25"/>
    <w:rsid w:val="78AF75C8"/>
    <w:rsid w:val="78B05C24"/>
    <w:rsid w:val="78B673FD"/>
    <w:rsid w:val="78B770C6"/>
    <w:rsid w:val="78B95140"/>
    <w:rsid w:val="78CB4738"/>
    <w:rsid w:val="78CD5E0D"/>
    <w:rsid w:val="78D37FAF"/>
    <w:rsid w:val="78D855C6"/>
    <w:rsid w:val="78F74E50"/>
    <w:rsid w:val="78F912C0"/>
    <w:rsid w:val="79022414"/>
    <w:rsid w:val="790B6327"/>
    <w:rsid w:val="790E7239"/>
    <w:rsid w:val="791A3E30"/>
    <w:rsid w:val="792722E7"/>
    <w:rsid w:val="79377C96"/>
    <w:rsid w:val="79381EC6"/>
    <w:rsid w:val="79554E68"/>
    <w:rsid w:val="795D7D8E"/>
    <w:rsid w:val="79667075"/>
    <w:rsid w:val="79766B8D"/>
    <w:rsid w:val="7980482E"/>
    <w:rsid w:val="798B0086"/>
    <w:rsid w:val="79960FDD"/>
    <w:rsid w:val="799A605F"/>
    <w:rsid w:val="79A5777C"/>
    <w:rsid w:val="79AE619E"/>
    <w:rsid w:val="79BD12D1"/>
    <w:rsid w:val="79E104AA"/>
    <w:rsid w:val="79E1494E"/>
    <w:rsid w:val="79EF21D4"/>
    <w:rsid w:val="79EF28AA"/>
    <w:rsid w:val="79F3642F"/>
    <w:rsid w:val="7A2111EE"/>
    <w:rsid w:val="7A232871"/>
    <w:rsid w:val="7A2605B3"/>
    <w:rsid w:val="7A2D742D"/>
    <w:rsid w:val="7A34241F"/>
    <w:rsid w:val="7A342CD0"/>
    <w:rsid w:val="7A3A5E0C"/>
    <w:rsid w:val="7A6A04A0"/>
    <w:rsid w:val="7A6A5F24"/>
    <w:rsid w:val="7A7A05AB"/>
    <w:rsid w:val="7A7C3475"/>
    <w:rsid w:val="7A8C1740"/>
    <w:rsid w:val="7A8D23E0"/>
    <w:rsid w:val="7A9279F6"/>
    <w:rsid w:val="7A94551C"/>
    <w:rsid w:val="7AA716F4"/>
    <w:rsid w:val="7AA93B38"/>
    <w:rsid w:val="7AAD4830"/>
    <w:rsid w:val="7AB13153"/>
    <w:rsid w:val="7AC32B52"/>
    <w:rsid w:val="7AE55D78"/>
    <w:rsid w:val="7AEC5358"/>
    <w:rsid w:val="7AF6294A"/>
    <w:rsid w:val="7AF867AB"/>
    <w:rsid w:val="7B0C23FF"/>
    <w:rsid w:val="7B1B3E90"/>
    <w:rsid w:val="7B1F572E"/>
    <w:rsid w:val="7B3C2CDD"/>
    <w:rsid w:val="7B694BFB"/>
    <w:rsid w:val="7B6E3FBF"/>
    <w:rsid w:val="7B8437E3"/>
    <w:rsid w:val="7B845591"/>
    <w:rsid w:val="7B892BA7"/>
    <w:rsid w:val="7B8E0029"/>
    <w:rsid w:val="7B9A6B62"/>
    <w:rsid w:val="7B9D2AF7"/>
    <w:rsid w:val="7BA75723"/>
    <w:rsid w:val="7BB0282A"/>
    <w:rsid w:val="7BB1183B"/>
    <w:rsid w:val="7BBC3D44"/>
    <w:rsid w:val="7BC136E6"/>
    <w:rsid w:val="7BD04C7A"/>
    <w:rsid w:val="7BD13D99"/>
    <w:rsid w:val="7BEC3136"/>
    <w:rsid w:val="7C02295A"/>
    <w:rsid w:val="7C15268D"/>
    <w:rsid w:val="7C1F52BA"/>
    <w:rsid w:val="7C240DD1"/>
    <w:rsid w:val="7C274045"/>
    <w:rsid w:val="7C280612"/>
    <w:rsid w:val="7C2E67C1"/>
    <w:rsid w:val="7C336153"/>
    <w:rsid w:val="7C43369E"/>
    <w:rsid w:val="7C4A67DB"/>
    <w:rsid w:val="7C52568F"/>
    <w:rsid w:val="7C5F1CF3"/>
    <w:rsid w:val="7C6000DE"/>
    <w:rsid w:val="7C683105"/>
    <w:rsid w:val="7C6D24C9"/>
    <w:rsid w:val="7C771641"/>
    <w:rsid w:val="7C7E6484"/>
    <w:rsid w:val="7C8B1F44"/>
    <w:rsid w:val="7C8B5ABC"/>
    <w:rsid w:val="7CA36E25"/>
    <w:rsid w:val="7CA51C63"/>
    <w:rsid w:val="7CB76A1F"/>
    <w:rsid w:val="7CB93F35"/>
    <w:rsid w:val="7CD97B5E"/>
    <w:rsid w:val="7CDE33C7"/>
    <w:rsid w:val="7CF60710"/>
    <w:rsid w:val="7CF90201"/>
    <w:rsid w:val="7CF91FAF"/>
    <w:rsid w:val="7D0C1CE2"/>
    <w:rsid w:val="7D142945"/>
    <w:rsid w:val="7D1B1F25"/>
    <w:rsid w:val="7D2012E9"/>
    <w:rsid w:val="7D295F33"/>
    <w:rsid w:val="7D676DC7"/>
    <w:rsid w:val="7D755603"/>
    <w:rsid w:val="7D7A1991"/>
    <w:rsid w:val="7D7A4732"/>
    <w:rsid w:val="7D87580C"/>
    <w:rsid w:val="7D8D5E84"/>
    <w:rsid w:val="7D957F29"/>
    <w:rsid w:val="7DA63EE4"/>
    <w:rsid w:val="7DD86068"/>
    <w:rsid w:val="7DDA3B8E"/>
    <w:rsid w:val="7DDF2F52"/>
    <w:rsid w:val="7DE02B83"/>
    <w:rsid w:val="7DE14F1D"/>
    <w:rsid w:val="7DE762AB"/>
    <w:rsid w:val="7DEB7B49"/>
    <w:rsid w:val="7DF10271"/>
    <w:rsid w:val="7DF32EA2"/>
    <w:rsid w:val="7E025E2D"/>
    <w:rsid w:val="7E137EC1"/>
    <w:rsid w:val="7E16220C"/>
    <w:rsid w:val="7E1846B6"/>
    <w:rsid w:val="7E192908"/>
    <w:rsid w:val="7E32242A"/>
    <w:rsid w:val="7E515E35"/>
    <w:rsid w:val="7E5316BF"/>
    <w:rsid w:val="7E53749D"/>
    <w:rsid w:val="7E663674"/>
    <w:rsid w:val="7E694F12"/>
    <w:rsid w:val="7E6D09FF"/>
    <w:rsid w:val="7E8B06C8"/>
    <w:rsid w:val="7EA67F14"/>
    <w:rsid w:val="7EB648BD"/>
    <w:rsid w:val="7ECD7C71"/>
    <w:rsid w:val="7ED33124"/>
    <w:rsid w:val="7EE30C20"/>
    <w:rsid w:val="7EE8052D"/>
    <w:rsid w:val="7EF54E61"/>
    <w:rsid w:val="7EFB200E"/>
    <w:rsid w:val="7F026D70"/>
    <w:rsid w:val="7F095643"/>
    <w:rsid w:val="7F1135E0"/>
    <w:rsid w:val="7F1255AA"/>
    <w:rsid w:val="7F1B0648"/>
    <w:rsid w:val="7F250E39"/>
    <w:rsid w:val="7F2C0419"/>
    <w:rsid w:val="7F2E6600"/>
    <w:rsid w:val="7F2E6E03"/>
    <w:rsid w:val="7F405C73"/>
    <w:rsid w:val="7F500803"/>
    <w:rsid w:val="7F50102C"/>
    <w:rsid w:val="7F6C75F1"/>
    <w:rsid w:val="7F6F2A9A"/>
    <w:rsid w:val="7F703475"/>
    <w:rsid w:val="7F71015B"/>
    <w:rsid w:val="7F710522"/>
    <w:rsid w:val="7F736048"/>
    <w:rsid w:val="7F805EED"/>
    <w:rsid w:val="7F9B734D"/>
    <w:rsid w:val="7F9F0C78"/>
    <w:rsid w:val="7FA75CF2"/>
    <w:rsid w:val="7FAA57E2"/>
    <w:rsid w:val="7FB6091C"/>
    <w:rsid w:val="7FC34327"/>
    <w:rsid w:val="7FC6538A"/>
    <w:rsid w:val="7FD36AE7"/>
    <w:rsid w:val="7FE707E4"/>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宋体" w:hAnsi="宋体" w:eastAsia="宋体" w:cstheme="minorBidi"/>
      <w:kern w:val="2"/>
      <w:sz w:val="24"/>
      <w:szCs w:val="22"/>
      <w:lang w:val="en-US" w:eastAsia="zh-CN" w:bidi="ar-SA"/>
    </w:rPr>
  </w:style>
  <w:style w:type="paragraph" w:styleId="2">
    <w:name w:val="heading 1"/>
    <w:basedOn w:val="1"/>
    <w:next w:val="1"/>
    <w:link w:val="90"/>
    <w:autoRedefine/>
    <w:qFormat/>
    <w:uiPriority w:val="9"/>
    <w:pPr>
      <w:keepNext/>
      <w:keepLines/>
      <w:ind w:firstLine="0" w:firstLineChars="0"/>
      <w:jc w:val="left"/>
      <w:outlineLvl w:val="0"/>
    </w:pPr>
    <w:rPr>
      <w:b/>
      <w:bCs/>
      <w:kern w:val="44"/>
      <w:sz w:val="28"/>
      <w:szCs w:val="44"/>
    </w:rPr>
  </w:style>
  <w:style w:type="paragraph" w:styleId="3">
    <w:name w:val="heading 2"/>
    <w:basedOn w:val="1"/>
    <w:next w:val="1"/>
    <w:link w:val="38"/>
    <w:autoRedefine/>
    <w:unhideWhenUsed/>
    <w:qFormat/>
    <w:uiPriority w:val="9"/>
    <w:pPr>
      <w:keepNext/>
      <w:keepLines/>
      <w:ind w:left="200" w:leftChars="200" w:firstLine="0" w:firstLineChars="0"/>
      <w:outlineLvl w:val="1"/>
    </w:pPr>
    <w:rPr>
      <w:rFonts w:cstheme="majorBidi"/>
      <w:b/>
      <w:bCs/>
      <w:szCs w:val="32"/>
    </w:rPr>
  </w:style>
  <w:style w:type="paragraph" w:styleId="4">
    <w:name w:val="heading 3"/>
    <w:basedOn w:val="1"/>
    <w:next w:val="1"/>
    <w:link w:val="40"/>
    <w:autoRedefine/>
    <w:unhideWhenUsed/>
    <w:qFormat/>
    <w:uiPriority w:val="9"/>
    <w:pPr>
      <w:keepNext/>
      <w:keepLines/>
      <w:ind w:firstLine="879"/>
      <w:outlineLvl w:val="2"/>
    </w:pPr>
    <w:rPr>
      <w:b/>
      <w:bCs/>
      <w:szCs w:val="32"/>
    </w:rPr>
  </w:style>
  <w:style w:type="paragraph" w:styleId="5">
    <w:name w:val="heading 4"/>
    <w:basedOn w:val="1"/>
    <w:next w:val="1"/>
    <w:link w:val="41"/>
    <w:autoRedefine/>
    <w:unhideWhenUsed/>
    <w:qFormat/>
    <w:uiPriority w:val="9"/>
    <w:pPr>
      <w:keepNext/>
      <w:keepLines/>
      <w:ind w:left="300" w:leftChars="300" w:firstLine="0" w:firstLineChars="0"/>
      <w:outlineLvl w:val="3"/>
    </w:pPr>
    <w:rPr>
      <w:rFonts w:asciiTheme="majorHAnsi" w:hAnsiTheme="majorHAnsi" w:eastAsiaTheme="majorEastAsia" w:cstheme="majorBidi"/>
      <w:b/>
      <w:bCs/>
      <w:szCs w:val="28"/>
    </w:rPr>
  </w:style>
  <w:style w:type="paragraph" w:styleId="6">
    <w:name w:val="heading 5"/>
    <w:basedOn w:val="1"/>
    <w:next w:val="1"/>
    <w:autoRedefine/>
    <w:unhideWhenUsed/>
    <w:qFormat/>
    <w:uiPriority w:val="9"/>
    <w:pPr>
      <w:keepNext/>
      <w:keepLines/>
      <w:spacing w:before="280" w:after="290" w:line="372" w:lineRule="auto"/>
      <w:outlineLvl w:val="4"/>
    </w:pPr>
    <w:rPr>
      <w:b/>
      <w:sz w:val="28"/>
    </w:rPr>
  </w:style>
  <w:style w:type="paragraph" w:styleId="7">
    <w:name w:val="heading 8"/>
    <w:basedOn w:val="1"/>
    <w:next w:val="1"/>
    <w:qFormat/>
    <w:uiPriority w:val="9"/>
    <w:pPr>
      <w:keepNext/>
      <w:keepLines/>
      <w:numPr>
        <w:ilvl w:val="7"/>
        <w:numId w:val="1"/>
      </w:numPr>
      <w:adjustRightInd w:val="0"/>
      <w:ind w:firstLine="0" w:firstLineChars="0"/>
      <w:jc w:val="center"/>
      <w:outlineLvl w:val="7"/>
    </w:pPr>
    <w:rPr>
      <w:rFonts w:ascii="Cambria" w:hAnsi="Cambria"/>
      <w:b/>
      <w:sz w:val="21"/>
      <w:szCs w:val="24"/>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9"/>
    <w:qFormat/>
    <w:uiPriority w:val="0"/>
    <w:pPr>
      <w:tabs>
        <w:tab w:val="left" w:pos="630"/>
      </w:tabs>
      <w:adjustRightInd w:val="0"/>
      <w:snapToGrid w:val="0"/>
      <w:ind w:firstLine="442"/>
    </w:pPr>
    <w:rPr>
      <w:rFonts w:eastAsia="仿宋"/>
      <w:szCs w:val="20"/>
    </w:rPr>
  </w:style>
  <w:style w:type="paragraph" w:styleId="9">
    <w:name w:val="Body Text First Indent"/>
    <w:basedOn w:val="10"/>
    <w:qFormat/>
    <w:uiPriority w:val="0"/>
    <w:pPr>
      <w:spacing w:after="120" w:line="360" w:lineRule="auto"/>
      <w:ind w:firstLine="420" w:firstLineChars="100"/>
    </w:pPr>
    <w:rPr>
      <w:rFonts w:ascii="Times New Roman" w:hAnsi="Times New Roman"/>
    </w:rPr>
  </w:style>
  <w:style w:type="paragraph" w:styleId="10">
    <w:name w:val="Body Text"/>
    <w:basedOn w:val="1"/>
    <w:qFormat/>
    <w:uiPriority w:val="0"/>
    <w:pPr>
      <w:spacing w:before="100" w:after="100" w:line="312" w:lineRule="auto"/>
      <w:ind w:firstLine="1041"/>
    </w:pPr>
  </w:style>
  <w:style w:type="paragraph" w:styleId="11">
    <w:name w:val="caption"/>
    <w:basedOn w:val="1"/>
    <w:next w:val="1"/>
    <w:autoRedefine/>
    <w:unhideWhenUsed/>
    <w:qFormat/>
    <w:uiPriority w:val="35"/>
    <w:pPr>
      <w:spacing w:line="240" w:lineRule="auto"/>
      <w:ind w:firstLine="0" w:firstLineChars="0"/>
      <w:jc w:val="center"/>
    </w:pPr>
    <w:rPr>
      <w:b/>
      <w:bCs/>
      <w:color w:val="0000FF"/>
    </w:rPr>
  </w:style>
  <w:style w:type="paragraph" w:styleId="12">
    <w:name w:val="Document Map"/>
    <w:basedOn w:val="1"/>
    <w:link w:val="42"/>
    <w:autoRedefine/>
    <w:semiHidden/>
    <w:unhideWhenUsed/>
    <w:qFormat/>
    <w:uiPriority w:val="99"/>
    <w:rPr>
      <w:sz w:val="18"/>
      <w:szCs w:val="18"/>
    </w:rPr>
  </w:style>
  <w:style w:type="paragraph" w:styleId="13">
    <w:name w:val="toa heading"/>
    <w:basedOn w:val="1"/>
    <w:next w:val="1"/>
    <w:autoRedefine/>
    <w:qFormat/>
    <w:uiPriority w:val="0"/>
    <w:pPr>
      <w:spacing w:before="120"/>
    </w:pPr>
    <w:rPr>
      <w:rFonts w:ascii="Arial" w:hAnsi="Arial" w:cs="Arial"/>
    </w:rPr>
  </w:style>
  <w:style w:type="paragraph" w:styleId="14">
    <w:name w:val="annotation text"/>
    <w:basedOn w:val="1"/>
    <w:link w:val="43"/>
    <w:autoRedefine/>
    <w:semiHidden/>
    <w:unhideWhenUsed/>
    <w:qFormat/>
    <w:uiPriority w:val="99"/>
    <w:pPr>
      <w:jc w:val="left"/>
    </w:pPr>
  </w:style>
  <w:style w:type="paragraph" w:styleId="15">
    <w:name w:val="Body Text Indent"/>
    <w:basedOn w:val="1"/>
    <w:link w:val="44"/>
    <w:autoRedefine/>
    <w:qFormat/>
    <w:uiPriority w:val="0"/>
    <w:pPr>
      <w:ind w:firstLine="480"/>
    </w:pPr>
    <w:rPr>
      <w:rFonts w:ascii="Times New Roman" w:hAnsi="Times New Roman" w:cs="Times New Roman"/>
      <w:szCs w:val="24"/>
    </w:rPr>
  </w:style>
  <w:style w:type="paragraph" w:styleId="16">
    <w:name w:val="Block Text"/>
    <w:basedOn w:val="1"/>
    <w:next w:val="1"/>
    <w:qFormat/>
    <w:uiPriority w:val="0"/>
    <w:pPr>
      <w:spacing w:after="120"/>
      <w:ind w:left="1440" w:leftChars="700" w:right="1440" w:rightChars="700"/>
    </w:pPr>
  </w:style>
  <w:style w:type="paragraph" w:styleId="17">
    <w:name w:val="toc 3"/>
    <w:basedOn w:val="1"/>
    <w:next w:val="1"/>
    <w:autoRedefine/>
    <w:unhideWhenUsed/>
    <w:qFormat/>
    <w:uiPriority w:val="39"/>
  </w:style>
  <w:style w:type="paragraph" w:styleId="18">
    <w:name w:val="Body Text Indent 2"/>
    <w:basedOn w:val="1"/>
    <w:unhideWhenUsed/>
    <w:qFormat/>
    <w:uiPriority w:val="0"/>
    <w:pPr>
      <w:ind w:firstLine="538" w:firstLineChars="192"/>
    </w:pPr>
    <w:rPr>
      <w:kern w:val="0"/>
      <w:sz w:val="28"/>
    </w:rPr>
  </w:style>
  <w:style w:type="paragraph" w:styleId="19">
    <w:name w:val="Balloon Text"/>
    <w:basedOn w:val="1"/>
    <w:link w:val="45"/>
    <w:autoRedefine/>
    <w:semiHidden/>
    <w:unhideWhenUsed/>
    <w:qFormat/>
    <w:uiPriority w:val="99"/>
    <w:pPr>
      <w:spacing w:line="240" w:lineRule="auto"/>
    </w:pPr>
    <w:rPr>
      <w:sz w:val="18"/>
      <w:szCs w:val="18"/>
    </w:rPr>
  </w:style>
  <w:style w:type="paragraph" w:styleId="20">
    <w:name w:val="footer"/>
    <w:basedOn w:val="1"/>
    <w:link w:val="46"/>
    <w:autoRedefine/>
    <w:unhideWhenUsed/>
    <w:qFormat/>
    <w:uiPriority w:val="99"/>
    <w:pPr>
      <w:tabs>
        <w:tab w:val="center" w:pos="4153"/>
        <w:tab w:val="right" w:pos="8306"/>
      </w:tabs>
      <w:snapToGrid w:val="0"/>
      <w:jc w:val="left"/>
    </w:pPr>
    <w:rPr>
      <w:sz w:val="18"/>
      <w:szCs w:val="18"/>
    </w:rPr>
  </w:style>
  <w:style w:type="paragraph" w:styleId="21">
    <w:name w:val="header"/>
    <w:basedOn w:val="1"/>
    <w:link w:val="47"/>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ind w:firstLine="0" w:firstLineChars="0"/>
    </w:pPr>
    <w:rPr>
      <w:sz w:val="28"/>
    </w:rPr>
  </w:style>
  <w:style w:type="paragraph" w:styleId="23">
    <w:name w:val="Subtitle"/>
    <w:basedOn w:val="1"/>
    <w:next w:val="1"/>
    <w:link w:val="48"/>
    <w:autoRedefine/>
    <w:qFormat/>
    <w:uiPriority w:val="11"/>
    <w:pPr>
      <w:spacing w:line="240" w:lineRule="auto"/>
      <w:ind w:firstLine="0" w:firstLineChars="0"/>
      <w:jc w:val="center"/>
      <w:outlineLvl w:val="4"/>
    </w:pPr>
    <w:rPr>
      <w:rFonts w:eastAsia="黑体" w:asciiTheme="majorHAnsi" w:hAnsiTheme="majorHAnsi" w:cstheme="majorBidi"/>
      <w:b/>
      <w:bCs/>
      <w:kern w:val="28"/>
      <w:szCs w:val="32"/>
    </w:rPr>
  </w:style>
  <w:style w:type="paragraph" w:styleId="24">
    <w:name w:val="toc 2"/>
    <w:basedOn w:val="1"/>
    <w:next w:val="1"/>
    <w:autoRedefine/>
    <w:unhideWhenUsed/>
    <w:qFormat/>
    <w:uiPriority w:val="39"/>
    <w:pPr>
      <w:ind w:firstLine="100" w:firstLineChars="100"/>
    </w:pPr>
  </w:style>
  <w:style w:type="paragraph" w:styleId="25">
    <w:name w:val="Normal (Web)"/>
    <w:basedOn w:val="1"/>
    <w:autoRedefine/>
    <w:semiHidden/>
    <w:unhideWhenUsed/>
    <w:qFormat/>
    <w:uiPriority w:val="99"/>
    <w:pPr>
      <w:spacing w:beforeAutospacing="1" w:afterAutospacing="1"/>
      <w:jc w:val="left"/>
    </w:pPr>
    <w:rPr>
      <w:rFonts w:cs="Times New Roman"/>
      <w:kern w:val="0"/>
    </w:rPr>
  </w:style>
  <w:style w:type="paragraph" w:styleId="26">
    <w:name w:val="Title"/>
    <w:basedOn w:val="1"/>
    <w:next w:val="1"/>
    <w:link w:val="49"/>
    <w:autoRedefine/>
    <w:qFormat/>
    <w:uiPriority w:val="10"/>
    <w:pPr>
      <w:ind w:firstLine="0" w:firstLineChars="0"/>
      <w:jc w:val="center"/>
      <w:outlineLvl w:val="0"/>
    </w:pPr>
    <w:rPr>
      <w:rFonts w:asciiTheme="majorHAnsi" w:hAnsiTheme="majorHAnsi" w:cstheme="majorBidi"/>
      <w:b/>
      <w:bCs/>
      <w:sz w:val="28"/>
      <w:szCs w:val="32"/>
    </w:rPr>
  </w:style>
  <w:style w:type="paragraph" w:styleId="27">
    <w:name w:val="annotation subject"/>
    <w:basedOn w:val="14"/>
    <w:next w:val="14"/>
    <w:link w:val="50"/>
    <w:autoRedefine/>
    <w:semiHidden/>
    <w:unhideWhenUsed/>
    <w:qFormat/>
    <w:uiPriority w:val="99"/>
    <w:rPr>
      <w:b/>
      <w:bCs/>
    </w:rPr>
  </w:style>
  <w:style w:type="table" w:styleId="29">
    <w:name w:val="Table Grid"/>
    <w:basedOn w:val="2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adjustRightInd w:val="0"/>
      <w:snapToGrid w:val="0"/>
      <w:spacing w:line="240" w:lineRule="atLeast"/>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宋体"/>
        <w:b/>
        <w:sz w:val="21"/>
      </w:rPr>
    </w:tblStylePr>
  </w:style>
  <w:style w:type="character" w:styleId="32">
    <w:name w:val="FollowedHyperlink"/>
    <w:basedOn w:val="31"/>
    <w:autoRedefine/>
    <w:semiHidden/>
    <w:unhideWhenUsed/>
    <w:qFormat/>
    <w:uiPriority w:val="99"/>
    <w:rPr>
      <w:color w:val="771CAA"/>
      <w:u w:val="none"/>
    </w:rPr>
  </w:style>
  <w:style w:type="character" w:styleId="33">
    <w:name w:val="Emphasis"/>
    <w:basedOn w:val="31"/>
    <w:autoRedefine/>
    <w:qFormat/>
    <w:uiPriority w:val="20"/>
    <w:rPr>
      <w:color w:val="F73131"/>
    </w:rPr>
  </w:style>
  <w:style w:type="character" w:styleId="34">
    <w:name w:val="Hyperlink"/>
    <w:basedOn w:val="31"/>
    <w:autoRedefine/>
    <w:unhideWhenUsed/>
    <w:qFormat/>
    <w:uiPriority w:val="99"/>
    <w:rPr>
      <w:color w:val="0000FF" w:themeColor="hyperlink"/>
      <w:u w:val="single"/>
      <w14:textFill>
        <w14:solidFill>
          <w14:schemeClr w14:val="hlink"/>
        </w14:solidFill>
      </w14:textFill>
    </w:rPr>
  </w:style>
  <w:style w:type="character" w:styleId="35">
    <w:name w:val="annotation reference"/>
    <w:basedOn w:val="31"/>
    <w:autoRedefine/>
    <w:semiHidden/>
    <w:unhideWhenUsed/>
    <w:qFormat/>
    <w:uiPriority w:val="99"/>
    <w:rPr>
      <w:sz w:val="21"/>
      <w:szCs w:val="21"/>
    </w:rPr>
  </w:style>
  <w:style w:type="character" w:styleId="36">
    <w:name w:val="HTML Cite"/>
    <w:basedOn w:val="31"/>
    <w:autoRedefine/>
    <w:semiHidden/>
    <w:unhideWhenUsed/>
    <w:qFormat/>
    <w:uiPriority w:val="99"/>
    <w:rPr>
      <w:color w:val="008000"/>
    </w:rPr>
  </w:style>
  <w:style w:type="paragraph" w:customStyle="1" w:styleId="37">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character" w:customStyle="1" w:styleId="38">
    <w:name w:val="标题 2 字符"/>
    <w:basedOn w:val="31"/>
    <w:link w:val="3"/>
    <w:autoRedefine/>
    <w:qFormat/>
    <w:uiPriority w:val="9"/>
    <w:rPr>
      <w:rFonts w:ascii="宋体" w:hAnsi="宋体" w:eastAsia="宋体" w:cstheme="majorBidi"/>
      <w:b/>
      <w:bCs/>
      <w:sz w:val="24"/>
      <w:szCs w:val="32"/>
    </w:rPr>
  </w:style>
  <w:style w:type="character" w:customStyle="1" w:styleId="39">
    <w:name w:val="标题 1 Char"/>
    <w:basedOn w:val="31"/>
    <w:autoRedefine/>
    <w:qFormat/>
    <w:uiPriority w:val="9"/>
    <w:rPr>
      <w:rFonts w:eastAsia="宋体"/>
      <w:b/>
      <w:bCs/>
      <w:kern w:val="44"/>
      <w:sz w:val="28"/>
      <w:szCs w:val="44"/>
    </w:rPr>
  </w:style>
  <w:style w:type="character" w:customStyle="1" w:styleId="40">
    <w:name w:val="标题 3 字符"/>
    <w:basedOn w:val="31"/>
    <w:link w:val="4"/>
    <w:autoRedefine/>
    <w:qFormat/>
    <w:uiPriority w:val="9"/>
    <w:rPr>
      <w:rFonts w:eastAsia="宋体"/>
      <w:b/>
      <w:bCs/>
      <w:sz w:val="24"/>
      <w:szCs w:val="32"/>
    </w:rPr>
  </w:style>
  <w:style w:type="character" w:customStyle="1" w:styleId="41">
    <w:name w:val="标题 4 字符"/>
    <w:basedOn w:val="31"/>
    <w:link w:val="5"/>
    <w:autoRedefine/>
    <w:qFormat/>
    <w:uiPriority w:val="9"/>
    <w:rPr>
      <w:rFonts w:asciiTheme="majorHAnsi" w:hAnsiTheme="majorHAnsi" w:eastAsiaTheme="majorEastAsia" w:cstheme="majorBidi"/>
      <w:b/>
      <w:bCs/>
      <w:sz w:val="24"/>
      <w:szCs w:val="28"/>
    </w:rPr>
  </w:style>
  <w:style w:type="character" w:customStyle="1" w:styleId="42">
    <w:name w:val="文档结构图 字符"/>
    <w:basedOn w:val="31"/>
    <w:link w:val="12"/>
    <w:autoRedefine/>
    <w:semiHidden/>
    <w:qFormat/>
    <w:uiPriority w:val="99"/>
    <w:rPr>
      <w:rFonts w:ascii="宋体" w:eastAsia="宋体"/>
      <w:sz w:val="18"/>
      <w:szCs w:val="18"/>
    </w:rPr>
  </w:style>
  <w:style w:type="character" w:customStyle="1" w:styleId="43">
    <w:name w:val="批注文字 字符"/>
    <w:basedOn w:val="31"/>
    <w:link w:val="14"/>
    <w:autoRedefine/>
    <w:semiHidden/>
    <w:qFormat/>
    <w:uiPriority w:val="99"/>
    <w:rPr>
      <w:rFonts w:asciiTheme="minorHAnsi" w:hAnsiTheme="minorHAnsi" w:eastAsiaTheme="minorEastAsia" w:cstheme="minorBidi"/>
      <w:kern w:val="2"/>
      <w:sz w:val="24"/>
      <w:szCs w:val="22"/>
    </w:rPr>
  </w:style>
  <w:style w:type="character" w:customStyle="1" w:styleId="44">
    <w:name w:val="正文文本缩进 字符"/>
    <w:basedOn w:val="31"/>
    <w:link w:val="15"/>
    <w:autoRedefine/>
    <w:qFormat/>
    <w:uiPriority w:val="0"/>
    <w:rPr>
      <w:rFonts w:ascii="Times New Roman" w:hAnsi="Times New Roman" w:eastAsia="宋体" w:cs="Times New Roman"/>
      <w:sz w:val="24"/>
      <w:szCs w:val="24"/>
    </w:rPr>
  </w:style>
  <w:style w:type="character" w:customStyle="1" w:styleId="45">
    <w:name w:val="批注框文本 字符"/>
    <w:basedOn w:val="31"/>
    <w:link w:val="19"/>
    <w:autoRedefine/>
    <w:semiHidden/>
    <w:qFormat/>
    <w:uiPriority w:val="99"/>
    <w:rPr>
      <w:sz w:val="18"/>
      <w:szCs w:val="18"/>
    </w:rPr>
  </w:style>
  <w:style w:type="character" w:customStyle="1" w:styleId="46">
    <w:name w:val="页脚 字符"/>
    <w:basedOn w:val="31"/>
    <w:link w:val="20"/>
    <w:autoRedefine/>
    <w:qFormat/>
    <w:uiPriority w:val="99"/>
    <w:rPr>
      <w:sz w:val="18"/>
      <w:szCs w:val="18"/>
    </w:rPr>
  </w:style>
  <w:style w:type="character" w:customStyle="1" w:styleId="47">
    <w:name w:val="页眉 字符"/>
    <w:basedOn w:val="31"/>
    <w:link w:val="21"/>
    <w:autoRedefine/>
    <w:qFormat/>
    <w:uiPriority w:val="0"/>
    <w:rPr>
      <w:sz w:val="18"/>
      <w:szCs w:val="18"/>
    </w:rPr>
  </w:style>
  <w:style w:type="character" w:customStyle="1" w:styleId="48">
    <w:name w:val="副标题 字符"/>
    <w:basedOn w:val="31"/>
    <w:link w:val="23"/>
    <w:autoRedefine/>
    <w:qFormat/>
    <w:uiPriority w:val="11"/>
    <w:rPr>
      <w:rFonts w:eastAsia="黑体" w:asciiTheme="majorHAnsi" w:hAnsiTheme="majorHAnsi" w:cstheme="majorBidi"/>
      <w:b/>
      <w:bCs/>
      <w:kern w:val="28"/>
      <w:sz w:val="24"/>
      <w:szCs w:val="32"/>
    </w:rPr>
  </w:style>
  <w:style w:type="character" w:customStyle="1" w:styleId="49">
    <w:name w:val="标题 字符"/>
    <w:basedOn w:val="31"/>
    <w:link w:val="26"/>
    <w:autoRedefine/>
    <w:qFormat/>
    <w:uiPriority w:val="10"/>
    <w:rPr>
      <w:rFonts w:eastAsia="宋体" w:asciiTheme="majorHAnsi" w:hAnsiTheme="majorHAnsi" w:cstheme="majorBidi"/>
      <w:b/>
      <w:bCs/>
      <w:sz w:val="28"/>
      <w:szCs w:val="32"/>
    </w:rPr>
  </w:style>
  <w:style w:type="character" w:customStyle="1" w:styleId="50">
    <w:name w:val="批注主题 字符"/>
    <w:basedOn w:val="43"/>
    <w:link w:val="27"/>
    <w:autoRedefine/>
    <w:semiHidden/>
    <w:qFormat/>
    <w:uiPriority w:val="99"/>
    <w:rPr>
      <w:rFonts w:asciiTheme="minorHAnsi" w:hAnsiTheme="minorHAnsi" w:eastAsiaTheme="minorEastAsia" w:cstheme="minorBidi"/>
      <w:b/>
      <w:bCs/>
      <w:kern w:val="2"/>
      <w:sz w:val="24"/>
      <w:szCs w:val="22"/>
    </w:rPr>
  </w:style>
  <w:style w:type="paragraph" w:styleId="51">
    <w:name w:val="List Paragraph"/>
    <w:basedOn w:val="1"/>
    <w:autoRedefine/>
    <w:qFormat/>
    <w:uiPriority w:val="34"/>
    <w:pPr>
      <w:ind w:firstLine="420"/>
    </w:pPr>
  </w:style>
  <w:style w:type="paragraph" w:customStyle="1" w:styleId="52">
    <w:name w:val="Char Char1 Char Char Char Char Char Char Char Char Char Char Char Char Char Char Char Char Char Char Char"/>
    <w:basedOn w:val="1"/>
    <w:autoRedefine/>
    <w:semiHidden/>
    <w:qFormat/>
    <w:uiPriority w:val="0"/>
    <w:pPr>
      <w:widowControl/>
      <w:ind w:firstLine="600"/>
      <w:jc w:val="left"/>
    </w:pPr>
    <w:rPr>
      <w:rFonts w:cs="宋体"/>
      <w:color w:val="000000"/>
      <w:kern w:val="0"/>
      <w:szCs w:val="20"/>
    </w:rPr>
  </w:style>
  <w:style w:type="paragraph" w:customStyle="1" w:styleId="53">
    <w:name w:val="图格式"/>
    <w:basedOn w:val="1"/>
    <w:autoRedefine/>
    <w:qFormat/>
    <w:uiPriority w:val="0"/>
    <w:pPr>
      <w:spacing w:line="240" w:lineRule="auto"/>
      <w:ind w:firstLine="0" w:firstLineChars="0"/>
      <w:jc w:val="center"/>
    </w:pPr>
  </w:style>
  <w:style w:type="paragraph" w:customStyle="1" w:styleId="54">
    <w:name w:val="表格五号"/>
    <w:basedOn w:val="1"/>
    <w:next w:val="1"/>
    <w:autoRedefine/>
    <w:qFormat/>
    <w:uiPriority w:val="0"/>
    <w:pPr>
      <w:spacing w:line="240" w:lineRule="auto"/>
      <w:ind w:firstLine="0" w:firstLineChars="0"/>
      <w:jc w:val="center"/>
    </w:pPr>
    <w:rPr>
      <w:rFonts w:hAnsi="仿宋" w:cs="Times New Roman"/>
      <w:bCs/>
      <w:kern w:val="0"/>
      <w:sz w:val="21"/>
      <w:szCs w:val="15"/>
    </w:rPr>
  </w:style>
  <w:style w:type="table" w:customStyle="1" w:styleId="55">
    <w:name w:val="文蒙g"/>
    <w:basedOn w:val="28"/>
    <w:autoRedefine/>
    <w:qFormat/>
    <w:uiPriority w:val="99"/>
    <w:pPr>
      <w:widowControl w:val="0"/>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left w:w="0" w:type="dxa"/>
        <w:right w:w="0" w:type="dxa"/>
      </w:tblCellMar>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000000"/>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56">
    <w:name w:val="表图"/>
    <w:basedOn w:val="1"/>
    <w:autoRedefine/>
    <w:qFormat/>
    <w:uiPriority w:val="0"/>
    <w:pPr>
      <w:spacing w:line="240" w:lineRule="auto"/>
      <w:ind w:firstLine="0" w:firstLineChars="0"/>
      <w:jc w:val="center"/>
    </w:pPr>
    <w:rPr>
      <w:rFonts w:eastAsia="黑体"/>
      <w:b/>
    </w:rPr>
  </w:style>
  <w:style w:type="paragraph" w:customStyle="1" w:styleId="57">
    <w:name w:val="图表名称"/>
    <w:basedOn w:val="1"/>
    <w:autoRedefine/>
    <w:qFormat/>
    <w:uiPriority w:val="0"/>
    <w:pPr>
      <w:spacing w:line="240" w:lineRule="auto"/>
      <w:ind w:firstLine="0" w:firstLineChars="0"/>
      <w:jc w:val="center"/>
    </w:pPr>
    <w:rPr>
      <w:rFonts w:cs="黑体"/>
      <w:b/>
      <w:sz w:val="21"/>
      <w:szCs w:val="24"/>
    </w:rPr>
  </w:style>
  <w:style w:type="paragraph" w:customStyle="1" w:styleId="58">
    <w:name w:val="表格文字"/>
    <w:basedOn w:val="1"/>
    <w:autoRedefine/>
    <w:qFormat/>
    <w:uiPriority w:val="0"/>
    <w:pPr>
      <w:spacing w:line="240" w:lineRule="auto"/>
      <w:ind w:firstLine="0" w:firstLineChars="0"/>
      <w:jc w:val="center"/>
    </w:pPr>
    <w:rPr>
      <w:snapToGrid w:val="0"/>
      <w:kern w:val="0"/>
      <w:sz w:val="21"/>
      <w:szCs w:val="21"/>
    </w:rPr>
  </w:style>
  <w:style w:type="table" w:customStyle="1" w:styleId="59">
    <w:name w:val="aa表格样式"/>
    <w:basedOn w:val="28"/>
    <w:autoRedefine/>
    <w:qFormat/>
    <w:uiPriority w:val="0"/>
    <w:pPr>
      <w:jc w:val="center"/>
    </w:pPr>
    <w:rPr>
      <w:rFonts w:eastAsia="仿宋"/>
      <w:sz w:val="24"/>
      <w:szCs w:val="21"/>
    </w:rPr>
    <w:tblPr>
      <w:jc w:val="center"/>
      <w:tblBorders>
        <w:top w:val="single" w:color="C0504D" w:themeColor="accent2" w:sz="4" w:space="0"/>
        <w:left w:val="single" w:color="C0504D" w:themeColor="accent2" w:sz="4" w:space="0"/>
        <w:bottom w:val="single" w:color="C0504D" w:themeColor="accent2" w:sz="4" w:space="0"/>
        <w:right w:val="single" w:color="C0504D" w:themeColor="accent2" w:sz="4" w:space="0"/>
        <w:insideH w:val="single" w:color="C0504D" w:themeColor="accent2" w:sz="4" w:space="0"/>
        <w:insideV w:val="single" w:color="C0504D" w:themeColor="accent2" w:sz="4" w:space="0"/>
      </w:tblBorders>
    </w:tblPr>
    <w:trPr>
      <w:cantSplit/>
      <w:jc w:val="center"/>
    </w:trPr>
    <w:tcPr>
      <w:shd w:val="clear" w:color="DAEEF3" w:themeColor="accent5" w:themeTint="33" w:fill="B6DDE8" w:themeFill="accent5" w:themeFillTint="66"/>
      <w:vAlign w:val="center"/>
    </w:tcPr>
    <w:tblStylePr w:type="firstRow">
      <w:tcPr>
        <w:shd w:val="clear" w:color="auto" w:fill="FBD4B4" w:themeFill="accent6" w:themeFillTint="66"/>
      </w:tcPr>
    </w:tblStylePr>
    <w:tblStylePr w:type="firstCol">
      <w:tcPr>
        <w:shd w:val="clear" w:color="auto" w:fill="CCC0D9" w:themeFill="accent4" w:themeFillTint="66"/>
      </w:tcPr>
    </w:tblStylePr>
  </w:style>
  <w:style w:type="table" w:customStyle="1" w:styleId="60">
    <w:name w:val="网格型1"/>
    <w:basedOn w:val="28"/>
    <w:autoRedefine/>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施组正文"/>
    <w:basedOn w:val="1"/>
    <w:autoRedefine/>
    <w:qFormat/>
    <w:uiPriority w:val="0"/>
    <w:pPr>
      <w:ind w:firstLine="480"/>
    </w:pPr>
    <w:rPr>
      <w:rFonts w:cs="宋体"/>
      <w:szCs w:val="24"/>
    </w:rPr>
  </w:style>
  <w:style w:type="character" w:customStyle="1" w:styleId="62">
    <w:name w:val="hover"/>
    <w:basedOn w:val="31"/>
    <w:autoRedefine/>
    <w:qFormat/>
    <w:uiPriority w:val="0"/>
    <w:rPr>
      <w:color w:val="315EFB"/>
    </w:rPr>
  </w:style>
  <w:style w:type="character" w:customStyle="1" w:styleId="63">
    <w:name w:val="hover1"/>
    <w:basedOn w:val="31"/>
    <w:autoRedefine/>
    <w:qFormat/>
    <w:uiPriority w:val="0"/>
    <w:rPr>
      <w:color w:val="315EFB"/>
    </w:rPr>
  </w:style>
  <w:style w:type="character" w:customStyle="1" w:styleId="64">
    <w:name w:val="hover2"/>
    <w:basedOn w:val="31"/>
    <w:autoRedefine/>
    <w:qFormat/>
    <w:uiPriority w:val="0"/>
  </w:style>
  <w:style w:type="character" w:customStyle="1" w:styleId="65">
    <w:name w:val="c-icon28"/>
    <w:basedOn w:val="31"/>
    <w:autoRedefine/>
    <w:qFormat/>
    <w:uiPriority w:val="0"/>
  </w:style>
  <w:style w:type="paragraph" w:customStyle="1" w:styleId="66">
    <w:name w:val="样式4"/>
    <w:basedOn w:val="1"/>
    <w:autoRedefine/>
    <w:qFormat/>
    <w:uiPriority w:val="0"/>
    <w:pPr>
      <w:adjustRightInd w:val="0"/>
      <w:snapToGrid w:val="0"/>
      <w:spacing w:line="500" w:lineRule="exact"/>
      <w:ind w:firstLine="560" w:firstLineChars="0"/>
    </w:pPr>
    <w:rPr>
      <w:rFonts w:ascii="Times New Roman" w:hAnsi="Times New Roman"/>
      <w:sz w:val="28"/>
      <w:szCs w:val="28"/>
    </w:rPr>
  </w:style>
  <w:style w:type="paragraph" w:customStyle="1" w:styleId="67">
    <w:name w:val="图文标题"/>
    <w:basedOn w:val="1"/>
    <w:link w:val="68"/>
    <w:autoRedefine/>
    <w:qFormat/>
    <w:uiPriority w:val="0"/>
    <w:pPr>
      <w:ind w:firstLine="0" w:firstLineChars="0"/>
      <w:jc w:val="center"/>
    </w:pPr>
    <w:rPr>
      <w:rFonts w:hint="eastAsia"/>
      <w:b/>
    </w:rPr>
  </w:style>
  <w:style w:type="character" w:customStyle="1" w:styleId="68">
    <w:name w:val="图文标题 Char"/>
    <w:link w:val="67"/>
    <w:autoRedefine/>
    <w:qFormat/>
    <w:uiPriority w:val="0"/>
    <w:rPr>
      <w:rFonts w:hint="eastAsia"/>
      <w:b/>
    </w:rPr>
  </w:style>
  <w:style w:type="paragraph" w:customStyle="1" w:styleId="69">
    <w:name w:val="编制"/>
    <w:basedOn w:val="1"/>
    <w:autoRedefine/>
    <w:qFormat/>
    <w:uiPriority w:val="0"/>
    <w:pPr>
      <w:ind w:firstLine="0" w:firstLineChars="0"/>
      <w:jc w:val="center"/>
    </w:pPr>
    <w:rPr>
      <w:rFonts w:ascii="Times New Roman" w:hAnsi="Times New Roman" w:cs="Times New Roman"/>
      <w:b/>
      <w:bCs/>
    </w:rPr>
  </w:style>
  <w:style w:type="paragraph" w:customStyle="1" w:styleId="70">
    <w:name w:val="落款"/>
    <w:basedOn w:val="71"/>
    <w:autoRedefine/>
    <w:qFormat/>
    <w:uiPriority w:val="0"/>
    <w:rPr>
      <w:sz w:val="32"/>
    </w:rPr>
  </w:style>
  <w:style w:type="paragraph" w:customStyle="1" w:styleId="71">
    <w:name w:val="封面标题1"/>
    <w:basedOn w:val="1"/>
    <w:autoRedefine/>
    <w:qFormat/>
    <w:uiPriority w:val="0"/>
    <w:pPr>
      <w:ind w:firstLine="0" w:firstLineChars="0"/>
      <w:jc w:val="center"/>
    </w:pPr>
    <w:rPr>
      <w:b/>
      <w:bCs/>
      <w:color w:val="000000"/>
      <w:sz w:val="36"/>
      <w:szCs w:val="48"/>
    </w:rPr>
  </w:style>
  <w:style w:type="table" w:customStyle="1" w:styleId="72">
    <w:name w:val="Table Normal"/>
    <w:unhideWhenUsed/>
    <w:qFormat/>
    <w:uiPriority w:val="0"/>
    <w:tblPr>
      <w:tblCellMar>
        <w:top w:w="0" w:type="dxa"/>
        <w:left w:w="0" w:type="dxa"/>
        <w:bottom w:w="0" w:type="dxa"/>
        <w:right w:w="0" w:type="dxa"/>
      </w:tblCellMar>
    </w:tblPr>
  </w:style>
  <w:style w:type="paragraph" w:customStyle="1" w:styleId="73">
    <w:name w:val="单行表内文字"/>
    <w:basedOn w:val="1"/>
    <w:qFormat/>
    <w:uiPriority w:val="0"/>
    <w:pPr>
      <w:widowControl/>
      <w:adjustRightInd w:val="0"/>
      <w:snapToGrid w:val="0"/>
      <w:spacing w:line="300" w:lineRule="auto"/>
      <w:ind w:firstLine="0" w:firstLineChars="0"/>
      <w:jc w:val="center"/>
    </w:pPr>
    <w:rPr>
      <w:rFonts w:cs="黑体"/>
      <w:sz w:val="21"/>
      <w:szCs w:val="21"/>
    </w:rPr>
  </w:style>
  <w:style w:type="paragraph" w:customStyle="1" w:styleId="74">
    <w:name w:val="正文文稿"/>
    <w:basedOn w:val="1"/>
    <w:qFormat/>
    <w:uiPriority w:val="0"/>
    <w:pPr>
      <w:spacing w:line="460" w:lineRule="exact"/>
    </w:pPr>
    <w:rPr>
      <w:bCs/>
      <w:kern w:val="24"/>
    </w:rPr>
  </w:style>
  <w:style w:type="paragraph" w:customStyle="1" w:styleId="75">
    <w:name w:val="表内文字"/>
    <w:basedOn w:val="57"/>
    <w:next w:val="1"/>
    <w:qFormat/>
    <w:uiPriority w:val="0"/>
    <w:pPr>
      <w:spacing w:line="240" w:lineRule="exact"/>
      <w:ind w:firstLine="0" w:firstLineChars="0"/>
      <w:jc w:val="center"/>
    </w:pPr>
    <w:rPr>
      <w:rFonts w:hAnsi="等线" w:cs="Times New Roman"/>
      <w:sz w:val="21"/>
    </w:rPr>
  </w:style>
  <w:style w:type="paragraph" w:customStyle="1" w:styleId="76">
    <w:name w:val="框图 Char Char Char Char Char Char"/>
    <w:basedOn w:val="1"/>
    <w:qFormat/>
    <w:uiPriority w:val="0"/>
    <w:pPr>
      <w:widowControl/>
      <w:kinsoku w:val="0"/>
      <w:overflowPunct w:val="0"/>
      <w:autoSpaceDE w:val="0"/>
      <w:autoSpaceDN w:val="0"/>
      <w:adjustRightInd w:val="0"/>
      <w:spacing w:line="240" w:lineRule="auto"/>
      <w:ind w:firstLine="0" w:firstLineChars="0"/>
      <w:jc w:val="center"/>
    </w:pPr>
    <w:rPr>
      <w:rFonts w:hint="eastAsia" w:ascii="仿宋_GB2312" w:hAnsi="Times New Roman" w:eastAsia="仿宋_GB2312" w:cs="Times New Roman"/>
      <w:sz w:val="21"/>
      <w:szCs w:val="20"/>
    </w:rPr>
  </w:style>
  <w:style w:type="paragraph" w:customStyle="1" w:styleId="77">
    <w:name w:val="！正文"/>
    <w:basedOn w:val="1"/>
    <w:qFormat/>
    <w:uiPriority w:val="0"/>
  </w:style>
  <w:style w:type="paragraph" w:customStyle="1" w:styleId="78">
    <w:name w:val="图表标题"/>
    <w:basedOn w:val="1"/>
    <w:next w:val="74"/>
    <w:qFormat/>
    <w:uiPriority w:val="0"/>
    <w:pPr>
      <w:spacing w:line="240" w:lineRule="auto"/>
      <w:ind w:firstLine="482" w:firstLineChars="0"/>
      <w:jc w:val="center"/>
    </w:pPr>
    <w:rPr>
      <w:rFonts w:cs="宋体"/>
      <w:b/>
      <w:bCs/>
      <w:kern w:val="24"/>
    </w:rPr>
  </w:style>
  <w:style w:type="character" w:customStyle="1" w:styleId="79">
    <w:name w:val="图表标题 Char"/>
    <w:qFormat/>
    <w:uiPriority w:val="0"/>
    <w:rPr>
      <w:rFonts w:ascii="黑体" w:hAnsi="黑体" w:eastAsia="黑体"/>
      <w:bCs/>
      <w:szCs w:val="28"/>
    </w:rPr>
  </w:style>
  <w:style w:type="paragraph" w:customStyle="1" w:styleId="80">
    <w:name w:val="图表标题1"/>
    <w:basedOn w:val="81"/>
    <w:next w:val="1"/>
    <w:qFormat/>
    <w:uiPriority w:val="0"/>
    <w:pPr>
      <w:adjustRightInd w:val="0"/>
      <w:snapToGrid w:val="0"/>
      <w:spacing w:after="156" w:line="240" w:lineRule="atLeast"/>
      <w:ind w:firstLine="0" w:firstLineChars="0"/>
      <w:jc w:val="center"/>
    </w:pPr>
    <w:rPr>
      <w:rFonts w:eastAsiaTheme="minorEastAsia"/>
      <w:b/>
    </w:rPr>
  </w:style>
  <w:style w:type="paragraph" w:customStyle="1" w:styleId="81">
    <w:name w:val="正文部分 Char Char Char"/>
    <w:basedOn w:val="10"/>
    <w:qFormat/>
    <w:uiPriority w:val="0"/>
    <w:pPr>
      <w:spacing w:after="0" w:line="460" w:lineRule="exact"/>
      <w:ind w:firstLine="200"/>
      <w:textAlignment w:val="baseline"/>
    </w:pPr>
    <w:rPr>
      <w:bCs/>
    </w:rPr>
  </w:style>
  <w:style w:type="paragraph" w:customStyle="1" w:styleId="82">
    <w:name w:val="01正文"/>
    <w:basedOn w:val="1"/>
    <w:qFormat/>
    <w:uiPriority w:val="0"/>
    <w:pPr>
      <w:snapToGrid w:val="0"/>
    </w:pPr>
    <w:rPr>
      <w:kern w:val="0"/>
    </w:rPr>
  </w:style>
  <w:style w:type="paragraph" w:customStyle="1" w:styleId="83">
    <w:name w:val="02图名"/>
    <w:basedOn w:val="1"/>
    <w:qFormat/>
    <w:uiPriority w:val="0"/>
    <w:pPr>
      <w:autoSpaceDE w:val="0"/>
      <w:spacing w:line="240" w:lineRule="auto"/>
      <w:ind w:firstLine="0" w:firstLineChars="0"/>
      <w:jc w:val="center"/>
    </w:pPr>
    <w:rPr>
      <w:rFonts w:eastAsia="黑体"/>
      <w:b/>
      <w:szCs w:val="30"/>
      <w:lang w:val="zh-CN"/>
    </w:rPr>
  </w:style>
  <w:style w:type="paragraph" w:customStyle="1" w:styleId="84">
    <w:name w:val="7图表"/>
    <w:qFormat/>
    <w:uiPriority w:val="0"/>
    <w:pPr>
      <w:jc w:val="center"/>
    </w:pPr>
    <w:rPr>
      <w:rFonts w:ascii="Times New Roman" w:hAnsi="Times New Roman" w:eastAsia="宋体" w:cs="Times New Roman"/>
      <w:sz w:val="21"/>
      <w:szCs w:val="21"/>
      <w:lang w:val="en-US" w:eastAsia="zh-CN" w:bidi="ar-SA"/>
    </w:rPr>
  </w:style>
  <w:style w:type="paragraph" w:customStyle="1" w:styleId="85">
    <w:name w:val="样式 正文1 + 首行缩进:  2 字符"/>
    <w:basedOn w:val="1"/>
    <w:qFormat/>
    <w:uiPriority w:val="0"/>
    <w:pPr>
      <w:wordWrap w:val="0"/>
      <w:ind w:firstLine="480"/>
    </w:pPr>
    <w:rPr>
      <w:rFonts w:cs="宋体"/>
      <w:color w:val="000000"/>
      <w:szCs w:val="20"/>
    </w:rPr>
  </w:style>
  <w:style w:type="paragraph" w:customStyle="1" w:styleId="86">
    <w:name w:val="表格"/>
    <w:basedOn w:val="87"/>
    <w:qFormat/>
    <w:uiPriority w:val="0"/>
    <w:pPr>
      <w:spacing w:line="500" w:lineRule="exact"/>
      <w:ind w:firstLine="200" w:firstLineChars="200"/>
    </w:pPr>
    <w:rPr>
      <w:rFonts w:ascii="Calibri" w:eastAsia="宋体"/>
      <w:sz w:val="24"/>
      <w:szCs w:val="20"/>
    </w:rPr>
  </w:style>
  <w:style w:type="paragraph" w:customStyle="1" w:styleId="87">
    <w:name w:val="表格单行"/>
    <w:qFormat/>
    <w:uiPriority w:val="0"/>
    <w:pPr>
      <w:widowControl w:val="0"/>
      <w:kinsoku w:val="0"/>
      <w:overflowPunct w:val="0"/>
      <w:autoSpaceDE w:val="0"/>
      <w:autoSpaceDN w:val="0"/>
      <w:adjustRightInd w:val="0"/>
      <w:snapToGrid w:val="0"/>
      <w:spacing w:line="240" w:lineRule="exact"/>
      <w:jc w:val="center"/>
      <w:textAlignment w:val="center"/>
    </w:pPr>
    <w:rPr>
      <w:rFonts w:ascii="仿宋_GB2312" w:hAnsi="Calibri" w:eastAsia="仿宋_GB2312" w:cs="Times New Roman"/>
      <w:kern w:val="2"/>
      <w:sz w:val="21"/>
      <w:szCs w:val="22"/>
      <w:lang w:val="en-US" w:eastAsia="zh-CN" w:bidi="ar-SA"/>
    </w:rPr>
  </w:style>
  <w:style w:type="paragraph" w:customStyle="1" w:styleId="88">
    <w:name w:val="K正文"/>
    <w:basedOn w:val="1"/>
    <w:autoRedefine/>
    <w:qFormat/>
    <w:uiPriority w:val="0"/>
    <w:pPr>
      <w:ind w:firstLine="480"/>
    </w:pPr>
    <w:rPr>
      <w:rFonts w:eastAsia="仿宋"/>
      <w:kern w:val="0"/>
      <w:sz w:val="28"/>
      <w:szCs w:val="21"/>
    </w:rPr>
  </w:style>
  <w:style w:type="table" w:customStyle="1" w:styleId="89">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90">
    <w:name w:val="标题 1 字符"/>
    <w:link w:val="2"/>
    <w:qFormat/>
    <w:uiPriority w:val="0"/>
    <w:rPr>
      <w:rFonts w:ascii="Times New Roman" w:hAnsi="Times New Roman"/>
      <w:b/>
      <w:kern w:val="2"/>
      <w:sz w:val="28"/>
      <w:szCs w:val="24"/>
    </w:rPr>
  </w:style>
  <w:style w:type="paragraph" w:customStyle="1" w:styleId="91">
    <w:name w:val="图表内容"/>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92">
    <w:name w:val="图片标题"/>
    <w:basedOn w:val="93"/>
    <w:qFormat/>
    <w:uiPriority w:val="0"/>
    <w:pPr>
      <w:spacing w:line="240" w:lineRule="auto"/>
      <w:ind w:firstLine="0"/>
      <w:jc w:val="center"/>
    </w:pPr>
    <w:rPr>
      <w:rFonts w:eastAsia="宋体" w:hAnsiTheme="majorHAnsi" w:cstheme="majorBidi"/>
      <w:b/>
      <w:kern w:val="44"/>
      <w:sz w:val="21"/>
      <w:szCs w:val="21"/>
    </w:rPr>
  </w:style>
  <w:style w:type="paragraph" w:customStyle="1" w:styleId="93">
    <w:name w:val="B-正文"/>
    <w:basedOn w:val="1"/>
    <w:qFormat/>
    <w:uiPriority w:val="0"/>
    <w:rPr>
      <w:rFonts w:eastAsiaTheme="minorEastAsia"/>
      <w:szCs w:val="28"/>
    </w:rPr>
  </w:style>
  <w:style w:type="paragraph" w:customStyle="1" w:styleId="94">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4F6228" w:themeColor="accent3" w:themeShade="80"/>
      <w:kern w:val="0"/>
      <w:sz w:val="24"/>
      <w:szCs w:val="24"/>
    </w:r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目录 41"/>
    <w:basedOn w:val="1"/>
    <w:next w:val="1"/>
    <w:qFormat/>
    <w:uiPriority w:val="39"/>
    <w:pPr>
      <w:ind w:left="630"/>
      <w:jc w:val="left"/>
    </w:pPr>
    <w:rPr>
      <w:rFonts w:ascii="Calibri" w:hAnsi="Calibri"/>
      <w:sz w:val="20"/>
      <w:szCs w:val="20"/>
    </w:rPr>
  </w:style>
  <w:style w:type="paragraph" w:customStyle="1" w:styleId="97">
    <w:name w:val="Table Text"/>
    <w:basedOn w:val="1"/>
    <w:semiHidden/>
    <w:qFormat/>
    <w:uiPriority w:val="0"/>
    <w:rPr>
      <w:rFonts w:ascii="Arial" w:hAnsi="Arial" w:eastAsia="Arial" w:cs="Arial"/>
      <w:sz w:val="21"/>
      <w:szCs w:val="21"/>
      <w:lang w:val="en-US" w:eastAsia="en-US" w:bidi="ar-SA"/>
    </w:rPr>
  </w:style>
  <w:style w:type="paragraph" w:customStyle="1" w:styleId="98">
    <w:name w:val="方案图名"/>
    <w:next w:val="1"/>
    <w:link w:val="99"/>
    <w:autoRedefine/>
    <w:qFormat/>
    <w:uiPriority w:val="0"/>
    <w:pPr>
      <w:spacing w:line="240" w:lineRule="auto"/>
      <w:ind w:firstLine="0" w:firstLineChars="0"/>
      <w:jc w:val="center"/>
      <w:outlineLvl w:val="4"/>
    </w:pPr>
    <w:rPr>
      <w:rFonts w:ascii="Times New Roman" w:hAnsi="Times New Roman" w:eastAsia="宋体" w:cs="Times New Roman"/>
      <w:b/>
      <w:szCs w:val="28"/>
    </w:rPr>
  </w:style>
  <w:style w:type="character" w:customStyle="1" w:styleId="99">
    <w:name w:val="图名 字符"/>
    <w:link w:val="98"/>
    <w:autoRedefine/>
    <w:qFormat/>
    <w:uiPriority w:val="0"/>
    <w:rPr>
      <w:b/>
      <w:szCs w:val="28"/>
    </w:rPr>
  </w:style>
  <w:style w:type="paragraph" w:customStyle="1" w:styleId="100">
    <w:name w:val="7表内字"/>
    <w:basedOn w:val="1"/>
    <w:autoRedefine/>
    <w:qFormat/>
    <w:uiPriority w:val="0"/>
    <w:pPr>
      <w:spacing w:line="240" w:lineRule="auto"/>
      <w:ind w:firstLine="0" w:firstLineChars="0"/>
      <w:jc w:val="center"/>
    </w:pPr>
    <w:rPr>
      <w:sz w:val="21"/>
      <w:szCs w:val="21"/>
    </w:rPr>
  </w:style>
  <w:style w:type="table" w:customStyle="1" w:styleId="101">
    <w:name w:val="表格标准15"/>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02">
    <w:name w:val="XX表格1"/>
    <w:basedOn w:val="28"/>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103">
    <w:name w:val="2级"/>
    <w:basedOn w:val="3"/>
    <w:next w:val="1"/>
    <w:autoRedefine/>
    <w:qFormat/>
    <w:uiPriority w:val="0"/>
    <w:pPr>
      <w:numPr>
        <w:ilvl w:val="1"/>
        <w:numId w:val="2"/>
      </w:numPr>
      <w:spacing w:before="0" w:after="0" w:line="360" w:lineRule="auto"/>
      <w:ind w:firstLineChars="0"/>
    </w:pPr>
    <w:rPr>
      <w:rFonts w:ascii="黑体" w:hAnsi="黑体" w:eastAsia="黑体"/>
      <w:sz w:val="28"/>
    </w:rPr>
  </w:style>
  <w:style w:type="paragraph" w:customStyle="1" w:styleId="104">
    <w:name w:val="3级"/>
    <w:basedOn w:val="4"/>
    <w:next w:val="1"/>
    <w:autoRedefine/>
    <w:qFormat/>
    <w:uiPriority w:val="0"/>
    <w:pPr>
      <w:numPr>
        <w:ilvl w:val="2"/>
        <w:numId w:val="2"/>
      </w:numPr>
      <w:spacing w:before="0" w:after="0" w:line="360" w:lineRule="auto"/>
      <w:ind w:left="0" w:firstLine="0" w:firstLineChars="0"/>
    </w:pPr>
    <w:rPr>
      <w:rFonts w:eastAsia="黑体"/>
      <w:sz w:val="28"/>
    </w:rPr>
  </w:style>
  <w:style w:type="paragraph" w:customStyle="1" w:styleId="105">
    <w:name w:val="6表名"/>
    <w:basedOn w:val="106"/>
    <w:autoRedefine/>
    <w:qFormat/>
    <w:uiPriority w:val="0"/>
    <w:pPr>
      <w:numPr>
        <w:ilvl w:val="5"/>
      </w:numPr>
      <w:spacing w:line="240" w:lineRule="auto"/>
    </w:pPr>
  </w:style>
  <w:style w:type="paragraph" w:customStyle="1" w:styleId="106">
    <w:name w:val="5图名"/>
    <w:basedOn w:val="1"/>
    <w:autoRedefine/>
    <w:qFormat/>
    <w:uiPriority w:val="0"/>
    <w:pPr>
      <w:numPr>
        <w:ilvl w:val="4"/>
        <w:numId w:val="2"/>
      </w:numPr>
      <w:ind w:firstLineChars="0"/>
      <w:jc w:val="center"/>
    </w:pPr>
    <w:rPr>
      <w:rFonts w:ascii="黑体" w:hAnsi="黑体" w:eastAsia="黑体"/>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png"/><Relationship Id="rId93" Type="http://schemas.openxmlformats.org/officeDocument/2006/relationships/image" Target="media/image73.png"/><Relationship Id="rId92" Type="http://schemas.openxmlformats.org/officeDocument/2006/relationships/image" Target="media/image72.pn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footer" Target="footer2.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wmf"/><Relationship Id="rId52" Type="http://schemas.openxmlformats.org/officeDocument/2006/relationships/oleObject" Target="embeddings/oleObject5.bin"/><Relationship Id="rId51" Type="http://schemas.openxmlformats.org/officeDocument/2006/relationships/image" Target="media/image32.wmf"/><Relationship Id="rId50" Type="http://schemas.openxmlformats.org/officeDocument/2006/relationships/oleObject" Target="embeddings/oleObject4.bin"/><Relationship Id="rId5" Type="http://schemas.openxmlformats.org/officeDocument/2006/relationships/header" Target="header1.xml"/><Relationship Id="rId49" Type="http://schemas.openxmlformats.org/officeDocument/2006/relationships/image" Target="media/image31.wmf"/><Relationship Id="rId48" Type="http://schemas.openxmlformats.org/officeDocument/2006/relationships/oleObject" Target="embeddings/oleObject3.bin"/><Relationship Id="rId47" Type="http://schemas.openxmlformats.org/officeDocument/2006/relationships/image" Target="media/image30.wmf"/><Relationship Id="rId46" Type="http://schemas.openxmlformats.org/officeDocument/2006/relationships/oleObject" Target="embeddings/oleObject2.bin"/><Relationship Id="rId45" Type="http://schemas.openxmlformats.org/officeDocument/2006/relationships/image" Target="media/image29.wmf"/><Relationship Id="rId44" Type="http://schemas.openxmlformats.org/officeDocument/2006/relationships/oleObject" Target="embeddings/oleObject1.bin"/><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3" Type="http://schemas.openxmlformats.org/officeDocument/2006/relationships/fontTable" Target="fontTable.xml"/><Relationship Id="rId172" Type="http://schemas.openxmlformats.org/officeDocument/2006/relationships/numbering" Target="numbering.xml"/><Relationship Id="rId171" Type="http://schemas.openxmlformats.org/officeDocument/2006/relationships/customXml" Target="../customXml/item1.xml"/><Relationship Id="rId170" Type="http://schemas.openxmlformats.org/officeDocument/2006/relationships/image" Target="media/image149.jpeg"/><Relationship Id="rId17" Type="http://schemas.openxmlformats.org/officeDocument/2006/relationships/image" Target="media/image2.png"/><Relationship Id="rId169" Type="http://schemas.openxmlformats.org/officeDocument/2006/relationships/image" Target="media/image148.png"/><Relationship Id="rId168" Type="http://schemas.openxmlformats.org/officeDocument/2006/relationships/image" Target="media/image147.png"/><Relationship Id="rId167" Type="http://schemas.openxmlformats.org/officeDocument/2006/relationships/image" Target="media/image146.png"/><Relationship Id="rId166" Type="http://schemas.openxmlformats.org/officeDocument/2006/relationships/image" Target="media/image145.png"/><Relationship Id="rId165" Type="http://schemas.openxmlformats.org/officeDocument/2006/relationships/image" Target="media/image144.png"/><Relationship Id="rId164" Type="http://schemas.openxmlformats.org/officeDocument/2006/relationships/image" Target="media/image143.png"/><Relationship Id="rId163" Type="http://schemas.openxmlformats.org/officeDocument/2006/relationships/image" Target="media/image142.png"/><Relationship Id="rId162" Type="http://schemas.openxmlformats.org/officeDocument/2006/relationships/image" Target="media/image141.png"/><Relationship Id="rId161" Type="http://schemas.openxmlformats.org/officeDocument/2006/relationships/image" Target="media/image140.png"/><Relationship Id="rId160" Type="http://schemas.openxmlformats.org/officeDocument/2006/relationships/image" Target="media/image139.png"/><Relationship Id="rId16" Type="http://schemas.openxmlformats.org/officeDocument/2006/relationships/image" Target="media/image1.png"/><Relationship Id="rId159" Type="http://schemas.openxmlformats.org/officeDocument/2006/relationships/image" Target="media/image138.png"/><Relationship Id="rId158" Type="http://schemas.openxmlformats.org/officeDocument/2006/relationships/image" Target="media/image137.emf"/><Relationship Id="rId157" Type="http://schemas.openxmlformats.org/officeDocument/2006/relationships/package" Target="embeddings/Microsoft_Visio___1.vsdx"/><Relationship Id="rId156" Type="http://schemas.openxmlformats.org/officeDocument/2006/relationships/image" Target="media/image136.png"/><Relationship Id="rId155" Type="http://schemas.openxmlformats.org/officeDocument/2006/relationships/image" Target="media/image135.png"/><Relationship Id="rId154" Type="http://schemas.openxmlformats.org/officeDocument/2006/relationships/image" Target="media/image134.png"/><Relationship Id="rId153" Type="http://schemas.openxmlformats.org/officeDocument/2006/relationships/image" Target="media/image133.png"/><Relationship Id="rId152" Type="http://schemas.openxmlformats.org/officeDocument/2006/relationships/image" Target="media/image132.png"/><Relationship Id="rId151" Type="http://schemas.openxmlformats.org/officeDocument/2006/relationships/image" Target="media/image131.png"/><Relationship Id="rId150" Type="http://schemas.openxmlformats.org/officeDocument/2006/relationships/image" Target="media/image130.png"/><Relationship Id="rId15" Type="http://schemas.openxmlformats.org/officeDocument/2006/relationships/theme" Target="theme/theme1.xml"/><Relationship Id="rId149" Type="http://schemas.openxmlformats.org/officeDocument/2006/relationships/image" Target="media/image129.png"/><Relationship Id="rId148" Type="http://schemas.openxmlformats.org/officeDocument/2006/relationships/image" Target="media/image128.png"/><Relationship Id="rId147" Type="http://schemas.openxmlformats.org/officeDocument/2006/relationships/image" Target="media/image127.png"/><Relationship Id="rId146" Type="http://schemas.openxmlformats.org/officeDocument/2006/relationships/image" Target="media/image126.png"/><Relationship Id="rId145" Type="http://schemas.openxmlformats.org/officeDocument/2006/relationships/image" Target="media/image125.png"/><Relationship Id="rId144" Type="http://schemas.openxmlformats.org/officeDocument/2006/relationships/image" Target="media/image124.png"/><Relationship Id="rId143" Type="http://schemas.openxmlformats.org/officeDocument/2006/relationships/image" Target="media/image123.png"/><Relationship Id="rId142" Type="http://schemas.openxmlformats.org/officeDocument/2006/relationships/image" Target="media/image122.png"/><Relationship Id="rId141" Type="http://schemas.openxmlformats.org/officeDocument/2006/relationships/image" Target="media/image121.png"/><Relationship Id="rId140" Type="http://schemas.openxmlformats.org/officeDocument/2006/relationships/image" Target="media/image120.png"/><Relationship Id="rId14" Type="http://schemas.openxmlformats.org/officeDocument/2006/relationships/footer" Target="footer5.xml"/><Relationship Id="rId139" Type="http://schemas.openxmlformats.org/officeDocument/2006/relationships/image" Target="media/image119.png"/><Relationship Id="rId138" Type="http://schemas.openxmlformats.org/officeDocument/2006/relationships/image" Target="media/image118.png"/><Relationship Id="rId137" Type="http://schemas.openxmlformats.org/officeDocument/2006/relationships/image" Target="media/image117.png"/><Relationship Id="rId136" Type="http://schemas.openxmlformats.org/officeDocument/2006/relationships/image" Target="media/image116.png"/><Relationship Id="rId135" Type="http://schemas.openxmlformats.org/officeDocument/2006/relationships/image" Target="media/image115.png"/><Relationship Id="rId134" Type="http://schemas.openxmlformats.org/officeDocument/2006/relationships/image" Target="media/image114.png"/><Relationship Id="rId133" Type="http://schemas.openxmlformats.org/officeDocument/2006/relationships/image" Target="media/image113.png"/><Relationship Id="rId132" Type="http://schemas.openxmlformats.org/officeDocument/2006/relationships/image" Target="media/image112.png"/><Relationship Id="rId131" Type="http://schemas.openxmlformats.org/officeDocument/2006/relationships/image" Target="media/image111.png"/><Relationship Id="rId130" Type="http://schemas.openxmlformats.org/officeDocument/2006/relationships/image" Target="media/image110.wmf"/><Relationship Id="rId13" Type="http://schemas.openxmlformats.org/officeDocument/2006/relationships/header" Target="header5.xml"/><Relationship Id="rId129" Type="http://schemas.openxmlformats.org/officeDocument/2006/relationships/image" Target="media/image109.wmf"/><Relationship Id="rId128" Type="http://schemas.openxmlformats.org/officeDocument/2006/relationships/image" Target="media/image108.png"/><Relationship Id="rId127" Type="http://schemas.openxmlformats.org/officeDocument/2006/relationships/image" Target="media/image107.png"/><Relationship Id="rId126" Type="http://schemas.openxmlformats.org/officeDocument/2006/relationships/image" Target="media/image106.png"/><Relationship Id="rId125" Type="http://schemas.openxmlformats.org/officeDocument/2006/relationships/image" Target="media/image105.png"/><Relationship Id="rId124" Type="http://schemas.openxmlformats.org/officeDocument/2006/relationships/image" Target="media/image104.png"/><Relationship Id="rId123" Type="http://schemas.openxmlformats.org/officeDocument/2006/relationships/image" Target="media/image103.png"/><Relationship Id="rId122" Type="http://schemas.openxmlformats.org/officeDocument/2006/relationships/image" Target="media/image102.png"/><Relationship Id="rId121" Type="http://schemas.openxmlformats.org/officeDocument/2006/relationships/image" Target="media/image101.png"/><Relationship Id="rId120" Type="http://schemas.openxmlformats.org/officeDocument/2006/relationships/image" Target="media/image100.png"/><Relationship Id="rId12" Type="http://schemas.openxmlformats.org/officeDocument/2006/relationships/footer" Target="footer4.xml"/><Relationship Id="rId119" Type="http://schemas.openxmlformats.org/officeDocument/2006/relationships/image" Target="media/image99.png"/><Relationship Id="rId118" Type="http://schemas.openxmlformats.org/officeDocument/2006/relationships/image" Target="media/image98.png"/><Relationship Id="rId117" Type="http://schemas.openxmlformats.org/officeDocument/2006/relationships/image" Target="media/image97.png"/><Relationship Id="rId116" Type="http://schemas.openxmlformats.org/officeDocument/2006/relationships/image" Target="media/image96.png"/><Relationship Id="rId115" Type="http://schemas.openxmlformats.org/officeDocument/2006/relationships/image" Target="media/image95.png"/><Relationship Id="rId114" Type="http://schemas.openxmlformats.org/officeDocument/2006/relationships/image" Target="media/image94.png"/><Relationship Id="rId113" Type="http://schemas.openxmlformats.org/officeDocument/2006/relationships/image" Target="media/image93.png"/><Relationship Id="rId112" Type="http://schemas.openxmlformats.org/officeDocument/2006/relationships/image" Target="media/image92.png"/><Relationship Id="rId111" Type="http://schemas.openxmlformats.org/officeDocument/2006/relationships/image" Target="media/image91.png"/><Relationship Id="rId110" Type="http://schemas.openxmlformats.org/officeDocument/2006/relationships/image" Target="media/image90.png"/><Relationship Id="rId11" Type="http://schemas.openxmlformats.org/officeDocument/2006/relationships/header" Target="header4.xml"/><Relationship Id="rId109" Type="http://schemas.openxmlformats.org/officeDocument/2006/relationships/image" Target="media/image89.png"/><Relationship Id="rId108" Type="http://schemas.openxmlformats.org/officeDocument/2006/relationships/image" Target="media/image88.png"/><Relationship Id="rId107" Type="http://schemas.openxmlformats.org/officeDocument/2006/relationships/image" Target="media/image87.png"/><Relationship Id="rId106" Type="http://schemas.openxmlformats.org/officeDocument/2006/relationships/image" Target="media/image86.png"/><Relationship Id="rId105" Type="http://schemas.openxmlformats.org/officeDocument/2006/relationships/image" Target="media/image85.png"/><Relationship Id="rId104" Type="http://schemas.openxmlformats.org/officeDocument/2006/relationships/image" Target="media/image84.png"/><Relationship Id="rId103" Type="http://schemas.openxmlformats.org/officeDocument/2006/relationships/image" Target="media/image83.png"/><Relationship Id="rId102" Type="http://schemas.openxmlformats.org/officeDocument/2006/relationships/image" Target="media/image82.png"/><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171</Pages>
  <Words>6075</Words>
  <Characters>8392</Characters>
  <Lines>370</Lines>
  <Paragraphs>104</Paragraphs>
  <TotalTime>3</TotalTime>
  <ScaleCrop>false</ScaleCrop>
  <LinksUpToDate>false</LinksUpToDate>
  <CharactersWithSpaces>8808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2024-05-11T10:09:00Z</dcterms:created>
  <dc:creator>徐毓敏</dc:creator>
  <cp:lastModifiedBy>Yu</cp:lastModifiedBy>
  <cp:lastPrinted>2024-12-23T07:11:00Z</cp:lastPrinted>
  <dcterms:modified xsi:type="dcterms:W3CDTF">2025-10-22T06:55:36Z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BD0F0ECBF8DA4EA9A46284A28125615C_13</vt:lpwstr>
  </property>
  <property fmtid="{D5CDD505-2E9C-101B-9397-08002B2CF9AE}" pid="4" name="KSOTemplateDocerSaveRecord">
    <vt:lpwstr>eyJoZGlkIjoiYzQ0OTRjZDA2MmQ5YzE5OTNkNjllMzE0NjQ0N2UyYzYiLCJ1c2VySWQiOiIzOTM1NTU3NTgifQ==</vt:lpwstr>
  </property>
</Properties>
</file>