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200"/>
        <w:rPr>
          <w:color w:val="000000" w:themeColor="text1"/>
          <w14:textFill>
            <w14:solidFill>
              <w14:schemeClr w14:val="tx1"/>
            </w14:solidFill>
          </w14:textFill>
        </w:rPr>
      </w:pPr>
    </w:p>
    <w:p>
      <w:pPr>
        <w:ind w:left="480" w:firstLine="0" w:firstLineChars="0"/>
        <w:rPr>
          <w:color w:val="000000" w:themeColor="text1"/>
          <w14:textFill>
            <w14:solidFill>
              <w14:schemeClr w14:val="tx1"/>
            </w14:solidFill>
          </w14:textFill>
        </w:rPr>
      </w:pPr>
    </w:p>
    <w:p>
      <w:pPr>
        <w:ind w:firstLine="562" w:firstLineChars="201"/>
        <w:jc w:val="left"/>
        <w:rPr>
          <w:rFonts w:ascii="黑体" w:hAnsi="黑体" w:eastAsia="黑体"/>
          <w:color w:val="000000" w:themeColor="text1"/>
          <w:sz w:val="28"/>
          <w:szCs w:val="28"/>
          <w14:textFill>
            <w14:solidFill>
              <w14:schemeClr w14:val="tx1"/>
            </w14:solidFill>
          </w14:textFill>
        </w:rPr>
      </w:pPr>
    </w:p>
    <w:p>
      <w:pPr>
        <w:ind w:firstLine="562" w:firstLineChars="201"/>
        <w:jc w:val="left"/>
        <w:rPr>
          <w:bCs/>
          <w:color w:val="000000" w:themeColor="text1"/>
          <w:sz w:val="28"/>
          <w:szCs w:val="28"/>
          <w14:textFill>
            <w14:solidFill>
              <w14:schemeClr w14:val="tx1"/>
            </w14:solidFill>
          </w14:textFill>
        </w:rPr>
      </w:pPr>
    </w:p>
    <w:p>
      <w:pPr>
        <w:ind w:firstLine="0" w:firstLineChars="0"/>
        <w:jc w:val="left"/>
        <w:rPr>
          <w:bCs/>
          <w:color w:val="000000" w:themeColor="text1"/>
          <w:sz w:val="28"/>
          <w:szCs w:val="28"/>
          <w14:textFill>
            <w14:solidFill>
              <w14:schemeClr w14:val="tx1"/>
            </w14:solidFill>
          </w14:textFill>
        </w:rPr>
      </w:pPr>
    </w:p>
    <w:p>
      <w:pPr>
        <w:pStyle w:val="54"/>
        <w:ind w:firstLine="48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梧州-玉林-钦州公路（苍梧至容县段）工程</w:t>
      </w:r>
    </w:p>
    <w:p>
      <w:pPr>
        <w:pStyle w:val="54"/>
        <w:ind w:firstLine="48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浔江特大桥</w:t>
      </w:r>
    </w:p>
    <w:p>
      <w:pPr>
        <w:pStyle w:val="54"/>
        <w:ind w:firstLine="480"/>
        <w:rPr>
          <w:color w:val="000000" w:themeColor="text1"/>
          <w14:textFill>
            <w14:solidFill>
              <w14:schemeClr w14:val="tx1"/>
            </w14:solidFill>
          </w14:textFill>
        </w:rPr>
      </w:pPr>
      <w:bookmarkStart w:id="0" w:name="_Toc40778419"/>
      <w:bookmarkStart w:id="1" w:name="_Toc40445698"/>
      <w:bookmarkStart w:id="2" w:name="_Toc40273440"/>
      <w:bookmarkStart w:id="3" w:name="_Toc40446029"/>
      <w:bookmarkStart w:id="4" w:name="_Toc13281"/>
      <w:r>
        <w:rPr>
          <w:rFonts w:hint="eastAsia"/>
          <w:color w:val="000000" w:themeColor="text1"/>
          <w:lang w:val="en-US" w:eastAsia="zh-CN"/>
          <w14:textFill>
            <w14:solidFill>
              <w14:schemeClr w14:val="tx1"/>
            </w14:solidFill>
          </w14:textFill>
        </w:rPr>
        <w:t>施工升降机</w:t>
      </w:r>
      <w:r>
        <w:rPr>
          <w:rFonts w:hint="eastAsia"/>
          <w:color w:val="000000" w:themeColor="text1"/>
          <w14:textFill>
            <w14:solidFill>
              <w14:schemeClr w14:val="tx1"/>
            </w14:solidFill>
          </w14:textFill>
        </w:rPr>
        <w:t>安装（拆除）方案</w:t>
      </w:r>
      <w:bookmarkEnd w:id="0"/>
      <w:bookmarkEnd w:id="1"/>
      <w:bookmarkEnd w:id="2"/>
      <w:bookmarkEnd w:id="3"/>
      <w:bookmarkEnd w:id="4"/>
    </w:p>
    <w:p>
      <w:pPr>
        <w:ind w:firstLine="562" w:firstLineChars="201"/>
        <w:jc w:val="left"/>
        <w:rPr>
          <w:bCs/>
          <w:color w:val="000000" w:themeColor="text1"/>
          <w:sz w:val="28"/>
          <w:szCs w:val="28"/>
          <w14:textFill>
            <w14:solidFill>
              <w14:schemeClr w14:val="tx1"/>
            </w14:solidFill>
          </w14:textFill>
        </w:rPr>
      </w:pPr>
    </w:p>
    <w:p>
      <w:pPr>
        <w:ind w:firstLine="562" w:firstLineChars="201"/>
        <w:jc w:val="left"/>
        <w:rPr>
          <w:bCs/>
          <w:color w:val="000000" w:themeColor="text1"/>
          <w:sz w:val="28"/>
          <w:szCs w:val="28"/>
          <w14:textFill>
            <w14:solidFill>
              <w14:schemeClr w14:val="tx1"/>
            </w14:solidFill>
          </w14:textFill>
        </w:rPr>
      </w:pPr>
    </w:p>
    <w:p>
      <w:pPr>
        <w:widowControl w:val="0"/>
        <w:spacing w:line="312" w:lineRule="auto"/>
        <w:ind w:firstLine="420"/>
        <w:jc w:val="both"/>
        <w:rPr>
          <w:rFonts w:hint="eastAsia" w:ascii="宋体" w:hAnsi="宋体" w:eastAsia="宋体" w:cs="宋体"/>
          <w:kern w:val="2"/>
          <w:sz w:val="28"/>
          <w:szCs w:val="24"/>
          <w:lang w:val="en-US" w:eastAsia="zh-CN" w:bidi="ar-SA"/>
        </w:rPr>
      </w:pPr>
    </w:p>
    <w:p>
      <w:pPr>
        <w:adjustRightInd w:val="0"/>
        <w:snapToGrid w:val="0"/>
        <w:spacing w:before="120" w:after="120" w:afterLines="50" w:line="300" w:lineRule="auto"/>
        <w:ind w:firstLine="2400" w:firstLineChars="600"/>
        <w:jc w:val="left"/>
        <w:rPr>
          <w:rFonts w:hint="eastAsia" w:ascii="宋体" w:hAnsi="宋体" w:eastAsia="宋体" w:cs="宋体"/>
          <w:b/>
          <w:color w:val="auto"/>
          <w:sz w:val="32"/>
          <w:szCs w:val="32"/>
          <w:u w:val="single"/>
        </w:rPr>
      </w:pPr>
      <w:r>
        <w:rPr>
          <w:rFonts w:hint="eastAsia" w:ascii="宋体" w:hAnsi="宋体" w:eastAsia="宋体" w:cs="宋体"/>
          <w:bCs/>
          <w:color w:val="auto"/>
          <w:sz w:val="40"/>
          <w:szCs w:val="40"/>
        </w:rPr>
        <w:t>审批：</w:t>
      </w:r>
      <w:r>
        <w:rPr>
          <w:rFonts w:hint="eastAsia" w:ascii="宋体" w:hAnsi="宋体" w:eastAsia="宋体" w:cs="宋体"/>
          <w:b/>
          <w:color w:val="auto"/>
          <w:sz w:val="32"/>
          <w:szCs w:val="32"/>
          <w:u w:val="single"/>
        </w:rPr>
        <w:t xml:space="preserve">                  </w:t>
      </w:r>
    </w:p>
    <w:p>
      <w:pPr>
        <w:adjustRightInd w:val="0"/>
        <w:snapToGrid w:val="0"/>
        <w:spacing w:before="120" w:after="120" w:afterLines="50" w:line="300" w:lineRule="auto"/>
        <w:ind w:left="720" w:leftChars="300" w:firstLine="4658" w:firstLineChars="1450"/>
        <w:jc w:val="left"/>
        <w:rPr>
          <w:rFonts w:hint="eastAsia" w:ascii="宋体" w:hAnsi="宋体" w:eastAsia="宋体" w:cs="宋体"/>
          <w:b/>
          <w:color w:val="auto"/>
          <w:sz w:val="32"/>
          <w:szCs w:val="32"/>
        </w:rPr>
      </w:pPr>
    </w:p>
    <w:p>
      <w:pPr>
        <w:adjustRightInd w:val="0"/>
        <w:snapToGrid w:val="0"/>
        <w:spacing w:before="120" w:after="120" w:afterLines="50" w:line="300" w:lineRule="auto"/>
        <w:ind w:firstLine="2400" w:firstLineChars="600"/>
        <w:jc w:val="left"/>
        <w:rPr>
          <w:rFonts w:hint="eastAsia" w:ascii="宋体" w:hAnsi="宋体" w:eastAsia="宋体" w:cs="宋体"/>
          <w:b/>
          <w:color w:val="auto"/>
          <w:sz w:val="32"/>
          <w:szCs w:val="32"/>
          <w:u w:val="single"/>
        </w:rPr>
      </w:pPr>
      <w:r>
        <w:rPr>
          <w:rFonts w:hint="eastAsia" w:ascii="宋体" w:hAnsi="宋体" w:eastAsia="宋体" w:cs="宋体"/>
          <w:bCs/>
          <w:color w:val="auto"/>
          <w:sz w:val="40"/>
          <w:szCs w:val="40"/>
        </w:rPr>
        <w:t xml:space="preserve">审核： </w:t>
      </w:r>
      <w:r>
        <w:rPr>
          <w:rFonts w:hint="eastAsia" w:ascii="宋体" w:hAnsi="宋体" w:eastAsia="宋体" w:cs="宋体"/>
          <w:b/>
          <w:color w:val="auto"/>
          <w:sz w:val="32"/>
          <w:szCs w:val="32"/>
          <w:u w:val="single"/>
        </w:rPr>
        <w:t xml:space="preserve">                 </w:t>
      </w:r>
    </w:p>
    <w:p>
      <w:pPr>
        <w:adjustRightInd w:val="0"/>
        <w:snapToGrid w:val="0"/>
        <w:spacing w:before="120" w:after="120" w:afterLines="50" w:line="300" w:lineRule="auto"/>
        <w:ind w:left="720" w:leftChars="300" w:firstLine="4658" w:firstLineChars="1450"/>
        <w:jc w:val="left"/>
        <w:rPr>
          <w:rFonts w:hint="eastAsia" w:ascii="宋体" w:hAnsi="宋体" w:eastAsia="宋体" w:cs="宋体"/>
          <w:b/>
          <w:color w:val="auto"/>
          <w:sz w:val="32"/>
          <w:szCs w:val="32"/>
        </w:rPr>
      </w:pPr>
    </w:p>
    <w:p>
      <w:pPr>
        <w:ind w:firstLine="2400" w:firstLineChars="600"/>
        <w:jc w:val="both"/>
        <w:rPr>
          <w:bCs/>
          <w:color w:val="auto"/>
          <w:sz w:val="28"/>
          <w:szCs w:val="28"/>
        </w:rPr>
      </w:pPr>
      <w:r>
        <w:rPr>
          <w:rFonts w:hint="eastAsia" w:ascii="宋体" w:hAnsi="宋体" w:eastAsia="宋体" w:cs="宋体"/>
          <w:bCs/>
          <w:color w:val="auto"/>
          <w:sz w:val="40"/>
          <w:szCs w:val="40"/>
        </w:rPr>
        <w:t xml:space="preserve">编制： </w:t>
      </w:r>
      <w:r>
        <w:rPr>
          <w:rFonts w:hint="eastAsia" w:ascii="宋体" w:hAnsi="宋体" w:eastAsia="宋体" w:cs="宋体"/>
          <w:b/>
          <w:color w:val="auto"/>
          <w:sz w:val="32"/>
          <w:szCs w:val="32"/>
          <w:u w:val="single"/>
        </w:rPr>
        <w:t xml:space="preserve">                 </w:t>
      </w:r>
      <w:r>
        <w:rPr>
          <w:rFonts w:hint="eastAsia" w:ascii="宋体" w:hAnsi="宋体" w:eastAsia="宋体" w:cs="宋体"/>
          <w:color w:val="auto"/>
          <w:sz w:val="32"/>
          <w:szCs w:val="32"/>
        </w:rPr>
        <w:t xml:space="preserve">   </w:t>
      </w:r>
    </w:p>
    <w:p>
      <w:pPr>
        <w:ind w:firstLine="562" w:firstLineChars="201"/>
        <w:jc w:val="left"/>
        <w:rPr>
          <w:bCs/>
          <w:color w:val="auto"/>
          <w:sz w:val="28"/>
          <w:szCs w:val="28"/>
        </w:rPr>
      </w:pPr>
    </w:p>
    <w:p>
      <w:pPr>
        <w:ind w:firstLine="562" w:firstLineChars="201"/>
        <w:jc w:val="left"/>
        <w:rPr>
          <w:bCs/>
          <w:color w:val="auto"/>
          <w:sz w:val="28"/>
          <w:szCs w:val="28"/>
        </w:rPr>
      </w:pPr>
    </w:p>
    <w:p>
      <w:pPr>
        <w:ind w:firstLine="562" w:firstLineChars="201"/>
        <w:jc w:val="left"/>
        <w:rPr>
          <w:bCs/>
          <w:color w:val="auto"/>
          <w:sz w:val="28"/>
          <w:szCs w:val="28"/>
        </w:rPr>
      </w:pPr>
    </w:p>
    <w:p>
      <w:pPr>
        <w:ind w:firstLine="562" w:firstLineChars="201"/>
        <w:jc w:val="left"/>
        <w:rPr>
          <w:bCs/>
          <w:color w:val="auto"/>
          <w:sz w:val="28"/>
          <w:szCs w:val="28"/>
        </w:rPr>
      </w:pPr>
    </w:p>
    <w:p>
      <w:pPr>
        <w:spacing w:before="120" w:after="120" w:afterLines="50" w:line="240" w:lineRule="auto"/>
        <w:ind w:firstLine="0" w:firstLineChars="0"/>
        <w:jc w:val="center"/>
        <w:rPr>
          <w:rFonts w:hint="eastAsia" w:ascii="宋体" w:hAnsi="宋体" w:eastAsia="宋体" w:cs="宋体"/>
          <w:bCs/>
          <w:color w:val="auto"/>
          <w:sz w:val="40"/>
          <w:szCs w:val="40"/>
        </w:rPr>
      </w:pPr>
      <w:r>
        <w:rPr>
          <w:rFonts w:hint="eastAsia" w:ascii="宋体" w:hAnsi="宋体" w:eastAsia="宋体" w:cs="宋体"/>
          <w:bCs/>
          <w:color w:val="auto"/>
          <w:sz w:val="40"/>
          <w:szCs w:val="40"/>
        </w:rPr>
        <w:t>重庆钱桥建筑设备租赁有限公司</w:t>
      </w:r>
    </w:p>
    <w:p>
      <w:pPr>
        <w:spacing w:before="120" w:after="120" w:line="240" w:lineRule="auto"/>
        <w:ind w:firstLine="0" w:firstLineChars="0"/>
        <w:jc w:val="center"/>
        <w:rPr>
          <w:rFonts w:hint="eastAsia" w:ascii="宋体" w:hAnsi="宋体" w:eastAsia="宋体" w:cs="宋体"/>
          <w:bCs/>
          <w:color w:val="auto"/>
          <w:sz w:val="40"/>
          <w:szCs w:val="40"/>
        </w:rPr>
        <w:sectPr>
          <w:headerReference r:id="rId9" w:type="first"/>
          <w:footerReference r:id="rId12" w:type="first"/>
          <w:headerReference r:id="rId7" w:type="default"/>
          <w:footerReference r:id="rId10" w:type="default"/>
          <w:headerReference r:id="rId8" w:type="even"/>
          <w:footerReference r:id="rId11" w:type="even"/>
          <w:pgSz w:w="11906" w:h="16838"/>
          <w:pgMar w:top="1418" w:right="1134" w:bottom="1134" w:left="1134" w:header="851" w:footer="992" w:gutter="284"/>
          <w:pgBorders>
            <w:top w:val="none" w:sz="0" w:space="0"/>
            <w:left w:val="none" w:sz="0" w:space="0"/>
            <w:bottom w:val="none" w:sz="0" w:space="0"/>
            <w:right w:val="none" w:sz="0" w:space="0"/>
          </w:pgBorders>
          <w:pgNumType w:fmt="decimal" w:chapStyle="1"/>
          <w:cols w:space="425" w:num="1"/>
          <w:docGrid w:linePitch="326" w:charSpace="0"/>
        </w:sectPr>
      </w:pPr>
      <w:r>
        <w:rPr>
          <w:rFonts w:hint="eastAsia" w:ascii="宋体" w:hAnsi="宋体" w:eastAsia="宋体" w:cs="宋体"/>
          <w:bCs/>
          <w:color w:val="auto"/>
          <w:sz w:val="40"/>
          <w:szCs w:val="40"/>
        </w:rPr>
        <w:t>202</w:t>
      </w:r>
      <w:r>
        <w:rPr>
          <w:rFonts w:hint="eastAsia" w:ascii="宋体" w:hAnsi="宋体" w:eastAsia="宋体" w:cs="宋体"/>
          <w:bCs/>
          <w:color w:val="auto"/>
          <w:sz w:val="40"/>
          <w:szCs w:val="40"/>
          <w:lang w:val="en-US" w:eastAsia="zh-CN"/>
        </w:rPr>
        <w:t>3</w:t>
      </w:r>
      <w:r>
        <w:rPr>
          <w:rFonts w:hint="eastAsia" w:ascii="宋体" w:hAnsi="宋体" w:eastAsia="宋体" w:cs="宋体"/>
          <w:bCs/>
          <w:color w:val="auto"/>
          <w:sz w:val="40"/>
          <w:szCs w:val="40"/>
        </w:rPr>
        <w:t>年</w:t>
      </w:r>
      <w:r>
        <w:rPr>
          <w:rFonts w:hint="eastAsia" w:ascii="宋体" w:hAnsi="宋体" w:eastAsia="宋体" w:cs="宋体"/>
          <w:bCs/>
          <w:color w:val="auto"/>
          <w:sz w:val="40"/>
          <w:szCs w:val="40"/>
          <w:lang w:val="en-US" w:eastAsia="zh-CN"/>
        </w:rPr>
        <w:t>2</w:t>
      </w:r>
      <w:r>
        <w:rPr>
          <w:rFonts w:hint="eastAsia" w:ascii="宋体" w:hAnsi="宋体" w:eastAsia="宋体" w:cs="宋体"/>
          <w:bCs/>
          <w:color w:val="auto"/>
          <w:sz w:val="40"/>
          <w:szCs w:val="40"/>
        </w:rPr>
        <w:t>月</w:t>
      </w:r>
      <w:r>
        <w:rPr>
          <w:rFonts w:hint="eastAsia" w:ascii="宋体" w:hAnsi="宋体" w:eastAsia="宋体" w:cs="宋体"/>
          <w:bCs/>
          <w:color w:val="auto"/>
          <w:sz w:val="40"/>
          <w:szCs w:val="40"/>
          <w:lang w:val="en-US" w:eastAsia="zh-CN"/>
        </w:rPr>
        <w:t>14</w:t>
      </w:r>
      <w:r>
        <w:rPr>
          <w:rFonts w:hint="eastAsia" w:ascii="宋体" w:hAnsi="宋体" w:eastAsia="宋体" w:cs="宋体"/>
          <w:bCs/>
          <w:color w:val="auto"/>
          <w:sz w:val="40"/>
          <w:szCs w:val="40"/>
        </w:rPr>
        <w:t>日</w:t>
      </w:r>
    </w:p>
    <w:p>
      <w:pPr>
        <w:ind w:firstLine="0" w:firstLineChars="0"/>
        <w:jc w:val="left"/>
        <w:rPr>
          <w:bCs/>
          <w:color w:val="auto"/>
          <w:sz w:val="28"/>
          <w:szCs w:val="28"/>
        </w:rPr>
      </w:pPr>
    </w:p>
    <w:p>
      <w:pPr>
        <w:ind w:firstLine="0" w:firstLineChars="0"/>
        <w:jc w:val="left"/>
        <w:rPr>
          <w:bCs/>
          <w:color w:val="auto"/>
          <w:sz w:val="28"/>
          <w:szCs w:val="28"/>
        </w:rPr>
      </w:pPr>
    </w:p>
    <w:p>
      <w:pPr>
        <w:ind w:firstLine="0" w:firstLineChars="0"/>
        <w:jc w:val="left"/>
        <w:rPr>
          <w:bCs/>
          <w:color w:val="auto"/>
          <w:sz w:val="28"/>
          <w:szCs w:val="28"/>
        </w:rPr>
      </w:pPr>
    </w:p>
    <w:p>
      <w:pPr>
        <w:ind w:firstLine="0" w:firstLineChars="0"/>
        <w:jc w:val="left"/>
        <w:rPr>
          <w:bCs/>
          <w:color w:val="auto"/>
          <w:sz w:val="28"/>
          <w:szCs w:val="28"/>
        </w:rPr>
      </w:pPr>
    </w:p>
    <w:p>
      <w:pPr>
        <w:ind w:firstLine="0" w:firstLineChars="0"/>
        <w:jc w:val="left"/>
        <w:rPr>
          <w:bCs/>
          <w:color w:val="auto"/>
          <w:sz w:val="28"/>
          <w:szCs w:val="28"/>
        </w:rPr>
      </w:pPr>
    </w:p>
    <w:p>
      <w:pPr>
        <w:ind w:firstLine="0" w:firstLineChars="0"/>
        <w:jc w:val="left"/>
        <w:rPr>
          <w:bCs/>
          <w:color w:val="auto"/>
          <w:sz w:val="28"/>
          <w:szCs w:val="28"/>
        </w:rPr>
      </w:pPr>
    </w:p>
    <w:p>
      <w:pPr>
        <w:ind w:firstLine="0" w:firstLineChars="0"/>
        <w:jc w:val="left"/>
        <w:rPr>
          <w:bCs/>
          <w:color w:val="auto"/>
          <w:sz w:val="28"/>
          <w:szCs w:val="28"/>
        </w:rPr>
      </w:pPr>
    </w:p>
    <w:p>
      <w:pPr>
        <w:ind w:firstLine="0" w:firstLineChars="0"/>
        <w:jc w:val="left"/>
        <w:rPr>
          <w:bCs/>
          <w:color w:val="auto"/>
          <w:sz w:val="28"/>
          <w:szCs w:val="28"/>
        </w:rPr>
      </w:pPr>
    </w:p>
    <w:p>
      <w:pPr>
        <w:pStyle w:val="54"/>
        <w:rPr>
          <w:rFonts w:hint="eastAsia" w:eastAsia="宋体"/>
          <w:color w:val="auto"/>
          <w:lang w:eastAsia="zh-CN"/>
        </w:rPr>
      </w:pPr>
      <w:r>
        <w:rPr>
          <w:rFonts w:hint="eastAsia"/>
          <w:color w:val="auto"/>
          <w:lang w:eastAsia="zh-CN"/>
        </w:rPr>
        <w:t>梧州-玉林-钦州公路（苍梧至容县段）工程浔江特大桥</w:t>
      </w:r>
    </w:p>
    <w:p>
      <w:pPr>
        <w:pStyle w:val="54"/>
        <w:rPr>
          <w:color w:val="auto"/>
        </w:rPr>
      </w:pPr>
      <w:bookmarkStart w:id="5" w:name="_Toc12998"/>
      <w:r>
        <w:rPr>
          <w:rFonts w:hint="eastAsia" w:ascii="Times New Roman" w:hAnsi="Times New Roman" w:eastAsia="宋体" w:cs="Times New Roman"/>
          <w:color w:val="auto"/>
          <w:lang w:val="en-US" w:eastAsia="zh-CN"/>
        </w:rPr>
        <w:t>施工升降机</w:t>
      </w:r>
      <w:r>
        <w:rPr>
          <w:rFonts w:hint="eastAsia" w:ascii="Times New Roman" w:hAnsi="Times New Roman" w:eastAsia="宋体" w:cs="Times New Roman"/>
          <w:color w:val="auto"/>
        </w:rPr>
        <w:t>安</w:t>
      </w:r>
      <w:r>
        <w:rPr>
          <w:rFonts w:hint="eastAsia"/>
          <w:color w:val="auto"/>
        </w:rPr>
        <w:t>装（拆除）方案</w:t>
      </w:r>
      <w:bookmarkEnd w:id="5"/>
    </w:p>
    <w:p>
      <w:pPr>
        <w:ind w:firstLine="562" w:firstLineChars="201"/>
        <w:jc w:val="left"/>
        <w:rPr>
          <w:bCs/>
          <w:color w:val="auto"/>
          <w:sz w:val="28"/>
          <w:szCs w:val="28"/>
        </w:rPr>
      </w:pPr>
    </w:p>
    <w:p>
      <w:pPr>
        <w:ind w:firstLine="562" w:firstLineChars="201"/>
        <w:jc w:val="left"/>
        <w:rPr>
          <w:bCs/>
          <w:color w:val="auto"/>
          <w:sz w:val="28"/>
          <w:szCs w:val="28"/>
        </w:rPr>
      </w:pPr>
    </w:p>
    <w:p>
      <w:pPr>
        <w:ind w:firstLine="562" w:firstLineChars="201"/>
        <w:jc w:val="left"/>
        <w:rPr>
          <w:bCs/>
          <w:color w:val="auto"/>
          <w:sz w:val="28"/>
          <w:szCs w:val="28"/>
        </w:rPr>
      </w:pPr>
    </w:p>
    <w:p>
      <w:pPr>
        <w:ind w:firstLine="0" w:firstLineChars="0"/>
        <w:jc w:val="left"/>
        <w:rPr>
          <w:bCs/>
          <w:color w:val="auto"/>
          <w:sz w:val="28"/>
          <w:szCs w:val="28"/>
        </w:rPr>
      </w:pPr>
    </w:p>
    <w:p>
      <w:pPr>
        <w:ind w:firstLine="562" w:firstLineChars="201"/>
        <w:jc w:val="left"/>
        <w:rPr>
          <w:bCs/>
          <w:color w:val="auto"/>
          <w:sz w:val="28"/>
          <w:szCs w:val="28"/>
        </w:rPr>
      </w:pPr>
    </w:p>
    <w:p>
      <w:pPr>
        <w:ind w:firstLine="562" w:firstLineChars="201"/>
        <w:jc w:val="left"/>
        <w:rPr>
          <w:bCs/>
          <w:color w:val="auto"/>
          <w:sz w:val="28"/>
          <w:szCs w:val="28"/>
        </w:rPr>
      </w:pPr>
    </w:p>
    <w:p>
      <w:pPr>
        <w:ind w:firstLine="562" w:firstLineChars="201"/>
        <w:jc w:val="left"/>
        <w:rPr>
          <w:bCs/>
          <w:color w:val="auto"/>
          <w:sz w:val="28"/>
          <w:szCs w:val="28"/>
        </w:rPr>
      </w:pPr>
    </w:p>
    <w:p>
      <w:pPr>
        <w:ind w:firstLine="1960" w:firstLineChars="700"/>
        <w:jc w:val="left"/>
        <w:rPr>
          <w:bCs/>
          <w:color w:val="auto"/>
          <w:sz w:val="28"/>
          <w:szCs w:val="28"/>
        </w:rPr>
      </w:pPr>
      <w:r>
        <w:rPr>
          <w:rFonts w:hint="eastAsia"/>
          <w:bCs/>
          <w:color w:val="auto"/>
          <w:sz w:val="28"/>
          <w:szCs w:val="28"/>
        </w:rPr>
        <w:t>编</w:t>
      </w:r>
      <w:r>
        <w:rPr>
          <w:bCs/>
          <w:color w:val="auto"/>
          <w:sz w:val="28"/>
          <w:szCs w:val="28"/>
        </w:rPr>
        <w:t xml:space="preserve"> </w:t>
      </w:r>
      <w:r>
        <w:rPr>
          <w:rFonts w:hint="eastAsia"/>
          <w:bCs/>
          <w:color w:val="auto"/>
          <w:sz w:val="28"/>
          <w:szCs w:val="28"/>
        </w:rPr>
        <w:t>制：</w:t>
      </w:r>
      <w:r>
        <w:rPr>
          <w:bCs/>
          <w:color w:val="auto"/>
          <w:sz w:val="28"/>
          <w:szCs w:val="28"/>
        </w:rPr>
        <w:t xml:space="preserve">  </w:t>
      </w:r>
      <w:r>
        <w:rPr>
          <w:bCs/>
          <w:color w:val="auto"/>
          <w:sz w:val="28"/>
          <w:szCs w:val="28"/>
          <w:u w:val="single"/>
        </w:rPr>
        <w:t xml:space="preserve">                            </w:t>
      </w:r>
    </w:p>
    <w:p>
      <w:pPr>
        <w:ind w:firstLine="562" w:firstLineChars="201"/>
        <w:jc w:val="left"/>
        <w:rPr>
          <w:bCs/>
          <w:color w:val="auto"/>
          <w:sz w:val="28"/>
          <w:szCs w:val="28"/>
        </w:rPr>
      </w:pPr>
      <w:r>
        <w:rPr>
          <w:bCs/>
          <w:color w:val="auto"/>
          <w:sz w:val="28"/>
          <w:szCs w:val="28"/>
        </w:rPr>
        <w:t xml:space="preserve">          </w:t>
      </w:r>
      <w:r>
        <w:rPr>
          <w:rFonts w:hint="eastAsia"/>
          <w:bCs/>
          <w:color w:val="auto"/>
          <w:sz w:val="28"/>
          <w:szCs w:val="28"/>
        </w:rPr>
        <w:t>校</w:t>
      </w:r>
      <w:r>
        <w:rPr>
          <w:bCs/>
          <w:color w:val="auto"/>
          <w:sz w:val="28"/>
          <w:szCs w:val="28"/>
        </w:rPr>
        <w:t xml:space="preserve"> </w:t>
      </w:r>
      <w:r>
        <w:rPr>
          <w:rFonts w:hint="eastAsia"/>
          <w:bCs/>
          <w:color w:val="auto"/>
          <w:sz w:val="28"/>
          <w:szCs w:val="28"/>
        </w:rPr>
        <w:t>核：</w:t>
      </w:r>
      <w:r>
        <w:rPr>
          <w:bCs/>
          <w:color w:val="auto"/>
          <w:sz w:val="28"/>
          <w:szCs w:val="28"/>
        </w:rPr>
        <w:t xml:space="preserve">  </w:t>
      </w:r>
      <w:r>
        <w:rPr>
          <w:bCs/>
          <w:color w:val="auto"/>
          <w:sz w:val="28"/>
          <w:szCs w:val="28"/>
          <w:u w:val="single"/>
        </w:rPr>
        <w:t xml:space="preserve">  </w:t>
      </w:r>
      <w:r>
        <w:rPr>
          <w:rFonts w:hint="eastAsia"/>
          <w:bCs/>
          <w:color w:val="auto"/>
          <w:sz w:val="28"/>
          <w:szCs w:val="28"/>
          <w:u w:val="single"/>
        </w:rPr>
        <w:t>（安拆单位技术部门负责人）</w:t>
      </w:r>
    </w:p>
    <w:p>
      <w:pPr>
        <w:ind w:firstLine="562" w:firstLineChars="201"/>
        <w:jc w:val="left"/>
        <w:rPr>
          <w:bCs/>
          <w:color w:val="auto"/>
          <w:sz w:val="28"/>
          <w:szCs w:val="28"/>
        </w:rPr>
      </w:pPr>
      <w:r>
        <w:rPr>
          <w:bCs/>
          <w:color w:val="auto"/>
          <w:sz w:val="28"/>
          <w:szCs w:val="28"/>
        </w:rPr>
        <w:t xml:space="preserve">          </w:t>
      </w:r>
      <w:r>
        <w:rPr>
          <w:rFonts w:hint="eastAsia"/>
          <w:bCs/>
          <w:color w:val="auto"/>
          <w:sz w:val="28"/>
          <w:szCs w:val="28"/>
        </w:rPr>
        <w:t>审</w:t>
      </w:r>
      <w:r>
        <w:rPr>
          <w:bCs/>
          <w:color w:val="auto"/>
          <w:sz w:val="28"/>
          <w:szCs w:val="28"/>
        </w:rPr>
        <w:t xml:space="preserve"> </w:t>
      </w:r>
      <w:r>
        <w:rPr>
          <w:rFonts w:hint="eastAsia"/>
          <w:bCs/>
          <w:color w:val="auto"/>
          <w:sz w:val="28"/>
          <w:szCs w:val="28"/>
        </w:rPr>
        <w:t>批：</w:t>
      </w:r>
      <w:r>
        <w:rPr>
          <w:bCs/>
          <w:color w:val="auto"/>
          <w:sz w:val="28"/>
          <w:szCs w:val="28"/>
        </w:rPr>
        <w:t xml:space="preserve">  </w:t>
      </w:r>
      <w:r>
        <w:rPr>
          <w:bCs/>
          <w:color w:val="auto"/>
          <w:sz w:val="28"/>
          <w:szCs w:val="28"/>
          <w:u w:val="single"/>
        </w:rPr>
        <w:t xml:space="preserve">    </w:t>
      </w:r>
      <w:r>
        <w:rPr>
          <w:rFonts w:hint="eastAsia"/>
          <w:bCs/>
          <w:color w:val="auto"/>
          <w:sz w:val="28"/>
          <w:szCs w:val="28"/>
          <w:u w:val="single"/>
        </w:rPr>
        <w:t>（安拆单位技术负责人）</w:t>
      </w:r>
      <w:r>
        <w:rPr>
          <w:bCs/>
          <w:color w:val="auto"/>
          <w:sz w:val="28"/>
          <w:szCs w:val="28"/>
          <w:u w:val="single"/>
        </w:rPr>
        <w:t xml:space="preserve">  </w:t>
      </w:r>
    </w:p>
    <w:p>
      <w:pPr>
        <w:ind w:firstLine="482" w:firstLineChars="201"/>
        <w:jc w:val="left"/>
        <w:rPr>
          <w:color w:val="auto"/>
        </w:rPr>
      </w:pPr>
    </w:p>
    <w:p>
      <w:pPr>
        <w:ind w:firstLine="482" w:firstLineChars="201"/>
        <w:jc w:val="left"/>
        <w:rPr>
          <w:color w:val="auto"/>
        </w:rPr>
      </w:pPr>
    </w:p>
    <w:p>
      <w:pPr>
        <w:ind w:firstLine="565" w:firstLineChars="201"/>
        <w:jc w:val="left"/>
        <w:rPr>
          <w:b/>
          <w:bCs/>
          <w:color w:val="auto"/>
          <w:sz w:val="28"/>
          <w:szCs w:val="28"/>
        </w:rPr>
      </w:pPr>
    </w:p>
    <w:p>
      <w:pPr>
        <w:spacing w:before="120" w:after="120" w:afterLines="50" w:line="240" w:lineRule="auto"/>
        <w:ind w:firstLine="0" w:firstLineChars="0"/>
        <w:jc w:val="center"/>
        <w:rPr>
          <w:rFonts w:hint="eastAsia" w:ascii="宋体" w:hAnsi="宋体" w:eastAsia="宋体" w:cs="宋体"/>
          <w:bCs/>
          <w:color w:val="auto"/>
          <w:sz w:val="40"/>
          <w:szCs w:val="40"/>
        </w:rPr>
      </w:pPr>
      <w:r>
        <w:rPr>
          <w:rFonts w:hint="eastAsia" w:ascii="宋体" w:hAnsi="宋体" w:eastAsia="宋体" w:cs="宋体"/>
          <w:bCs/>
          <w:color w:val="auto"/>
          <w:sz w:val="40"/>
          <w:szCs w:val="40"/>
        </w:rPr>
        <w:t>重庆钱桥建筑设备租赁有限公司</w:t>
      </w:r>
    </w:p>
    <w:p>
      <w:pPr>
        <w:spacing w:before="120" w:after="120" w:line="240" w:lineRule="auto"/>
        <w:ind w:firstLine="0" w:firstLineChars="0"/>
        <w:jc w:val="center"/>
        <w:rPr>
          <w:rFonts w:hint="eastAsia" w:ascii="宋体" w:hAnsi="宋体" w:eastAsia="宋体" w:cs="宋体"/>
          <w:bCs/>
          <w:color w:val="auto"/>
          <w:sz w:val="40"/>
          <w:szCs w:val="40"/>
        </w:rPr>
        <w:sectPr>
          <w:headerReference r:id="rId15" w:type="first"/>
          <w:footerReference r:id="rId18" w:type="first"/>
          <w:headerReference r:id="rId13" w:type="default"/>
          <w:footerReference r:id="rId16" w:type="default"/>
          <w:headerReference r:id="rId14" w:type="even"/>
          <w:footerReference r:id="rId17" w:type="even"/>
          <w:pgSz w:w="11906" w:h="16838"/>
          <w:pgMar w:top="1418" w:right="1134" w:bottom="1134" w:left="1134" w:header="851" w:footer="992" w:gutter="284"/>
          <w:pgBorders>
            <w:top w:val="none" w:sz="0" w:space="0"/>
            <w:left w:val="none" w:sz="0" w:space="0"/>
            <w:bottom w:val="none" w:sz="0" w:space="0"/>
            <w:right w:val="none" w:sz="0" w:space="0"/>
          </w:pgBorders>
          <w:pgNumType w:fmt="decimal" w:chapStyle="1"/>
          <w:cols w:space="425" w:num="1"/>
          <w:docGrid w:linePitch="326" w:charSpace="0"/>
        </w:sectPr>
      </w:pPr>
      <w:r>
        <w:rPr>
          <w:rFonts w:hint="eastAsia" w:ascii="宋体" w:hAnsi="宋体" w:eastAsia="宋体" w:cs="宋体"/>
          <w:bCs/>
          <w:color w:val="auto"/>
          <w:sz w:val="40"/>
          <w:szCs w:val="40"/>
        </w:rPr>
        <w:t>202</w:t>
      </w:r>
      <w:r>
        <w:rPr>
          <w:rFonts w:hint="eastAsia" w:ascii="宋体" w:hAnsi="宋体" w:eastAsia="宋体" w:cs="宋体"/>
          <w:bCs/>
          <w:color w:val="auto"/>
          <w:sz w:val="40"/>
          <w:szCs w:val="40"/>
          <w:lang w:val="en-US" w:eastAsia="zh-CN"/>
        </w:rPr>
        <w:t>3</w:t>
      </w:r>
      <w:r>
        <w:rPr>
          <w:rFonts w:hint="eastAsia" w:ascii="宋体" w:hAnsi="宋体" w:eastAsia="宋体" w:cs="宋体"/>
          <w:bCs/>
          <w:color w:val="auto"/>
          <w:sz w:val="40"/>
          <w:szCs w:val="40"/>
        </w:rPr>
        <w:t>年</w:t>
      </w:r>
      <w:r>
        <w:rPr>
          <w:rFonts w:hint="eastAsia" w:ascii="宋体" w:hAnsi="宋体" w:eastAsia="宋体" w:cs="宋体"/>
          <w:bCs/>
          <w:color w:val="auto"/>
          <w:sz w:val="40"/>
          <w:szCs w:val="40"/>
          <w:lang w:val="en-US" w:eastAsia="zh-CN"/>
        </w:rPr>
        <w:t>2</w:t>
      </w:r>
      <w:r>
        <w:rPr>
          <w:rFonts w:hint="eastAsia" w:ascii="宋体" w:hAnsi="宋体" w:eastAsia="宋体" w:cs="宋体"/>
          <w:bCs/>
          <w:color w:val="auto"/>
          <w:sz w:val="40"/>
          <w:szCs w:val="40"/>
        </w:rPr>
        <w:t>月</w:t>
      </w:r>
      <w:r>
        <w:rPr>
          <w:rFonts w:hint="eastAsia" w:ascii="宋体" w:hAnsi="宋体" w:eastAsia="宋体" w:cs="宋体"/>
          <w:bCs/>
          <w:color w:val="auto"/>
          <w:sz w:val="40"/>
          <w:szCs w:val="40"/>
          <w:lang w:val="en-US" w:eastAsia="zh-CN"/>
        </w:rPr>
        <w:t>14</w:t>
      </w:r>
      <w:r>
        <w:rPr>
          <w:rFonts w:hint="eastAsia" w:ascii="宋体" w:hAnsi="宋体" w:eastAsia="宋体" w:cs="宋体"/>
          <w:bCs/>
          <w:color w:val="auto"/>
          <w:sz w:val="40"/>
          <w:szCs w:val="40"/>
        </w:rPr>
        <w:t>日</w:t>
      </w:r>
    </w:p>
    <w:p>
      <w:pPr>
        <w:ind w:firstLine="482" w:firstLineChars="201"/>
        <w:jc w:val="left"/>
        <w:rPr>
          <w:color w:val="auto"/>
        </w:rPr>
      </w:pPr>
    </w:p>
    <w:p>
      <w:pPr>
        <w:pStyle w:val="30"/>
        <w:ind w:firstLine="643"/>
        <w:rPr>
          <w:color w:val="auto"/>
        </w:rPr>
      </w:pPr>
      <w:r>
        <w:rPr>
          <w:rFonts w:hint="eastAsia"/>
          <w:color w:val="auto"/>
          <w:sz w:val="32"/>
          <w:szCs w:val="32"/>
        </w:rPr>
        <w:t>目</w:t>
      </w:r>
      <w:r>
        <w:rPr>
          <w:color w:val="auto"/>
          <w:sz w:val="32"/>
          <w:szCs w:val="32"/>
        </w:rPr>
        <w:t xml:space="preserve">    </w:t>
      </w:r>
      <w:r>
        <w:rPr>
          <w:rFonts w:hint="eastAsia"/>
          <w:color w:val="auto"/>
          <w:sz w:val="32"/>
          <w:szCs w:val="32"/>
        </w:rPr>
        <w:t>录</w:t>
      </w:r>
      <w:r>
        <w:rPr>
          <w:color w:val="auto"/>
          <w:sz w:val="32"/>
          <w:szCs w:val="32"/>
        </w:rPr>
        <w:fldChar w:fldCharType="begin"/>
      </w:r>
      <w:r>
        <w:rPr>
          <w:color w:val="auto"/>
          <w:sz w:val="32"/>
          <w:szCs w:val="32"/>
        </w:rPr>
        <w:instrText xml:space="preserve"> TOC \o "1-3" \h \z \u </w:instrText>
      </w:r>
      <w:r>
        <w:rPr>
          <w:color w:val="auto"/>
          <w:sz w:val="32"/>
          <w:szCs w:val="32"/>
        </w:rPr>
        <w:fldChar w:fldCharType="separate"/>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"_Toc121759955" </w:instrText>
      </w:r>
      <w:r>
        <w:rPr>
          <w:color w:val="auto"/>
        </w:rPr>
        <w:fldChar w:fldCharType="separate"/>
      </w:r>
      <w:r>
        <w:rPr>
          <w:rStyle w:val="48"/>
          <w:rFonts w:ascii="宋体" w:hAnsi="宋体" w:cs="宋体"/>
          <w:color w:val="auto"/>
        </w:rPr>
        <w:t>1</w:t>
      </w:r>
      <w:r>
        <w:rPr>
          <w:rStyle w:val="48"/>
          <w:color w:val="auto"/>
        </w:rPr>
        <w:t xml:space="preserve"> 编制说明、依据及适用范围</w:t>
      </w:r>
      <w:r>
        <w:rPr>
          <w:color w:val="auto"/>
        </w:rPr>
        <w:tab/>
      </w:r>
      <w:r>
        <w:rPr>
          <w:color w:val="auto"/>
        </w:rPr>
        <w:fldChar w:fldCharType="begin"/>
      </w:r>
      <w:r>
        <w:rPr>
          <w:color w:val="auto"/>
        </w:rPr>
        <w:instrText xml:space="preserve"> PAGEREF _Toc121759955 \h </w:instrText>
      </w:r>
      <w:r>
        <w:rPr>
          <w:color w:val="auto"/>
        </w:rPr>
        <w:fldChar w:fldCharType="separate"/>
      </w:r>
      <w:r>
        <w:rPr>
          <w:color w:val="auto"/>
        </w:rPr>
        <w:t>1</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"_Toc121759956" </w:instrText>
      </w:r>
      <w:r>
        <w:rPr>
          <w:color w:val="auto"/>
        </w:rPr>
        <w:fldChar w:fldCharType="separate"/>
      </w:r>
      <w:r>
        <w:rPr>
          <w:rStyle w:val="48"/>
          <w:rFonts w:ascii="宋体" w:hAnsi="宋体" w:cs="宋体"/>
          <w:color w:val="auto"/>
        </w:rPr>
        <w:t>1.1</w:t>
      </w:r>
      <w:r>
        <w:rPr>
          <w:rStyle w:val="48"/>
          <w:color w:val="auto"/>
        </w:rPr>
        <w:t xml:space="preserve"> 编制说明</w:t>
      </w:r>
      <w:r>
        <w:rPr>
          <w:color w:val="auto"/>
        </w:rPr>
        <w:tab/>
      </w:r>
      <w:r>
        <w:rPr>
          <w:color w:val="auto"/>
        </w:rPr>
        <w:fldChar w:fldCharType="begin"/>
      </w:r>
      <w:r>
        <w:rPr>
          <w:color w:val="auto"/>
        </w:rPr>
        <w:instrText xml:space="preserve"> PAGEREF _Toc121759956 \h </w:instrText>
      </w:r>
      <w:r>
        <w:rPr>
          <w:color w:val="auto"/>
        </w:rPr>
        <w:fldChar w:fldCharType="separate"/>
      </w:r>
      <w:r>
        <w:rPr>
          <w:color w:val="auto"/>
        </w:rPr>
        <w:t>1</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"_Toc121759957" </w:instrText>
      </w:r>
      <w:r>
        <w:rPr>
          <w:color w:val="auto"/>
        </w:rPr>
        <w:fldChar w:fldCharType="separate"/>
      </w:r>
      <w:r>
        <w:rPr>
          <w:rStyle w:val="48"/>
          <w:rFonts w:ascii="宋体" w:hAnsi="宋体" w:cs="宋体"/>
          <w:color w:val="auto"/>
        </w:rPr>
        <w:t>1.2</w:t>
      </w:r>
      <w:r>
        <w:rPr>
          <w:rStyle w:val="48"/>
          <w:color w:val="auto"/>
        </w:rPr>
        <w:t xml:space="preserve"> 编制依据</w:t>
      </w:r>
      <w:r>
        <w:rPr>
          <w:color w:val="auto"/>
        </w:rPr>
        <w:tab/>
      </w:r>
      <w:r>
        <w:rPr>
          <w:color w:val="auto"/>
        </w:rPr>
        <w:fldChar w:fldCharType="begin"/>
      </w:r>
      <w:r>
        <w:rPr>
          <w:color w:val="auto"/>
        </w:rPr>
        <w:instrText xml:space="preserve"> PAGEREF _Toc121759957 \h </w:instrText>
      </w:r>
      <w:r>
        <w:rPr>
          <w:color w:val="auto"/>
        </w:rPr>
        <w:fldChar w:fldCharType="separate"/>
      </w:r>
      <w:r>
        <w:rPr>
          <w:color w:val="auto"/>
        </w:rPr>
        <w:t>1</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"_Toc121759958" </w:instrText>
      </w:r>
      <w:r>
        <w:rPr>
          <w:color w:val="auto"/>
        </w:rPr>
        <w:fldChar w:fldCharType="separate"/>
      </w:r>
      <w:r>
        <w:rPr>
          <w:rStyle w:val="48"/>
          <w:rFonts w:cs="宋体"/>
          <w:color w:val="auto"/>
        </w:rPr>
        <w:t>1.2.1</w:t>
      </w:r>
      <w:r>
        <w:rPr>
          <w:rStyle w:val="48"/>
          <w:color w:val="auto"/>
        </w:rPr>
        <w:t xml:space="preserve"> 主要法律法规和规章</w:t>
      </w:r>
      <w:r>
        <w:rPr>
          <w:color w:val="auto"/>
        </w:rPr>
        <w:tab/>
      </w:r>
      <w:r>
        <w:rPr>
          <w:color w:val="auto"/>
        </w:rPr>
        <w:fldChar w:fldCharType="begin"/>
      </w:r>
      <w:r>
        <w:rPr>
          <w:color w:val="auto"/>
        </w:rPr>
        <w:instrText xml:space="preserve"> PAGEREF _Toc121759958 \h </w:instrText>
      </w:r>
      <w:r>
        <w:rPr>
          <w:color w:val="auto"/>
        </w:rPr>
        <w:fldChar w:fldCharType="separate"/>
      </w:r>
      <w:r>
        <w:rPr>
          <w:color w:val="auto"/>
        </w:rPr>
        <w:t>1</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"_Toc121759959" </w:instrText>
      </w:r>
      <w:r>
        <w:rPr>
          <w:color w:val="auto"/>
        </w:rPr>
        <w:fldChar w:fldCharType="separate"/>
      </w:r>
      <w:r>
        <w:rPr>
          <w:rStyle w:val="48"/>
          <w:rFonts w:cs="宋体"/>
          <w:color w:val="auto"/>
        </w:rPr>
        <w:t>1.2.2</w:t>
      </w:r>
      <w:r>
        <w:rPr>
          <w:rStyle w:val="48"/>
          <w:color w:val="auto"/>
        </w:rPr>
        <w:t xml:space="preserve"> 主要技术标准和规范</w:t>
      </w:r>
      <w:r>
        <w:rPr>
          <w:color w:val="auto"/>
        </w:rPr>
        <w:tab/>
      </w:r>
      <w:r>
        <w:rPr>
          <w:color w:val="auto"/>
        </w:rPr>
        <w:fldChar w:fldCharType="begin"/>
      </w:r>
      <w:r>
        <w:rPr>
          <w:color w:val="auto"/>
        </w:rPr>
        <w:instrText xml:space="preserve"> PAGEREF _Toc121759959 \h </w:instrText>
      </w:r>
      <w:r>
        <w:rPr>
          <w:color w:val="auto"/>
        </w:rPr>
        <w:fldChar w:fldCharType="separate"/>
      </w:r>
      <w:r>
        <w:rPr>
          <w:color w:val="auto"/>
        </w:rPr>
        <w:t>1</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"_Toc121759960" </w:instrText>
      </w:r>
      <w:r>
        <w:rPr>
          <w:color w:val="auto"/>
        </w:rPr>
        <w:fldChar w:fldCharType="separate"/>
      </w:r>
      <w:r>
        <w:rPr>
          <w:rStyle w:val="48"/>
          <w:rFonts w:ascii="宋体" w:hAnsi="宋体" w:cs="宋体"/>
          <w:color w:val="auto"/>
        </w:rPr>
        <w:t>1.3</w:t>
      </w:r>
      <w:r>
        <w:rPr>
          <w:rStyle w:val="48"/>
          <w:color w:val="auto"/>
        </w:rPr>
        <w:t xml:space="preserve"> 适用范围</w:t>
      </w:r>
      <w:r>
        <w:rPr>
          <w:color w:val="auto"/>
        </w:rPr>
        <w:tab/>
      </w:r>
      <w:r>
        <w:rPr>
          <w:color w:val="auto"/>
        </w:rPr>
        <w:fldChar w:fldCharType="begin"/>
      </w:r>
      <w:r>
        <w:rPr>
          <w:color w:val="auto"/>
        </w:rPr>
        <w:instrText xml:space="preserve"> PAGEREF _Toc121759960 \h </w:instrText>
      </w:r>
      <w:r>
        <w:rPr>
          <w:color w:val="auto"/>
        </w:rPr>
        <w:fldChar w:fldCharType="separate"/>
      </w:r>
      <w:r>
        <w:rPr>
          <w:color w:val="auto"/>
        </w:rPr>
        <w:t>2</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"_Toc121759961" </w:instrText>
      </w:r>
      <w:r>
        <w:rPr>
          <w:color w:val="auto"/>
        </w:rPr>
        <w:fldChar w:fldCharType="separate"/>
      </w:r>
      <w:r>
        <w:rPr>
          <w:rStyle w:val="48"/>
          <w:rFonts w:ascii="宋体" w:hAnsi="宋体" w:cs="宋体"/>
          <w:color w:val="auto"/>
        </w:rPr>
        <w:t>2</w:t>
      </w:r>
      <w:r>
        <w:rPr>
          <w:rStyle w:val="48"/>
          <w:color w:val="auto"/>
        </w:rPr>
        <w:t xml:space="preserve"> 工程概况</w:t>
      </w:r>
      <w:r>
        <w:rPr>
          <w:color w:val="auto"/>
        </w:rPr>
        <w:tab/>
      </w:r>
      <w:r>
        <w:rPr>
          <w:color w:val="auto"/>
        </w:rPr>
        <w:fldChar w:fldCharType="begin"/>
      </w:r>
      <w:r>
        <w:rPr>
          <w:color w:val="auto"/>
        </w:rPr>
        <w:instrText xml:space="preserve"> PAGEREF _Toc121759961 \h </w:instrText>
      </w:r>
      <w:r>
        <w:rPr>
          <w:color w:val="auto"/>
        </w:rPr>
        <w:fldChar w:fldCharType="separate"/>
      </w:r>
      <w:r>
        <w:rPr>
          <w:color w:val="auto"/>
        </w:rPr>
        <w:t>3</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"_Toc121759962" </w:instrText>
      </w:r>
      <w:r>
        <w:rPr>
          <w:color w:val="auto"/>
        </w:rPr>
        <w:fldChar w:fldCharType="separate"/>
      </w:r>
      <w:r>
        <w:rPr>
          <w:rStyle w:val="48"/>
          <w:rFonts w:ascii="宋体" w:hAnsi="宋体" w:cs="宋体"/>
          <w:color w:val="auto"/>
        </w:rPr>
        <w:t>2.1</w:t>
      </w:r>
      <w:r>
        <w:rPr>
          <w:rStyle w:val="48"/>
          <w:color w:val="auto"/>
        </w:rPr>
        <w:t xml:space="preserve"> 工程概况</w:t>
      </w:r>
      <w:r>
        <w:rPr>
          <w:color w:val="auto"/>
        </w:rPr>
        <w:tab/>
      </w:r>
      <w:r>
        <w:rPr>
          <w:color w:val="auto"/>
        </w:rPr>
        <w:fldChar w:fldCharType="begin"/>
      </w:r>
      <w:r>
        <w:rPr>
          <w:color w:val="auto"/>
        </w:rPr>
        <w:instrText xml:space="preserve"> PAGEREF _Toc121759962 \h </w:instrText>
      </w:r>
      <w:r>
        <w:rPr>
          <w:color w:val="auto"/>
        </w:rPr>
        <w:fldChar w:fldCharType="separate"/>
      </w:r>
      <w:r>
        <w:rPr>
          <w:color w:val="auto"/>
        </w:rPr>
        <w:t>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"_Toc121759963" </w:instrText>
      </w:r>
      <w:r>
        <w:rPr>
          <w:color w:val="auto"/>
        </w:rPr>
        <w:fldChar w:fldCharType="separate"/>
      </w:r>
      <w:r>
        <w:rPr>
          <w:rStyle w:val="48"/>
          <w:rFonts w:cs="宋体"/>
          <w:color w:val="auto"/>
        </w:rPr>
        <w:t>2.1.1</w:t>
      </w:r>
      <w:r>
        <w:rPr>
          <w:rStyle w:val="48"/>
          <w:color w:val="auto"/>
        </w:rPr>
        <w:t xml:space="preserve"> 工程项目简介</w:t>
      </w:r>
      <w:r>
        <w:rPr>
          <w:color w:val="auto"/>
        </w:rPr>
        <w:tab/>
      </w:r>
      <w:r>
        <w:rPr>
          <w:color w:val="auto"/>
        </w:rPr>
        <w:fldChar w:fldCharType="begin"/>
      </w:r>
      <w:r>
        <w:rPr>
          <w:color w:val="auto"/>
        </w:rPr>
        <w:instrText xml:space="preserve"> PAGEREF _Toc121759963 \h </w:instrText>
      </w:r>
      <w:r>
        <w:rPr>
          <w:color w:val="auto"/>
        </w:rPr>
        <w:fldChar w:fldCharType="separate"/>
      </w:r>
      <w:r>
        <w:rPr>
          <w:color w:val="auto"/>
        </w:rPr>
        <w:t>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"_Toc121759964" </w:instrText>
      </w:r>
      <w:r>
        <w:rPr>
          <w:color w:val="auto"/>
        </w:rPr>
        <w:fldChar w:fldCharType="separate"/>
      </w:r>
      <w:r>
        <w:rPr>
          <w:rStyle w:val="48"/>
          <w:rFonts w:cs="宋体"/>
          <w:color w:val="auto"/>
        </w:rPr>
        <w:t>2.1.2</w:t>
      </w:r>
      <w:r>
        <w:rPr>
          <w:rStyle w:val="48"/>
          <w:color w:val="auto"/>
        </w:rPr>
        <w:t xml:space="preserve"> 自然条件及使用环境</w:t>
      </w:r>
      <w:r>
        <w:rPr>
          <w:color w:val="auto"/>
        </w:rPr>
        <w:tab/>
      </w:r>
      <w:r>
        <w:rPr>
          <w:color w:val="auto"/>
        </w:rPr>
        <w:fldChar w:fldCharType="begin"/>
      </w:r>
      <w:r>
        <w:rPr>
          <w:color w:val="auto"/>
        </w:rPr>
        <w:instrText xml:space="preserve"> PAGEREF _Toc121759964 \h </w:instrText>
      </w:r>
      <w:r>
        <w:rPr>
          <w:color w:val="auto"/>
        </w:rPr>
        <w:fldChar w:fldCharType="separate"/>
      </w:r>
      <w:r>
        <w:rPr>
          <w:color w:val="auto"/>
        </w:rPr>
        <w:t>4</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"_Toc121759965" </w:instrText>
      </w:r>
      <w:r>
        <w:rPr>
          <w:color w:val="auto"/>
        </w:rPr>
        <w:fldChar w:fldCharType="separate"/>
      </w:r>
      <w:r>
        <w:rPr>
          <w:rStyle w:val="48"/>
          <w:rFonts w:cs="宋体"/>
          <w:color w:val="auto"/>
        </w:rPr>
        <w:t>2.1.3</w:t>
      </w:r>
      <w:r>
        <w:rPr>
          <w:rStyle w:val="48"/>
          <w:color w:val="auto"/>
        </w:rPr>
        <w:t xml:space="preserve"> 设备概况</w:t>
      </w:r>
      <w:r>
        <w:rPr>
          <w:color w:val="auto"/>
        </w:rPr>
        <w:tab/>
      </w:r>
      <w:r>
        <w:rPr>
          <w:color w:val="auto"/>
        </w:rPr>
        <w:fldChar w:fldCharType="begin"/>
      </w:r>
      <w:r>
        <w:rPr>
          <w:color w:val="auto"/>
        </w:rPr>
        <w:instrText xml:space="preserve"> PAGEREF _Toc121759965 \h </w:instrText>
      </w:r>
      <w:r>
        <w:rPr>
          <w:color w:val="auto"/>
        </w:rPr>
        <w:fldChar w:fldCharType="separate"/>
      </w:r>
      <w:r>
        <w:rPr>
          <w:color w:val="auto"/>
        </w:rPr>
        <w:t>5</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"_Toc121759966" </w:instrText>
      </w:r>
      <w:r>
        <w:rPr>
          <w:color w:val="auto"/>
        </w:rPr>
        <w:fldChar w:fldCharType="separate"/>
      </w:r>
      <w:r>
        <w:rPr>
          <w:rStyle w:val="48"/>
          <w:rFonts w:cs="宋体"/>
          <w:color w:val="auto"/>
        </w:rPr>
        <w:t>2.1.4</w:t>
      </w:r>
      <w:r>
        <w:rPr>
          <w:rStyle w:val="48"/>
          <w:color w:val="auto"/>
        </w:rPr>
        <w:t xml:space="preserve"> 设备布置情况</w:t>
      </w:r>
      <w:r>
        <w:rPr>
          <w:color w:val="auto"/>
        </w:rPr>
        <w:tab/>
      </w:r>
      <w:r>
        <w:rPr>
          <w:color w:val="auto"/>
        </w:rPr>
        <w:fldChar w:fldCharType="begin"/>
      </w:r>
      <w:r>
        <w:rPr>
          <w:color w:val="auto"/>
        </w:rPr>
        <w:instrText xml:space="preserve"> PAGEREF _Toc121759966 \h </w:instrText>
      </w:r>
      <w:r>
        <w:rPr>
          <w:color w:val="auto"/>
        </w:rPr>
        <w:fldChar w:fldCharType="separate"/>
      </w:r>
      <w:r>
        <w:rPr>
          <w:color w:val="auto"/>
        </w:rPr>
        <w:t>6</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"_Toc121759967" </w:instrText>
      </w:r>
      <w:r>
        <w:rPr>
          <w:color w:val="auto"/>
        </w:rPr>
        <w:fldChar w:fldCharType="separate"/>
      </w:r>
      <w:r>
        <w:rPr>
          <w:rStyle w:val="48"/>
          <w:rFonts w:ascii="宋体" w:hAnsi="宋体" w:cs="宋体"/>
          <w:color w:val="auto"/>
        </w:rPr>
        <w:t>2.2</w:t>
      </w:r>
      <w:r>
        <w:rPr>
          <w:rStyle w:val="48"/>
          <w:color w:val="auto"/>
        </w:rPr>
        <w:t xml:space="preserve"> 工程特点</w:t>
      </w:r>
      <w:r>
        <w:rPr>
          <w:color w:val="auto"/>
        </w:rPr>
        <w:tab/>
      </w:r>
      <w:r>
        <w:rPr>
          <w:color w:val="auto"/>
        </w:rPr>
        <w:fldChar w:fldCharType="begin"/>
      </w:r>
      <w:r>
        <w:rPr>
          <w:color w:val="auto"/>
        </w:rPr>
        <w:instrText xml:space="preserve"> PAGEREF _Toc121759967 \h </w:instrText>
      </w:r>
      <w:r>
        <w:rPr>
          <w:color w:val="auto"/>
        </w:rPr>
        <w:fldChar w:fldCharType="separate"/>
      </w:r>
      <w:r>
        <w:rPr>
          <w:color w:val="auto"/>
        </w:rPr>
        <w:t>7</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"_Toc121759968" </w:instrText>
      </w:r>
      <w:r>
        <w:rPr>
          <w:color w:val="auto"/>
        </w:rPr>
        <w:fldChar w:fldCharType="separate"/>
      </w:r>
      <w:r>
        <w:rPr>
          <w:rStyle w:val="48"/>
          <w:rFonts w:ascii="宋体" w:hAnsi="宋体" w:cs="宋体"/>
          <w:color w:val="auto"/>
        </w:rPr>
        <w:t>2.3</w:t>
      </w:r>
      <w:r>
        <w:rPr>
          <w:rStyle w:val="48"/>
          <w:color w:val="auto"/>
        </w:rPr>
        <w:t xml:space="preserve"> 施工平面布置</w:t>
      </w:r>
      <w:r>
        <w:rPr>
          <w:color w:val="auto"/>
        </w:rPr>
        <w:tab/>
      </w:r>
      <w:r>
        <w:rPr>
          <w:color w:val="auto"/>
        </w:rPr>
        <w:fldChar w:fldCharType="begin"/>
      </w:r>
      <w:r>
        <w:rPr>
          <w:color w:val="auto"/>
        </w:rPr>
        <w:instrText xml:space="preserve"> PAGEREF _Toc121759968 \h </w:instrText>
      </w:r>
      <w:r>
        <w:rPr>
          <w:color w:val="auto"/>
        </w:rPr>
        <w:fldChar w:fldCharType="separate"/>
      </w:r>
      <w:r>
        <w:rPr>
          <w:color w:val="auto"/>
        </w:rPr>
        <w:t>7</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"_Toc121759969" </w:instrText>
      </w:r>
      <w:r>
        <w:rPr>
          <w:color w:val="auto"/>
        </w:rPr>
        <w:fldChar w:fldCharType="separate"/>
      </w:r>
      <w:r>
        <w:rPr>
          <w:rStyle w:val="48"/>
          <w:rFonts w:ascii="宋体" w:hAnsi="宋体" w:cs="宋体"/>
          <w:color w:val="auto"/>
        </w:rPr>
        <w:t>2.4</w:t>
      </w:r>
      <w:r>
        <w:rPr>
          <w:rStyle w:val="48"/>
          <w:color w:val="auto"/>
        </w:rPr>
        <w:t xml:space="preserve"> 施工要求</w:t>
      </w:r>
      <w:r>
        <w:rPr>
          <w:color w:val="auto"/>
        </w:rPr>
        <w:tab/>
      </w:r>
      <w:r>
        <w:rPr>
          <w:color w:val="auto"/>
        </w:rPr>
        <w:fldChar w:fldCharType="begin"/>
      </w:r>
      <w:r>
        <w:rPr>
          <w:color w:val="auto"/>
        </w:rPr>
        <w:instrText xml:space="preserve"> PAGEREF _Toc121759969 \h </w:instrText>
      </w:r>
      <w:r>
        <w:rPr>
          <w:color w:val="auto"/>
        </w:rPr>
        <w:fldChar w:fldCharType="separate"/>
      </w:r>
      <w:r>
        <w:rPr>
          <w:color w:val="auto"/>
        </w:rPr>
        <w:t>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"_Toc121759970" </w:instrText>
      </w:r>
      <w:r>
        <w:rPr>
          <w:color w:val="auto"/>
        </w:rPr>
        <w:fldChar w:fldCharType="separate"/>
      </w:r>
      <w:r>
        <w:rPr>
          <w:rStyle w:val="48"/>
          <w:rFonts w:cs="宋体"/>
          <w:color w:val="auto"/>
        </w:rPr>
        <w:t>2.4.1</w:t>
      </w:r>
      <w:r>
        <w:rPr>
          <w:rStyle w:val="48"/>
          <w:color w:val="auto"/>
        </w:rPr>
        <w:t xml:space="preserve"> 工期要求</w:t>
      </w:r>
      <w:r>
        <w:rPr>
          <w:color w:val="auto"/>
        </w:rPr>
        <w:tab/>
      </w:r>
      <w:r>
        <w:rPr>
          <w:color w:val="auto"/>
        </w:rPr>
        <w:fldChar w:fldCharType="begin"/>
      </w:r>
      <w:r>
        <w:rPr>
          <w:color w:val="auto"/>
        </w:rPr>
        <w:instrText xml:space="preserve"> PAGEREF _Toc121759970 \h </w:instrText>
      </w:r>
      <w:r>
        <w:rPr>
          <w:color w:val="auto"/>
        </w:rPr>
        <w:fldChar w:fldCharType="separate"/>
      </w:r>
      <w:r>
        <w:rPr>
          <w:color w:val="auto"/>
        </w:rPr>
        <w:t>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"_Toc121759971" </w:instrText>
      </w:r>
      <w:r>
        <w:rPr>
          <w:color w:val="auto"/>
        </w:rPr>
        <w:fldChar w:fldCharType="separate"/>
      </w:r>
      <w:r>
        <w:rPr>
          <w:rStyle w:val="48"/>
          <w:rFonts w:cs="宋体"/>
          <w:color w:val="auto"/>
        </w:rPr>
        <w:t>2.4.2</w:t>
      </w:r>
      <w:r>
        <w:rPr>
          <w:rStyle w:val="48"/>
          <w:color w:val="auto"/>
        </w:rPr>
        <w:t xml:space="preserve"> 质量要求</w:t>
      </w:r>
      <w:r>
        <w:rPr>
          <w:color w:val="auto"/>
        </w:rPr>
        <w:tab/>
      </w:r>
      <w:r>
        <w:rPr>
          <w:color w:val="auto"/>
        </w:rPr>
        <w:fldChar w:fldCharType="begin"/>
      </w:r>
      <w:r>
        <w:rPr>
          <w:color w:val="auto"/>
        </w:rPr>
        <w:instrText xml:space="preserve"> PAGEREF _Toc121759971 \h </w:instrText>
      </w:r>
      <w:r>
        <w:rPr>
          <w:color w:val="auto"/>
        </w:rPr>
        <w:fldChar w:fldCharType="separate"/>
      </w:r>
      <w:r>
        <w:rPr>
          <w:color w:val="auto"/>
        </w:rPr>
        <w:t>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"_Toc121759972" </w:instrText>
      </w:r>
      <w:r>
        <w:rPr>
          <w:color w:val="auto"/>
        </w:rPr>
        <w:fldChar w:fldCharType="separate"/>
      </w:r>
      <w:r>
        <w:rPr>
          <w:rStyle w:val="48"/>
          <w:rFonts w:cs="宋体"/>
          <w:color w:val="auto"/>
        </w:rPr>
        <w:t>2.4.3</w:t>
      </w:r>
      <w:r>
        <w:rPr>
          <w:rStyle w:val="48"/>
          <w:color w:val="auto"/>
        </w:rPr>
        <w:t xml:space="preserve"> 安全文明施工要求</w:t>
      </w:r>
      <w:r>
        <w:rPr>
          <w:color w:val="auto"/>
        </w:rPr>
        <w:tab/>
      </w:r>
      <w:r>
        <w:rPr>
          <w:color w:val="auto"/>
        </w:rPr>
        <w:fldChar w:fldCharType="begin"/>
      </w:r>
      <w:r>
        <w:rPr>
          <w:color w:val="auto"/>
        </w:rPr>
        <w:instrText xml:space="preserve"> PAGEREF _Toc121759972 \h </w:instrText>
      </w:r>
      <w:r>
        <w:rPr>
          <w:color w:val="auto"/>
        </w:rPr>
        <w:fldChar w:fldCharType="separate"/>
      </w:r>
      <w:r>
        <w:rPr>
          <w:color w:val="auto"/>
        </w:rPr>
        <w:t>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"_Toc121759973" </w:instrText>
      </w:r>
      <w:r>
        <w:rPr>
          <w:color w:val="auto"/>
        </w:rPr>
        <w:fldChar w:fldCharType="separate"/>
      </w:r>
      <w:r>
        <w:rPr>
          <w:rStyle w:val="48"/>
          <w:rFonts w:cs="宋体"/>
          <w:color w:val="auto"/>
        </w:rPr>
        <w:t>2.4.4</w:t>
      </w:r>
      <w:r>
        <w:rPr>
          <w:rStyle w:val="48"/>
          <w:color w:val="auto"/>
        </w:rPr>
        <w:t xml:space="preserve"> 环境保护要求</w:t>
      </w:r>
      <w:r>
        <w:rPr>
          <w:color w:val="auto"/>
        </w:rPr>
        <w:tab/>
      </w:r>
      <w:r>
        <w:rPr>
          <w:color w:val="auto"/>
        </w:rPr>
        <w:fldChar w:fldCharType="begin"/>
      </w:r>
      <w:r>
        <w:rPr>
          <w:color w:val="auto"/>
        </w:rPr>
        <w:instrText xml:space="preserve"> PAGEREF _Toc121759973 \h </w:instrText>
      </w:r>
      <w:r>
        <w:rPr>
          <w:color w:val="auto"/>
        </w:rPr>
        <w:fldChar w:fldCharType="separate"/>
      </w:r>
      <w:r>
        <w:rPr>
          <w:color w:val="auto"/>
        </w:rPr>
        <w:t>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"_Toc121759974" </w:instrText>
      </w:r>
      <w:r>
        <w:rPr>
          <w:color w:val="auto"/>
        </w:rPr>
        <w:fldChar w:fldCharType="separate"/>
      </w:r>
      <w:r>
        <w:rPr>
          <w:rStyle w:val="48"/>
          <w:rFonts w:cs="宋体"/>
          <w:color w:val="auto"/>
        </w:rPr>
        <w:t>2.4.5</w:t>
      </w:r>
      <w:r>
        <w:rPr>
          <w:rStyle w:val="48"/>
          <w:color w:val="auto"/>
        </w:rPr>
        <w:t xml:space="preserve"> 节能减排要求</w:t>
      </w:r>
      <w:r>
        <w:rPr>
          <w:color w:val="auto"/>
        </w:rPr>
        <w:tab/>
      </w:r>
      <w:r>
        <w:rPr>
          <w:color w:val="auto"/>
        </w:rPr>
        <w:fldChar w:fldCharType="begin"/>
      </w:r>
      <w:r>
        <w:rPr>
          <w:color w:val="auto"/>
        </w:rPr>
        <w:instrText xml:space="preserve"> PAGEREF _Toc121759974 \h </w:instrText>
      </w:r>
      <w:r>
        <w:rPr>
          <w:color w:val="auto"/>
        </w:rPr>
        <w:fldChar w:fldCharType="separate"/>
      </w:r>
      <w:r>
        <w:rPr>
          <w:color w:val="auto"/>
        </w:rPr>
        <w:t>9</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"_Toc121759975" </w:instrText>
      </w:r>
      <w:r>
        <w:rPr>
          <w:color w:val="auto"/>
        </w:rPr>
        <w:fldChar w:fldCharType="separate"/>
      </w:r>
      <w:r>
        <w:rPr>
          <w:rStyle w:val="48"/>
          <w:rFonts w:ascii="宋体" w:hAnsi="宋体" w:cs="宋体"/>
          <w:color w:val="auto"/>
        </w:rPr>
        <w:t>2.5</w:t>
      </w:r>
      <w:r>
        <w:rPr>
          <w:rStyle w:val="48"/>
          <w:color w:val="auto"/>
        </w:rPr>
        <w:t xml:space="preserve"> 技术保证条件</w:t>
      </w:r>
      <w:r>
        <w:rPr>
          <w:color w:val="auto"/>
        </w:rPr>
        <w:tab/>
      </w:r>
      <w:r>
        <w:rPr>
          <w:color w:val="auto"/>
        </w:rPr>
        <w:fldChar w:fldCharType="begin"/>
      </w:r>
      <w:r>
        <w:rPr>
          <w:color w:val="auto"/>
        </w:rPr>
        <w:instrText xml:space="preserve"> PAGEREF _Toc121759975 \h </w:instrText>
      </w:r>
      <w:r>
        <w:rPr>
          <w:color w:val="auto"/>
        </w:rPr>
        <w:fldChar w:fldCharType="separate"/>
      </w:r>
      <w:r>
        <w:rPr>
          <w:color w:val="auto"/>
        </w:rPr>
        <w:t>9</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"_Toc121759976" </w:instrText>
      </w:r>
      <w:r>
        <w:rPr>
          <w:color w:val="auto"/>
        </w:rPr>
        <w:fldChar w:fldCharType="separate"/>
      </w:r>
      <w:r>
        <w:rPr>
          <w:rStyle w:val="48"/>
          <w:rFonts w:ascii="宋体" w:hAnsi="宋体" w:cs="宋体"/>
          <w:color w:val="auto"/>
        </w:rPr>
        <w:t>3</w:t>
      </w:r>
      <w:r>
        <w:rPr>
          <w:rStyle w:val="48"/>
          <w:color w:val="auto"/>
        </w:rPr>
        <w:t xml:space="preserve"> 施工计划</w:t>
      </w:r>
      <w:r>
        <w:rPr>
          <w:color w:val="auto"/>
        </w:rPr>
        <w:tab/>
      </w:r>
      <w:r>
        <w:rPr>
          <w:color w:val="auto"/>
        </w:rPr>
        <w:fldChar w:fldCharType="begin"/>
      </w:r>
      <w:r>
        <w:rPr>
          <w:color w:val="auto"/>
        </w:rPr>
        <w:instrText xml:space="preserve"> PAGEREF _Toc121759976 \h </w:instrText>
      </w:r>
      <w:r>
        <w:rPr>
          <w:color w:val="auto"/>
        </w:rPr>
        <w:fldChar w:fldCharType="separate"/>
      </w:r>
      <w:r>
        <w:rPr>
          <w:color w:val="auto"/>
        </w:rPr>
        <w:t>10</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"_Toc121759977" </w:instrText>
      </w:r>
      <w:r>
        <w:rPr>
          <w:color w:val="auto"/>
        </w:rPr>
        <w:fldChar w:fldCharType="separate"/>
      </w:r>
      <w:r>
        <w:rPr>
          <w:rStyle w:val="48"/>
          <w:rFonts w:ascii="宋体" w:hAnsi="宋体" w:cs="宋体"/>
          <w:color w:val="auto"/>
        </w:rPr>
        <w:t>3.1</w:t>
      </w:r>
      <w:r>
        <w:rPr>
          <w:rStyle w:val="48"/>
          <w:color w:val="auto"/>
        </w:rPr>
        <w:t xml:space="preserve"> 施工进度计划</w:t>
      </w:r>
      <w:r>
        <w:rPr>
          <w:color w:val="auto"/>
        </w:rPr>
        <w:tab/>
      </w:r>
      <w:r>
        <w:rPr>
          <w:color w:val="auto"/>
        </w:rPr>
        <w:fldChar w:fldCharType="begin"/>
      </w:r>
      <w:r>
        <w:rPr>
          <w:color w:val="auto"/>
        </w:rPr>
        <w:instrText xml:space="preserve"> PAGEREF _Toc121759977 \h </w:instrText>
      </w:r>
      <w:r>
        <w:rPr>
          <w:color w:val="auto"/>
        </w:rPr>
        <w:fldChar w:fldCharType="separate"/>
      </w:r>
      <w:r>
        <w:rPr>
          <w:color w:val="auto"/>
        </w:rPr>
        <w:t>10</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"_Toc121759978" </w:instrText>
      </w:r>
      <w:r>
        <w:rPr>
          <w:color w:val="auto"/>
        </w:rPr>
        <w:fldChar w:fldCharType="separate"/>
      </w:r>
      <w:r>
        <w:rPr>
          <w:rStyle w:val="48"/>
          <w:rFonts w:ascii="宋体" w:hAnsi="宋体" w:cs="宋体"/>
          <w:color w:val="auto"/>
        </w:rPr>
        <w:t>3.2</w:t>
      </w:r>
      <w:r>
        <w:rPr>
          <w:rStyle w:val="48"/>
          <w:color w:val="auto"/>
        </w:rPr>
        <w:t xml:space="preserve"> 材料计划</w:t>
      </w:r>
      <w:r>
        <w:rPr>
          <w:color w:val="auto"/>
        </w:rPr>
        <w:tab/>
      </w:r>
      <w:r>
        <w:rPr>
          <w:color w:val="auto"/>
        </w:rPr>
        <w:fldChar w:fldCharType="begin"/>
      </w:r>
      <w:r>
        <w:rPr>
          <w:color w:val="auto"/>
        </w:rPr>
        <w:instrText xml:space="preserve"> PAGEREF _Toc121759978 \h </w:instrText>
      </w:r>
      <w:r>
        <w:rPr>
          <w:color w:val="auto"/>
        </w:rPr>
        <w:fldChar w:fldCharType="separate"/>
      </w:r>
      <w:r>
        <w:rPr>
          <w:color w:val="auto"/>
        </w:rPr>
        <w:t>10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"_Toc121759979" </w:instrText>
      </w:r>
      <w:r>
        <w:rPr>
          <w:color w:val="auto"/>
        </w:rPr>
        <w:fldChar w:fldCharType="separate"/>
      </w:r>
      <w:r>
        <w:rPr>
          <w:rStyle w:val="48"/>
          <w:rFonts w:cs="宋体"/>
          <w:color w:val="auto"/>
        </w:rPr>
        <w:t>3.2.1</w:t>
      </w:r>
      <w:r>
        <w:rPr>
          <w:rStyle w:val="48"/>
          <w:color w:val="auto"/>
        </w:rPr>
        <w:t xml:space="preserve"> 设备部件计划</w:t>
      </w:r>
      <w:r>
        <w:rPr>
          <w:color w:val="auto"/>
        </w:rPr>
        <w:tab/>
      </w:r>
      <w:r>
        <w:rPr>
          <w:color w:val="auto"/>
        </w:rPr>
        <w:fldChar w:fldCharType="begin"/>
      </w:r>
      <w:r>
        <w:rPr>
          <w:color w:val="auto"/>
        </w:rPr>
        <w:instrText xml:space="preserve"> PAGEREF _Toc121759979 \h </w:instrText>
      </w:r>
      <w:r>
        <w:rPr>
          <w:color w:val="auto"/>
        </w:rPr>
        <w:fldChar w:fldCharType="separate"/>
      </w:r>
      <w:r>
        <w:rPr>
          <w:color w:val="auto"/>
        </w:rPr>
        <w:t>10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"_Toc121759980" </w:instrText>
      </w:r>
      <w:r>
        <w:rPr>
          <w:color w:val="auto"/>
        </w:rPr>
        <w:fldChar w:fldCharType="separate"/>
      </w:r>
      <w:r>
        <w:rPr>
          <w:rStyle w:val="48"/>
          <w:rFonts w:cs="宋体"/>
          <w:color w:val="auto"/>
        </w:rPr>
        <w:t>3.2.2</w:t>
      </w:r>
      <w:r>
        <w:rPr>
          <w:rStyle w:val="48"/>
          <w:color w:val="auto"/>
        </w:rPr>
        <w:t xml:space="preserve"> 施工措施材料</w:t>
      </w:r>
      <w:r>
        <w:rPr>
          <w:color w:val="auto"/>
        </w:rPr>
        <w:tab/>
      </w:r>
      <w:r>
        <w:rPr>
          <w:color w:val="auto"/>
        </w:rPr>
        <w:fldChar w:fldCharType="begin"/>
      </w:r>
      <w:r>
        <w:rPr>
          <w:color w:val="auto"/>
        </w:rPr>
        <w:instrText xml:space="preserve"> PAGEREF _Toc121759980 \h </w:instrText>
      </w:r>
      <w:r>
        <w:rPr>
          <w:color w:val="auto"/>
        </w:rPr>
        <w:fldChar w:fldCharType="separate"/>
      </w:r>
      <w:r>
        <w:rPr>
          <w:color w:val="auto"/>
        </w:rPr>
        <w:t>10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"_Toc121759981" </w:instrText>
      </w:r>
      <w:r>
        <w:rPr>
          <w:color w:val="auto"/>
        </w:rPr>
        <w:fldChar w:fldCharType="separate"/>
      </w:r>
      <w:r>
        <w:rPr>
          <w:rStyle w:val="48"/>
          <w:rFonts w:cs="宋体"/>
          <w:color w:val="auto"/>
        </w:rPr>
        <w:t>3.2.3</w:t>
      </w:r>
      <w:r>
        <w:rPr>
          <w:rStyle w:val="48"/>
          <w:color w:val="auto"/>
        </w:rPr>
        <w:t xml:space="preserve"> 安全防护措施材料</w:t>
      </w:r>
      <w:r>
        <w:rPr>
          <w:color w:val="auto"/>
        </w:rPr>
        <w:tab/>
      </w:r>
      <w:r>
        <w:rPr>
          <w:color w:val="auto"/>
        </w:rPr>
        <w:fldChar w:fldCharType="begin"/>
      </w:r>
      <w:r>
        <w:rPr>
          <w:color w:val="auto"/>
        </w:rPr>
        <w:instrText xml:space="preserve"> PAGEREF _Toc121759981 \h </w:instrText>
      </w:r>
      <w:r>
        <w:rPr>
          <w:color w:val="auto"/>
        </w:rPr>
        <w:fldChar w:fldCharType="separate"/>
      </w:r>
      <w:r>
        <w:rPr>
          <w:color w:val="auto"/>
        </w:rPr>
        <w:t>11</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"_Toc121759982" </w:instrText>
      </w:r>
      <w:r>
        <w:rPr>
          <w:color w:val="auto"/>
        </w:rPr>
        <w:fldChar w:fldCharType="separate"/>
      </w:r>
      <w:r>
        <w:rPr>
          <w:rStyle w:val="48"/>
          <w:rFonts w:cs="宋体"/>
          <w:color w:val="auto"/>
        </w:rPr>
        <w:t>3.2.4</w:t>
      </w:r>
      <w:r>
        <w:rPr>
          <w:rStyle w:val="48"/>
          <w:color w:val="auto"/>
        </w:rPr>
        <w:t xml:space="preserve"> 安全临时设施</w:t>
      </w:r>
      <w:r>
        <w:rPr>
          <w:color w:val="auto"/>
        </w:rPr>
        <w:tab/>
      </w:r>
      <w:r>
        <w:rPr>
          <w:color w:val="auto"/>
        </w:rPr>
        <w:fldChar w:fldCharType="begin"/>
      </w:r>
      <w:r>
        <w:rPr>
          <w:color w:val="auto"/>
        </w:rPr>
        <w:instrText xml:space="preserve"> PAGEREF _Toc121759982 \h </w:instrText>
      </w:r>
      <w:r>
        <w:rPr>
          <w:color w:val="auto"/>
        </w:rPr>
        <w:fldChar w:fldCharType="separate"/>
      </w:r>
      <w:r>
        <w:rPr>
          <w:color w:val="auto"/>
        </w:rPr>
        <w:t>11</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"_Toc121759983" </w:instrText>
      </w:r>
      <w:r>
        <w:rPr>
          <w:color w:val="auto"/>
        </w:rPr>
        <w:fldChar w:fldCharType="separate"/>
      </w:r>
      <w:r>
        <w:rPr>
          <w:rStyle w:val="48"/>
          <w:rFonts w:ascii="宋体" w:hAnsi="宋体" w:cs="宋体"/>
          <w:color w:val="auto"/>
        </w:rPr>
        <w:t>3.3</w:t>
      </w:r>
      <w:r>
        <w:rPr>
          <w:rStyle w:val="48"/>
          <w:color w:val="auto"/>
        </w:rPr>
        <w:t xml:space="preserve"> 设备及工具计划</w:t>
      </w:r>
      <w:r>
        <w:rPr>
          <w:color w:val="auto"/>
        </w:rPr>
        <w:tab/>
      </w:r>
      <w:r>
        <w:rPr>
          <w:color w:val="auto"/>
        </w:rPr>
        <w:fldChar w:fldCharType="begin"/>
      </w:r>
      <w:r>
        <w:rPr>
          <w:color w:val="auto"/>
        </w:rPr>
        <w:instrText xml:space="preserve"> PAGEREF _Toc121759983 \h </w:instrText>
      </w:r>
      <w:r>
        <w:rPr>
          <w:color w:val="auto"/>
        </w:rPr>
        <w:fldChar w:fldCharType="separate"/>
      </w:r>
      <w:r>
        <w:rPr>
          <w:color w:val="auto"/>
        </w:rPr>
        <w:t>11</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"_Toc121759984" </w:instrText>
      </w:r>
      <w:r>
        <w:rPr>
          <w:color w:val="auto"/>
        </w:rPr>
        <w:fldChar w:fldCharType="separate"/>
      </w:r>
      <w:r>
        <w:rPr>
          <w:rStyle w:val="48"/>
          <w:rFonts w:ascii="宋体" w:hAnsi="宋体" w:cs="宋体"/>
          <w:color w:val="auto"/>
        </w:rPr>
        <w:t>4</w:t>
      </w:r>
      <w:r>
        <w:rPr>
          <w:rStyle w:val="48"/>
          <w:color w:val="auto"/>
        </w:rPr>
        <w:t xml:space="preserve"> 施工工艺技术</w:t>
      </w:r>
      <w:r>
        <w:rPr>
          <w:color w:val="auto"/>
        </w:rPr>
        <w:tab/>
      </w:r>
      <w:r>
        <w:rPr>
          <w:color w:val="auto"/>
        </w:rPr>
        <w:fldChar w:fldCharType="begin"/>
      </w:r>
      <w:r>
        <w:rPr>
          <w:color w:val="auto"/>
        </w:rPr>
        <w:instrText xml:space="preserve"> PAGEREF _Toc121759984 \h </w:instrText>
      </w:r>
      <w:r>
        <w:rPr>
          <w:color w:val="auto"/>
        </w:rPr>
        <w:fldChar w:fldCharType="separate"/>
      </w:r>
      <w:r>
        <w:rPr>
          <w:color w:val="auto"/>
        </w:rPr>
        <w:t>13</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"_Toc121759985" </w:instrText>
      </w:r>
      <w:r>
        <w:rPr>
          <w:color w:val="auto"/>
        </w:rPr>
        <w:fldChar w:fldCharType="separate"/>
      </w:r>
      <w:r>
        <w:rPr>
          <w:rStyle w:val="48"/>
          <w:rFonts w:ascii="宋体" w:hAnsi="宋体" w:cs="宋体"/>
          <w:color w:val="auto"/>
        </w:rPr>
        <w:t>4.1</w:t>
      </w:r>
      <w:r>
        <w:rPr>
          <w:rStyle w:val="48"/>
          <w:color w:val="auto"/>
        </w:rPr>
        <w:t xml:space="preserve"> 施工方案概述</w:t>
      </w:r>
      <w:r>
        <w:rPr>
          <w:color w:val="auto"/>
        </w:rPr>
        <w:tab/>
      </w:r>
      <w:r>
        <w:rPr>
          <w:color w:val="auto"/>
        </w:rPr>
        <w:fldChar w:fldCharType="begin"/>
      </w:r>
      <w:r>
        <w:rPr>
          <w:color w:val="auto"/>
        </w:rPr>
        <w:instrText xml:space="preserve"> PAGEREF _Toc121759985 \h </w:instrText>
      </w:r>
      <w:r>
        <w:rPr>
          <w:color w:val="auto"/>
        </w:rPr>
        <w:fldChar w:fldCharType="separate"/>
      </w:r>
      <w:r>
        <w:rPr>
          <w:color w:val="auto"/>
        </w:rPr>
        <w:t>13</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"_Toc121759986" </w:instrText>
      </w:r>
      <w:r>
        <w:rPr>
          <w:color w:val="auto"/>
        </w:rPr>
        <w:fldChar w:fldCharType="separate"/>
      </w:r>
      <w:r>
        <w:rPr>
          <w:rStyle w:val="48"/>
          <w:rFonts w:ascii="宋体" w:hAnsi="宋体" w:cs="宋体"/>
          <w:color w:val="auto"/>
        </w:rPr>
        <w:t>4.2</w:t>
      </w:r>
      <w:r>
        <w:rPr>
          <w:rStyle w:val="48"/>
          <w:color w:val="auto"/>
        </w:rPr>
        <w:t xml:space="preserve"> 主要设备选型</w:t>
      </w:r>
      <w:r>
        <w:rPr>
          <w:color w:val="auto"/>
        </w:rPr>
        <w:tab/>
      </w:r>
      <w:r>
        <w:rPr>
          <w:color w:val="auto"/>
        </w:rPr>
        <w:fldChar w:fldCharType="begin"/>
      </w:r>
      <w:r>
        <w:rPr>
          <w:color w:val="auto"/>
        </w:rPr>
        <w:instrText xml:space="preserve"> PAGEREF _Toc121759986 \h </w:instrText>
      </w:r>
      <w:r>
        <w:rPr>
          <w:color w:val="auto"/>
        </w:rPr>
        <w:fldChar w:fldCharType="separate"/>
      </w:r>
      <w:r>
        <w:rPr>
          <w:color w:val="auto"/>
        </w:rPr>
        <w:t>13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"_Toc121759987" </w:instrText>
      </w:r>
      <w:r>
        <w:rPr>
          <w:color w:val="auto"/>
        </w:rPr>
        <w:fldChar w:fldCharType="separate"/>
      </w:r>
      <w:r>
        <w:rPr>
          <w:rStyle w:val="48"/>
          <w:rFonts w:cs="宋体"/>
          <w:color w:val="auto"/>
        </w:rPr>
        <w:t>4.2.1</w:t>
      </w:r>
      <w:r>
        <w:rPr>
          <w:rStyle w:val="48"/>
          <w:color w:val="auto"/>
        </w:rPr>
        <w:t xml:space="preserve"> 塔吊</w:t>
      </w:r>
      <w:r>
        <w:rPr>
          <w:color w:val="auto"/>
        </w:rPr>
        <w:tab/>
      </w:r>
      <w:r>
        <w:rPr>
          <w:color w:val="auto"/>
        </w:rPr>
        <w:fldChar w:fldCharType="begin"/>
      </w:r>
      <w:r>
        <w:rPr>
          <w:color w:val="auto"/>
        </w:rPr>
        <w:instrText xml:space="preserve"> PAGEREF _Toc121759987 \h </w:instrText>
      </w:r>
      <w:r>
        <w:rPr>
          <w:color w:val="auto"/>
        </w:rPr>
        <w:fldChar w:fldCharType="separate"/>
      </w:r>
      <w:r>
        <w:rPr>
          <w:color w:val="auto"/>
        </w:rPr>
        <w:t>13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"_Toc121759988" </w:instrText>
      </w:r>
      <w:r>
        <w:rPr>
          <w:color w:val="auto"/>
        </w:rPr>
        <w:fldChar w:fldCharType="separate"/>
      </w:r>
      <w:r>
        <w:rPr>
          <w:rStyle w:val="48"/>
          <w:rFonts w:cs="宋体"/>
          <w:color w:val="auto"/>
        </w:rPr>
        <w:t>4.2.2</w:t>
      </w:r>
      <w:r>
        <w:rPr>
          <w:rStyle w:val="48"/>
          <w:color w:val="auto"/>
        </w:rPr>
        <w:t xml:space="preserve"> 吊索具选型</w:t>
      </w:r>
      <w:r>
        <w:rPr>
          <w:color w:val="auto"/>
        </w:rPr>
        <w:tab/>
      </w:r>
      <w:r>
        <w:rPr>
          <w:color w:val="auto"/>
        </w:rPr>
        <w:fldChar w:fldCharType="begin"/>
      </w:r>
      <w:r>
        <w:rPr>
          <w:color w:val="auto"/>
        </w:rPr>
        <w:instrText xml:space="preserve"> PAGEREF _Toc121759988 \h </w:instrText>
      </w:r>
      <w:r>
        <w:rPr>
          <w:color w:val="auto"/>
        </w:rPr>
        <w:fldChar w:fldCharType="separate"/>
      </w:r>
      <w:r>
        <w:rPr>
          <w:color w:val="auto"/>
        </w:rPr>
        <w:t>14</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"_Toc121759989" </w:instrText>
      </w:r>
      <w:r>
        <w:rPr>
          <w:color w:val="auto"/>
        </w:rPr>
        <w:fldChar w:fldCharType="separate"/>
      </w:r>
      <w:r>
        <w:rPr>
          <w:rStyle w:val="48"/>
          <w:rFonts w:ascii="宋体" w:hAnsi="宋体" w:cs="宋体"/>
          <w:color w:val="auto"/>
        </w:rPr>
        <w:t>4.3</w:t>
      </w:r>
      <w:r>
        <w:rPr>
          <w:rStyle w:val="48"/>
          <w:color w:val="auto"/>
        </w:rPr>
        <w:t xml:space="preserve"> 施工准备</w:t>
      </w:r>
      <w:r>
        <w:rPr>
          <w:color w:val="auto"/>
        </w:rPr>
        <w:tab/>
      </w:r>
      <w:r>
        <w:rPr>
          <w:color w:val="auto"/>
        </w:rPr>
        <w:fldChar w:fldCharType="begin"/>
      </w:r>
      <w:r>
        <w:rPr>
          <w:color w:val="auto"/>
        </w:rPr>
        <w:instrText xml:space="preserve"> PAGEREF _Toc121759989 \h </w:instrText>
      </w:r>
      <w:r>
        <w:rPr>
          <w:color w:val="auto"/>
        </w:rPr>
        <w:fldChar w:fldCharType="separate"/>
      </w:r>
      <w:r>
        <w:rPr>
          <w:color w:val="auto"/>
        </w:rPr>
        <w:t>19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"_Toc121759990" </w:instrText>
      </w:r>
      <w:r>
        <w:rPr>
          <w:color w:val="auto"/>
        </w:rPr>
        <w:fldChar w:fldCharType="separate"/>
      </w:r>
      <w:r>
        <w:rPr>
          <w:rStyle w:val="48"/>
          <w:rFonts w:cs="宋体"/>
          <w:color w:val="auto"/>
        </w:rPr>
        <w:t>4.3.1</w:t>
      </w:r>
      <w:r>
        <w:rPr>
          <w:rStyle w:val="48"/>
          <w:color w:val="auto"/>
        </w:rPr>
        <w:t xml:space="preserve"> 技术准备</w:t>
      </w:r>
      <w:r>
        <w:rPr>
          <w:color w:val="auto"/>
        </w:rPr>
        <w:tab/>
      </w:r>
      <w:r>
        <w:rPr>
          <w:color w:val="auto"/>
        </w:rPr>
        <w:fldChar w:fldCharType="begin"/>
      </w:r>
      <w:r>
        <w:rPr>
          <w:color w:val="auto"/>
        </w:rPr>
        <w:instrText xml:space="preserve"> PAGEREF _Toc121759990 \h </w:instrText>
      </w:r>
      <w:r>
        <w:rPr>
          <w:color w:val="auto"/>
        </w:rPr>
        <w:fldChar w:fldCharType="separate"/>
      </w:r>
      <w:r>
        <w:rPr>
          <w:color w:val="auto"/>
        </w:rPr>
        <w:t>19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"_Toc121759991" </w:instrText>
      </w:r>
      <w:r>
        <w:rPr>
          <w:color w:val="auto"/>
        </w:rPr>
        <w:fldChar w:fldCharType="separate"/>
      </w:r>
      <w:r>
        <w:rPr>
          <w:rStyle w:val="48"/>
          <w:rFonts w:cs="宋体"/>
          <w:color w:val="auto"/>
        </w:rPr>
        <w:t>4.3.2</w:t>
      </w:r>
      <w:r>
        <w:rPr>
          <w:rStyle w:val="48"/>
          <w:color w:val="auto"/>
        </w:rPr>
        <w:t xml:space="preserve"> 现场准备</w:t>
      </w:r>
      <w:r>
        <w:rPr>
          <w:color w:val="auto"/>
        </w:rPr>
        <w:tab/>
      </w:r>
      <w:r>
        <w:rPr>
          <w:color w:val="auto"/>
        </w:rPr>
        <w:fldChar w:fldCharType="begin"/>
      </w:r>
      <w:r>
        <w:rPr>
          <w:color w:val="auto"/>
        </w:rPr>
        <w:instrText xml:space="preserve"> PAGEREF _Toc121759991 \h </w:instrText>
      </w:r>
      <w:r>
        <w:rPr>
          <w:color w:val="auto"/>
        </w:rPr>
        <w:fldChar w:fldCharType="separate"/>
      </w:r>
      <w:r>
        <w:rPr>
          <w:color w:val="auto"/>
        </w:rPr>
        <w:t>19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"_Toc121759992" </w:instrText>
      </w:r>
      <w:r>
        <w:rPr>
          <w:color w:val="auto"/>
        </w:rPr>
        <w:fldChar w:fldCharType="separate"/>
      </w:r>
      <w:r>
        <w:rPr>
          <w:rStyle w:val="48"/>
          <w:rFonts w:cs="宋体"/>
          <w:color w:val="auto"/>
        </w:rPr>
        <w:t>4.3.3</w:t>
      </w:r>
      <w:r>
        <w:rPr>
          <w:rStyle w:val="48"/>
          <w:color w:val="auto"/>
        </w:rPr>
        <w:t xml:space="preserve"> 人员准备</w:t>
      </w:r>
      <w:r>
        <w:rPr>
          <w:color w:val="auto"/>
        </w:rPr>
        <w:tab/>
      </w:r>
      <w:r>
        <w:rPr>
          <w:color w:val="auto"/>
        </w:rPr>
        <w:fldChar w:fldCharType="begin"/>
      </w:r>
      <w:r>
        <w:rPr>
          <w:color w:val="auto"/>
        </w:rPr>
        <w:instrText xml:space="preserve"> PAGEREF _Toc121759992 \h </w:instrText>
      </w:r>
      <w:r>
        <w:rPr>
          <w:color w:val="auto"/>
        </w:rPr>
        <w:fldChar w:fldCharType="separate"/>
      </w:r>
      <w:r>
        <w:rPr>
          <w:color w:val="auto"/>
        </w:rPr>
        <w:t>19</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"_Toc121759993" </w:instrText>
      </w:r>
      <w:r>
        <w:rPr>
          <w:color w:val="auto"/>
        </w:rPr>
        <w:fldChar w:fldCharType="separate"/>
      </w:r>
      <w:r>
        <w:rPr>
          <w:rStyle w:val="48"/>
          <w:rFonts w:ascii="宋体" w:hAnsi="宋体" w:cs="宋体"/>
          <w:color w:val="auto"/>
        </w:rPr>
        <w:t>4.4</w:t>
      </w:r>
      <w:r>
        <w:rPr>
          <w:rStyle w:val="48"/>
          <w:color w:val="auto"/>
        </w:rPr>
        <w:t xml:space="preserve"> 工艺流程</w:t>
      </w:r>
      <w:r>
        <w:rPr>
          <w:color w:val="auto"/>
        </w:rPr>
        <w:tab/>
      </w:r>
      <w:r>
        <w:rPr>
          <w:color w:val="auto"/>
        </w:rPr>
        <w:fldChar w:fldCharType="begin"/>
      </w:r>
      <w:r>
        <w:rPr>
          <w:color w:val="auto"/>
        </w:rPr>
        <w:instrText xml:space="preserve"> PAGEREF _Toc121759993 \h </w:instrText>
      </w:r>
      <w:r>
        <w:rPr>
          <w:color w:val="auto"/>
        </w:rPr>
        <w:fldChar w:fldCharType="separate"/>
      </w:r>
      <w:r>
        <w:rPr>
          <w:color w:val="auto"/>
        </w:rPr>
        <w:t>20</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"_Toc121759994" </w:instrText>
      </w:r>
      <w:r>
        <w:rPr>
          <w:color w:val="auto"/>
        </w:rPr>
        <w:fldChar w:fldCharType="separate"/>
      </w:r>
      <w:r>
        <w:rPr>
          <w:rStyle w:val="48"/>
          <w:rFonts w:ascii="宋体" w:hAnsi="宋体" w:cs="宋体"/>
          <w:color w:val="auto"/>
        </w:rPr>
        <w:t>4.5</w:t>
      </w:r>
      <w:r>
        <w:rPr>
          <w:rStyle w:val="48"/>
          <w:color w:val="auto"/>
        </w:rPr>
        <w:t xml:space="preserve"> 施工方法</w:t>
      </w:r>
      <w:r>
        <w:rPr>
          <w:color w:val="auto"/>
        </w:rPr>
        <w:tab/>
      </w:r>
      <w:r>
        <w:rPr>
          <w:color w:val="auto"/>
        </w:rPr>
        <w:fldChar w:fldCharType="begin"/>
      </w:r>
      <w:r>
        <w:rPr>
          <w:color w:val="auto"/>
        </w:rPr>
        <w:instrText xml:space="preserve"> PAGEREF _Toc121759994 \h </w:instrText>
      </w:r>
      <w:r>
        <w:rPr>
          <w:color w:val="auto"/>
        </w:rPr>
        <w:fldChar w:fldCharType="separate"/>
      </w:r>
      <w:r>
        <w:rPr>
          <w:color w:val="auto"/>
        </w:rPr>
        <w:t>20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"_Toc121759995" </w:instrText>
      </w:r>
      <w:r>
        <w:rPr>
          <w:color w:val="auto"/>
        </w:rPr>
        <w:fldChar w:fldCharType="separate"/>
      </w:r>
      <w:r>
        <w:rPr>
          <w:rStyle w:val="48"/>
          <w:rFonts w:cs="宋体"/>
          <w:color w:val="auto"/>
        </w:rPr>
        <w:t>4.5.1</w:t>
      </w:r>
      <w:r>
        <w:rPr>
          <w:rStyle w:val="48"/>
          <w:color w:val="auto"/>
        </w:rPr>
        <w:t xml:space="preserve"> 设备安装</w:t>
      </w:r>
      <w:r>
        <w:rPr>
          <w:color w:val="auto"/>
        </w:rPr>
        <w:tab/>
      </w:r>
      <w:r>
        <w:rPr>
          <w:color w:val="auto"/>
        </w:rPr>
        <w:fldChar w:fldCharType="begin"/>
      </w:r>
      <w:r>
        <w:rPr>
          <w:color w:val="auto"/>
        </w:rPr>
        <w:instrText xml:space="preserve"> PAGEREF _Toc121759995 \h </w:instrText>
      </w:r>
      <w:r>
        <w:rPr>
          <w:color w:val="auto"/>
        </w:rPr>
        <w:fldChar w:fldCharType="separate"/>
      </w:r>
      <w:r>
        <w:rPr>
          <w:color w:val="auto"/>
        </w:rPr>
        <w:t>20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"_Toc121759996" </w:instrText>
      </w:r>
      <w:r>
        <w:rPr>
          <w:color w:val="auto"/>
        </w:rPr>
        <w:fldChar w:fldCharType="separate"/>
      </w:r>
      <w:r>
        <w:rPr>
          <w:rStyle w:val="48"/>
          <w:rFonts w:cs="宋体"/>
          <w:color w:val="auto"/>
        </w:rPr>
        <w:t>4.5.2</w:t>
      </w:r>
      <w:r>
        <w:rPr>
          <w:rStyle w:val="48"/>
          <w:color w:val="auto"/>
        </w:rPr>
        <w:t xml:space="preserve"> 设备拆除</w:t>
      </w:r>
      <w:r>
        <w:rPr>
          <w:color w:val="auto"/>
        </w:rPr>
        <w:tab/>
      </w:r>
      <w:r>
        <w:rPr>
          <w:color w:val="auto"/>
        </w:rPr>
        <w:fldChar w:fldCharType="begin"/>
      </w:r>
      <w:r>
        <w:rPr>
          <w:color w:val="auto"/>
        </w:rPr>
        <w:instrText xml:space="preserve"> PAGEREF _Toc121759996 \h </w:instrText>
      </w:r>
      <w:r>
        <w:rPr>
          <w:color w:val="auto"/>
        </w:rPr>
        <w:fldChar w:fldCharType="separate"/>
      </w:r>
      <w:r>
        <w:rPr>
          <w:color w:val="auto"/>
        </w:rPr>
        <w:t>38</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"_Toc121759997" </w:instrText>
      </w:r>
      <w:r>
        <w:rPr>
          <w:color w:val="auto"/>
        </w:rPr>
        <w:fldChar w:fldCharType="separate"/>
      </w:r>
      <w:r>
        <w:rPr>
          <w:rStyle w:val="48"/>
          <w:rFonts w:ascii="宋体" w:hAnsi="宋体" w:cs="宋体"/>
          <w:color w:val="auto"/>
        </w:rPr>
        <w:t>4.6</w:t>
      </w:r>
      <w:r>
        <w:rPr>
          <w:rStyle w:val="48"/>
          <w:color w:val="auto"/>
        </w:rPr>
        <w:t xml:space="preserve"> 检查要求</w:t>
      </w:r>
      <w:r>
        <w:rPr>
          <w:color w:val="auto"/>
        </w:rPr>
        <w:tab/>
      </w:r>
      <w:r>
        <w:rPr>
          <w:color w:val="auto"/>
        </w:rPr>
        <w:fldChar w:fldCharType="begin"/>
      </w:r>
      <w:r>
        <w:rPr>
          <w:color w:val="auto"/>
        </w:rPr>
        <w:instrText xml:space="preserve"> PAGEREF _Toc121759997 \h </w:instrText>
      </w:r>
      <w:r>
        <w:rPr>
          <w:color w:val="auto"/>
        </w:rPr>
        <w:fldChar w:fldCharType="separate"/>
      </w:r>
      <w:r>
        <w:rPr>
          <w:color w:val="auto"/>
        </w:rPr>
        <w:t>41</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"_Toc121759998" </w:instrText>
      </w:r>
      <w:r>
        <w:rPr>
          <w:color w:val="auto"/>
        </w:rPr>
        <w:fldChar w:fldCharType="separate"/>
      </w:r>
      <w:r>
        <w:rPr>
          <w:rStyle w:val="48"/>
          <w:rFonts w:ascii="宋体" w:hAnsi="宋体" w:cs="宋体"/>
          <w:color w:val="auto"/>
        </w:rPr>
        <w:t>5</w:t>
      </w:r>
      <w:r>
        <w:rPr>
          <w:rStyle w:val="48"/>
          <w:color w:val="auto"/>
        </w:rPr>
        <w:t xml:space="preserve"> 质量管理措施</w:t>
      </w:r>
      <w:r>
        <w:rPr>
          <w:color w:val="auto"/>
        </w:rPr>
        <w:tab/>
      </w:r>
      <w:r>
        <w:rPr>
          <w:color w:val="auto"/>
        </w:rPr>
        <w:fldChar w:fldCharType="begin"/>
      </w:r>
      <w:r>
        <w:rPr>
          <w:color w:val="auto"/>
        </w:rPr>
        <w:instrText xml:space="preserve"> PAGEREF _Toc121759998 \h </w:instrText>
      </w:r>
      <w:r>
        <w:rPr>
          <w:color w:val="auto"/>
        </w:rPr>
        <w:fldChar w:fldCharType="separate"/>
      </w:r>
      <w:r>
        <w:rPr>
          <w:color w:val="auto"/>
        </w:rPr>
        <w:t>42</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"_Toc121759999" </w:instrText>
      </w:r>
      <w:r>
        <w:rPr>
          <w:color w:val="auto"/>
        </w:rPr>
        <w:fldChar w:fldCharType="separate"/>
      </w:r>
      <w:r>
        <w:rPr>
          <w:rStyle w:val="48"/>
          <w:rFonts w:ascii="宋体" w:hAnsi="宋体" w:cs="宋体"/>
          <w:color w:val="auto"/>
        </w:rPr>
        <w:t>5.1</w:t>
      </w:r>
      <w:r>
        <w:rPr>
          <w:rStyle w:val="48"/>
          <w:color w:val="auto"/>
        </w:rPr>
        <w:t xml:space="preserve"> 质量管理组织机构</w:t>
      </w:r>
      <w:r>
        <w:rPr>
          <w:color w:val="auto"/>
        </w:rPr>
        <w:tab/>
      </w:r>
      <w:r>
        <w:rPr>
          <w:color w:val="auto"/>
        </w:rPr>
        <w:fldChar w:fldCharType="begin"/>
      </w:r>
      <w:r>
        <w:rPr>
          <w:color w:val="auto"/>
        </w:rPr>
        <w:instrText xml:space="preserve"> PAGEREF _Toc121759999 \h </w:instrText>
      </w:r>
      <w:r>
        <w:rPr>
          <w:color w:val="auto"/>
        </w:rPr>
        <w:fldChar w:fldCharType="separate"/>
      </w:r>
      <w:r>
        <w:rPr>
          <w:color w:val="auto"/>
        </w:rPr>
        <w:t>42</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"_Toc121760000" </w:instrText>
      </w:r>
      <w:r>
        <w:rPr>
          <w:color w:val="auto"/>
        </w:rPr>
        <w:fldChar w:fldCharType="separate"/>
      </w:r>
      <w:r>
        <w:rPr>
          <w:rStyle w:val="48"/>
          <w:b/>
          <w:bCs/>
          <w:color w:val="auto"/>
        </w:rPr>
        <w:t>5.2 质量保证体系</w:t>
      </w:r>
      <w:r>
        <w:rPr>
          <w:color w:val="auto"/>
        </w:rPr>
        <w:tab/>
      </w:r>
      <w:r>
        <w:rPr>
          <w:color w:val="auto"/>
        </w:rPr>
        <w:fldChar w:fldCharType="begin"/>
      </w:r>
      <w:r>
        <w:rPr>
          <w:color w:val="auto"/>
        </w:rPr>
        <w:instrText xml:space="preserve"> PAGEREF _Toc121760000 \h </w:instrText>
      </w:r>
      <w:r>
        <w:rPr>
          <w:color w:val="auto"/>
        </w:rPr>
        <w:fldChar w:fldCharType="separate"/>
      </w:r>
      <w:r>
        <w:rPr>
          <w:color w:val="auto"/>
        </w:rPr>
        <w:t>43</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"_Toc121760001" </w:instrText>
      </w:r>
      <w:r>
        <w:rPr>
          <w:color w:val="auto"/>
        </w:rPr>
        <w:fldChar w:fldCharType="separate"/>
      </w:r>
      <w:r>
        <w:rPr>
          <w:rStyle w:val="48"/>
          <w:b/>
          <w:bCs/>
          <w:color w:val="auto"/>
        </w:rPr>
        <w:t>5.3 质量保证措施</w:t>
      </w:r>
      <w:r>
        <w:rPr>
          <w:color w:val="auto"/>
        </w:rPr>
        <w:tab/>
      </w:r>
      <w:r>
        <w:rPr>
          <w:color w:val="auto"/>
        </w:rPr>
        <w:fldChar w:fldCharType="begin"/>
      </w:r>
      <w:r>
        <w:rPr>
          <w:color w:val="auto"/>
        </w:rPr>
        <w:instrText xml:space="preserve"> PAGEREF _Toc121760001 \h </w:instrText>
      </w:r>
      <w:r>
        <w:rPr>
          <w:color w:val="auto"/>
        </w:rPr>
        <w:fldChar w:fldCharType="separate"/>
      </w:r>
      <w:r>
        <w:rPr>
          <w:color w:val="auto"/>
        </w:rPr>
        <w:t>43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"_Toc121760002" </w:instrText>
      </w:r>
      <w:r>
        <w:rPr>
          <w:color w:val="auto"/>
        </w:rPr>
        <w:fldChar w:fldCharType="separate"/>
      </w:r>
      <w:r>
        <w:rPr>
          <w:rStyle w:val="48"/>
          <w:b/>
          <w:bCs/>
          <w:color w:val="auto"/>
        </w:rPr>
        <w:t>5.3.1原材料质量控制措施</w:t>
      </w:r>
      <w:r>
        <w:rPr>
          <w:color w:val="auto"/>
        </w:rPr>
        <w:tab/>
      </w:r>
      <w:r>
        <w:rPr>
          <w:color w:val="auto"/>
        </w:rPr>
        <w:fldChar w:fldCharType="begin"/>
      </w:r>
      <w:r>
        <w:rPr>
          <w:color w:val="auto"/>
        </w:rPr>
        <w:instrText xml:space="preserve"> PAGEREF _Toc121760002 \h </w:instrText>
      </w:r>
      <w:r>
        <w:rPr>
          <w:color w:val="auto"/>
        </w:rPr>
        <w:fldChar w:fldCharType="separate"/>
      </w:r>
      <w:r>
        <w:rPr>
          <w:color w:val="auto"/>
        </w:rPr>
        <w:t>43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"_Toc121760003" </w:instrText>
      </w:r>
      <w:r>
        <w:rPr>
          <w:color w:val="auto"/>
        </w:rPr>
        <w:fldChar w:fldCharType="separate"/>
      </w:r>
      <w:r>
        <w:rPr>
          <w:rStyle w:val="48"/>
          <w:b/>
          <w:bCs/>
          <w:color w:val="auto"/>
        </w:rPr>
        <w:t>5.3.2过程质量控制措施</w:t>
      </w:r>
      <w:r>
        <w:rPr>
          <w:color w:val="auto"/>
        </w:rPr>
        <w:tab/>
      </w:r>
      <w:r>
        <w:rPr>
          <w:color w:val="auto"/>
        </w:rPr>
        <w:fldChar w:fldCharType="begin"/>
      </w:r>
      <w:r>
        <w:rPr>
          <w:color w:val="auto"/>
        </w:rPr>
        <w:instrText xml:space="preserve"> PAGEREF _Toc121760003 \h </w:instrText>
      </w:r>
      <w:r>
        <w:rPr>
          <w:color w:val="auto"/>
        </w:rPr>
        <w:fldChar w:fldCharType="separate"/>
      </w:r>
      <w:r>
        <w:rPr>
          <w:color w:val="auto"/>
        </w:rPr>
        <w:t>44</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"_Toc121760004" </w:instrText>
      </w:r>
      <w:r>
        <w:rPr>
          <w:color w:val="auto"/>
        </w:rPr>
        <w:fldChar w:fldCharType="separate"/>
      </w:r>
      <w:r>
        <w:rPr>
          <w:rStyle w:val="48"/>
          <w:rFonts w:ascii="宋体" w:hAnsi="宋体" w:cs="宋体"/>
          <w:color w:val="auto"/>
        </w:rPr>
        <w:t>6</w:t>
      </w:r>
      <w:r>
        <w:rPr>
          <w:rStyle w:val="48"/>
          <w:color w:val="auto"/>
        </w:rPr>
        <w:t xml:space="preserve"> 危源辨识及安全保证措施</w:t>
      </w:r>
      <w:r>
        <w:rPr>
          <w:color w:val="auto"/>
        </w:rPr>
        <w:tab/>
      </w:r>
      <w:r>
        <w:rPr>
          <w:color w:val="auto"/>
        </w:rPr>
        <w:fldChar w:fldCharType="begin"/>
      </w:r>
      <w:r>
        <w:rPr>
          <w:color w:val="auto"/>
        </w:rPr>
        <w:instrText xml:space="preserve"> PAGEREF _Toc121760004 \h </w:instrText>
      </w:r>
      <w:r>
        <w:rPr>
          <w:color w:val="auto"/>
        </w:rPr>
        <w:fldChar w:fldCharType="separate"/>
      </w:r>
      <w:r>
        <w:rPr>
          <w:color w:val="auto"/>
        </w:rPr>
        <w:t>46</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"_Toc121760005" </w:instrText>
      </w:r>
      <w:r>
        <w:rPr>
          <w:color w:val="auto"/>
        </w:rPr>
        <w:fldChar w:fldCharType="separate"/>
      </w:r>
      <w:r>
        <w:rPr>
          <w:rStyle w:val="48"/>
          <w:rFonts w:ascii="宋体" w:hAnsi="宋体" w:cs="宋体"/>
          <w:color w:val="auto"/>
        </w:rPr>
        <w:t>6.1</w:t>
      </w:r>
      <w:r>
        <w:rPr>
          <w:rStyle w:val="48"/>
          <w:color w:val="auto"/>
        </w:rPr>
        <w:t xml:space="preserve"> 危险源辨识及分析</w:t>
      </w:r>
      <w:r>
        <w:rPr>
          <w:color w:val="auto"/>
        </w:rPr>
        <w:tab/>
      </w:r>
      <w:r>
        <w:rPr>
          <w:color w:val="auto"/>
        </w:rPr>
        <w:fldChar w:fldCharType="begin"/>
      </w:r>
      <w:r>
        <w:rPr>
          <w:color w:val="auto"/>
        </w:rPr>
        <w:instrText xml:space="preserve"> PAGEREF _Toc121760005 \h </w:instrText>
      </w:r>
      <w:r>
        <w:rPr>
          <w:color w:val="auto"/>
        </w:rPr>
        <w:fldChar w:fldCharType="separate"/>
      </w:r>
      <w:r>
        <w:rPr>
          <w:color w:val="auto"/>
        </w:rPr>
        <w:t>46</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"_Toc121760006" </w:instrText>
      </w:r>
      <w:r>
        <w:rPr>
          <w:color w:val="auto"/>
        </w:rPr>
        <w:fldChar w:fldCharType="separate"/>
      </w:r>
      <w:r>
        <w:rPr>
          <w:rStyle w:val="48"/>
          <w:rFonts w:cs="宋体"/>
          <w:color w:val="auto"/>
        </w:rPr>
        <w:t>6.1.1</w:t>
      </w:r>
      <w:r>
        <w:rPr>
          <w:rStyle w:val="48"/>
          <w:color w:val="auto"/>
        </w:rPr>
        <w:t xml:space="preserve"> LEC辨识方法简介</w:t>
      </w:r>
      <w:r>
        <w:rPr>
          <w:color w:val="auto"/>
        </w:rPr>
        <w:tab/>
      </w:r>
      <w:r>
        <w:rPr>
          <w:color w:val="auto"/>
        </w:rPr>
        <w:fldChar w:fldCharType="begin"/>
      </w:r>
      <w:r>
        <w:rPr>
          <w:color w:val="auto"/>
        </w:rPr>
        <w:instrText xml:space="preserve"> PAGEREF _Toc121760006 \h </w:instrText>
      </w:r>
      <w:r>
        <w:rPr>
          <w:color w:val="auto"/>
        </w:rPr>
        <w:fldChar w:fldCharType="separate"/>
      </w:r>
      <w:r>
        <w:rPr>
          <w:color w:val="auto"/>
        </w:rPr>
        <w:t>46</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"_Toc121760007" </w:instrText>
      </w:r>
      <w:r>
        <w:rPr>
          <w:color w:val="auto"/>
        </w:rPr>
        <w:fldChar w:fldCharType="separate"/>
      </w:r>
      <w:r>
        <w:rPr>
          <w:rStyle w:val="48"/>
          <w:rFonts w:cs="宋体"/>
          <w:color w:val="auto"/>
        </w:rPr>
        <w:t>6.1.2</w:t>
      </w:r>
      <w:r>
        <w:rPr>
          <w:rStyle w:val="48"/>
          <w:color w:val="auto"/>
        </w:rPr>
        <w:t xml:space="preserve"> 风险有害因素辨识及评价</w:t>
      </w:r>
      <w:r>
        <w:rPr>
          <w:color w:val="auto"/>
        </w:rPr>
        <w:tab/>
      </w:r>
      <w:r>
        <w:rPr>
          <w:color w:val="auto"/>
        </w:rPr>
        <w:fldChar w:fldCharType="begin"/>
      </w:r>
      <w:r>
        <w:rPr>
          <w:color w:val="auto"/>
        </w:rPr>
        <w:instrText xml:space="preserve"> PAGEREF _Toc121760007 \h </w:instrText>
      </w:r>
      <w:r>
        <w:rPr>
          <w:color w:val="auto"/>
        </w:rPr>
        <w:fldChar w:fldCharType="separate"/>
      </w:r>
      <w:r>
        <w:rPr>
          <w:color w:val="auto"/>
        </w:rPr>
        <w:t>48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"_Toc121760008" </w:instrText>
      </w:r>
      <w:r>
        <w:rPr>
          <w:color w:val="auto"/>
        </w:rPr>
        <w:fldChar w:fldCharType="separate"/>
      </w:r>
      <w:r>
        <w:rPr>
          <w:rStyle w:val="48"/>
          <w:rFonts w:cs="宋体"/>
          <w:color w:val="auto"/>
        </w:rPr>
        <w:t>6.1.3</w:t>
      </w:r>
      <w:r>
        <w:rPr>
          <w:rStyle w:val="48"/>
          <w:color w:val="auto"/>
        </w:rPr>
        <w:t xml:space="preserve"> 风险分析结论</w:t>
      </w:r>
      <w:r>
        <w:rPr>
          <w:color w:val="auto"/>
        </w:rPr>
        <w:tab/>
      </w:r>
      <w:r>
        <w:rPr>
          <w:color w:val="auto"/>
        </w:rPr>
        <w:fldChar w:fldCharType="begin"/>
      </w:r>
      <w:r>
        <w:rPr>
          <w:color w:val="auto"/>
        </w:rPr>
        <w:instrText xml:space="preserve"> PAGEREF _Toc121760008 \h </w:instrText>
      </w:r>
      <w:r>
        <w:rPr>
          <w:color w:val="auto"/>
        </w:rPr>
        <w:fldChar w:fldCharType="separate"/>
      </w:r>
      <w:r>
        <w:rPr>
          <w:color w:val="auto"/>
        </w:rPr>
        <w:t>48</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"_Toc121760009" </w:instrText>
      </w:r>
      <w:r>
        <w:rPr>
          <w:color w:val="auto"/>
        </w:rPr>
        <w:fldChar w:fldCharType="separate"/>
      </w:r>
      <w:r>
        <w:rPr>
          <w:rStyle w:val="48"/>
          <w:rFonts w:ascii="宋体" w:hAnsi="宋体" w:cs="宋体"/>
          <w:color w:val="auto"/>
        </w:rPr>
        <w:t>6.2</w:t>
      </w:r>
      <w:r>
        <w:rPr>
          <w:rStyle w:val="48"/>
          <w:color w:val="auto"/>
        </w:rPr>
        <w:t xml:space="preserve"> 组织保障措施</w:t>
      </w:r>
      <w:r>
        <w:rPr>
          <w:color w:val="auto"/>
        </w:rPr>
        <w:tab/>
      </w:r>
      <w:r>
        <w:rPr>
          <w:color w:val="auto"/>
        </w:rPr>
        <w:fldChar w:fldCharType="begin"/>
      </w:r>
      <w:r>
        <w:rPr>
          <w:color w:val="auto"/>
        </w:rPr>
        <w:instrText xml:space="preserve"> PAGEREF _Toc121760009 \h </w:instrText>
      </w:r>
      <w:r>
        <w:rPr>
          <w:color w:val="auto"/>
        </w:rPr>
        <w:fldChar w:fldCharType="separate"/>
      </w:r>
      <w:r>
        <w:rPr>
          <w:color w:val="auto"/>
        </w:rPr>
        <w:t>56</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"_Toc121760010" </w:instrText>
      </w:r>
      <w:r>
        <w:rPr>
          <w:color w:val="auto"/>
        </w:rPr>
        <w:fldChar w:fldCharType="separate"/>
      </w:r>
      <w:r>
        <w:rPr>
          <w:rStyle w:val="48"/>
          <w:rFonts w:cs="宋体"/>
          <w:color w:val="auto"/>
        </w:rPr>
        <w:t>6.2.1</w:t>
      </w:r>
      <w:r>
        <w:rPr>
          <w:rStyle w:val="48"/>
          <w:color w:val="auto"/>
        </w:rPr>
        <w:t xml:space="preserve"> 安全管理组织机构</w:t>
      </w:r>
      <w:r>
        <w:rPr>
          <w:color w:val="auto"/>
        </w:rPr>
        <w:tab/>
      </w:r>
      <w:r>
        <w:rPr>
          <w:color w:val="auto"/>
        </w:rPr>
        <w:fldChar w:fldCharType="begin"/>
      </w:r>
      <w:r>
        <w:rPr>
          <w:color w:val="auto"/>
        </w:rPr>
        <w:instrText xml:space="preserve"> PAGEREF _Toc121760010 \h </w:instrText>
      </w:r>
      <w:r>
        <w:rPr>
          <w:color w:val="auto"/>
        </w:rPr>
        <w:fldChar w:fldCharType="separate"/>
      </w:r>
      <w:r>
        <w:rPr>
          <w:color w:val="auto"/>
        </w:rPr>
        <w:t>56</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"_Toc121760011" </w:instrText>
      </w:r>
      <w:r>
        <w:rPr>
          <w:color w:val="auto"/>
        </w:rPr>
        <w:fldChar w:fldCharType="separate"/>
      </w:r>
      <w:r>
        <w:rPr>
          <w:rStyle w:val="48"/>
          <w:rFonts w:cs="宋体"/>
          <w:color w:val="auto"/>
        </w:rPr>
        <w:t>6.2.2</w:t>
      </w:r>
      <w:r>
        <w:rPr>
          <w:rStyle w:val="48"/>
          <w:color w:val="auto"/>
        </w:rPr>
        <w:t xml:space="preserve"> 安全生产职责</w:t>
      </w:r>
      <w:r>
        <w:rPr>
          <w:color w:val="auto"/>
        </w:rPr>
        <w:tab/>
      </w:r>
      <w:r>
        <w:rPr>
          <w:color w:val="auto"/>
        </w:rPr>
        <w:fldChar w:fldCharType="begin"/>
      </w:r>
      <w:r>
        <w:rPr>
          <w:color w:val="auto"/>
        </w:rPr>
        <w:instrText xml:space="preserve"> PAGEREF _Toc121760011 \h </w:instrText>
      </w:r>
      <w:r>
        <w:rPr>
          <w:color w:val="auto"/>
        </w:rPr>
        <w:fldChar w:fldCharType="separate"/>
      </w:r>
      <w:r>
        <w:rPr>
          <w:color w:val="auto"/>
        </w:rPr>
        <w:t>58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"_Toc121760012" </w:instrText>
      </w:r>
      <w:r>
        <w:rPr>
          <w:color w:val="auto"/>
        </w:rPr>
        <w:fldChar w:fldCharType="separate"/>
      </w:r>
      <w:r>
        <w:rPr>
          <w:rStyle w:val="48"/>
          <w:rFonts w:cs="宋体"/>
          <w:color w:val="auto"/>
        </w:rPr>
        <w:t>6.2.3</w:t>
      </w:r>
      <w:r>
        <w:rPr>
          <w:rStyle w:val="48"/>
          <w:color w:val="auto"/>
        </w:rPr>
        <w:t xml:space="preserve"> 安全保证体系</w:t>
      </w:r>
      <w:r>
        <w:rPr>
          <w:color w:val="auto"/>
        </w:rPr>
        <w:tab/>
      </w:r>
      <w:r>
        <w:rPr>
          <w:color w:val="auto"/>
        </w:rPr>
        <w:fldChar w:fldCharType="begin"/>
      </w:r>
      <w:r>
        <w:rPr>
          <w:color w:val="auto"/>
        </w:rPr>
        <w:instrText xml:space="preserve"> PAGEREF _Toc121760012 \h </w:instrText>
      </w:r>
      <w:r>
        <w:rPr>
          <w:color w:val="auto"/>
        </w:rPr>
        <w:fldChar w:fldCharType="separate"/>
      </w:r>
      <w:r>
        <w:rPr>
          <w:color w:val="auto"/>
        </w:rPr>
        <w:t>64</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"_Toc121760013" </w:instrText>
      </w:r>
      <w:r>
        <w:rPr>
          <w:color w:val="auto"/>
        </w:rPr>
        <w:fldChar w:fldCharType="separate"/>
      </w:r>
      <w:r>
        <w:rPr>
          <w:rStyle w:val="48"/>
          <w:rFonts w:cs="宋体"/>
          <w:color w:val="auto"/>
        </w:rPr>
        <w:t>6.2.4</w:t>
      </w:r>
      <w:r>
        <w:rPr>
          <w:rStyle w:val="48"/>
          <w:color w:val="auto"/>
        </w:rPr>
        <w:t xml:space="preserve"> 安全管理保证措施</w:t>
      </w:r>
      <w:r>
        <w:rPr>
          <w:color w:val="auto"/>
        </w:rPr>
        <w:tab/>
      </w:r>
      <w:r>
        <w:rPr>
          <w:color w:val="auto"/>
        </w:rPr>
        <w:fldChar w:fldCharType="begin"/>
      </w:r>
      <w:r>
        <w:rPr>
          <w:color w:val="auto"/>
        </w:rPr>
        <w:instrText xml:space="preserve"> PAGEREF _Toc121760013 \h </w:instrText>
      </w:r>
      <w:r>
        <w:rPr>
          <w:color w:val="auto"/>
        </w:rPr>
        <w:fldChar w:fldCharType="separate"/>
      </w:r>
      <w:r>
        <w:rPr>
          <w:color w:val="auto"/>
        </w:rPr>
        <w:t>65</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"_Toc121760014" </w:instrText>
      </w:r>
      <w:r>
        <w:rPr>
          <w:color w:val="auto"/>
        </w:rPr>
        <w:fldChar w:fldCharType="separate"/>
      </w:r>
      <w:r>
        <w:rPr>
          <w:rStyle w:val="48"/>
          <w:rFonts w:ascii="宋体" w:hAnsi="宋体" w:cs="宋体"/>
          <w:color w:val="auto"/>
        </w:rPr>
        <w:t>6.3</w:t>
      </w:r>
      <w:r>
        <w:rPr>
          <w:rStyle w:val="48"/>
          <w:color w:val="auto"/>
        </w:rPr>
        <w:t xml:space="preserve"> 安全技术措施</w:t>
      </w:r>
      <w:r>
        <w:rPr>
          <w:color w:val="auto"/>
        </w:rPr>
        <w:tab/>
      </w:r>
      <w:r>
        <w:rPr>
          <w:color w:val="auto"/>
        </w:rPr>
        <w:fldChar w:fldCharType="begin"/>
      </w:r>
      <w:r>
        <w:rPr>
          <w:color w:val="auto"/>
        </w:rPr>
        <w:instrText xml:space="preserve"> PAGEREF _Toc121760014 \h </w:instrText>
      </w:r>
      <w:r>
        <w:rPr>
          <w:color w:val="auto"/>
        </w:rPr>
        <w:fldChar w:fldCharType="separate"/>
      </w:r>
      <w:r>
        <w:rPr>
          <w:color w:val="auto"/>
        </w:rPr>
        <w:t>68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"_Toc121760015" </w:instrText>
      </w:r>
      <w:r>
        <w:rPr>
          <w:color w:val="auto"/>
        </w:rPr>
        <w:fldChar w:fldCharType="separate"/>
      </w:r>
      <w:r>
        <w:rPr>
          <w:rStyle w:val="48"/>
          <w:rFonts w:cs="宋体"/>
          <w:color w:val="auto"/>
        </w:rPr>
        <w:t>6.3.1</w:t>
      </w:r>
      <w:r>
        <w:rPr>
          <w:rStyle w:val="48"/>
          <w:color w:val="auto"/>
        </w:rPr>
        <w:t xml:space="preserve"> 基础及辅助钢管施工安全措施</w:t>
      </w:r>
      <w:r>
        <w:rPr>
          <w:color w:val="auto"/>
        </w:rPr>
        <w:tab/>
      </w:r>
      <w:r>
        <w:rPr>
          <w:color w:val="auto"/>
        </w:rPr>
        <w:fldChar w:fldCharType="begin"/>
      </w:r>
      <w:r>
        <w:rPr>
          <w:color w:val="auto"/>
        </w:rPr>
        <w:instrText xml:space="preserve"> PAGEREF _Toc121760015 \h </w:instrText>
      </w:r>
      <w:r>
        <w:rPr>
          <w:color w:val="auto"/>
        </w:rPr>
        <w:fldChar w:fldCharType="separate"/>
      </w:r>
      <w:r>
        <w:rPr>
          <w:color w:val="auto"/>
        </w:rPr>
        <w:t>68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"_Toc121760016" </w:instrText>
      </w:r>
      <w:r>
        <w:rPr>
          <w:color w:val="auto"/>
        </w:rPr>
        <w:fldChar w:fldCharType="separate"/>
      </w:r>
      <w:r>
        <w:rPr>
          <w:rStyle w:val="48"/>
          <w:rFonts w:cs="宋体"/>
          <w:color w:val="auto"/>
        </w:rPr>
        <w:t>6.3.2</w:t>
      </w:r>
      <w:r>
        <w:rPr>
          <w:rStyle w:val="48"/>
          <w:color w:val="auto"/>
        </w:rPr>
        <w:t xml:space="preserve"> 底盘及标准节的安拆安全措施</w:t>
      </w:r>
      <w:r>
        <w:rPr>
          <w:color w:val="auto"/>
        </w:rPr>
        <w:tab/>
      </w:r>
      <w:r>
        <w:rPr>
          <w:color w:val="auto"/>
        </w:rPr>
        <w:fldChar w:fldCharType="begin"/>
      </w:r>
      <w:r>
        <w:rPr>
          <w:color w:val="auto"/>
        </w:rPr>
        <w:instrText xml:space="preserve"> PAGEREF _Toc121760016 \h </w:instrText>
      </w:r>
      <w:r>
        <w:rPr>
          <w:color w:val="auto"/>
        </w:rPr>
        <w:fldChar w:fldCharType="separate"/>
      </w:r>
      <w:r>
        <w:rPr>
          <w:color w:val="auto"/>
        </w:rPr>
        <w:t>68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"_Toc121760017" </w:instrText>
      </w:r>
      <w:r>
        <w:rPr>
          <w:color w:val="auto"/>
        </w:rPr>
        <w:fldChar w:fldCharType="separate"/>
      </w:r>
      <w:r>
        <w:rPr>
          <w:rStyle w:val="48"/>
          <w:rFonts w:cs="宋体"/>
          <w:color w:val="auto"/>
        </w:rPr>
        <w:t>6.3.3</w:t>
      </w:r>
      <w:r>
        <w:rPr>
          <w:rStyle w:val="48"/>
          <w:color w:val="auto"/>
        </w:rPr>
        <w:t xml:space="preserve"> 外笼（围栏门支撑和电源柜等）及缓冲弹簧安拆安全措施</w:t>
      </w:r>
      <w:r>
        <w:rPr>
          <w:color w:val="auto"/>
        </w:rPr>
        <w:tab/>
      </w:r>
      <w:r>
        <w:rPr>
          <w:color w:val="auto"/>
        </w:rPr>
        <w:fldChar w:fldCharType="begin"/>
      </w:r>
      <w:r>
        <w:rPr>
          <w:color w:val="auto"/>
        </w:rPr>
        <w:instrText xml:space="preserve"> PAGEREF _Toc121760017 \h </w:instrText>
      </w:r>
      <w:r>
        <w:rPr>
          <w:color w:val="auto"/>
        </w:rPr>
        <w:fldChar w:fldCharType="separate"/>
      </w:r>
      <w:r>
        <w:rPr>
          <w:color w:val="auto"/>
        </w:rPr>
        <w:t>68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"_Toc121760018" </w:instrText>
      </w:r>
      <w:r>
        <w:rPr>
          <w:color w:val="auto"/>
        </w:rPr>
        <w:fldChar w:fldCharType="separate"/>
      </w:r>
      <w:r>
        <w:rPr>
          <w:rStyle w:val="48"/>
          <w:rFonts w:cs="宋体"/>
          <w:color w:val="auto"/>
        </w:rPr>
        <w:t>6.3.4</w:t>
      </w:r>
      <w:r>
        <w:rPr>
          <w:rStyle w:val="48"/>
          <w:color w:val="auto"/>
        </w:rPr>
        <w:t xml:space="preserve"> 吊笼及其顶部围栏和传动机构安拆安全措施</w:t>
      </w:r>
      <w:r>
        <w:rPr>
          <w:color w:val="auto"/>
        </w:rPr>
        <w:tab/>
      </w:r>
      <w:r>
        <w:rPr>
          <w:color w:val="auto"/>
        </w:rPr>
        <w:fldChar w:fldCharType="begin"/>
      </w:r>
      <w:r>
        <w:rPr>
          <w:color w:val="auto"/>
        </w:rPr>
        <w:instrText xml:space="preserve"> PAGEREF _Toc121760018 \h </w:instrText>
      </w:r>
      <w:r>
        <w:rPr>
          <w:color w:val="auto"/>
        </w:rPr>
        <w:fldChar w:fldCharType="separate"/>
      </w:r>
      <w:r>
        <w:rPr>
          <w:color w:val="auto"/>
        </w:rPr>
        <w:t>68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"_Toc121760019" </w:instrText>
      </w:r>
      <w:r>
        <w:rPr>
          <w:color w:val="auto"/>
        </w:rPr>
        <w:fldChar w:fldCharType="separate"/>
      </w:r>
      <w:r>
        <w:rPr>
          <w:rStyle w:val="48"/>
          <w:rFonts w:cs="宋体"/>
          <w:color w:val="auto"/>
        </w:rPr>
        <w:t>6.3.5</w:t>
      </w:r>
      <w:r>
        <w:rPr>
          <w:rStyle w:val="48"/>
          <w:color w:val="auto"/>
        </w:rPr>
        <w:t xml:space="preserve"> 吊杆安拆安全措施</w:t>
      </w:r>
      <w:r>
        <w:rPr>
          <w:color w:val="auto"/>
        </w:rPr>
        <w:tab/>
      </w:r>
      <w:r>
        <w:rPr>
          <w:color w:val="auto"/>
        </w:rPr>
        <w:fldChar w:fldCharType="begin"/>
      </w:r>
      <w:r>
        <w:rPr>
          <w:color w:val="auto"/>
        </w:rPr>
        <w:instrText xml:space="preserve"> PAGEREF _Toc121760019 \h </w:instrText>
      </w:r>
      <w:r>
        <w:rPr>
          <w:color w:val="auto"/>
        </w:rPr>
        <w:fldChar w:fldCharType="separate"/>
      </w:r>
      <w:r>
        <w:rPr>
          <w:color w:val="auto"/>
        </w:rPr>
        <w:t>69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"_Toc121760020" </w:instrText>
      </w:r>
      <w:r>
        <w:rPr>
          <w:color w:val="auto"/>
        </w:rPr>
        <w:fldChar w:fldCharType="separate"/>
      </w:r>
      <w:r>
        <w:rPr>
          <w:rStyle w:val="48"/>
          <w:rFonts w:cs="宋体"/>
          <w:color w:val="auto"/>
        </w:rPr>
        <w:t>6.3.6</w:t>
      </w:r>
      <w:r>
        <w:rPr>
          <w:rStyle w:val="48"/>
          <w:color w:val="auto"/>
        </w:rPr>
        <w:t xml:space="preserve"> 安全电控系统安拆安全措施</w:t>
      </w:r>
      <w:r>
        <w:rPr>
          <w:color w:val="auto"/>
        </w:rPr>
        <w:tab/>
      </w:r>
      <w:r>
        <w:rPr>
          <w:color w:val="auto"/>
        </w:rPr>
        <w:fldChar w:fldCharType="begin"/>
      </w:r>
      <w:r>
        <w:rPr>
          <w:color w:val="auto"/>
        </w:rPr>
        <w:instrText xml:space="preserve"> PAGEREF _Toc121760020 \h </w:instrText>
      </w:r>
      <w:r>
        <w:rPr>
          <w:color w:val="auto"/>
        </w:rPr>
        <w:fldChar w:fldCharType="separate"/>
      </w:r>
      <w:r>
        <w:rPr>
          <w:color w:val="auto"/>
        </w:rPr>
        <w:t>69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"_Toc121760021" </w:instrText>
      </w:r>
      <w:r>
        <w:rPr>
          <w:color w:val="auto"/>
        </w:rPr>
        <w:fldChar w:fldCharType="separate"/>
      </w:r>
      <w:r>
        <w:rPr>
          <w:rStyle w:val="48"/>
          <w:rFonts w:cs="宋体"/>
          <w:color w:val="auto"/>
        </w:rPr>
        <w:t>6.3.7</w:t>
      </w:r>
      <w:r>
        <w:rPr>
          <w:rStyle w:val="48"/>
          <w:color w:val="auto"/>
        </w:rPr>
        <w:t xml:space="preserve"> 导轨架安拆安全措施</w:t>
      </w:r>
      <w:r>
        <w:rPr>
          <w:color w:val="auto"/>
        </w:rPr>
        <w:tab/>
      </w:r>
      <w:r>
        <w:rPr>
          <w:color w:val="auto"/>
        </w:rPr>
        <w:fldChar w:fldCharType="begin"/>
      </w:r>
      <w:r>
        <w:rPr>
          <w:color w:val="auto"/>
        </w:rPr>
        <w:instrText xml:space="preserve"> PAGEREF _Toc121760021 \h </w:instrText>
      </w:r>
      <w:r>
        <w:rPr>
          <w:color w:val="auto"/>
        </w:rPr>
        <w:fldChar w:fldCharType="separate"/>
      </w:r>
      <w:r>
        <w:rPr>
          <w:color w:val="auto"/>
        </w:rPr>
        <w:t>69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"_Toc121760022" </w:instrText>
      </w:r>
      <w:r>
        <w:rPr>
          <w:color w:val="auto"/>
        </w:rPr>
        <w:fldChar w:fldCharType="separate"/>
      </w:r>
      <w:r>
        <w:rPr>
          <w:rStyle w:val="48"/>
          <w:rFonts w:cs="宋体"/>
          <w:color w:val="auto"/>
        </w:rPr>
        <w:t>6.3.8</w:t>
      </w:r>
      <w:r>
        <w:rPr>
          <w:rStyle w:val="48"/>
          <w:color w:val="auto"/>
        </w:rPr>
        <w:t xml:space="preserve"> 附墙安装与拆除安全措施</w:t>
      </w:r>
      <w:r>
        <w:rPr>
          <w:color w:val="auto"/>
        </w:rPr>
        <w:tab/>
      </w:r>
      <w:r>
        <w:rPr>
          <w:color w:val="auto"/>
        </w:rPr>
        <w:fldChar w:fldCharType="begin"/>
      </w:r>
      <w:r>
        <w:rPr>
          <w:color w:val="auto"/>
        </w:rPr>
        <w:instrText xml:space="preserve"> PAGEREF _Toc121760022 \h </w:instrText>
      </w:r>
      <w:r>
        <w:rPr>
          <w:color w:val="auto"/>
        </w:rPr>
        <w:fldChar w:fldCharType="separate"/>
      </w:r>
      <w:r>
        <w:rPr>
          <w:color w:val="auto"/>
        </w:rPr>
        <w:t>69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"_Toc121760023" </w:instrText>
      </w:r>
      <w:r>
        <w:rPr>
          <w:color w:val="auto"/>
        </w:rPr>
        <w:fldChar w:fldCharType="separate"/>
      </w:r>
      <w:r>
        <w:rPr>
          <w:rStyle w:val="48"/>
          <w:rFonts w:cs="宋体"/>
          <w:color w:val="auto"/>
          <w:lang w:val="zh-CN"/>
        </w:rPr>
        <w:t>6.3.9</w:t>
      </w:r>
      <w:r>
        <w:rPr>
          <w:rStyle w:val="48"/>
          <w:color w:val="auto"/>
          <w:lang w:val="zh-CN"/>
        </w:rPr>
        <w:t xml:space="preserve"> 高处作业安全</w:t>
      </w:r>
      <w:r>
        <w:rPr>
          <w:rStyle w:val="48"/>
          <w:color w:val="auto"/>
        </w:rPr>
        <w:t>技术</w:t>
      </w:r>
      <w:r>
        <w:rPr>
          <w:rStyle w:val="48"/>
          <w:color w:val="auto"/>
          <w:lang w:val="zh-CN"/>
        </w:rPr>
        <w:t>措施</w:t>
      </w:r>
      <w:r>
        <w:rPr>
          <w:color w:val="auto"/>
        </w:rPr>
        <w:tab/>
      </w:r>
      <w:r>
        <w:rPr>
          <w:color w:val="auto"/>
        </w:rPr>
        <w:fldChar w:fldCharType="begin"/>
      </w:r>
      <w:r>
        <w:rPr>
          <w:color w:val="auto"/>
        </w:rPr>
        <w:instrText xml:space="preserve"> PAGEREF _Toc121760023 \h </w:instrText>
      </w:r>
      <w:r>
        <w:rPr>
          <w:color w:val="auto"/>
        </w:rPr>
        <w:fldChar w:fldCharType="separate"/>
      </w:r>
      <w:r>
        <w:rPr>
          <w:color w:val="auto"/>
        </w:rPr>
        <w:t>70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"_Toc121760024" </w:instrText>
      </w:r>
      <w:r>
        <w:rPr>
          <w:color w:val="auto"/>
        </w:rPr>
        <w:fldChar w:fldCharType="separate"/>
      </w:r>
      <w:r>
        <w:rPr>
          <w:rStyle w:val="48"/>
          <w:rFonts w:cs="宋体"/>
          <w:color w:val="auto"/>
        </w:rPr>
        <w:t>6.3.10</w:t>
      </w:r>
      <w:r>
        <w:rPr>
          <w:rStyle w:val="48"/>
          <w:color w:val="auto"/>
        </w:rPr>
        <w:t xml:space="preserve"> 起重作业安全技术措施</w:t>
      </w:r>
      <w:r>
        <w:rPr>
          <w:color w:val="auto"/>
        </w:rPr>
        <w:tab/>
      </w:r>
      <w:r>
        <w:rPr>
          <w:color w:val="auto"/>
        </w:rPr>
        <w:fldChar w:fldCharType="begin"/>
      </w:r>
      <w:r>
        <w:rPr>
          <w:color w:val="auto"/>
        </w:rPr>
        <w:instrText xml:space="preserve"> PAGEREF _Toc121760024 \h </w:instrText>
      </w:r>
      <w:r>
        <w:rPr>
          <w:color w:val="auto"/>
        </w:rPr>
        <w:fldChar w:fldCharType="separate"/>
      </w:r>
      <w:r>
        <w:rPr>
          <w:color w:val="auto"/>
        </w:rPr>
        <w:t>72</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"_Toc121760025" </w:instrText>
      </w:r>
      <w:r>
        <w:rPr>
          <w:color w:val="auto"/>
        </w:rPr>
        <w:fldChar w:fldCharType="separate"/>
      </w:r>
      <w:r>
        <w:rPr>
          <w:rStyle w:val="48"/>
          <w:rFonts w:cs="宋体"/>
          <w:color w:val="auto"/>
        </w:rPr>
        <w:t>6.3.11</w:t>
      </w:r>
      <w:r>
        <w:rPr>
          <w:rStyle w:val="48"/>
          <w:color w:val="auto"/>
        </w:rPr>
        <w:t xml:space="preserve"> 电焊作业安全技术措施</w:t>
      </w:r>
      <w:r>
        <w:rPr>
          <w:color w:val="auto"/>
        </w:rPr>
        <w:tab/>
      </w:r>
      <w:r>
        <w:rPr>
          <w:color w:val="auto"/>
        </w:rPr>
        <w:fldChar w:fldCharType="begin"/>
      </w:r>
      <w:r>
        <w:rPr>
          <w:color w:val="auto"/>
        </w:rPr>
        <w:instrText xml:space="preserve"> PAGEREF _Toc121760025 \h </w:instrText>
      </w:r>
      <w:r>
        <w:rPr>
          <w:color w:val="auto"/>
        </w:rPr>
        <w:fldChar w:fldCharType="separate"/>
      </w:r>
      <w:r>
        <w:rPr>
          <w:color w:val="auto"/>
        </w:rPr>
        <w:t>73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"_Toc121760026" </w:instrText>
      </w:r>
      <w:r>
        <w:rPr>
          <w:color w:val="auto"/>
        </w:rPr>
        <w:fldChar w:fldCharType="separate"/>
      </w:r>
      <w:r>
        <w:rPr>
          <w:rStyle w:val="48"/>
          <w:rFonts w:cs="宋体"/>
          <w:color w:val="auto"/>
        </w:rPr>
        <w:t>6.3.12</w:t>
      </w:r>
      <w:r>
        <w:rPr>
          <w:rStyle w:val="48"/>
          <w:color w:val="auto"/>
        </w:rPr>
        <w:t xml:space="preserve"> 气割作业安全技术措施</w:t>
      </w:r>
      <w:r>
        <w:rPr>
          <w:color w:val="auto"/>
        </w:rPr>
        <w:tab/>
      </w:r>
      <w:r>
        <w:rPr>
          <w:color w:val="auto"/>
        </w:rPr>
        <w:fldChar w:fldCharType="begin"/>
      </w:r>
      <w:r>
        <w:rPr>
          <w:color w:val="auto"/>
        </w:rPr>
        <w:instrText xml:space="preserve"> PAGEREF _Toc121760026 \h </w:instrText>
      </w:r>
      <w:r>
        <w:rPr>
          <w:color w:val="auto"/>
        </w:rPr>
        <w:fldChar w:fldCharType="separate"/>
      </w:r>
      <w:r>
        <w:rPr>
          <w:color w:val="auto"/>
        </w:rPr>
        <w:t>74</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"_Toc121760027" </w:instrText>
      </w:r>
      <w:r>
        <w:rPr>
          <w:color w:val="auto"/>
        </w:rPr>
        <w:fldChar w:fldCharType="separate"/>
      </w:r>
      <w:r>
        <w:rPr>
          <w:rStyle w:val="48"/>
          <w:rFonts w:cs="宋体"/>
          <w:color w:val="auto"/>
        </w:rPr>
        <w:t>6.3.13</w:t>
      </w:r>
      <w:r>
        <w:rPr>
          <w:rStyle w:val="48"/>
          <w:color w:val="auto"/>
        </w:rPr>
        <w:t xml:space="preserve"> 临时用电安全技术措施</w:t>
      </w:r>
      <w:r>
        <w:rPr>
          <w:color w:val="auto"/>
        </w:rPr>
        <w:tab/>
      </w:r>
      <w:r>
        <w:rPr>
          <w:color w:val="auto"/>
        </w:rPr>
        <w:fldChar w:fldCharType="begin"/>
      </w:r>
      <w:r>
        <w:rPr>
          <w:color w:val="auto"/>
        </w:rPr>
        <w:instrText xml:space="preserve"> PAGEREF _Toc121760027 \h </w:instrText>
      </w:r>
      <w:r>
        <w:rPr>
          <w:color w:val="auto"/>
        </w:rPr>
        <w:fldChar w:fldCharType="separate"/>
      </w:r>
      <w:r>
        <w:rPr>
          <w:color w:val="auto"/>
        </w:rPr>
        <w:t>75</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"_Toc121760028" </w:instrText>
      </w:r>
      <w:r>
        <w:rPr>
          <w:color w:val="auto"/>
        </w:rPr>
        <w:fldChar w:fldCharType="separate"/>
      </w:r>
      <w:r>
        <w:rPr>
          <w:rStyle w:val="48"/>
          <w:rFonts w:cs="宋体"/>
          <w:color w:val="auto"/>
          <w:lang w:val="zh-CN"/>
        </w:rPr>
        <w:t>6.3.14</w:t>
      </w:r>
      <w:r>
        <w:rPr>
          <w:rStyle w:val="48"/>
          <w:color w:val="auto"/>
          <w:lang w:val="zh-CN"/>
        </w:rPr>
        <w:t xml:space="preserve"> 特殊天气安全</w:t>
      </w:r>
      <w:r>
        <w:rPr>
          <w:rStyle w:val="48"/>
          <w:color w:val="auto"/>
        </w:rPr>
        <w:t>技术</w:t>
      </w:r>
      <w:r>
        <w:rPr>
          <w:rStyle w:val="48"/>
          <w:color w:val="auto"/>
          <w:lang w:val="zh-CN"/>
        </w:rPr>
        <w:t>措施</w:t>
      </w:r>
      <w:r>
        <w:rPr>
          <w:color w:val="auto"/>
        </w:rPr>
        <w:tab/>
      </w:r>
      <w:r>
        <w:rPr>
          <w:color w:val="auto"/>
        </w:rPr>
        <w:fldChar w:fldCharType="begin"/>
      </w:r>
      <w:r>
        <w:rPr>
          <w:color w:val="auto"/>
        </w:rPr>
        <w:instrText xml:space="preserve"> PAGEREF _Toc121760028 \h </w:instrText>
      </w:r>
      <w:r>
        <w:rPr>
          <w:color w:val="auto"/>
        </w:rPr>
        <w:fldChar w:fldCharType="separate"/>
      </w:r>
      <w:r>
        <w:rPr>
          <w:color w:val="auto"/>
        </w:rPr>
        <w:t>76</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"_Toc121760029" </w:instrText>
      </w:r>
      <w:r>
        <w:rPr>
          <w:color w:val="auto"/>
        </w:rPr>
        <w:fldChar w:fldCharType="separate"/>
      </w:r>
      <w:r>
        <w:rPr>
          <w:rStyle w:val="48"/>
          <w:rFonts w:cs="宋体"/>
          <w:color w:val="auto"/>
        </w:rPr>
        <w:t>6.3.15</w:t>
      </w:r>
      <w:r>
        <w:rPr>
          <w:rStyle w:val="48"/>
          <w:color w:val="auto"/>
        </w:rPr>
        <w:t xml:space="preserve"> 高温天气</w:t>
      </w:r>
      <w:r>
        <w:rPr>
          <w:color w:val="auto"/>
        </w:rPr>
        <w:tab/>
      </w:r>
      <w:r>
        <w:rPr>
          <w:color w:val="auto"/>
        </w:rPr>
        <w:fldChar w:fldCharType="begin"/>
      </w:r>
      <w:r>
        <w:rPr>
          <w:color w:val="auto"/>
        </w:rPr>
        <w:instrText xml:space="preserve"> PAGEREF _Toc121760029 \h </w:instrText>
      </w:r>
      <w:r>
        <w:rPr>
          <w:color w:val="auto"/>
        </w:rPr>
        <w:fldChar w:fldCharType="separate"/>
      </w:r>
      <w:r>
        <w:rPr>
          <w:color w:val="auto"/>
        </w:rPr>
        <w:t>77</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"_Toc121760030" </w:instrText>
      </w:r>
      <w:r>
        <w:rPr>
          <w:color w:val="auto"/>
        </w:rPr>
        <w:fldChar w:fldCharType="separate"/>
      </w:r>
      <w:r>
        <w:rPr>
          <w:rStyle w:val="48"/>
          <w:rFonts w:cs="宋体"/>
          <w:color w:val="auto"/>
        </w:rPr>
        <w:t>6.3.16</w:t>
      </w:r>
      <w:r>
        <w:rPr>
          <w:rStyle w:val="48"/>
          <w:color w:val="auto"/>
        </w:rPr>
        <w:t xml:space="preserve"> 夜间作业安全技术</w:t>
      </w:r>
      <w:r>
        <w:rPr>
          <w:rStyle w:val="48"/>
          <w:color w:val="auto"/>
          <w:lang w:val="zh-CN"/>
        </w:rPr>
        <w:t>措施</w:t>
      </w:r>
      <w:r>
        <w:rPr>
          <w:color w:val="auto"/>
        </w:rPr>
        <w:tab/>
      </w:r>
      <w:r>
        <w:rPr>
          <w:color w:val="auto"/>
        </w:rPr>
        <w:fldChar w:fldCharType="begin"/>
      </w:r>
      <w:r>
        <w:rPr>
          <w:color w:val="auto"/>
        </w:rPr>
        <w:instrText xml:space="preserve"> PAGEREF _Toc121760030 \h </w:instrText>
      </w:r>
      <w:r>
        <w:rPr>
          <w:color w:val="auto"/>
        </w:rPr>
        <w:fldChar w:fldCharType="separate"/>
      </w:r>
      <w:r>
        <w:rPr>
          <w:color w:val="auto"/>
        </w:rPr>
        <w:t>78</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"_Toc121760031" </w:instrText>
      </w:r>
      <w:r>
        <w:rPr>
          <w:color w:val="auto"/>
        </w:rPr>
        <w:fldChar w:fldCharType="separate"/>
      </w:r>
      <w:r>
        <w:rPr>
          <w:rStyle w:val="48"/>
          <w:rFonts w:ascii="宋体" w:hAnsi="宋体" w:cs="宋体"/>
          <w:color w:val="auto"/>
        </w:rPr>
        <w:t>6.4</w:t>
      </w:r>
      <w:r>
        <w:rPr>
          <w:rStyle w:val="48"/>
          <w:color w:val="auto"/>
        </w:rPr>
        <w:t xml:space="preserve"> 监测监控措施</w:t>
      </w:r>
      <w:r>
        <w:rPr>
          <w:color w:val="auto"/>
        </w:rPr>
        <w:tab/>
      </w:r>
      <w:r>
        <w:rPr>
          <w:color w:val="auto"/>
        </w:rPr>
        <w:fldChar w:fldCharType="begin"/>
      </w:r>
      <w:r>
        <w:rPr>
          <w:color w:val="auto"/>
        </w:rPr>
        <w:instrText xml:space="preserve"> PAGEREF _Toc121760031 \h </w:instrText>
      </w:r>
      <w:r>
        <w:rPr>
          <w:color w:val="auto"/>
        </w:rPr>
        <w:fldChar w:fldCharType="separate"/>
      </w:r>
      <w:r>
        <w:rPr>
          <w:color w:val="auto"/>
        </w:rPr>
        <w:t>78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"_Toc121760032" </w:instrText>
      </w:r>
      <w:r>
        <w:rPr>
          <w:color w:val="auto"/>
        </w:rPr>
        <w:fldChar w:fldCharType="separate"/>
      </w:r>
      <w:r>
        <w:rPr>
          <w:rStyle w:val="48"/>
          <w:rFonts w:cs="宋体"/>
          <w:color w:val="auto"/>
        </w:rPr>
        <w:t>6.4.1</w:t>
      </w:r>
      <w:r>
        <w:rPr>
          <w:rStyle w:val="48"/>
          <w:color w:val="auto"/>
        </w:rPr>
        <w:t xml:space="preserve"> 施工现场巡查</w:t>
      </w:r>
      <w:r>
        <w:rPr>
          <w:color w:val="auto"/>
        </w:rPr>
        <w:tab/>
      </w:r>
      <w:r>
        <w:rPr>
          <w:color w:val="auto"/>
        </w:rPr>
        <w:fldChar w:fldCharType="begin"/>
      </w:r>
      <w:r>
        <w:rPr>
          <w:color w:val="auto"/>
        </w:rPr>
        <w:instrText xml:space="preserve"> PAGEREF _Toc121760032 \h </w:instrText>
      </w:r>
      <w:r>
        <w:rPr>
          <w:color w:val="auto"/>
        </w:rPr>
        <w:fldChar w:fldCharType="separate"/>
      </w:r>
      <w:r>
        <w:rPr>
          <w:color w:val="auto"/>
        </w:rPr>
        <w:t>78</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"_Toc121760033" </w:instrText>
      </w:r>
      <w:r>
        <w:rPr>
          <w:color w:val="auto"/>
        </w:rPr>
        <w:fldChar w:fldCharType="separate"/>
      </w:r>
      <w:r>
        <w:rPr>
          <w:rStyle w:val="48"/>
          <w:rFonts w:cs="宋体"/>
          <w:color w:val="auto"/>
        </w:rPr>
        <w:t>6.4.2</w:t>
      </w:r>
      <w:r>
        <w:rPr>
          <w:rStyle w:val="48"/>
          <w:color w:val="auto"/>
        </w:rPr>
        <w:t xml:space="preserve"> 起重吊装操作监测</w:t>
      </w:r>
      <w:r>
        <w:rPr>
          <w:color w:val="auto"/>
        </w:rPr>
        <w:tab/>
      </w:r>
      <w:r>
        <w:rPr>
          <w:color w:val="auto"/>
        </w:rPr>
        <w:fldChar w:fldCharType="begin"/>
      </w:r>
      <w:r>
        <w:rPr>
          <w:color w:val="auto"/>
        </w:rPr>
        <w:instrText xml:space="preserve"> PAGEREF _Toc121760033 \h </w:instrText>
      </w:r>
      <w:r>
        <w:rPr>
          <w:color w:val="auto"/>
        </w:rPr>
        <w:fldChar w:fldCharType="separate"/>
      </w:r>
      <w:r>
        <w:rPr>
          <w:color w:val="auto"/>
        </w:rPr>
        <w:t>79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"_Toc121760034" </w:instrText>
      </w:r>
      <w:r>
        <w:rPr>
          <w:color w:val="auto"/>
        </w:rPr>
        <w:fldChar w:fldCharType="separate"/>
      </w:r>
      <w:r>
        <w:rPr>
          <w:rStyle w:val="48"/>
          <w:rFonts w:cs="宋体"/>
          <w:color w:val="auto"/>
        </w:rPr>
        <w:t>6.4.3</w:t>
      </w:r>
      <w:r>
        <w:rPr>
          <w:rStyle w:val="48"/>
          <w:color w:val="auto"/>
        </w:rPr>
        <w:t xml:space="preserve"> 基础监测</w:t>
      </w:r>
      <w:r>
        <w:rPr>
          <w:color w:val="auto"/>
        </w:rPr>
        <w:tab/>
      </w:r>
      <w:r>
        <w:rPr>
          <w:color w:val="auto"/>
        </w:rPr>
        <w:fldChar w:fldCharType="begin"/>
      </w:r>
      <w:r>
        <w:rPr>
          <w:color w:val="auto"/>
        </w:rPr>
        <w:instrText xml:space="preserve"> PAGEREF _Toc121760034 \h </w:instrText>
      </w:r>
      <w:r>
        <w:rPr>
          <w:color w:val="auto"/>
        </w:rPr>
        <w:fldChar w:fldCharType="separate"/>
      </w:r>
      <w:r>
        <w:rPr>
          <w:color w:val="auto"/>
        </w:rPr>
        <w:t>79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"_Toc121760035" </w:instrText>
      </w:r>
      <w:r>
        <w:rPr>
          <w:color w:val="auto"/>
        </w:rPr>
        <w:fldChar w:fldCharType="separate"/>
      </w:r>
      <w:r>
        <w:rPr>
          <w:rStyle w:val="48"/>
          <w:rFonts w:cs="宋体"/>
          <w:color w:val="auto"/>
        </w:rPr>
        <w:t>6.4.4</w:t>
      </w:r>
      <w:r>
        <w:rPr>
          <w:rStyle w:val="48"/>
          <w:color w:val="auto"/>
        </w:rPr>
        <w:t xml:space="preserve"> 导轨架监测</w:t>
      </w:r>
      <w:r>
        <w:rPr>
          <w:color w:val="auto"/>
        </w:rPr>
        <w:tab/>
      </w:r>
      <w:r>
        <w:rPr>
          <w:color w:val="auto"/>
        </w:rPr>
        <w:fldChar w:fldCharType="begin"/>
      </w:r>
      <w:r>
        <w:rPr>
          <w:color w:val="auto"/>
        </w:rPr>
        <w:instrText xml:space="preserve"> PAGEREF _Toc121760035 \h </w:instrText>
      </w:r>
      <w:r>
        <w:rPr>
          <w:color w:val="auto"/>
        </w:rPr>
        <w:fldChar w:fldCharType="separate"/>
      </w:r>
      <w:r>
        <w:rPr>
          <w:color w:val="auto"/>
        </w:rPr>
        <w:t>79</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"_Toc121760036" </w:instrText>
      </w:r>
      <w:r>
        <w:rPr>
          <w:color w:val="auto"/>
        </w:rPr>
        <w:fldChar w:fldCharType="separate"/>
      </w:r>
      <w:r>
        <w:rPr>
          <w:rStyle w:val="48"/>
          <w:rFonts w:ascii="宋体" w:hAnsi="宋体" w:cs="宋体"/>
          <w:color w:val="auto"/>
        </w:rPr>
        <w:t>6.5</w:t>
      </w:r>
      <w:r>
        <w:rPr>
          <w:rStyle w:val="48"/>
          <w:color w:val="auto"/>
        </w:rPr>
        <w:t xml:space="preserve"> 监管措施</w:t>
      </w:r>
      <w:r>
        <w:rPr>
          <w:color w:val="auto"/>
        </w:rPr>
        <w:tab/>
      </w:r>
      <w:r>
        <w:rPr>
          <w:color w:val="auto"/>
        </w:rPr>
        <w:fldChar w:fldCharType="begin"/>
      </w:r>
      <w:r>
        <w:rPr>
          <w:color w:val="auto"/>
        </w:rPr>
        <w:instrText xml:space="preserve"> PAGEREF _Toc121760036 \h </w:instrText>
      </w:r>
      <w:r>
        <w:rPr>
          <w:color w:val="auto"/>
        </w:rPr>
        <w:fldChar w:fldCharType="separate"/>
      </w:r>
      <w:r>
        <w:rPr>
          <w:color w:val="auto"/>
        </w:rPr>
        <w:t>79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"_Toc121760037" </w:instrText>
      </w:r>
      <w:r>
        <w:rPr>
          <w:color w:val="auto"/>
        </w:rPr>
        <w:fldChar w:fldCharType="separate"/>
      </w:r>
      <w:r>
        <w:rPr>
          <w:rStyle w:val="48"/>
          <w:rFonts w:cs="宋体"/>
          <w:color w:val="auto"/>
        </w:rPr>
        <w:t>6.5.1</w:t>
      </w:r>
      <w:r>
        <w:rPr>
          <w:rStyle w:val="48"/>
          <w:color w:val="auto"/>
        </w:rPr>
        <w:t xml:space="preserve"> 控制要点</w:t>
      </w:r>
      <w:r>
        <w:rPr>
          <w:color w:val="auto"/>
        </w:rPr>
        <w:tab/>
      </w:r>
      <w:r>
        <w:rPr>
          <w:color w:val="auto"/>
        </w:rPr>
        <w:fldChar w:fldCharType="begin"/>
      </w:r>
      <w:r>
        <w:rPr>
          <w:color w:val="auto"/>
        </w:rPr>
        <w:instrText xml:space="preserve"> PAGEREF _Toc121760037 \h </w:instrText>
      </w:r>
      <w:r>
        <w:rPr>
          <w:color w:val="auto"/>
        </w:rPr>
        <w:fldChar w:fldCharType="separate"/>
      </w:r>
      <w:r>
        <w:rPr>
          <w:color w:val="auto"/>
        </w:rPr>
        <w:t>79</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"_Toc121760038" </w:instrText>
      </w:r>
      <w:r>
        <w:rPr>
          <w:color w:val="auto"/>
        </w:rPr>
        <w:fldChar w:fldCharType="separate"/>
      </w:r>
      <w:r>
        <w:rPr>
          <w:rStyle w:val="48"/>
          <w:rFonts w:cs="宋体"/>
          <w:color w:val="auto"/>
        </w:rPr>
        <w:t>6.5.2</w:t>
      </w:r>
      <w:r>
        <w:rPr>
          <w:rStyle w:val="48"/>
          <w:color w:val="auto"/>
        </w:rPr>
        <w:t xml:space="preserve"> 严禁事项</w:t>
      </w:r>
      <w:r>
        <w:rPr>
          <w:color w:val="auto"/>
        </w:rPr>
        <w:tab/>
      </w:r>
      <w:r>
        <w:rPr>
          <w:color w:val="auto"/>
        </w:rPr>
        <w:fldChar w:fldCharType="begin"/>
      </w:r>
      <w:r>
        <w:rPr>
          <w:color w:val="auto"/>
        </w:rPr>
        <w:instrText xml:space="preserve"> PAGEREF _Toc121760038 \h </w:instrText>
      </w:r>
      <w:r>
        <w:rPr>
          <w:color w:val="auto"/>
        </w:rPr>
        <w:fldChar w:fldCharType="separate"/>
      </w:r>
      <w:r>
        <w:rPr>
          <w:color w:val="auto"/>
        </w:rPr>
        <w:t>80</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"_Toc121760039" </w:instrText>
      </w:r>
      <w:r>
        <w:rPr>
          <w:color w:val="auto"/>
        </w:rPr>
        <w:fldChar w:fldCharType="separate"/>
      </w:r>
      <w:r>
        <w:rPr>
          <w:rStyle w:val="48"/>
          <w:rFonts w:ascii="宋体" w:hAnsi="宋体" w:cs="宋体"/>
          <w:color w:val="auto"/>
        </w:rPr>
        <w:t>7</w:t>
      </w:r>
      <w:r>
        <w:rPr>
          <w:rStyle w:val="48"/>
          <w:color w:val="auto"/>
        </w:rPr>
        <w:t xml:space="preserve"> 施工管理及作业人员配备和分工</w:t>
      </w:r>
      <w:r>
        <w:rPr>
          <w:color w:val="auto"/>
        </w:rPr>
        <w:tab/>
      </w:r>
      <w:r>
        <w:rPr>
          <w:color w:val="auto"/>
        </w:rPr>
        <w:fldChar w:fldCharType="begin"/>
      </w:r>
      <w:r>
        <w:rPr>
          <w:color w:val="auto"/>
        </w:rPr>
        <w:instrText xml:space="preserve"> PAGEREF _Toc121760039 \h </w:instrText>
      </w:r>
      <w:r>
        <w:rPr>
          <w:color w:val="auto"/>
        </w:rPr>
        <w:fldChar w:fldCharType="separate"/>
      </w:r>
      <w:r>
        <w:rPr>
          <w:color w:val="auto"/>
        </w:rPr>
        <w:t>81</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"_Toc121760040" </w:instrText>
      </w:r>
      <w:r>
        <w:rPr>
          <w:color w:val="auto"/>
        </w:rPr>
        <w:fldChar w:fldCharType="separate"/>
      </w:r>
      <w:r>
        <w:rPr>
          <w:rStyle w:val="48"/>
          <w:rFonts w:ascii="宋体" w:hAnsi="宋体" w:cs="宋体"/>
          <w:color w:val="auto"/>
        </w:rPr>
        <w:t>7.1</w:t>
      </w:r>
      <w:r>
        <w:rPr>
          <w:rStyle w:val="48"/>
          <w:color w:val="auto"/>
        </w:rPr>
        <w:t xml:space="preserve"> 施工管理人员配备及分工</w:t>
      </w:r>
      <w:r>
        <w:rPr>
          <w:color w:val="auto"/>
        </w:rPr>
        <w:tab/>
      </w:r>
      <w:r>
        <w:rPr>
          <w:color w:val="auto"/>
        </w:rPr>
        <w:fldChar w:fldCharType="begin"/>
      </w:r>
      <w:r>
        <w:rPr>
          <w:color w:val="auto"/>
        </w:rPr>
        <w:instrText xml:space="preserve"> PAGEREF _Toc121760040 \h </w:instrText>
      </w:r>
      <w:r>
        <w:rPr>
          <w:color w:val="auto"/>
        </w:rPr>
        <w:fldChar w:fldCharType="separate"/>
      </w:r>
      <w:r>
        <w:rPr>
          <w:color w:val="auto"/>
        </w:rPr>
        <w:t>81</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"_Toc121760041" </w:instrText>
      </w:r>
      <w:r>
        <w:rPr>
          <w:color w:val="auto"/>
        </w:rPr>
        <w:fldChar w:fldCharType="separate"/>
      </w:r>
      <w:r>
        <w:rPr>
          <w:rStyle w:val="48"/>
          <w:rFonts w:ascii="宋体" w:hAnsi="宋体" w:cs="宋体"/>
          <w:color w:val="auto"/>
        </w:rPr>
        <w:t>7.2</w:t>
      </w:r>
      <w:r>
        <w:rPr>
          <w:rStyle w:val="48"/>
          <w:color w:val="auto"/>
        </w:rPr>
        <w:t xml:space="preserve"> 作业人员配备及分工</w:t>
      </w:r>
      <w:r>
        <w:rPr>
          <w:color w:val="auto"/>
        </w:rPr>
        <w:tab/>
      </w:r>
      <w:r>
        <w:rPr>
          <w:color w:val="auto"/>
        </w:rPr>
        <w:fldChar w:fldCharType="begin"/>
      </w:r>
      <w:r>
        <w:rPr>
          <w:color w:val="auto"/>
        </w:rPr>
        <w:instrText xml:space="preserve"> PAGEREF _Toc121760041 \h </w:instrText>
      </w:r>
      <w:r>
        <w:rPr>
          <w:color w:val="auto"/>
        </w:rPr>
        <w:fldChar w:fldCharType="separate"/>
      </w:r>
      <w:r>
        <w:rPr>
          <w:color w:val="auto"/>
        </w:rPr>
        <w:t>81</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"_Toc121760042" </w:instrText>
      </w:r>
      <w:r>
        <w:rPr>
          <w:color w:val="auto"/>
        </w:rPr>
        <w:fldChar w:fldCharType="separate"/>
      </w:r>
      <w:r>
        <w:rPr>
          <w:rStyle w:val="48"/>
          <w:rFonts w:ascii="宋体" w:hAnsi="宋体" w:cs="宋体"/>
          <w:color w:val="auto"/>
        </w:rPr>
        <w:t>8</w:t>
      </w:r>
      <w:r>
        <w:rPr>
          <w:rStyle w:val="48"/>
          <w:color w:val="auto"/>
        </w:rPr>
        <w:t xml:space="preserve"> 验收要求</w:t>
      </w:r>
      <w:r>
        <w:rPr>
          <w:color w:val="auto"/>
        </w:rPr>
        <w:tab/>
      </w:r>
      <w:r>
        <w:rPr>
          <w:color w:val="auto"/>
        </w:rPr>
        <w:fldChar w:fldCharType="begin"/>
      </w:r>
      <w:r>
        <w:rPr>
          <w:color w:val="auto"/>
        </w:rPr>
        <w:instrText xml:space="preserve"> PAGEREF _Toc121760042 \h </w:instrText>
      </w:r>
      <w:r>
        <w:rPr>
          <w:color w:val="auto"/>
        </w:rPr>
        <w:fldChar w:fldCharType="separate"/>
      </w:r>
      <w:r>
        <w:rPr>
          <w:color w:val="auto"/>
        </w:rPr>
        <w:t>83</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"_Toc121760043" </w:instrText>
      </w:r>
      <w:r>
        <w:rPr>
          <w:color w:val="auto"/>
        </w:rPr>
        <w:fldChar w:fldCharType="separate"/>
      </w:r>
      <w:r>
        <w:rPr>
          <w:rStyle w:val="48"/>
          <w:rFonts w:ascii="宋体" w:hAnsi="宋体" w:cs="宋体"/>
          <w:color w:val="auto"/>
        </w:rPr>
        <w:t>8.1</w:t>
      </w:r>
      <w:r>
        <w:rPr>
          <w:rStyle w:val="48"/>
          <w:color w:val="auto"/>
        </w:rPr>
        <w:t xml:space="preserve"> 验收标准</w:t>
      </w:r>
      <w:r>
        <w:rPr>
          <w:color w:val="auto"/>
        </w:rPr>
        <w:tab/>
      </w:r>
      <w:r>
        <w:rPr>
          <w:color w:val="auto"/>
        </w:rPr>
        <w:fldChar w:fldCharType="begin"/>
      </w:r>
      <w:r>
        <w:rPr>
          <w:color w:val="auto"/>
        </w:rPr>
        <w:instrText xml:space="preserve"> PAGEREF _Toc121760043 \h </w:instrText>
      </w:r>
      <w:r>
        <w:rPr>
          <w:color w:val="auto"/>
        </w:rPr>
        <w:fldChar w:fldCharType="separate"/>
      </w:r>
      <w:r>
        <w:rPr>
          <w:color w:val="auto"/>
        </w:rPr>
        <w:t>83</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"_Toc121760044" </w:instrText>
      </w:r>
      <w:r>
        <w:rPr>
          <w:color w:val="auto"/>
        </w:rPr>
        <w:fldChar w:fldCharType="separate"/>
      </w:r>
      <w:r>
        <w:rPr>
          <w:rStyle w:val="48"/>
          <w:rFonts w:ascii="宋体" w:hAnsi="宋体" w:cs="宋体"/>
          <w:color w:val="auto"/>
        </w:rPr>
        <w:t>8.2</w:t>
      </w:r>
      <w:r>
        <w:rPr>
          <w:rStyle w:val="48"/>
          <w:color w:val="auto"/>
        </w:rPr>
        <w:t xml:space="preserve"> 验收程序</w:t>
      </w:r>
      <w:r>
        <w:rPr>
          <w:color w:val="auto"/>
        </w:rPr>
        <w:tab/>
      </w:r>
      <w:r>
        <w:rPr>
          <w:color w:val="auto"/>
        </w:rPr>
        <w:fldChar w:fldCharType="begin"/>
      </w:r>
      <w:r>
        <w:rPr>
          <w:color w:val="auto"/>
        </w:rPr>
        <w:instrText xml:space="preserve"> PAGEREF _Toc121760044 \h </w:instrText>
      </w:r>
      <w:r>
        <w:rPr>
          <w:color w:val="auto"/>
        </w:rPr>
        <w:fldChar w:fldCharType="separate"/>
      </w:r>
      <w:r>
        <w:rPr>
          <w:color w:val="auto"/>
        </w:rPr>
        <w:t>83</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"_Toc121760045" </w:instrText>
      </w:r>
      <w:r>
        <w:rPr>
          <w:color w:val="auto"/>
        </w:rPr>
        <w:fldChar w:fldCharType="separate"/>
      </w:r>
      <w:r>
        <w:rPr>
          <w:rStyle w:val="48"/>
          <w:rFonts w:ascii="宋体" w:hAnsi="宋体" w:cs="宋体"/>
          <w:color w:val="auto"/>
        </w:rPr>
        <w:t>8.3</w:t>
      </w:r>
      <w:r>
        <w:rPr>
          <w:rStyle w:val="48"/>
          <w:color w:val="auto"/>
        </w:rPr>
        <w:t xml:space="preserve"> 验收人员</w:t>
      </w:r>
      <w:r>
        <w:rPr>
          <w:color w:val="auto"/>
        </w:rPr>
        <w:tab/>
      </w:r>
      <w:r>
        <w:rPr>
          <w:color w:val="auto"/>
        </w:rPr>
        <w:fldChar w:fldCharType="begin"/>
      </w:r>
      <w:r>
        <w:rPr>
          <w:color w:val="auto"/>
        </w:rPr>
        <w:instrText xml:space="preserve"> PAGEREF _Toc121760045 \h </w:instrText>
      </w:r>
      <w:r>
        <w:rPr>
          <w:color w:val="auto"/>
        </w:rPr>
        <w:fldChar w:fldCharType="separate"/>
      </w:r>
      <w:r>
        <w:rPr>
          <w:color w:val="auto"/>
        </w:rPr>
        <w:t>84</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"_Toc121760046" </w:instrText>
      </w:r>
      <w:r>
        <w:rPr>
          <w:color w:val="auto"/>
        </w:rPr>
        <w:fldChar w:fldCharType="separate"/>
      </w:r>
      <w:r>
        <w:rPr>
          <w:rStyle w:val="48"/>
          <w:rFonts w:ascii="宋体" w:hAnsi="宋体" w:cs="宋体"/>
          <w:color w:val="auto"/>
        </w:rPr>
        <w:t>8.4</w:t>
      </w:r>
      <w:r>
        <w:rPr>
          <w:rStyle w:val="48"/>
          <w:color w:val="auto"/>
        </w:rPr>
        <w:t xml:space="preserve"> 验收内容</w:t>
      </w:r>
      <w:r>
        <w:rPr>
          <w:color w:val="auto"/>
        </w:rPr>
        <w:tab/>
      </w:r>
      <w:r>
        <w:rPr>
          <w:color w:val="auto"/>
        </w:rPr>
        <w:fldChar w:fldCharType="begin"/>
      </w:r>
      <w:r>
        <w:rPr>
          <w:color w:val="auto"/>
        </w:rPr>
        <w:instrText xml:space="preserve"> PAGEREF _Toc121760046 \h </w:instrText>
      </w:r>
      <w:r>
        <w:rPr>
          <w:color w:val="auto"/>
        </w:rPr>
        <w:fldChar w:fldCharType="separate"/>
      </w:r>
      <w:r>
        <w:rPr>
          <w:color w:val="auto"/>
        </w:rPr>
        <w:t>84</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"_Toc121760047" </w:instrText>
      </w:r>
      <w:r>
        <w:rPr>
          <w:color w:val="auto"/>
        </w:rPr>
        <w:fldChar w:fldCharType="separate"/>
      </w:r>
      <w:r>
        <w:rPr>
          <w:rStyle w:val="48"/>
          <w:rFonts w:ascii="宋体" w:hAnsi="宋体" w:cs="宋体"/>
          <w:color w:val="auto"/>
        </w:rPr>
        <w:t>9</w:t>
      </w:r>
      <w:r>
        <w:rPr>
          <w:rStyle w:val="48"/>
          <w:color w:val="auto"/>
        </w:rPr>
        <w:t xml:space="preserve"> 应急处置措施</w:t>
      </w:r>
      <w:r>
        <w:rPr>
          <w:color w:val="auto"/>
        </w:rPr>
        <w:tab/>
      </w:r>
      <w:r>
        <w:rPr>
          <w:color w:val="auto"/>
        </w:rPr>
        <w:fldChar w:fldCharType="begin"/>
      </w:r>
      <w:r>
        <w:rPr>
          <w:color w:val="auto"/>
        </w:rPr>
        <w:instrText xml:space="preserve"> PAGEREF _Toc121760047 \h </w:instrText>
      </w:r>
      <w:r>
        <w:rPr>
          <w:color w:val="auto"/>
        </w:rPr>
        <w:fldChar w:fldCharType="separate"/>
      </w:r>
      <w:r>
        <w:rPr>
          <w:color w:val="auto"/>
        </w:rPr>
        <w:t>89</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"_Toc121760048" </w:instrText>
      </w:r>
      <w:r>
        <w:rPr>
          <w:color w:val="auto"/>
        </w:rPr>
        <w:fldChar w:fldCharType="separate"/>
      </w:r>
      <w:r>
        <w:rPr>
          <w:rStyle w:val="48"/>
          <w:rFonts w:ascii="宋体" w:hAnsi="宋体" w:cs="宋体"/>
          <w:color w:val="auto"/>
        </w:rPr>
        <w:t>9.1</w:t>
      </w:r>
      <w:r>
        <w:rPr>
          <w:rStyle w:val="48"/>
          <w:color w:val="auto"/>
        </w:rPr>
        <w:t xml:space="preserve"> 组织机构</w:t>
      </w:r>
      <w:r>
        <w:rPr>
          <w:color w:val="auto"/>
        </w:rPr>
        <w:tab/>
      </w:r>
      <w:r>
        <w:rPr>
          <w:color w:val="auto"/>
        </w:rPr>
        <w:fldChar w:fldCharType="begin"/>
      </w:r>
      <w:r>
        <w:rPr>
          <w:color w:val="auto"/>
        </w:rPr>
        <w:instrText xml:space="preserve"> PAGEREF _Toc121760048 \h </w:instrText>
      </w:r>
      <w:r>
        <w:rPr>
          <w:color w:val="auto"/>
        </w:rPr>
        <w:fldChar w:fldCharType="separate"/>
      </w:r>
      <w:r>
        <w:rPr>
          <w:color w:val="auto"/>
        </w:rPr>
        <w:t>89</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"_Toc121760049" </w:instrText>
      </w:r>
      <w:r>
        <w:rPr>
          <w:color w:val="auto"/>
        </w:rPr>
        <w:fldChar w:fldCharType="separate"/>
      </w:r>
      <w:r>
        <w:rPr>
          <w:rStyle w:val="48"/>
          <w:rFonts w:ascii="宋体" w:hAnsi="宋体" w:cs="宋体"/>
          <w:color w:val="auto"/>
        </w:rPr>
        <w:t>9.2</w:t>
      </w:r>
      <w:r>
        <w:rPr>
          <w:rStyle w:val="48"/>
          <w:color w:val="auto"/>
        </w:rPr>
        <w:t xml:space="preserve"> 处置流程</w:t>
      </w:r>
      <w:r>
        <w:rPr>
          <w:color w:val="auto"/>
        </w:rPr>
        <w:tab/>
      </w:r>
      <w:r>
        <w:rPr>
          <w:color w:val="auto"/>
        </w:rPr>
        <w:fldChar w:fldCharType="begin"/>
      </w:r>
      <w:r>
        <w:rPr>
          <w:color w:val="auto"/>
        </w:rPr>
        <w:instrText xml:space="preserve"> PAGEREF _Toc121760049 \h </w:instrText>
      </w:r>
      <w:r>
        <w:rPr>
          <w:color w:val="auto"/>
        </w:rPr>
        <w:fldChar w:fldCharType="separate"/>
      </w:r>
      <w:r>
        <w:rPr>
          <w:color w:val="auto"/>
        </w:rPr>
        <w:t>90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"_Toc121760050" </w:instrText>
      </w:r>
      <w:r>
        <w:rPr>
          <w:color w:val="auto"/>
        </w:rPr>
        <w:fldChar w:fldCharType="separate"/>
      </w:r>
      <w:r>
        <w:rPr>
          <w:rStyle w:val="48"/>
          <w:rFonts w:cs="宋体"/>
          <w:color w:val="auto"/>
        </w:rPr>
        <w:t>9.2.1</w:t>
      </w:r>
      <w:r>
        <w:rPr>
          <w:rStyle w:val="48"/>
          <w:color w:val="auto"/>
        </w:rPr>
        <w:t xml:space="preserve"> 应急响应程序</w:t>
      </w:r>
      <w:r>
        <w:rPr>
          <w:color w:val="auto"/>
        </w:rPr>
        <w:tab/>
      </w:r>
      <w:r>
        <w:rPr>
          <w:color w:val="auto"/>
        </w:rPr>
        <w:fldChar w:fldCharType="begin"/>
      </w:r>
      <w:r>
        <w:rPr>
          <w:color w:val="auto"/>
        </w:rPr>
        <w:instrText xml:space="preserve"> PAGEREF _Toc121760050 \h </w:instrText>
      </w:r>
      <w:r>
        <w:rPr>
          <w:color w:val="auto"/>
        </w:rPr>
        <w:fldChar w:fldCharType="separate"/>
      </w:r>
      <w:r>
        <w:rPr>
          <w:color w:val="auto"/>
        </w:rPr>
        <w:t>90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"_Toc121760051" </w:instrText>
      </w:r>
      <w:r>
        <w:rPr>
          <w:color w:val="auto"/>
        </w:rPr>
        <w:fldChar w:fldCharType="separate"/>
      </w:r>
      <w:r>
        <w:rPr>
          <w:rStyle w:val="48"/>
          <w:rFonts w:cs="宋体"/>
          <w:color w:val="auto"/>
        </w:rPr>
        <w:t>9.2.2</w:t>
      </w:r>
      <w:r>
        <w:rPr>
          <w:rStyle w:val="48"/>
          <w:color w:val="auto"/>
        </w:rPr>
        <w:t xml:space="preserve"> 应急措置程序</w:t>
      </w:r>
      <w:r>
        <w:rPr>
          <w:color w:val="auto"/>
        </w:rPr>
        <w:tab/>
      </w:r>
      <w:r>
        <w:rPr>
          <w:color w:val="auto"/>
        </w:rPr>
        <w:fldChar w:fldCharType="begin"/>
      </w:r>
      <w:r>
        <w:rPr>
          <w:color w:val="auto"/>
        </w:rPr>
        <w:instrText xml:space="preserve"> PAGEREF _Toc121760051 \h </w:instrText>
      </w:r>
      <w:r>
        <w:rPr>
          <w:color w:val="auto"/>
        </w:rPr>
        <w:fldChar w:fldCharType="separate"/>
      </w:r>
      <w:r>
        <w:rPr>
          <w:color w:val="auto"/>
        </w:rPr>
        <w:t>90</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"_Toc121760052" </w:instrText>
      </w:r>
      <w:r>
        <w:rPr>
          <w:color w:val="auto"/>
        </w:rPr>
        <w:fldChar w:fldCharType="separate"/>
      </w:r>
      <w:r>
        <w:rPr>
          <w:rStyle w:val="48"/>
          <w:rFonts w:cs="宋体"/>
          <w:color w:val="auto"/>
        </w:rPr>
        <w:t>9.2.3</w:t>
      </w:r>
      <w:r>
        <w:rPr>
          <w:rStyle w:val="48"/>
          <w:color w:val="auto"/>
        </w:rPr>
        <w:t xml:space="preserve"> 事故报告及内容</w:t>
      </w:r>
      <w:r>
        <w:rPr>
          <w:color w:val="auto"/>
        </w:rPr>
        <w:tab/>
      </w:r>
      <w:r>
        <w:rPr>
          <w:color w:val="auto"/>
        </w:rPr>
        <w:fldChar w:fldCharType="begin"/>
      </w:r>
      <w:r>
        <w:rPr>
          <w:color w:val="auto"/>
        </w:rPr>
        <w:instrText xml:space="preserve"> PAGEREF _Toc121760052 \h </w:instrText>
      </w:r>
      <w:r>
        <w:rPr>
          <w:color w:val="auto"/>
        </w:rPr>
        <w:fldChar w:fldCharType="separate"/>
      </w:r>
      <w:r>
        <w:rPr>
          <w:color w:val="auto"/>
        </w:rPr>
        <w:t>91</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"_Toc121760053" </w:instrText>
      </w:r>
      <w:r>
        <w:rPr>
          <w:color w:val="auto"/>
        </w:rPr>
        <w:fldChar w:fldCharType="separate"/>
      </w:r>
      <w:r>
        <w:rPr>
          <w:rStyle w:val="48"/>
          <w:rFonts w:ascii="宋体" w:hAnsi="宋体" w:cs="宋体"/>
          <w:color w:val="auto"/>
        </w:rPr>
        <w:t>9.3</w:t>
      </w:r>
      <w:r>
        <w:rPr>
          <w:rStyle w:val="48"/>
          <w:color w:val="auto"/>
        </w:rPr>
        <w:t xml:space="preserve"> 应急处置措施</w:t>
      </w:r>
      <w:r>
        <w:rPr>
          <w:color w:val="auto"/>
        </w:rPr>
        <w:tab/>
      </w:r>
      <w:r>
        <w:rPr>
          <w:color w:val="auto"/>
        </w:rPr>
        <w:fldChar w:fldCharType="begin"/>
      </w:r>
      <w:r>
        <w:rPr>
          <w:color w:val="auto"/>
        </w:rPr>
        <w:instrText xml:space="preserve"> PAGEREF _Toc121760053 \h </w:instrText>
      </w:r>
      <w:r>
        <w:rPr>
          <w:color w:val="auto"/>
        </w:rPr>
        <w:fldChar w:fldCharType="separate"/>
      </w:r>
      <w:r>
        <w:rPr>
          <w:color w:val="auto"/>
        </w:rPr>
        <w:t>92</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"_Toc121760054" </w:instrText>
      </w:r>
      <w:r>
        <w:rPr>
          <w:color w:val="auto"/>
        </w:rPr>
        <w:fldChar w:fldCharType="separate"/>
      </w:r>
      <w:r>
        <w:rPr>
          <w:rStyle w:val="48"/>
          <w:rFonts w:cs="宋体"/>
          <w:color w:val="auto"/>
        </w:rPr>
        <w:t>9.3.1</w:t>
      </w:r>
      <w:r>
        <w:rPr>
          <w:rStyle w:val="48"/>
          <w:color w:val="auto"/>
        </w:rPr>
        <w:t xml:space="preserve"> 高空坠落应急处置措施</w:t>
      </w:r>
      <w:r>
        <w:rPr>
          <w:color w:val="auto"/>
        </w:rPr>
        <w:tab/>
      </w:r>
      <w:r>
        <w:rPr>
          <w:color w:val="auto"/>
        </w:rPr>
        <w:fldChar w:fldCharType="begin"/>
      </w:r>
      <w:r>
        <w:rPr>
          <w:color w:val="auto"/>
        </w:rPr>
        <w:instrText xml:space="preserve"> PAGEREF _Toc121760054 \h </w:instrText>
      </w:r>
      <w:r>
        <w:rPr>
          <w:color w:val="auto"/>
        </w:rPr>
        <w:fldChar w:fldCharType="separate"/>
      </w:r>
      <w:r>
        <w:rPr>
          <w:color w:val="auto"/>
        </w:rPr>
        <w:t>92</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"_Toc121760055" </w:instrText>
      </w:r>
      <w:r>
        <w:rPr>
          <w:color w:val="auto"/>
        </w:rPr>
        <w:fldChar w:fldCharType="separate"/>
      </w:r>
      <w:r>
        <w:rPr>
          <w:rStyle w:val="48"/>
          <w:rFonts w:cs="宋体"/>
          <w:color w:val="auto"/>
        </w:rPr>
        <w:t>9.3.2</w:t>
      </w:r>
      <w:r>
        <w:rPr>
          <w:rStyle w:val="48"/>
          <w:color w:val="auto"/>
        </w:rPr>
        <w:t xml:space="preserve"> 物体打击事故</w:t>
      </w:r>
      <w:r>
        <w:rPr>
          <w:color w:val="auto"/>
        </w:rPr>
        <w:tab/>
      </w:r>
      <w:r>
        <w:rPr>
          <w:color w:val="auto"/>
        </w:rPr>
        <w:fldChar w:fldCharType="begin"/>
      </w:r>
      <w:r>
        <w:rPr>
          <w:color w:val="auto"/>
        </w:rPr>
        <w:instrText xml:space="preserve"> PAGEREF _Toc121760055 \h </w:instrText>
      </w:r>
      <w:r>
        <w:rPr>
          <w:color w:val="auto"/>
        </w:rPr>
        <w:fldChar w:fldCharType="separate"/>
      </w:r>
      <w:r>
        <w:rPr>
          <w:color w:val="auto"/>
        </w:rPr>
        <w:t>93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"_Toc121760056" </w:instrText>
      </w:r>
      <w:r>
        <w:rPr>
          <w:color w:val="auto"/>
        </w:rPr>
        <w:fldChar w:fldCharType="separate"/>
      </w:r>
      <w:r>
        <w:rPr>
          <w:rStyle w:val="48"/>
          <w:rFonts w:cs="宋体"/>
          <w:color w:val="auto"/>
        </w:rPr>
        <w:t>9.3.3</w:t>
      </w:r>
      <w:r>
        <w:rPr>
          <w:rStyle w:val="48"/>
          <w:color w:val="auto"/>
        </w:rPr>
        <w:t xml:space="preserve"> 触电事故</w:t>
      </w:r>
      <w:r>
        <w:rPr>
          <w:color w:val="auto"/>
        </w:rPr>
        <w:tab/>
      </w:r>
      <w:r>
        <w:rPr>
          <w:color w:val="auto"/>
        </w:rPr>
        <w:fldChar w:fldCharType="begin"/>
      </w:r>
      <w:r>
        <w:rPr>
          <w:color w:val="auto"/>
        </w:rPr>
        <w:instrText xml:space="preserve"> PAGEREF _Toc121760056 \h </w:instrText>
      </w:r>
      <w:r>
        <w:rPr>
          <w:color w:val="auto"/>
        </w:rPr>
        <w:fldChar w:fldCharType="separate"/>
      </w:r>
      <w:r>
        <w:rPr>
          <w:color w:val="auto"/>
        </w:rPr>
        <w:t>93</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"_Toc121760057" </w:instrText>
      </w:r>
      <w:r>
        <w:rPr>
          <w:color w:val="auto"/>
        </w:rPr>
        <w:fldChar w:fldCharType="separate"/>
      </w:r>
      <w:r>
        <w:rPr>
          <w:rStyle w:val="48"/>
          <w:rFonts w:cs="宋体"/>
          <w:color w:val="auto"/>
        </w:rPr>
        <w:t>9.3.4</w:t>
      </w:r>
      <w:r>
        <w:rPr>
          <w:rStyle w:val="48"/>
          <w:color w:val="auto"/>
        </w:rPr>
        <w:t xml:space="preserve"> 机械伤害事故</w:t>
      </w:r>
      <w:r>
        <w:rPr>
          <w:color w:val="auto"/>
        </w:rPr>
        <w:tab/>
      </w:r>
      <w:r>
        <w:rPr>
          <w:color w:val="auto"/>
        </w:rPr>
        <w:fldChar w:fldCharType="begin"/>
      </w:r>
      <w:r>
        <w:rPr>
          <w:color w:val="auto"/>
        </w:rPr>
        <w:instrText xml:space="preserve"> PAGEREF _Toc121760057 \h </w:instrText>
      </w:r>
      <w:r>
        <w:rPr>
          <w:color w:val="auto"/>
        </w:rPr>
        <w:fldChar w:fldCharType="separate"/>
      </w:r>
      <w:r>
        <w:rPr>
          <w:color w:val="auto"/>
        </w:rPr>
        <w:t>95</w:t>
      </w:r>
      <w:r>
        <w:rPr>
          <w:color w:val="auto"/>
        </w:rPr>
        <w:fldChar w:fldCharType="end"/>
      </w:r>
      <w:r>
        <w:rPr>
          <w:color w:val="auto"/>
        </w:rPr>
        <w:fldChar w:fldCharType="end"/>
      </w:r>
    </w:p>
    <w:p>
      <w:pPr>
        <w:pStyle w:val="22"/>
        <w:tabs>
          <w:tab w:val="right" w:leader="dot" w:pos="9060"/>
        </w:tabs>
        <w:ind w:left="960" w:firstLine="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"_Toc121760058" </w:instrText>
      </w:r>
      <w:r>
        <w:rPr>
          <w:color w:val="auto"/>
        </w:rPr>
        <w:fldChar w:fldCharType="separate"/>
      </w:r>
      <w:r>
        <w:rPr>
          <w:rStyle w:val="48"/>
          <w:rFonts w:cs="宋体"/>
          <w:color w:val="auto"/>
        </w:rPr>
        <w:t>9.3.5</w:t>
      </w:r>
      <w:r>
        <w:rPr>
          <w:rStyle w:val="48"/>
          <w:color w:val="auto"/>
        </w:rPr>
        <w:t xml:space="preserve"> 落水人员应急处置措施</w:t>
      </w:r>
      <w:r>
        <w:rPr>
          <w:color w:val="auto"/>
        </w:rPr>
        <w:tab/>
      </w:r>
      <w:r>
        <w:rPr>
          <w:color w:val="auto"/>
        </w:rPr>
        <w:fldChar w:fldCharType="begin"/>
      </w:r>
      <w:r>
        <w:rPr>
          <w:color w:val="auto"/>
        </w:rPr>
        <w:instrText xml:space="preserve"> PAGEREF _Toc121760058 \h </w:instrText>
      </w:r>
      <w:r>
        <w:rPr>
          <w:color w:val="auto"/>
        </w:rPr>
        <w:fldChar w:fldCharType="separate"/>
      </w:r>
      <w:r>
        <w:rPr>
          <w:color w:val="auto"/>
        </w:rPr>
        <w:t>95</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"_Toc121760059" </w:instrText>
      </w:r>
      <w:r>
        <w:rPr>
          <w:color w:val="auto"/>
        </w:rPr>
        <w:fldChar w:fldCharType="separate"/>
      </w:r>
      <w:r>
        <w:rPr>
          <w:rStyle w:val="48"/>
          <w:rFonts w:ascii="宋体" w:hAnsi="宋体" w:cs="宋体"/>
          <w:color w:val="auto"/>
        </w:rPr>
        <w:t>9.4</w:t>
      </w:r>
      <w:r>
        <w:rPr>
          <w:rStyle w:val="48"/>
          <w:color w:val="auto"/>
        </w:rPr>
        <w:t xml:space="preserve"> 应急车辆、物资及设备</w:t>
      </w:r>
      <w:r>
        <w:rPr>
          <w:color w:val="auto"/>
        </w:rPr>
        <w:tab/>
      </w:r>
      <w:r>
        <w:rPr>
          <w:color w:val="auto"/>
        </w:rPr>
        <w:fldChar w:fldCharType="begin"/>
      </w:r>
      <w:r>
        <w:rPr>
          <w:color w:val="auto"/>
        </w:rPr>
        <w:instrText xml:space="preserve"> PAGEREF _Toc121760059 \h </w:instrText>
      </w:r>
      <w:r>
        <w:rPr>
          <w:color w:val="auto"/>
        </w:rPr>
        <w:fldChar w:fldCharType="separate"/>
      </w:r>
      <w:r>
        <w:rPr>
          <w:color w:val="auto"/>
        </w:rPr>
        <w:t>96</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"_Toc121760060" </w:instrText>
      </w:r>
      <w:r>
        <w:rPr>
          <w:color w:val="auto"/>
        </w:rPr>
        <w:fldChar w:fldCharType="separate"/>
      </w:r>
      <w:r>
        <w:rPr>
          <w:rStyle w:val="48"/>
          <w:rFonts w:ascii="宋体" w:hAnsi="宋体" w:cs="宋体"/>
          <w:color w:val="auto"/>
        </w:rPr>
        <w:t>9.5</w:t>
      </w:r>
      <w:r>
        <w:rPr>
          <w:rStyle w:val="48"/>
          <w:color w:val="auto"/>
        </w:rPr>
        <w:t xml:space="preserve"> 应急医院及线路图</w:t>
      </w:r>
      <w:r>
        <w:rPr>
          <w:color w:val="auto"/>
        </w:rPr>
        <w:tab/>
      </w:r>
      <w:r>
        <w:rPr>
          <w:color w:val="auto"/>
        </w:rPr>
        <w:fldChar w:fldCharType="begin"/>
      </w:r>
      <w:r>
        <w:rPr>
          <w:color w:val="auto"/>
        </w:rPr>
        <w:instrText xml:space="preserve"> PAGEREF _Toc121760060 \h </w:instrText>
      </w:r>
      <w:r>
        <w:rPr>
          <w:color w:val="auto"/>
        </w:rPr>
        <w:fldChar w:fldCharType="separate"/>
      </w:r>
      <w:r>
        <w:rPr>
          <w:color w:val="auto"/>
        </w:rPr>
        <w:t>97</w:t>
      </w:r>
      <w:r>
        <w:rPr>
          <w:color w:val="auto"/>
        </w:rPr>
        <w:fldChar w:fldCharType="end"/>
      </w:r>
      <w:r>
        <w:rPr>
          <w:color w:val="auto"/>
        </w:rPr>
        <w:fldChar w:fldCharType="end"/>
      </w:r>
    </w:p>
    <w:p>
      <w:pPr>
        <w:pStyle w:val="36"/>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"_Toc121760061" </w:instrText>
      </w:r>
      <w:r>
        <w:rPr>
          <w:color w:val="auto"/>
        </w:rPr>
        <w:fldChar w:fldCharType="separate"/>
      </w:r>
      <w:r>
        <w:rPr>
          <w:rStyle w:val="48"/>
          <w:rFonts w:ascii="宋体" w:hAnsi="宋体" w:cs="宋体"/>
          <w:color w:val="auto"/>
        </w:rPr>
        <w:t>9.6</w:t>
      </w:r>
      <w:r>
        <w:rPr>
          <w:rStyle w:val="48"/>
          <w:color w:val="auto"/>
        </w:rPr>
        <w:t xml:space="preserve"> 事故善后及恢复生产</w:t>
      </w:r>
      <w:r>
        <w:rPr>
          <w:color w:val="auto"/>
        </w:rPr>
        <w:tab/>
      </w:r>
      <w:r>
        <w:rPr>
          <w:color w:val="auto"/>
        </w:rPr>
        <w:fldChar w:fldCharType="begin"/>
      </w:r>
      <w:r>
        <w:rPr>
          <w:color w:val="auto"/>
        </w:rPr>
        <w:instrText xml:space="preserve"> PAGEREF _Toc121760061 \h </w:instrText>
      </w:r>
      <w:r>
        <w:rPr>
          <w:color w:val="auto"/>
        </w:rPr>
        <w:fldChar w:fldCharType="separate"/>
      </w:r>
      <w:r>
        <w:rPr>
          <w:color w:val="auto"/>
        </w:rPr>
        <w:t>97</w:t>
      </w:r>
      <w:r>
        <w:rPr>
          <w:color w:val="auto"/>
        </w:rPr>
        <w:fldChar w:fldCharType="end"/>
      </w:r>
      <w:r>
        <w:rPr>
          <w:color w:val="auto"/>
        </w:rPr>
        <w:fldChar w:fldCharType="end"/>
      </w:r>
    </w:p>
    <w:p>
      <w:pPr>
        <w:pStyle w:val="30"/>
        <w:rPr>
          <w:rFonts w:asciiTheme="minorHAnsi" w:hAnsiTheme="minorHAnsi" w:eastAsiaTheme="minorEastAsia" w:cstheme="minorBidi"/>
          <w:b w:val="0"/>
          <w:color w:val="auto"/>
          <w:sz w:val="21"/>
          <w:szCs w:val="22"/>
        </w:rPr>
      </w:pPr>
      <w:r>
        <w:rPr>
          <w:color w:val="auto"/>
        </w:rPr>
        <w:fldChar w:fldCharType="begin"/>
      </w:r>
      <w:r>
        <w:rPr>
          <w:color w:val="auto"/>
        </w:rPr>
        <w:instrText xml:space="preserve"> HYPERLINK \l "_Toc121760062" </w:instrText>
      </w:r>
      <w:r>
        <w:rPr>
          <w:color w:val="auto"/>
        </w:rPr>
        <w:fldChar w:fldCharType="separate"/>
      </w:r>
      <w:r>
        <w:rPr>
          <w:rStyle w:val="48"/>
          <w:rFonts w:ascii="宋体" w:hAnsi="宋体" w:cs="宋体"/>
          <w:color w:val="auto"/>
        </w:rPr>
        <w:t>10</w:t>
      </w:r>
      <w:r>
        <w:rPr>
          <w:rStyle w:val="48"/>
          <w:color w:val="auto"/>
        </w:rPr>
        <w:t xml:space="preserve"> 计算书及相关施工图纸</w:t>
      </w:r>
      <w:r>
        <w:rPr>
          <w:color w:val="auto"/>
        </w:rPr>
        <w:tab/>
      </w:r>
      <w:r>
        <w:rPr>
          <w:color w:val="auto"/>
        </w:rPr>
        <w:fldChar w:fldCharType="begin"/>
      </w:r>
      <w:r>
        <w:rPr>
          <w:color w:val="auto"/>
        </w:rPr>
        <w:instrText xml:space="preserve"> PAGEREF _Toc121760062 \h </w:instrText>
      </w:r>
      <w:r>
        <w:rPr>
          <w:color w:val="auto"/>
        </w:rPr>
        <w:fldChar w:fldCharType="separate"/>
      </w:r>
      <w:r>
        <w:rPr>
          <w:color w:val="auto"/>
        </w:rPr>
        <w:t>99</w:t>
      </w:r>
      <w:r>
        <w:rPr>
          <w:color w:val="auto"/>
        </w:rPr>
        <w:fldChar w:fldCharType="end"/>
      </w:r>
      <w:r>
        <w:rPr>
          <w:color w:val="auto"/>
        </w:rPr>
        <w:fldChar w:fldCharType="end"/>
      </w:r>
    </w:p>
    <w:p>
      <w:pPr>
        <w:pStyle w:val="30"/>
        <w:ind w:firstLine="643"/>
        <w:rPr>
          <w:b/>
          <w:color w:val="auto"/>
          <w:sz w:val="48"/>
          <w:szCs w:val="32"/>
        </w:rPr>
        <w:sectPr>
          <w:headerReference r:id="rId19" w:type="default"/>
          <w:footerReference r:id="rId20" w:type="default"/>
          <w:pgSz w:w="11906" w:h="16838"/>
          <w:pgMar w:top="1418" w:right="1418" w:bottom="1418" w:left="1418" w:header="851" w:footer="992" w:gutter="0"/>
          <w:pgNumType w:start="1"/>
          <w:cols w:space="720" w:num="1"/>
        </w:sectPr>
      </w:pPr>
      <w:r>
        <w:rPr>
          <w:color w:val="auto"/>
          <w:sz w:val="21"/>
        </w:rPr>
        <w:fldChar w:fldCharType="end"/>
      </w:r>
    </w:p>
    <w:p>
      <w:pPr>
        <w:pStyle w:val="3"/>
        <w:spacing w:before="156" w:after="156"/>
        <w:rPr>
          <w:color w:val="auto"/>
        </w:rPr>
      </w:pPr>
      <w:bookmarkStart w:id="6" w:name="_Toc26437"/>
      <w:bookmarkStart w:id="7" w:name="_Toc40778426"/>
      <w:bookmarkStart w:id="8" w:name="_Toc55223345"/>
      <w:bookmarkStart w:id="9" w:name="_Toc121759955"/>
      <w:r>
        <w:rPr>
          <w:rFonts w:hint="eastAsia"/>
          <w:color w:val="auto"/>
        </w:rPr>
        <w:t>编制</w:t>
      </w:r>
      <w:bookmarkEnd w:id="6"/>
      <w:bookmarkEnd w:id="7"/>
      <w:r>
        <w:rPr>
          <w:rFonts w:hint="eastAsia"/>
          <w:color w:val="auto"/>
        </w:rPr>
        <w:t>说明、依据及适用范围</w:t>
      </w:r>
      <w:bookmarkEnd w:id="8"/>
      <w:bookmarkEnd w:id="9"/>
    </w:p>
    <w:p>
      <w:pPr>
        <w:pStyle w:val="4"/>
        <w:spacing w:before="156" w:after="156"/>
        <w:rPr>
          <w:color w:val="auto"/>
        </w:rPr>
      </w:pPr>
      <w:bookmarkStart w:id="10" w:name="_Toc40778430"/>
      <w:bookmarkStart w:id="11" w:name="_Toc21803"/>
      <w:bookmarkStart w:id="12" w:name="_Toc2002"/>
      <w:bookmarkStart w:id="13" w:name="_Toc15521"/>
      <w:bookmarkStart w:id="14" w:name="_Toc121759956"/>
      <w:bookmarkStart w:id="15" w:name="_Toc55223346"/>
      <w:r>
        <w:rPr>
          <w:rFonts w:hint="eastAsia"/>
          <w:color w:val="auto"/>
        </w:rPr>
        <w:t>编制</w:t>
      </w:r>
      <w:bookmarkEnd w:id="10"/>
      <w:bookmarkEnd w:id="11"/>
      <w:bookmarkEnd w:id="12"/>
      <w:bookmarkEnd w:id="13"/>
      <w:r>
        <w:rPr>
          <w:rFonts w:hint="eastAsia"/>
          <w:color w:val="auto"/>
        </w:rPr>
        <w:t>说明</w:t>
      </w:r>
      <w:bookmarkEnd w:id="14"/>
      <w:bookmarkEnd w:id="15"/>
    </w:p>
    <w:p>
      <w:pPr>
        <w:ind w:firstLine="480"/>
        <w:rPr>
          <w:color w:val="auto"/>
        </w:rPr>
      </w:pPr>
      <w:r>
        <w:rPr>
          <w:rFonts w:hint="eastAsia"/>
          <w:color w:val="auto"/>
        </w:rPr>
        <w:t>为加强该工程升降机安拆安全技术管理，按照危险性较大工程的方案编制、论证及审查管理体系的要求，结合项目施工现场情况，明确施工工艺流程、安全操作要点和相应的工艺标准，指导、规范施工，预防重大安全事故，保障职工的人身和财产安全。</w:t>
      </w:r>
    </w:p>
    <w:p>
      <w:pPr>
        <w:pStyle w:val="4"/>
        <w:spacing w:before="156" w:after="156"/>
        <w:rPr>
          <w:color w:val="auto"/>
        </w:rPr>
      </w:pPr>
      <w:bookmarkStart w:id="16" w:name="_Toc18637"/>
      <w:bookmarkStart w:id="17" w:name="_Toc31747"/>
      <w:bookmarkStart w:id="18" w:name="_Toc40778428"/>
      <w:bookmarkStart w:id="19" w:name="_Toc55223347"/>
      <w:bookmarkStart w:id="20" w:name="_Toc121759957"/>
      <w:bookmarkStart w:id="21" w:name="_Toc10843"/>
      <w:r>
        <w:rPr>
          <w:rFonts w:hint="eastAsia"/>
          <w:color w:val="auto"/>
        </w:rPr>
        <w:t>编制依据</w:t>
      </w:r>
      <w:bookmarkEnd w:id="16"/>
      <w:bookmarkEnd w:id="17"/>
      <w:bookmarkEnd w:id="18"/>
      <w:bookmarkEnd w:id="19"/>
      <w:bookmarkEnd w:id="20"/>
      <w:bookmarkEnd w:id="21"/>
    </w:p>
    <w:p>
      <w:pPr>
        <w:pStyle w:val="5"/>
        <w:spacing w:before="156" w:after="156"/>
        <w:ind w:firstLine="482"/>
        <w:rPr>
          <w:rFonts w:hint="eastAsia"/>
          <w:color w:val="auto"/>
          <w:szCs w:val="24"/>
        </w:rPr>
      </w:pPr>
      <w:bookmarkStart w:id="22" w:name="_Toc121759958"/>
      <w:r>
        <w:rPr>
          <w:rFonts w:hint="eastAsia"/>
          <w:color w:val="auto"/>
          <w:szCs w:val="24"/>
        </w:rPr>
        <w:t>主要法律法规和规章</w:t>
      </w:r>
      <w:bookmarkEnd w:id="22"/>
    </w:p>
    <w:p>
      <w:pPr>
        <w:widowControl/>
        <w:numPr>
          <w:ilvl w:val="0"/>
          <w:numId w:val="6"/>
        </w:numPr>
        <w:ind w:left="0" w:firstLine="480"/>
        <w:rPr>
          <w:rFonts w:hint="eastAsia" w:ascii="宋体" w:hAnsi="宋体" w:cs="宋体"/>
          <w:color w:val="auto"/>
          <w:kern w:val="0"/>
        </w:rPr>
      </w:pPr>
      <w:r>
        <w:rPr>
          <w:rFonts w:hint="eastAsia" w:ascii="宋体" w:hAnsi="宋体" w:cs="宋体"/>
          <w:color w:val="auto"/>
          <w:kern w:val="0"/>
        </w:rPr>
        <w:t>《中华人民共和国安全生产法》（中华人民共和国主席令[2014]修订版）；</w:t>
      </w:r>
    </w:p>
    <w:p>
      <w:pPr>
        <w:widowControl/>
        <w:numPr>
          <w:ilvl w:val="0"/>
          <w:numId w:val="6"/>
        </w:numPr>
        <w:ind w:left="0" w:firstLine="480"/>
        <w:rPr>
          <w:rFonts w:hint="eastAsia" w:ascii="宋体" w:hAnsi="宋体" w:cs="宋体"/>
          <w:color w:val="auto"/>
          <w:kern w:val="0"/>
        </w:rPr>
      </w:pPr>
      <w:r>
        <w:rPr>
          <w:rFonts w:hint="eastAsia" w:ascii="宋体" w:hAnsi="宋体" w:cs="宋体"/>
          <w:color w:val="auto"/>
          <w:kern w:val="0"/>
        </w:rPr>
        <w:t>《中华人民共和国特种设备安全法》（主席令〔2013〕第14号）</w:t>
      </w:r>
    </w:p>
    <w:p>
      <w:pPr>
        <w:widowControl/>
        <w:numPr>
          <w:ilvl w:val="0"/>
          <w:numId w:val="6"/>
        </w:numPr>
        <w:ind w:left="0" w:firstLine="480"/>
        <w:rPr>
          <w:rFonts w:hint="eastAsia" w:ascii="宋体" w:hAnsi="宋体" w:cs="宋体"/>
          <w:color w:val="auto"/>
          <w:kern w:val="0"/>
        </w:rPr>
      </w:pPr>
      <w:r>
        <w:rPr>
          <w:rFonts w:hint="eastAsia" w:ascii="宋体" w:hAnsi="宋体" w:cs="宋体"/>
          <w:color w:val="auto"/>
          <w:kern w:val="0"/>
        </w:rPr>
        <w:t>《建筑施工安全检查标准》JGJ59－2011</w:t>
      </w:r>
    </w:p>
    <w:p>
      <w:pPr>
        <w:widowControl/>
        <w:numPr>
          <w:ilvl w:val="0"/>
          <w:numId w:val="6"/>
        </w:numPr>
        <w:ind w:left="0" w:firstLine="480"/>
        <w:rPr>
          <w:rFonts w:hint="eastAsia" w:ascii="宋体" w:hAnsi="宋体" w:cs="宋体"/>
          <w:color w:val="auto"/>
          <w:kern w:val="0"/>
        </w:rPr>
      </w:pPr>
      <w:r>
        <w:rPr>
          <w:rFonts w:hint="eastAsia" w:ascii="宋体" w:hAnsi="宋体" w:cs="宋体"/>
          <w:color w:val="auto"/>
          <w:kern w:val="0"/>
        </w:rPr>
        <w:t>《建筑起重机械安全监察管理规定》（建设部令166号）</w:t>
      </w:r>
    </w:p>
    <w:p>
      <w:pPr>
        <w:widowControl/>
        <w:numPr>
          <w:ilvl w:val="0"/>
          <w:numId w:val="6"/>
        </w:numPr>
        <w:ind w:left="0" w:firstLine="480"/>
        <w:rPr>
          <w:rFonts w:hint="eastAsia" w:ascii="宋体" w:hAnsi="宋体" w:cs="宋体"/>
          <w:color w:val="auto"/>
          <w:kern w:val="0"/>
        </w:rPr>
      </w:pPr>
      <w:r>
        <w:rPr>
          <w:rFonts w:hint="eastAsia" w:ascii="宋体" w:hAnsi="宋体" w:cs="宋体"/>
          <w:color w:val="auto"/>
          <w:kern w:val="0"/>
        </w:rPr>
        <w:t>《危险性较大的分部分项工程安全管理规定》（住房和城乡建设部令第37号）</w:t>
      </w:r>
    </w:p>
    <w:p>
      <w:pPr>
        <w:widowControl/>
        <w:numPr>
          <w:ilvl w:val="0"/>
          <w:numId w:val="6"/>
        </w:numPr>
        <w:ind w:left="0" w:firstLine="480"/>
        <w:rPr>
          <w:rFonts w:hint="eastAsia"/>
          <w:color w:val="auto"/>
        </w:rPr>
      </w:pPr>
      <w:r>
        <w:rPr>
          <w:rFonts w:hint="eastAsia" w:ascii="宋体" w:hAnsi="宋体" w:cs="宋体"/>
          <w:color w:val="auto"/>
          <w:kern w:val="0"/>
        </w:rPr>
        <w:t>《建设工程安全生产管理条例》（中华人民共和国国务院令[2003]第393号）；</w:t>
      </w:r>
    </w:p>
    <w:p>
      <w:pPr>
        <w:pStyle w:val="5"/>
        <w:spacing w:before="156" w:after="156"/>
        <w:ind w:firstLine="482"/>
        <w:rPr>
          <w:rFonts w:hint="eastAsia"/>
          <w:color w:val="auto"/>
          <w:szCs w:val="24"/>
        </w:rPr>
      </w:pPr>
      <w:bookmarkStart w:id="23" w:name="_Toc121759959"/>
      <w:r>
        <w:rPr>
          <w:rFonts w:hint="eastAsia"/>
          <w:color w:val="auto"/>
          <w:szCs w:val="24"/>
        </w:rPr>
        <w:t>主要技术标准和规范</w:t>
      </w:r>
      <w:bookmarkEnd w:id="23"/>
    </w:p>
    <w:p>
      <w:pPr>
        <w:widowControl/>
        <w:numPr>
          <w:ilvl w:val="0"/>
          <w:numId w:val="7"/>
        </w:numPr>
        <w:ind w:left="0" w:firstLine="480"/>
        <w:rPr>
          <w:rFonts w:hint="eastAsia" w:ascii="宋体" w:hAnsi="宋体" w:cs="宋体"/>
          <w:color w:val="auto"/>
          <w:kern w:val="0"/>
        </w:rPr>
      </w:pPr>
      <w:r>
        <w:rPr>
          <w:rFonts w:hint="eastAsia" w:ascii="宋体" w:hAnsi="宋体" w:cs="宋体"/>
          <w:color w:val="auto"/>
        </w:rPr>
        <w:t>《吊笼有垂直导向的人货两用施</w:t>
      </w:r>
      <w:r>
        <w:rPr>
          <w:rFonts w:hint="eastAsia" w:ascii="宋体" w:hAnsi="宋体" w:cs="宋体"/>
          <w:color w:val="auto"/>
          <w:kern w:val="0"/>
        </w:rPr>
        <w:t>工升降机》GB 26545-2011</w:t>
      </w:r>
    </w:p>
    <w:p>
      <w:pPr>
        <w:widowControl/>
        <w:numPr>
          <w:ilvl w:val="0"/>
          <w:numId w:val="7"/>
        </w:numPr>
        <w:ind w:left="0" w:firstLine="480"/>
        <w:rPr>
          <w:rFonts w:hint="eastAsia" w:ascii="宋体" w:hAnsi="宋体" w:cs="宋体"/>
          <w:color w:val="auto"/>
          <w:kern w:val="0"/>
        </w:rPr>
      </w:pPr>
      <w:r>
        <w:rPr>
          <w:rFonts w:hint="eastAsia" w:ascii="宋体" w:hAnsi="宋体" w:cs="宋体"/>
          <w:color w:val="auto"/>
          <w:kern w:val="0"/>
        </w:rPr>
        <w:t>《建筑施工升降设备设施检验标准》JGJ305－2013，</w:t>
      </w:r>
    </w:p>
    <w:p>
      <w:pPr>
        <w:widowControl/>
        <w:numPr>
          <w:ilvl w:val="0"/>
          <w:numId w:val="7"/>
        </w:numPr>
        <w:ind w:left="0" w:firstLine="480"/>
        <w:rPr>
          <w:rFonts w:hint="eastAsia" w:ascii="宋体" w:hAnsi="宋体" w:cs="宋体"/>
          <w:color w:val="auto"/>
          <w:kern w:val="0"/>
        </w:rPr>
      </w:pPr>
      <w:r>
        <w:rPr>
          <w:rFonts w:hint="eastAsia" w:ascii="宋体" w:hAnsi="宋体" w:cs="宋体"/>
          <w:color w:val="auto"/>
          <w:kern w:val="0"/>
        </w:rPr>
        <w:t>《建筑施工升降机安装、使用、拆卸安全技术规程》JGJ215－2010</w:t>
      </w:r>
    </w:p>
    <w:p>
      <w:pPr>
        <w:widowControl/>
        <w:numPr>
          <w:ilvl w:val="0"/>
          <w:numId w:val="7"/>
        </w:numPr>
        <w:ind w:left="0" w:firstLine="480"/>
        <w:rPr>
          <w:rFonts w:hint="eastAsia" w:ascii="宋体" w:hAnsi="宋体" w:cs="宋体"/>
          <w:color w:val="auto"/>
          <w:kern w:val="0"/>
        </w:rPr>
      </w:pPr>
      <w:r>
        <w:rPr>
          <w:rFonts w:hint="eastAsia" w:ascii="宋体" w:hAnsi="宋体" w:cs="宋体"/>
          <w:color w:val="auto"/>
          <w:kern w:val="0"/>
        </w:rPr>
        <w:t>《建筑施工高处作业安全技术规范》JGJ 80-2016</w:t>
      </w:r>
    </w:p>
    <w:p>
      <w:pPr>
        <w:widowControl/>
        <w:numPr>
          <w:ilvl w:val="0"/>
          <w:numId w:val="7"/>
        </w:numPr>
        <w:ind w:left="0" w:firstLine="480"/>
        <w:rPr>
          <w:rFonts w:hint="eastAsia" w:ascii="宋体" w:hAnsi="宋体" w:cs="宋体"/>
          <w:color w:val="auto"/>
          <w:kern w:val="0"/>
        </w:rPr>
      </w:pPr>
      <w:r>
        <w:rPr>
          <w:rFonts w:hint="eastAsia" w:ascii="宋体" w:hAnsi="宋体" w:cs="宋体"/>
          <w:color w:val="auto"/>
          <w:kern w:val="0"/>
        </w:rPr>
        <w:t>《施工现场临时用电安全技术规范》JGJ 46-2005</w:t>
      </w:r>
    </w:p>
    <w:p>
      <w:pPr>
        <w:widowControl/>
        <w:numPr>
          <w:ilvl w:val="0"/>
          <w:numId w:val="7"/>
        </w:numPr>
        <w:ind w:left="0" w:firstLine="480"/>
        <w:rPr>
          <w:rFonts w:hint="eastAsia" w:ascii="宋体" w:hAnsi="宋体" w:cs="宋体"/>
          <w:color w:val="auto"/>
          <w:kern w:val="0"/>
        </w:rPr>
      </w:pPr>
      <w:r>
        <w:rPr>
          <w:rFonts w:hint="eastAsia" w:ascii="宋体" w:hAnsi="宋体" w:cs="宋体"/>
          <w:color w:val="auto"/>
          <w:kern w:val="0"/>
        </w:rPr>
        <w:t>《施工升降机》（GB/T 10054-2005）</w:t>
      </w:r>
    </w:p>
    <w:p>
      <w:pPr>
        <w:widowControl/>
        <w:numPr>
          <w:ilvl w:val="0"/>
          <w:numId w:val="7"/>
        </w:numPr>
        <w:ind w:left="0" w:firstLine="480"/>
        <w:rPr>
          <w:rFonts w:hint="eastAsia" w:ascii="宋体" w:hAnsi="宋体" w:cs="宋体"/>
          <w:color w:val="auto"/>
          <w:kern w:val="0"/>
        </w:rPr>
      </w:pPr>
      <w:r>
        <w:rPr>
          <w:rFonts w:hint="eastAsia" w:ascii="宋体" w:hAnsi="宋体" w:cs="宋体"/>
          <w:color w:val="auto"/>
          <w:kern w:val="0"/>
        </w:rPr>
        <w:t>《施工现场机械设备检查技术规程》（JGJ160——2016）</w:t>
      </w:r>
    </w:p>
    <w:p>
      <w:pPr>
        <w:numPr>
          <w:ilvl w:val="0"/>
          <w:numId w:val="7"/>
        </w:numPr>
        <w:ind w:left="0" w:firstLine="480"/>
        <w:rPr>
          <w:rFonts w:hint="eastAsia" w:ascii="宋体" w:hAnsi="宋体" w:cs="宋体"/>
          <w:color w:val="auto"/>
        </w:rPr>
      </w:pPr>
      <w:r>
        <w:rPr>
          <w:rFonts w:hint="eastAsia" w:ascii="宋体" w:hAnsi="宋体" w:cs="宋体"/>
          <w:color w:val="auto"/>
        </w:rPr>
        <w:t>《</w:t>
      </w:r>
      <w:r>
        <w:rPr>
          <w:rFonts w:hint="eastAsia" w:ascii="宋体" w:hAnsi="宋体" w:cs="宋体"/>
          <w:color w:val="auto"/>
          <w:lang w:eastAsia="zh-CN"/>
        </w:rPr>
        <w:t>梧州-玉林-钦州公路（苍梧至容县段）</w:t>
      </w:r>
      <w:r>
        <w:rPr>
          <w:rFonts w:hint="eastAsia" w:ascii="宋体" w:hAnsi="宋体" w:cs="宋体"/>
          <w:color w:val="auto"/>
        </w:rPr>
        <w:t xml:space="preserve">工程施工图纸》 </w:t>
      </w:r>
    </w:p>
    <w:p>
      <w:pPr>
        <w:numPr>
          <w:ilvl w:val="0"/>
          <w:numId w:val="7"/>
        </w:numPr>
        <w:ind w:left="0" w:firstLine="480"/>
        <w:rPr>
          <w:rFonts w:hint="eastAsia" w:ascii="宋体" w:hAnsi="宋体" w:cs="宋体"/>
          <w:color w:val="auto"/>
        </w:rPr>
      </w:pPr>
      <w:r>
        <w:rPr>
          <w:rFonts w:hint="eastAsia" w:ascii="宋体" w:hAnsi="宋体" w:cs="宋体"/>
          <w:color w:val="auto"/>
        </w:rPr>
        <w:t>《</w:t>
      </w:r>
      <w:r>
        <w:rPr>
          <w:rFonts w:hint="eastAsia" w:ascii="宋体" w:hAnsi="宋体" w:cs="宋体"/>
          <w:color w:val="auto"/>
          <w:lang w:eastAsia="zh-CN"/>
        </w:rPr>
        <w:t>梧州-玉林-钦州公路（苍梧至容县段）</w:t>
      </w:r>
      <w:r>
        <w:rPr>
          <w:rFonts w:hint="eastAsia" w:ascii="宋体" w:hAnsi="宋体" w:cs="宋体"/>
          <w:color w:val="auto"/>
        </w:rPr>
        <w:t xml:space="preserve">工程施工组织设计》 </w:t>
      </w:r>
    </w:p>
    <w:p>
      <w:pPr>
        <w:numPr>
          <w:ilvl w:val="0"/>
          <w:numId w:val="7"/>
        </w:numPr>
        <w:ind w:left="0" w:firstLine="480"/>
        <w:rPr>
          <w:rFonts w:hint="eastAsia"/>
          <w:color w:val="auto"/>
        </w:rPr>
      </w:pPr>
      <w:r>
        <w:rPr>
          <w:rFonts w:hint="eastAsia" w:ascii="宋体" w:hAnsi="宋体" w:cs="宋体"/>
          <w:color w:val="auto"/>
        </w:rPr>
        <w:t>《SC200施工升降机使用说明书》</w:t>
      </w:r>
    </w:p>
    <w:p>
      <w:pPr>
        <w:pStyle w:val="4"/>
        <w:spacing w:before="156" w:after="156"/>
        <w:rPr>
          <w:color w:val="auto"/>
        </w:rPr>
      </w:pPr>
      <w:bookmarkStart w:id="24" w:name="_Toc121759960"/>
      <w:bookmarkStart w:id="25" w:name="_Toc55223348"/>
      <w:r>
        <w:rPr>
          <w:rFonts w:hint="eastAsia"/>
          <w:color w:val="auto"/>
        </w:rPr>
        <w:t>适用范围</w:t>
      </w:r>
      <w:bookmarkEnd w:id="24"/>
      <w:bookmarkEnd w:id="25"/>
    </w:p>
    <w:p>
      <w:pPr>
        <w:ind w:firstLine="480"/>
        <w:rPr>
          <w:color w:val="auto"/>
        </w:rPr>
      </w:pPr>
      <w:bookmarkStart w:id="26" w:name="_Toc12304"/>
      <w:r>
        <w:rPr>
          <w:rFonts w:hint="eastAsia"/>
          <w:color w:val="auto"/>
          <w:lang w:eastAsia="zh-CN"/>
        </w:rPr>
        <w:t>梧州-玉林-钦州公路（苍梧至容县段）</w:t>
      </w:r>
      <w:r>
        <w:rPr>
          <w:rFonts w:hint="eastAsia"/>
          <w:color w:val="auto"/>
        </w:rPr>
        <w:t>工程</w:t>
      </w:r>
      <w:r>
        <w:rPr>
          <w:rFonts w:hint="eastAsia"/>
          <w:color w:val="auto"/>
          <w:lang w:val="en-US" w:eastAsia="zh-CN"/>
        </w:rPr>
        <w:t>浔江特大桥</w:t>
      </w:r>
      <w:r>
        <w:rPr>
          <w:rFonts w:hint="eastAsia"/>
          <w:color w:val="auto"/>
        </w:rPr>
        <w:t>的升降机安装、拆除安全专项施工方案，主要适用负责该工程主塔施工的升降机安装、拆除施工作业。</w:t>
      </w:r>
    </w:p>
    <w:p>
      <w:pPr>
        <w:ind w:firstLine="480"/>
        <w:rPr>
          <w:color w:val="auto"/>
        </w:rPr>
      </w:pPr>
      <w:r>
        <w:rPr>
          <w:rFonts w:hint="eastAsia"/>
          <w:color w:val="auto"/>
        </w:rPr>
        <w:t>本工程所用的施工升降机为</w:t>
      </w:r>
      <w:r>
        <w:rPr>
          <w:rFonts w:hint="eastAsia"/>
          <w:color w:val="auto"/>
          <w:lang w:val="en-US" w:eastAsia="zh-CN"/>
        </w:rPr>
        <w:t>直</w:t>
      </w:r>
      <w:r>
        <w:rPr>
          <w:rFonts w:hint="eastAsia"/>
          <w:color w:val="auto"/>
        </w:rPr>
        <w:t>梯的型式。</w:t>
      </w:r>
    </w:p>
    <w:p>
      <w:pPr>
        <w:ind w:firstLine="480"/>
        <w:rPr>
          <w:color w:val="auto"/>
        </w:rPr>
      </w:pPr>
    </w:p>
    <w:bookmarkEnd w:id="26"/>
    <w:p>
      <w:pPr>
        <w:pStyle w:val="3"/>
        <w:spacing w:before="156" w:after="156"/>
        <w:rPr>
          <w:color w:val="auto"/>
        </w:rPr>
      </w:pPr>
      <w:r>
        <w:rPr>
          <w:b w:val="0"/>
          <w:bCs w:val="0"/>
          <w:color w:val="auto"/>
        </w:rPr>
        <w:br w:type="page"/>
      </w:r>
      <w:bookmarkStart w:id="27" w:name="_Toc3812"/>
      <w:bookmarkStart w:id="28" w:name="_Toc55223349"/>
      <w:bookmarkStart w:id="29" w:name="_Toc40778420"/>
      <w:bookmarkStart w:id="30" w:name="_Toc121759961"/>
      <w:bookmarkStart w:id="31" w:name="_Toc40778431"/>
      <w:bookmarkStart w:id="32" w:name="_Toc17866"/>
      <w:r>
        <w:rPr>
          <w:rFonts w:hint="eastAsia"/>
          <w:color w:val="auto"/>
        </w:rPr>
        <w:t>工程概况</w:t>
      </w:r>
      <w:bookmarkEnd w:id="27"/>
      <w:bookmarkEnd w:id="28"/>
      <w:bookmarkEnd w:id="29"/>
      <w:bookmarkEnd w:id="30"/>
    </w:p>
    <w:p>
      <w:pPr>
        <w:pStyle w:val="4"/>
        <w:spacing w:before="156" w:after="156"/>
        <w:rPr>
          <w:color w:val="auto"/>
        </w:rPr>
      </w:pPr>
      <w:bookmarkStart w:id="33" w:name="_Toc55223350"/>
      <w:bookmarkStart w:id="34" w:name="_Toc40778421"/>
      <w:bookmarkStart w:id="35" w:name="_Toc12207"/>
      <w:bookmarkStart w:id="36" w:name="_Toc121759962"/>
      <w:r>
        <w:rPr>
          <w:rFonts w:hint="eastAsia"/>
          <w:color w:val="auto"/>
        </w:rPr>
        <w:t>工程概况</w:t>
      </w:r>
      <w:bookmarkEnd w:id="33"/>
      <w:bookmarkEnd w:id="34"/>
      <w:bookmarkEnd w:id="35"/>
      <w:bookmarkEnd w:id="36"/>
    </w:p>
    <w:p>
      <w:pPr>
        <w:spacing w:after="50" w:afterLines="50" w:line="360" w:lineRule="auto"/>
        <w:ind w:firstLine="420"/>
        <w:jc w:val="left"/>
        <w:rPr>
          <w:rFonts w:hint="eastAsia" w:ascii="宋体" w:hAnsi="宋体" w:eastAsia="宋体" w:cs="宋体"/>
          <w:color w:val="auto"/>
          <w:szCs w:val="24"/>
        </w:rPr>
      </w:pPr>
      <w:bookmarkStart w:id="37" w:name="_Toc4638"/>
      <w:bookmarkStart w:id="38" w:name="_Toc121759965"/>
      <w:bookmarkStart w:id="39" w:name="_Hlk120554625"/>
      <w:bookmarkStart w:id="40" w:name="_Toc40778422"/>
      <w:bookmarkStart w:id="41" w:name="_Toc3151"/>
      <w:bookmarkStart w:id="42" w:name="_Toc55223351"/>
      <w:r>
        <w:rPr>
          <w:rFonts w:hint="eastAsia" w:ascii="宋体" w:hAnsi="宋体" w:eastAsia="宋体" w:cs="宋体"/>
          <w:color w:val="auto"/>
          <w:szCs w:val="24"/>
        </w:rPr>
        <w:t>新建梧州- 玉林- 钦州公路（苍梧至容县段）</w:t>
      </w:r>
      <w:r>
        <w:rPr>
          <w:rFonts w:hint="eastAsia" w:ascii="宋体" w:hAnsi="宋体" w:eastAsia="宋体" w:cs="宋体"/>
          <w:color w:val="auto"/>
          <w:szCs w:val="24"/>
          <w:lang w:val="en-US" w:eastAsia="zh-CN"/>
        </w:rPr>
        <w:t>工程</w:t>
      </w:r>
      <w:r>
        <w:rPr>
          <w:rFonts w:hint="eastAsia" w:ascii="宋体" w:hAnsi="宋体" w:eastAsia="宋体" w:cs="宋体"/>
          <w:color w:val="auto"/>
          <w:szCs w:val="24"/>
        </w:rPr>
        <w:t>(YK13+132.289～YK14+820.289)浔江特大桥索塔施工图，内容包括索塔构造、索塔钢筋构造、索塔施工流程及防撞设施等。</w:t>
      </w:r>
    </w:p>
    <w:p>
      <w:pPr>
        <w:spacing w:after="50" w:afterLines="50" w:line="360" w:lineRule="auto"/>
        <w:ind w:firstLine="420"/>
        <w:jc w:val="center"/>
        <w:rPr>
          <w:rFonts w:hint="eastAsia" w:ascii="宋体" w:hAnsi="宋体" w:eastAsia="宋体" w:cs="宋体"/>
          <w:color w:val="auto"/>
          <w:szCs w:val="24"/>
          <w:lang w:val="en-US" w:eastAsia="zh-CN"/>
        </w:rPr>
      </w:pPr>
      <w:r>
        <w:rPr>
          <w:rFonts w:hint="eastAsia" w:ascii="宋体" w:hAnsi="宋体" w:eastAsia="宋体" w:cs="宋体"/>
          <w:color w:val="auto"/>
          <w:szCs w:val="24"/>
        </w:rPr>
        <w:drawing>
          <wp:inline distT="0" distB="0" distL="114300" distR="114300">
            <wp:extent cx="4754245" cy="1725295"/>
            <wp:effectExtent l="0" t="0" r="635" b="1206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9"/>
                    <a:stretch>
                      <a:fillRect/>
                    </a:stretch>
                  </pic:blipFill>
                  <pic:spPr>
                    <a:xfrm>
                      <a:off x="0" y="0"/>
                      <a:ext cx="4754245" cy="1725295"/>
                    </a:xfrm>
                    <a:prstGeom prst="rect">
                      <a:avLst/>
                    </a:prstGeom>
                    <a:noFill/>
                    <a:ln>
                      <a:noFill/>
                    </a:ln>
                  </pic:spPr>
                </pic:pic>
              </a:graphicData>
            </a:graphic>
          </wp:inline>
        </w:drawing>
      </w:r>
    </w:p>
    <w:p>
      <w:pPr>
        <w:widowControl w:val="0"/>
        <w:spacing w:after="50" w:afterLines="50" w:line="312" w:lineRule="auto"/>
        <w:ind w:firstLine="420"/>
        <w:jc w:val="center"/>
        <w:rPr>
          <w:rFonts w:hint="eastAsia" w:ascii="Times New Roman" w:hAnsi="Times New Roman" w:eastAsia="宋体" w:cs="Times New Roman"/>
          <w:color w:val="auto"/>
          <w:kern w:val="2"/>
          <w:sz w:val="28"/>
          <w:szCs w:val="24"/>
          <w:lang w:val="en-US" w:eastAsia="zh-CN" w:bidi="ar-SA"/>
        </w:rPr>
      </w:pPr>
      <w:r>
        <w:rPr>
          <w:rFonts w:hint="eastAsia" w:ascii="宋体" w:hAnsi="宋体" w:eastAsia="宋体" w:cs="宋体"/>
          <w:color w:val="auto"/>
          <w:szCs w:val="24"/>
        </w:rPr>
        <w:t>图2.1</w:t>
      </w:r>
      <w:r>
        <w:rPr>
          <w:rFonts w:hint="eastAsia" w:ascii="宋体" w:hAnsi="宋体" w:eastAsia="宋体" w:cs="宋体"/>
          <w:color w:val="auto"/>
          <w:szCs w:val="24"/>
        </w:rPr>
        <w:noBreakHyphen/>
      </w:r>
      <w:r>
        <w:rPr>
          <w:rFonts w:hint="eastAsia" w:ascii="宋体" w:hAnsi="宋体" w:eastAsia="宋体" w:cs="宋体"/>
          <w:color w:val="auto"/>
          <w:szCs w:val="24"/>
        </w:rPr>
        <w:t>1 桥型布置图</w:t>
      </w:r>
    </w:p>
    <w:bookmarkEnd w:id="37"/>
    <w:p>
      <w:pPr>
        <w:spacing w:after="50" w:afterLines="50" w:line="360" w:lineRule="auto"/>
        <w:ind w:firstLine="420"/>
        <w:jc w:val="left"/>
        <w:outlineLvl w:val="2"/>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2.1.1</w:t>
      </w:r>
      <w:r>
        <w:rPr>
          <w:rFonts w:hint="eastAsia" w:ascii="宋体" w:hAnsi="宋体" w:eastAsia="宋体" w:cs="宋体"/>
          <w:color w:val="auto"/>
          <w:szCs w:val="24"/>
          <w:lang w:val="zh-CN" w:eastAsia="zh-CN"/>
        </w:rPr>
        <w:t xml:space="preserve"> 工程地质</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桥区位于河谷区，其中小里程侧索塔位于构造构造剥蚀丘陵间谷地工程地质区，塔位地形起伏较大，地面标高在 23~58m 范围，基岩埋深 25m 左右；大里程侧索塔位于山前冲击平原高程地质区，塔位地形相对较平坦，地表高程约 23~25m，基岩埋深 40m 左右；中塔位于江域河流工程地质区，塔位水底大部分较平坦，标高在 2.50-5.00m，基岩埋深 0~4m。桥位区北岸上部分布淤泥质土及素填土层等，下伏基岩为寒武系水口组上亚群(∈sh3)地层，岩性主要为粉砂岩，局部夹板岩、部分地段呈互层状。主要岩土力学物理力学指标表如下</w:t>
      </w:r>
      <w:r>
        <w:rPr>
          <w:rFonts w:hint="eastAsia" w:ascii="宋体" w:hAnsi="宋体" w:eastAsia="宋体" w:cs="宋体"/>
          <w:color w:val="auto"/>
          <w:szCs w:val="24"/>
          <w:lang w:val="en-US" w:eastAsia="zh-CN"/>
        </w:rPr>
        <w:t>表</w:t>
      </w:r>
      <w:r>
        <w:rPr>
          <w:rFonts w:hint="eastAsia" w:ascii="宋体" w:hAnsi="宋体" w:eastAsia="宋体" w:cs="宋体"/>
          <w:color w:val="auto"/>
          <w:szCs w:val="24"/>
          <w:lang w:val="zh-CN" w:eastAsia="zh-CN"/>
        </w:rPr>
        <w:t xml:space="preserve"> </w:t>
      </w:r>
      <w:r>
        <w:rPr>
          <w:rFonts w:hint="eastAsia" w:ascii="宋体" w:hAnsi="宋体" w:eastAsia="宋体" w:cs="宋体"/>
          <w:color w:val="auto"/>
          <w:szCs w:val="24"/>
          <w:lang w:val="en-US" w:eastAsia="zh-CN"/>
        </w:rPr>
        <w:t>2.1-1</w:t>
      </w:r>
      <w:r>
        <w:rPr>
          <w:rFonts w:hint="eastAsia" w:ascii="宋体" w:hAnsi="宋体" w:eastAsia="宋体" w:cs="宋体"/>
          <w:color w:val="auto"/>
          <w:szCs w:val="24"/>
          <w:lang w:val="zh-CN" w:eastAsia="zh-CN"/>
        </w:rPr>
        <w:t>。其他详见地质勘察报告。</w:t>
      </w:r>
    </w:p>
    <w:p>
      <w:pPr>
        <w:spacing w:after="50" w:afterLines="50" w:line="360" w:lineRule="auto"/>
        <w:ind w:firstLine="420"/>
        <w:jc w:val="center"/>
        <w:rPr>
          <w:rFonts w:hint="eastAsia" w:ascii="宋体" w:hAnsi="宋体" w:eastAsia="宋体" w:cs="宋体"/>
          <w:color w:val="auto"/>
          <w:szCs w:val="24"/>
          <w:lang w:val="zh-CN"/>
        </w:rPr>
      </w:pPr>
      <w:r>
        <w:rPr>
          <w:rFonts w:hint="eastAsia" w:ascii="宋体" w:hAnsi="宋体" w:eastAsia="宋体" w:cs="宋体"/>
          <w:color w:val="auto"/>
          <w:szCs w:val="24"/>
          <w:lang w:val="zh-CN"/>
        </w:rPr>
        <w:t xml:space="preserve">表 </w:t>
      </w:r>
      <w:r>
        <w:rPr>
          <w:rFonts w:hint="eastAsia" w:ascii="宋体" w:hAnsi="宋体" w:eastAsia="宋体" w:cs="宋体"/>
          <w:color w:val="auto"/>
          <w:szCs w:val="24"/>
          <w:lang w:val="en-US" w:eastAsia="zh-CN"/>
        </w:rPr>
        <w:t>2.1-1</w:t>
      </w:r>
      <w:r>
        <w:rPr>
          <w:rFonts w:hint="eastAsia" w:ascii="宋体" w:hAnsi="宋体" w:eastAsia="宋体" w:cs="宋体"/>
          <w:color w:val="auto"/>
          <w:szCs w:val="24"/>
          <w:lang w:val="zh-CN"/>
        </w:rPr>
        <w:t xml:space="preserve"> 各主要岩土层力学指标推荐值表</w:t>
      </w:r>
    </w:p>
    <w:tbl>
      <w:tblPr>
        <w:tblStyle w:val="44"/>
        <w:tblW w:w="8455" w:type="dxa"/>
        <w:jc w:val="center"/>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450"/>
        <w:gridCol w:w="665"/>
        <w:gridCol w:w="887"/>
        <w:gridCol w:w="558"/>
        <w:gridCol w:w="746"/>
        <w:gridCol w:w="835"/>
        <w:gridCol w:w="716"/>
        <w:gridCol w:w="715"/>
        <w:gridCol w:w="835"/>
        <w:gridCol w:w="955"/>
        <w:gridCol w:w="1093"/>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90" w:hRule="atLeast"/>
          <w:jc w:val="center"/>
        </w:trPr>
        <w:tc>
          <w:tcPr>
            <w:tcW w:w="450" w:type="dxa"/>
            <w:vMerge w:val="restart"/>
            <w:tcBorders>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序号</w:t>
            </w:r>
          </w:p>
        </w:tc>
        <w:tc>
          <w:tcPr>
            <w:tcW w:w="665" w:type="dxa"/>
            <w:vMerge w:val="restart"/>
            <w:tcBorders>
              <w:left w:val="single" w:color="000000" w:sz="6" w:space="0"/>
              <w:bottom w:val="single" w:color="000000" w:sz="6" w:space="0"/>
              <w:right w:val="single" w:color="000000" w:sz="6" w:space="0"/>
            </w:tcBorders>
            <w:vAlign w:val="center"/>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层号</w:t>
            </w:r>
          </w:p>
        </w:tc>
        <w:tc>
          <w:tcPr>
            <w:tcW w:w="887" w:type="dxa"/>
            <w:vMerge w:val="restart"/>
            <w:tcBorders>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岩土名称</w:t>
            </w:r>
          </w:p>
        </w:tc>
        <w:tc>
          <w:tcPr>
            <w:tcW w:w="558" w:type="dxa"/>
            <w:vMerge w:val="restart"/>
            <w:tcBorders>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状态</w:t>
            </w:r>
          </w:p>
        </w:tc>
        <w:tc>
          <w:tcPr>
            <w:tcW w:w="1581" w:type="dxa"/>
            <w:gridSpan w:val="2"/>
            <w:tcBorders>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原位测试分析</w:t>
            </w:r>
          </w:p>
        </w:tc>
        <w:tc>
          <w:tcPr>
            <w:tcW w:w="2266" w:type="dxa"/>
            <w:gridSpan w:val="3"/>
            <w:tcBorders>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土工试验分析</w:t>
            </w:r>
          </w:p>
        </w:tc>
        <w:tc>
          <w:tcPr>
            <w:tcW w:w="955" w:type="dxa"/>
            <w:vMerge w:val="restart"/>
            <w:tcBorders>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承载力特征值推荐</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值（Kpa）</w:t>
            </w:r>
          </w:p>
        </w:tc>
        <w:tc>
          <w:tcPr>
            <w:tcW w:w="1093" w:type="dxa"/>
            <w:vMerge w:val="restart"/>
            <w:tcBorders>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钻孔桩桩侧摩阻力推荐</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值（Kpa）</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90" w:hRule="atLeast"/>
          <w:jc w:val="center"/>
        </w:trPr>
        <w:tc>
          <w:tcPr>
            <w:tcW w:w="450" w:type="dxa"/>
            <w:vMerge w:val="continue"/>
            <w:tcBorders>
              <w:top w:val="nil"/>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tc>
        <w:tc>
          <w:tcPr>
            <w:tcW w:w="665" w:type="dxa"/>
            <w:vMerge w:val="continue"/>
            <w:tcBorders>
              <w:top w:val="nil"/>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tc>
        <w:tc>
          <w:tcPr>
            <w:tcW w:w="887" w:type="dxa"/>
            <w:vMerge w:val="continue"/>
            <w:tcBorders>
              <w:top w:val="nil"/>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tc>
        <w:tc>
          <w:tcPr>
            <w:tcW w:w="558" w:type="dxa"/>
            <w:vMerge w:val="continue"/>
            <w:tcBorders>
              <w:top w:val="nil"/>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tc>
        <w:tc>
          <w:tcPr>
            <w:tcW w:w="74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N（击）</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N2</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fa（0   Kpa）</w:t>
            </w:r>
          </w:p>
        </w:tc>
        <w:tc>
          <w:tcPr>
            <w:tcW w:w="71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e</w:t>
            </w:r>
          </w:p>
        </w:tc>
        <w:tc>
          <w:tcPr>
            <w:tcW w:w="71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IL</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fa（0   Kpa）</w:t>
            </w:r>
          </w:p>
        </w:tc>
        <w:tc>
          <w:tcPr>
            <w:tcW w:w="955" w:type="dxa"/>
            <w:vMerge w:val="continue"/>
            <w:tcBorders>
              <w:top w:val="nil"/>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tc>
        <w:tc>
          <w:tcPr>
            <w:tcW w:w="1093" w:type="dxa"/>
            <w:vMerge w:val="continue"/>
            <w:tcBorders>
              <w:top w:val="nil"/>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90" w:hRule="atLeast"/>
          <w:jc w:val="center"/>
        </w:trPr>
        <w:tc>
          <w:tcPr>
            <w:tcW w:w="450" w:type="dxa"/>
            <w:tcBorders>
              <w:top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1</w:t>
            </w:r>
          </w:p>
        </w:tc>
        <w:tc>
          <w:tcPr>
            <w:tcW w:w="66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&lt;2-1&gt;</w:t>
            </w:r>
          </w:p>
        </w:tc>
        <w:tc>
          <w:tcPr>
            <w:tcW w:w="887"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粉质黏土</w:t>
            </w:r>
          </w:p>
        </w:tc>
        <w:tc>
          <w:tcPr>
            <w:tcW w:w="558"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可塑</w:t>
            </w:r>
          </w:p>
        </w:tc>
        <w:tc>
          <w:tcPr>
            <w:tcW w:w="74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5～16</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tc>
        <w:tc>
          <w:tcPr>
            <w:tcW w:w="71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0.859</w:t>
            </w:r>
          </w:p>
        </w:tc>
        <w:tc>
          <w:tcPr>
            <w:tcW w:w="71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0.42</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215</w:t>
            </w:r>
          </w:p>
        </w:tc>
        <w:tc>
          <w:tcPr>
            <w:tcW w:w="95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180</w:t>
            </w:r>
          </w:p>
        </w:tc>
        <w:tc>
          <w:tcPr>
            <w:tcW w:w="1093" w:type="dxa"/>
            <w:tcBorders>
              <w:top w:val="single" w:color="000000" w:sz="6" w:space="0"/>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50</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590" w:hRule="atLeast"/>
          <w:jc w:val="center"/>
        </w:trPr>
        <w:tc>
          <w:tcPr>
            <w:tcW w:w="450" w:type="dxa"/>
            <w:tcBorders>
              <w:top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2</w:t>
            </w:r>
          </w:p>
        </w:tc>
        <w:tc>
          <w:tcPr>
            <w:tcW w:w="66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&lt;2-4&gt;</w:t>
            </w:r>
          </w:p>
        </w:tc>
        <w:tc>
          <w:tcPr>
            <w:tcW w:w="887"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细砂</w:t>
            </w:r>
          </w:p>
        </w:tc>
        <w:tc>
          <w:tcPr>
            <w:tcW w:w="558"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松散</w:t>
            </w:r>
          </w:p>
        </w:tc>
        <w:tc>
          <w:tcPr>
            <w:tcW w:w="74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95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150</w:t>
            </w:r>
          </w:p>
        </w:tc>
        <w:tc>
          <w:tcPr>
            <w:tcW w:w="1093" w:type="dxa"/>
            <w:tcBorders>
              <w:top w:val="single" w:color="000000" w:sz="6" w:space="0"/>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30</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1165" w:hRule="atLeast"/>
          <w:jc w:val="center"/>
        </w:trPr>
        <w:tc>
          <w:tcPr>
            <w:tcW w:w="450" w:type="dxa"/>
            <w:tcBorders>
              <w:top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3</w:t>
            </w:r>
          </w:p>
        </w:tc>
        <w:tc>
          <w:tcPr>
            <w:tcW w:w="66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&lt;4-1&gt;</w:t>
            </w:r>
          </w:p>
        </w:tc>
        <w:tc>
          <w:tcPr>
            <w:tcW w:w="887"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强风化板</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岩</w:t>
            </w:r>
          </w:p>
        </w:tc>
        <w:tc>
          <w:tcPr>
            <w:tcW w:w="558"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半岩</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半土</w:t>
            </w:r>
          </w:p>
        </w:tc>
        <w:tc>
          <w:tcPr>
            <w:tcW w:w="74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69～86</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95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350</w:t>
            </w:r>
          </w:p>
        </w:tc>
        <w:tc>
          <w:tcPr>
            <w:tcW w:w="1093" w:type="dxa"/>
            <w:tcBorders>
              <w:top w:val="single" w:color="000000" w:sz="6" w:space="0"/>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100</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1165" w:hRule="atLeast"/>
          <w:jc w:val="center"/>
        </w:trPr>
        <w:tc>
          <w:tcPr>
            <w:tcW w:w="450" w:type="dxa"/>
            <w:tcBorders>
              <w:top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4</w:t>
            </w:r>
          </w:p>
        </w:tc>
        <w:tc>
          <w:tcPr>
            <w:tcW w:w="66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&lt;4-3&gt;</w:t>
            </w:r>
          </w:p>
        </w:tc>
        <w:tc>
          <w:tcPr>
            <w:tcW w:w="887"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中风化板</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岩</w:t>
            </w:r>
          </w:p>
        </w:tc>
        <w:tc>
          <w:tcPr>
            <w:tcW w:w="558"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较破</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碎</w:t>
            </w:r>
          </w:p>
        </w:tc>
        <w:tc>
          <w:tcPr>
            <w:tcW w:w="3847" w:type="dxa"/>
            <w:gridSpan w:val="5"/>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fr=33.9-58.1MPa,frk=35.2MPa</w:t>
            </w:r>
          </w:p>
        </w:tc>
        <w:tc>
          <w:tcPr>
            <w:tcW w:w="95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1500</w:t>
            </w:r>
          </w:p>
        </w:tc>
        <w:tc>
          <w:tcPr>
            <w:tcW w:w="1093" w:type="dxa"/>
            <w:tcBorders>
              <w:top w:val="single" w:color="000000" w:sz="6" w:space="0"/>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1165" w:hRule="atLeast"/>
          <w:jc w:val="center"/>
        </w:trPr>
        <w:tc>
          <w:tcPr>
            <w:tcW w:w="450" w:type="dxa"/>
            <w:tcBorders>
              <w:top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5</w:t>
            </w:r>
          </w:p>
        </w:tc>
        <w:tc>
          <w:tcPr>
            <w:tcW w:w="66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&lt;5-1&gt;</w:t>
            </w:r>
          </w:p>
        </w:tc>
        <w:tc>
          <w:tcPr>
            <w:tcW w:w="887"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全风化粉</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砂岩</w:t>
            </w:r>
          </w:p>
        </w:tc>
        <w:tc>
          <w:tcPr>
            <w:tcW w:w="558"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坚硬</w:t>
            </w:r>
          </w:p>
        </w:tc>
        <w:tc>
          <w:tcPr>
            <w:tcW w:w="74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35～49</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95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260</w:t>
            </w:r>
          </w:p>
        </w:tc>
        <w:tc>
          <w:tcPr>
            <w:tcW w:w="1093" w:type="dxa"/>
            <w:tcBorders>
              <w:top w:val="single" w:color="000000" w:sz="6" w:space="0"/>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65</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1165" w:hRule="atLeast"/>
          <w:jc w:val="center"/>
        </w:trPr>
        <w:tc>
          <w:tcPr>
            <w:tcW w:w="450" w:type="dxa"/>
            <w:tcBorders>
              <w:top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6</w:t>
            </w:r>
          </w:p>
        </w:tc>
        <w:tc>
          <w:tcPr>
            <w:tcW w:w="66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&lt;5-2&gt;</w:t>
            </w:r>
          </w:p>
        </w:tc>
        <w:tc>
          <w:tcPr>
            <w:tcW w:w="887"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强风化粉</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砂岩</w:t>
            </w:r>
          </w:p>
        </w:tc>
        <w:tc>
          <w:tcPr>
            <w:tcW w:w="558"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半岩</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半土</w:t>
            </w:r>
          </w:p>
        </w:tc>
        <w:tc>
          <w:tcPr>
            <w:tcW w:w="74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51～80</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6"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71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83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c>
          <w:tcPr>
            <w:tcW w:w="955" w:type="dxa"/>
            <w:tcBorders>
              <w:top w:val="single" w:color="000000" w:sz="6" w:space="0"/>
              <w:left w:val="single" w:color="000000" w:sz="6" w:space="0"/>
              <w:bottom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350</w:t>
            </w:r>
          </w:p>
        </w:tc>
        <w:tc>
          <w:tcPr>
            <w:tcW w:w="1093" w:type="dxa"/>
            <w:tcBorders>
              <w:top w:val="single" w:color="000000" w:sz="6" w:space="0"/>
              <w:left w:val="single" w:color="000000" w:sz="6" w:space="0"/>
              <w:bottom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100</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1179" w:hRule="atLeast"/>
          <w:jc w:val="center"/>
        </w:trPr>
        <w:tc>
          <w:tcPr>
            <w:tcW w:w="450" w:type="dxa"/>
            <w:tcBorders>
              <w:top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7</w:t>
            </w:r>
          </w:p>
        </w:tc>
        <w:tc>
          <w:tcPr>
            <w:tcW w:w="665" w:type="dxa"/>
            <w:tcBorders>
              <w:top w:val="single" w:color="000000" w:sz="6" w:space="0"/>
              <w:left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&lt;5-4&gt;</w:t>
            </w:r>
          </w:p>
        </w:tc>
        <w:tc>
          <w:tcPr>
            <w:tcW w:w="887" w:type="dxa"/>
            <w:tcBorders>
              <w:top w:val="single" w:color="000000" w:sz="6" w:space="0"/>
              <w:left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中风化粉</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砂岩</w:t>
            </w:r>
          </w:p>
        </w:tc>
        <w:tc>
          <w:tcPr>
            <w:tcW w:w="558" w:type="dxa"/>
            <w:tcBorders>
              <w:top w:val="single" w:color="000000" w:sz="6" w:space="0"/>
              <w:left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较破</w:t>
            </w:r>
          </w:p>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碎</w:t>
            </w:r>
          </w:p>
        </w:tc>
        <w:tc>
          <w:tcPr>
            <w:tcW w:w="3847" w:type="dxa"/>
            <w:gridSpan w:val="5"/>
            <w:tcBorders>
              <w:top w:val="single" w:color="000000" w:sz="6" w:space="0"/>
              <w:left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fr=22.6-74.4MPa,frk=47.4MPa</w:t>
            </w:r>
          </w:p>
        </w:tc>
        <w:tc>
          <w:tcPr>
            <w:tcW w:w="955" w:type="dxa"/>
            <w:tcBorders>
              <w:top w:val="single" w:color="000000" w:sz="6" w:space="0"/>
              <w:left w:val="single" w:color="000000" w:sz="6" w:space="0"/>
              <w:righ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2000</w:t>
            </w:r>
          </w:p>
        </w:tc>
        <w:tc>
          <w:tcPr>
            <w:tcW w:w="1093" w:type="dxa"/>
            <w:tcBorders>
              <w:top w:val="single" w:color="000000" w:sz="6" w:space="0"/>
              <w:left w:val="single" w:color="000000" w:sz="6" w:space="0"/>
            </w:tcBorders>
          </w:tcPr>
          <w:p>
            <w:pPr>
              <w:spacing w:after="50" w:afterLines="50" w:line="360" w:lineRule="auto"/>
              <w:ind w:left="0" w:leftChars="0"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w:t>
            </w:r>
          </w:p>
        </w:tc>
      </w:tr>
    </w:tbl>
    <w:p>
      <w:pPr>
        <w:spacing w:after="50" w:afterLines="50" w:line="360" w:lineRule="auto"/>
        <w:ind w:firstLine="420"/>
        <w:jc w:val="left"/>
        <w:outlineLvl w:val="2"/>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2.1.2</w:t>
      </w:r>
      <w:r>
        <w:rPr>
          <w:rFonts w:hint="eastAsia" w:ascii="宋体" w:hAnsi="宋体" w:eastAsia="宋体" w:cs="宋体"/>
          <w:color w:val="auto"/>
          <w:szCs w:val="24"/>
          <w:lang w:val="zh-CN" w:eastAsia="zh-CN"/>
        </w:rPr>
        <w:t>气象条件</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(1)</w:t>
      </w:r>
      <w:r>
        <w:rPr>
          <w:rFonts w:hint="eastAsia" w:ascii="宋体" w:hAnsi="宋体" w:eastAsia="宋体" w:cs="宋体"/>
          <w:color w:val="auto"/>
          <w:szCs w:val="24"/>
          <w:lang w:val="zh-CN" w:eastAsia="zh-CN"/>
        </w:rPr>
        <w:t>气温</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本区年平均气温 21.2℃，1 月份平均温度 12.2℃，7 月份平均温度 28.2℃，极端最高气温39.7℃，极端最低气温-3.1℃。平均相对湿度 78%。</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(2)</w:t>
      </w:r>
      <w:r>
        <w:rPr>
          <w:rFonts w:hint="eastAsia" w:ascii="宋体" w:hAnsi="宋体" w:eastAsia="宋体" w:cs="宋体"/>
          <w:color w:val="auto"/>
          <w:szCs w:val="24"/>
          <w:lang w:val="zh-CN" w:eastAsia="zh-CN"/>
        </w:rPr>
        <w:t>设计风速</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根据《公路桥梁抗风设计规范》(JTG/T3360-01-2018)附录 A，浔江特大桥基本风速采用100 年重现期 10 米高度 10 分钟平均年最大风速 26.3m/s。</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(3)</w:t>
      </w:r>
      <w:r>
        <w:rPr>
          <w:rFonts w:hint="eastAsia" w:ascii="宋体" w:hAnsi="宋体" w:eastAsia="宋体" w:cs="宋体"/>
          <w:color w:val="auto"/>
          <w:szCs w:val="24"/>
          <w:lang w:val="zh-CN" w:eastAsia="zh-CN"/>
        </w:rPr>
        <w:t>地震</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根据《中国地震动参数区划图》（GB18306-2015），地震动反应谱特征周期为 0.35s，地震动峰值加速度 0.05g，对应地震基本烈度Ⅵ度。</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(4)</w:t>
      </w:r>
      <w:r>
        <w:rPr>
          <w:rFonts w:hint="eastAsia" w:ascii="宋体" w:hAnsi="宋体" w:eastAsia="宋体" w:cs="宋体"/>
          <w:color w:val="auto"/>
          <w:szCs w:val="24"/>
          <w:lang w:val="zh-CN" w:eastAsia="zh-CN"/>
        </w:rPr>
        <w:t>特征水位</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根据《洪水影响评价报告》，平均高潮位 27.58m，平均低潮位 18.74m，0.33%高水位 30.55m。均采用国家 85 高程系统。</w:t>
      </w:r>
    </w:p>
    <w:p>
      <w:pPr>
        <w:spacing w:after="50" w:afterLines="50" w:line="360" w:lineRule="auto"/>
        <w:ind w:firstLine="420"/>
        <w:jc w:val="left"/>
        <w:outlineLvl w:val="2"/>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 xml:space="preserve">2.1.3 </w:t>
      </w:r>
      <w:r>
        <w:rPr>
          <w:rFonts w:hint="eastAsia" w:ascii="宋体" w:hAnsi="宋体" w:eastAsia="宋体" w:cs="宋体"/>
          <w:color w:val="auto"/>
          <w:szCs w:val="24"/>
          <w:lang w:val="zh-CN" w:eastAsia="zh-CN"/>
        </w:rPr>
        <w:t>索塔塔身设计</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索塔采用独柱造型，索塔主要构件包括塔柱、塔冠等，塔柱为普通钢筋混凝土结构，采用 C55 混凝土。</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中塔承台顶面高程+18.700m，塔顶高程+129.600m，总高度 108.9m（考虑鞍室高度，下同）；边塔承台顶面高程+20.840m，塔顶高程+129.600m，总高度 108.76m。</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中塔下塔柱采用变截面圆端形截面，索塔塔柱高程范围+20.700m 至+63.100m 内， 截面尺寸由 14m×14m（横桥向×顺桥向，不考虑防撞加厚，下同）过渡到 4m×13m，其中塔底实心段高 2m，带十字隔板断面高 33.3m，塔柱壁厚横向 1.2~2.7m，纵向 1.8m，十字隔板厚度 1.2m，其余断面横向设置隔板，隔板厚度 1.2m；上塔柱采用变截面圆端形截面，索塔塔柱高程范围+63.100m 至+112.600m 内，截面尺寸由 4m×13m 过渡到 4m×9.8491m；索塔塔柱高程范围+112.600m 到+124.400m 内，截面尺寸由 4m×9.8491m 过渡到 4m×13.4m，上塔柱塔柱壁厚 1.2~1.6m，截面横向设置隔板，厚度 1.2m。索塔鞍罩高程范围+124.400m 到+129.600m 内，截面尺寸由 4m×13.4m 过渡到 4m×15.1186m。</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边塔下塔柱采用变截面圆端形截面，索塔塔柱高程范围+20.840m 至+59.150m 内， 截面尺寸由13.04m×13.90m 过渡到4m×13m，其中塔底实心段2m，带十字隔板断面高29.21m，壁厚横向 1.2~2.0m，纵向 1.8m，十字隔板厚度 1.2m，其余断面横向设置隔板，隔板厚度 1.2m； 上塔柱采用变截面圆端形截面，索塔塔柱高程范围+59.150m 至+111.9039m 内，截面尺寸由4m×13m 过渡到 4m×9.619m；索塔塔柱高程范围+111.9039m 到+124.400m 内，截面尺寸由4m×9.619m 过渡到 4m×13.4m，上塔柱塔柱壁厚 1.2~1.6m，截面横向设置隔板，厚度 1.2m。索塔鞍罩高程范围+124.400m 到+129.600m 内，截面尺寸由 4m×13.4m 过渡到 4m×15.1186m。</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中塔上塔柱人洞以上 23.25m（+90.000m）至塔顶范围截面外层竖向配置单层Φ40mm钢筋，内层竖向配置一层Φ32mm 钢筋；上塔柱人洞以上 16.25m（+83.000m）至人洞以上 23.25m（+90.000m）范围截面外层竖向配置两层Φ40mm 钢筋，内层竖向配置一层Φ32mm 钢筋；上塔柱人洞以上 7.5m（+74.250m）至人洞以上 16.25m（+83.000m）范围内外层配置两层半Φ40mm钢筋，内层配置一层Φ32mm 钢筋；人洞以上 7.5m（+74.250m）至下塔柱（+29.800m、+26.400m）共 44.45m~47.85m 范围内配置 8 束 15-25 预应力钢束，其中+74.250m~+33.900m 范围内断面外层配置两层半Φ40mm  钢筋，内层配置一层Φ32mm  钢筋；下塔柱（+33.900m）至塔底（+20.700m）共 13.2m 范围内外层配置三层Φ40mm 钢筋，内层配置一层Φ32mm 钢筋。</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边塔塔柱在全高范围内截面外层竖向配置单层Φ40mm 钢筋，内层配置一层Φ32mm钢筋。</w:t>
      </w:r>
    </w:p>
    <w:p>
      <w:pPr>
        <w:spacing w:after="50" w:afterLines="50" w:line="360" w:lineRule="auto"/>
        <w:ind w:firstLine="420"/>
        <w:jc w:val="left"/>
        <w:outlineLvl w:val="2"/>
        <w:rPr>
          <w:rFonts w:hint="eastAsia" w:ascii="宋体" w:hAnsi="宋体" w:eastAsia="宋体" w:cs="宋体"/>
          <w:color w:val="auto"/>
          <w:szCs w:val="24"/>
          <w:lang w:val="zh-CN" w:eastAsia="zh-CN"/>
        </w:rPr>
      </w:pPr>
      <w:r>
        <w:rPr>
          <w:rFonts w:hint="eastAsia" w:ascii="宋体" w:hAnsi="宋体" w:eastAsia="宋体" w:cs="宋体"/>
          <w:color w:val="auto"/>
          <w:szCs w:val="24"/>
          <w:lang w:val="en-US" w:eastAsia="zh-CN"/>
        </w:rPr>
        <w:t>2.1.4</w:t>
      </w:r>
      <w:r>
        <w:rPr>
          <w:rFonts w:hint="eastAsia" w:ascii="宋体" w:hAnsi="宋体" w:eastAsia="宋体" w:cs="宋体"/>
          <w:color w:val="auto"/>
          <w:szCs w:val="24"/>
          <w:lang w:val="zh-CN" w:eastAsia="zh-CN"/>
        </w:rPr>
        <w:t>塔冠设计</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塔冠鞍罩的作用是保护主鞍免受风雨等外部因素的影响，使主缆在主鞍部位保持密封性。</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鞍罩侧墙上主缆出口与主缆手绳的出口位置间隙应用软质弹性密封材料填塞，所用密封材料防水性能好，不结块，耐老化。</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为了保证鞍罩的密封性，鞍罩的进入口采用气密门密封，其技术指标符合《船用风雨密单扇钢质门》（GB/T 3477-2008）的具体规定。</w:t>
      </w:r>
    </w:p>
    <w:p>
      <w:pPr>
        <w:spacing w:after="50" w:afterLines="50" w:line="360" w:lineRule="auto"/>
        <w:ind w:firstLine="420"/>
        <w:jc w:val="left"/>
        <w:rPr>
          <w:rFonts w:hint="eastAsia" w:ascii="宋体" w:hAnsi="宋体" w:eastAsia="宋体" w:cs="宋体"/>
          <w:color w:val="auto"/>
          <w:szCs w:val="24"/>
          <w:lang w:val="zh-CN" w:eastAsia="zh-CN"/>
        </w:rPr>
      </w:pPr>
      <w:r>
        <w:rPr>
          <w:rFonts w:hint="eastAsia" w:ascii="宋体" w:hAnsi="宋体" w:eastAsia="宋体" w:cs="宋体"/>
          <w:color w:val="auto"/>
          <w:szCs w:val="24"/>
          <w:lang w:val="zh-CN" w:eastAsia="zh-CN"/>
        </w:rPr>
        <w:t>塔冠为主索鞍鞍室，采用钢筋混凝土结构，鞍室高 5.2m，截面尺寸由 4m×13.4m过渡到 4m×15.1186m，侧壁横桥向壁厚 40cm，顺桥向壁厚 20cm，顶板壁厚 50cm。</w:t>
      </w:r>
    </w:p>
    <w:p>
      <w:pPr>
        <w:pStyle w:val="5"/>
        <w:numPr>
          <w:ilvl w:val="2"/>
          <w:numId w:val="0"/>
        </w:numPr>
        <w:spacing w:before="156" w:after="156"/>
        <w:ind w:leftChars="0"/>
        <w:rPr>
          <w:color w:val="auto"/>
        </w:rPr>
      </w:pPr>
      <w:r>
        <w:rPr>
          <w:rFonts w:hint="eastAsia"/>
          <w:color w:val="auto"/>
          <w:lang w:val="en-US" w:eastAsia="zh-CN"/>
        </w:rPr>
        <w:t>2.1.5</w:t>
      </w:r>
      <w:r>
        <w:rPr>
          <w:rFonts w:hint="eastAsia"/>
          <w:color w:val="auto"/>
        </w:rPr>
        <w:t>设备概况</w:t>
      </w:r>
      <w:bookmarkEnd w:id="38"/>
    </w:p>
    <w:bookmarkEnd w:id="39"/>
    <w:p>
      <w:pPr>
        <w:adjustRightInd w:val="0"/>
        <w:snapToGrid w:val="0"/>
        <w:ind w:firstLine="480"/>
        <w:rPr>
          <w:rFonts w:hint="default" w:ascii="宋体" w:hAnsi="宋体" w:eastAsia="宋体" w:cs="宋体"/>
          <w:color w:val="auto"/>
          <w:szCs w:val="24"/>
          <w:lang w:val="en-US" w:eastAsia="zh-CN"/>
        </w:rPr>
      </w:pPr>
      <w:r>
        <w:rPr>
          <w:rFonts w:hint="eastAsia" w:ascii="宋体" w:hAnsi="宋体" w:cs="宋体"/>
          <w:color w:val="auto"/>
        </w:rPr>
        <w:t>（1）</w:t>
      </w:r>
      <w:r>
        <w:rPr>
          <w:rFonts w:hint="eastAsia" w:ascii="宋体" w:hAnsi="宋体" w:cs="宋体"/>
          <w:color w:val="auto"/>
          <w:szCs w:val="24"/>
        </w:rPr>
        <w:t>施工升降机选用SC200型低速施工升降机，提升速度为36m/S，安装高度</w:t>
      </w:r>
      <w:r>
        <w:rPr>
          <w:rFonts w:hint="eastAsia" w:ascii="宋体" w:hAnsi="宋体" w:cs="宋体"/>
          <w:color w:val="auto"/>
          <w:kern w:val="0"/>
          <w:sz w:val="22"/>
          <w:szCs w:val="22"/>
          <w:lang w:bidi="ar"/>
        </w:rPr>
        <w:t>193</w:t>
      </w:r>
      <w:r>
        <w:rPr>
          <w:rFonts w:hint="eastAsia" w:ascii="宋体" w:hAnsi="宋体" w:cs="宋体"/>
          <w:color w:val="auto"/>
          <w:szCs w:val="24"/>
        </w:rPr>
        <w:t>米。梯笼计3.2×1.5×2.5m</w:t>
      </w:r>
      <w:r>
        <w:rPr>
          <w:rFonts w:hint="eastAsia" w:ascii="宋体" w:hAnsi="宋体" w:cs="宋体"/>
          <w:color w:val="auto"/>
          <w:szCs w:val="24"/>
          <w:lang w:val="en-US" w:eastAsia="zh-CN"/>
        </w:rPr>
        <w:t>双</w:t>
      </w:r>
      <w:r>
        <w:rPr>
          <w:rFonts w:hint="eastAsia" w:ascii="宋体" w:hAnsi="宋体" w:cs="宋体"/>
          <w:color w:val="auto"/>
          <w:szCs w:val="24"/>
        </w:rPr>
        <w:t>笼，采用</w:t>
      </w:r>
      <w:r>
        <w:rPr>
          <w:rFonts w:hint="eastAsia" w:ascii="宋体" w:hAnsi="宋体" w:cs="宋体"/>
          <w:color w:val="auto"/>
          <w:szCs w:val="24"/>
          <w:lang w:val="en-US" w:eastAsia="zh-CN"/>
        </w:rPr>
        <w:t>直</w:t>
      </w:r>
      <w:r>
        <w:rPr>
          <w:rFonts w:hint="eastAsia" w:ascii="宋体" w:hAnsi="宋体" w:cs="宋体"/>
          <w:color w:val="auto"/>
          <w:szCs w:val="24"/>
        </w:rPr>
        <w:t>梯，</w:t>
      </w:r>
      <w:r>
        <w:rPr>
          <w:rFonts w:hint="eastAsia" w:ascii="宋体" w:hAnsi="宋体" w:cs="宋体"/>
          <w:color w:val="auto"/>
          <w:szCs w:val="24"/>
          <w:lang w:eastAsia="zh-CN"/>
        </w:rPr>
        <w:t>施工升降机</w:t>
      </w:r>
      <w:r>
        <w:rPr>
          <w:rFonts w:hint="eastAsia" w:ascii="宋体" w:hAnsi="宋体" w:cs="宋体"/>
          <w:color w:val="auto"/>
          <w:szCs w:val="24"/>
        </w:rPr>
        <w:t>标节配置为：4.5mm壁厚，标节高1.508米，为</w:t>
      </w:r>
      <w:r>
        <w:rPr>
          <w:rFonts w:hint="eastAsia" w:ascii="宋体" w:hAnsi="宋体" w:cs="宋体"/>
          <w:color w:val="auto"/>
          <w:szCs w:val="24"/>
          <w:lang w:val="en-US" w:eastAsia="zh-CN"/>
        </w:rPr>
        <w:t>76</w:t>
      </w:r>
      <w:r>
        <w:rPr>
          <w:rFonts w:hint="eastAsia" w:ascii="宋体" w:hAnsi="宋体" w:cs="宋体"/>
          <w:color w:val="auto"/>
          <w:szCs w:val="24"/>
        </w:rPr>
        <w:t>个标准节。考虑施工需要，</w:t>
      </w:r>
      <w:r>
        <w:rPr>
          <w:rFonts w:hint="eastAsia" w:ascii="宋体" w:hAnsi="宋体" w:cs="宋体"/>
          <w:color w:val="auto"/>
          <w:szCs w:val="24"/>
          <w:lang w:eastAsia="zh-CN"/>
        </w:rPr>
        <w:t>施工升降机</w:t>
      </w:r>
      <w:r>
        <w:rPr>
          <w:rFonts w:hint="eastAsia" w:ascii="宋体" w:hAnsi="宋体" w:cs="宋体"/>
          <w:color w:val="auto"/>
          <w:szCs w:val="24"/>
        </w:rPr>
        <w:t>跟着上升。附着数量为：</w:t>
      </w:r>
      <w:r>
        <w:rPr>
          <w:rFonts w:hint="eastAsia" w:ascii="宋体" w:hAnsi="宋体" w:cs="宋体"/>
          <w:color w:val="auto"/>
          <w:szCs w:val="24"/>
          <w:lang w:val="en-US" w:eastAsia="zh-CN"/>
        </w:rPr>
        <w:t>19</w:t>
      </w:r>
      <w:r>
        <w:rPr>
          <w:rFonts w:hint="eastAsia" w:ascii="宋体" w:hAnsi="宋体" w:cs="宋体"/>
          <w:color w:val="auto"/>
          <w:szCs w:val="24"/>
        </w:rPr>
        <w:t>道附着。</w:t>
      </w:r>
      <w:r>
        <w:rPr>
          <w:rFonts w:hint="eastAsia" w:ascii="宋体" w:hAnsi="宋体" w:cs="宋体"/>
          <w:color w:val="auto"/>
          <w:szCs w:val="24"/>
          <w:lang w:val="en-US" w:eastAsia="zh-CN"/>
        </w:rPr>
        <w:t>本项目共需要安装三台施工升降机，每个塔柱布置一台施工升降机，均布置于正桥向。</w:t>
      </w:r>
    </w:p>
    <w:p>
      <w:pPr>
        <w:adjustRightInd w:val="0"/>
        <w:snapToGrid w:val="0"/>
        <w:ind w:firstLine="480"/>
        <w:rPr>
          <w:rFonts w:ascii="宋体" w:hAnsi="宋体" w:cs="宋体"/>
          <w:color w:val="auto"/>
        </w:rPr>
      </w:pPr>
      <w:r>
        <w:rPr>
          <w:rFonts w:hint="eastAsia" w:ascii="宋体" w:hAnsi="宋体" w:cs="宋体"/>
          <w:color w:val="auto"/>
        </w:rPr>
        <w:t>（2）施工</w:t>
      </w:r>
      <w:r>
        <w:rPr>
          <w:rFonts w:hint="eastAsia" w:ascii="宋体" w:hAnsi="宋体" w:cs="宋体"/>
          <w:color w:val="auto"/>
          <w:lang w:eastAsia="zh-CN"/>
        </w:rPr>
        <w:t>施工升降机</w:t>
      </w:r>
      <w:r>
        <w:rPr>
          <w:rFonts w:hint="eastAsia" w:ascii="宋体" w:hAnsi="宋体" w:cs="宋体"/>
          <w:color w:val="auto"/>
        </w:rPr>
        <w:t>技术性能参数见下表：</w:t>
      </w:r>
    </w:p>
    <w:p>
      <w:pPr>
        <w:pStyle w:val="61"/>
        <w:rPr>
          <w:rFonts w:hint="eastAsia"/>
          <w:color w:val="auto"/>
          <w:sz w:val="24"/>
          <w:szCs w:val="21"/>
        </w:rPr>
      </w:pPr>
      <w:r>
        <w:rPr>
          <w:rFonts w:hint="eastAsia"/>
          <w:color w:val="auto"/>
        </w:rPr>
        <w:t>表2</w:t>
      </w:r>
      <w:r>
        <w:rPr>
          <w:color w:val="auto"/>
        </w:rPr>
        <w:t>.1.3-1</w:t>
      </w:r>
      <w:r>
        <w:rPr>
          <w:rFonts w:hint="eastAsia"/>
          <w:color w:val="auto"/>
        </w:rPr>
        <w:t>施工</w:t>
      </w:r>
      <w:r>
        <w:rPr>
          <w:rFonts w:hint="eastAsia"/>
          <w:color w:val="auto"/>
          <w:lang w:eastAsia="zh-CN"/>
        </w:rPr>
        <w:t>施工升降机</w:t>
      </w:r>
      <w:r>
        <w:rPr>
          <w:rFonts w:hint="eastAsia"/>
          <w:color w:val="auto"/>
        </w:rPr>
        <w:t>参数表</w:t>
      </w:r>
    </w:p>
    <w:tbl>
      <w:tblPr>
        <w:tblStyle w:val="6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85"/>
        <w:gridCol w:w="1123"/>
        <w:gridCol w:w="40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升降机型号</w:t>
            </w:r>
          </w:p>
        </w:tc>
        <w:tc>
          <w:tcPr>
            <w:tcW w:w="659" w:type="pct"/>
            <w:noWrap/>
            <w:vAlign w:val="center"/>
          </w:tcPr>
          <w:p>
            <w:pPr>
              <w:pStyle w:val="63"/>
              <w:rPr>
                <w:color w:val="auto"/>
                <w:kern w:val="0"/>
              </w:rPr>
            </w:pPr>
          </w:p>
        </w:tc>
        <w:tc>
          <w:tcPr>
            <w:tcW w:w="2355" w:type="pct"/>
            <w:noWrap/>
            <w:vAlign w:val="center"/>
          </w:tcPr>
          <w:p>
            <w:pPr>
              <w:pStyle w:val="63"/>
              <w:rPr>
                <w:rFonts w:hint="default" w:eastAsia="宋体"/>
                <w:color w:val="auto"/>
                <w:kern w:val="0"/>
                <w:lang w:val="en-US" w:eastAsia="zh-CN"/>
              </w:rPr>
            </w:pPr>
            <w:r>
              <w:rPr>
                <w:rFonts w:hint="eastAsia"/>
                <w:color w:val="auto"/>
                <w:kern w:val="0"/>
              </w:rPr>
              <w:t>SC200</w:t>
            </w:r>
            <w:r>
              <w:rPr>
                <w:rFonts w:hint="eastAsia"/>
                <w:color w:val="auto"/>
                <w:kern w:val="0"/>
                <w:lang w:val="en-US" w:eastAsia="zh-CN"/>
              </w:rPr>
              <w:t>/SC200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数量</w:t>
            </w:r>
          </w:p>
        </w:tc>
        <w:tc>
          <w:tcPr>
            <w:tcW w:w="659" w:type="pct"/>
            <w:noWrap/>
            <w:vAlign w:val="center"/>
          </w:tcPr>
          <w:p>
            <w:pPr>
              <w:pStyle w:val="63"/>
              <w:rPr>
                <w:color w:val="auto"/>
                <w:kern w:val="0"/>
              </w:rPr>
            </w:pPr>
            <w:r>
              <w:rPr>
                <w:rFonts w:hint="eastAsia"/>
                <w:color w:val="auto"/>
                <w:kern w:val="0"/>
              </w:rPr>
              <w:t>台</w:t>
            </w:r>
          </w:p>
        </w:tc>
        <w:tc>
          <w:tcPr>
            <w:tcW w:w="2355" w:type="pct"/>
            <w:noWrap/>
            <w:vAlign w:val="center"/>
          </w:tcPr>
          <w:p>
            <w:pPr>
              <w:pStyle w:val="63"/>
              <w:rPr>
                <w:rFonts w:hint="eastAsia" w:eastAsia="宋体"/>
                <w:color w:val="auto"/>
                <w:kern w:val="0"/>
                <w:lang w:eastAsia="zh-CN"/>
              </w:rPr>
            </w:pPr>
            <w:r>
              <w:rPr>
                <w:rFonts w:hint="eastAsia"/>
                <w:color w:val="auto"/>
                <w:kern w:val="0"/>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额定载重量</w:t>
            </w:r>
          </w:p>
        </w:tc>
        <w:tc>
          <w:tcPr>
            <w:tcW w:w="659" w:type="pct"/>
            <w:noWrap/>
            <w:vAlign w:val="center"/>
          </w:tcPr>
          <w:p>
            <w:pPr>
              <w:pStyle w:val="63"/>
              <w:rPr>
                <w:color w:val="auto"/>
                <w:kern w:val="0"/>
              </w:rPr>
            </w:pPr>
            <w:r>
              <w:rPr>
                <w:rFonts w:hint="eastAsia"/>
                <w:color w:val="auto"/>
                <w:kern w:val="0"/>
              </w:rPr>
              <w:t>kg</w:t>
            </w:r>
          </w:p>
        </w:tc>
        <w:tc>
          <w:tcPr>
            <w:tcW w:w="2355" w:type="pct"/>
            <w:noWrap/>
            <w:vAlign w:val="center"/>
          </w:tcPr>
          <w:p>
            <w:pPr>
              <w:pStyle w:val="63"/>
              <w:rPr>
                <w:color w:val="auto"/>
                <w:kern w:val="0"/>
              </w:rPr>
            </w:pPr>
            <w:r>
              <w:rPr>
                <w:rFonts w:hint="eastAsia"/>
                <w:color w:val="auto"/>
                <w:kern w:val="0"/>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提升速度</w:t>
            </w:r>
          </w:p>
        </w:tc>
        <w:tc>
          <w:tcPr>
            <w:tcW w:w="659" w:type="pct"/>
            <w:noWrap/>
            <w:vAlign w:val="center"/>
          </w:tcPr>
          <w:p>
            <w:pPr>
              <w:pStyle w:val="63"/>
              <w:rPr>
                <w:color w:val="auto"/>
                <w:kern w:val="0"/>
              </w:rPr>
            </w:pPr>
            <w:r>
              <w:rPr>
                <w:rFonts w:hint="eastAsia"/>
                <w:color w:val="auto"/>
                <w:kern w:val="0"/>
              </w:rPr>
              <w:t>m/min</w:t>
            </w:r>
          </w:p>
        </w:tc>
        <w:tc>
          <w:tcPr>
            <w:tcW w:w="2355" w:type="pct"/>
            <w:noWrap/>
            <w:vAlign w:val="center"/>
          </w:tcPr>
          <w:p>
            <w:pPr>
              <w:pStyle w:val="63"/>
              <w:rPr>
                <w:color w:val="auto"/>
                <w:kern w:val="0"/>
              </w:rPr>
            </w:pPr>
            <w:r>
              <w:rPr>
                <w:rFonts w:hint="eastAsia"/>
                <w:color w:val="auto"/>
                <w:kern w:val="0"/>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吊杆额定载重量</w:t>
            </w:r>
          </w:p>
        </w:tc>
        <w:tc>
          <w:tcPr>
            <w:tcW w:w="659" w:type="pct"/>
            <w:noWrap/>
            <w:vAlign w:val="center"/>
          </w:tcPr>
          <w:p>
            <w:pPr>
              <w:pStyle w:val="63"/>
              <w:rPr>
                <w:color w:val="auto"/>
                <w:kern w:val="0"/>
              </w:rPr>
            </w:pPr>
            <w:r>
              <w:rPr>
                <w:rFonts w:hint="eastAsia"/>
                <w:color w:val="auto"/>
                <w:kern w:val="0"/>
              </w:rPr>
              <w:t>kg</w:t>
            </w:r>
          </w:p>
        </w:tc>
        <w:tc>
          <w:tcPr>
            <w:tcW w:w="2355" w:type="pct"/>
            <w:noWrap/>
            <w:vAlign w:val="center"/>
          </w:tcPr>
          <w:p>
            <w:pPr>
              <w:pStyle w:val="63"/>
              <w:rPr>
                <w:color w:val="auto"/>
                <w:kern w:val="0"/>
              </w:rPr>
            </w:pPr>
            <w:r>
              <w:rPr>
                <w:rFonts w:hint="eastAsia"/>
                <w:color w:val="auto"/>
                <w:kern w:val="0"/>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电机功率</w:t>
            </w:r>
          </w:p>
        </w:tc>
        <w:tc>
          <w:tcPr>
            <w:tcW w:w="659" w:type="pct"/>
            <w:noWrap/>
            <w:vAlign w:val="center"/>
          </w:tcPr>
          <w:p>
            <w:pPr>
              <w:pStyle w:val="63"/>
              <w:rPr>
                <w:color w:val="auto"/>
                <w:kern w:val="0"/>
              </w:rPr>
            </w:pPr>
            <w:r>
              <w:rPr>
                <w:rFonts w:hint="eastAsia"/>
                <w:color w:val="auto"/>
                <w:kern w:val="0"/>
              </w:rPr>
              <w:t>KW</w:t>
            </w:r>
          </w:p>
        </w:tc>
        <w:tc>
          <w:tcPr>
            <w:tcW w:w="2355" w:type="pct"/>
            <w:noWrap/>
            <w:vAlign w:val="center"/>
          </w:tcPr>
          <w:p>
            <w:pPr>
              <w:pStyle w:val="63"/>
              <w:rPr>
                <w:color w:val="auto"/>
                <w:kern w:val="0"/>
              </w:rPr>
            </w:pPr>
            <w:r>
              <w:rPr>
                <w:rFonts w:hint="eastAsia"/>
                <w:color w:val="auto"/>
                <w:kern w:val="0"/>
              </w:rPr>
              <w:t>2×3×11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斜度</w:t>
            </w:r>
          </w:p>
        </w:tc>
        <w:tc>
          <w:tcPr>
            <w:tcW w:w="659" w:type="pct"/>
            <w:noWrap/>
            <w:vAlign w:val="center"/>
          </w:tcPr>
          <w:p>
            <w:pPr>
              <w:pStyle w:val="63"/>
              <w:rPr>
                <w:color w:val="auto"/>
                <w:kern w:val="0"/>
              </w:rPr>
            </w:pPr>
          </w:p>
        </w:tc>
        <w:tc>
          <w:tcPr>
            <w:tcW w:w="2355" w:type="pct"/>
            <w:noWrap/>
            <w:vAlign w:val="center"/>
          </w:tcPr>
          <w:p>
            <w:pPr>
              <w:pStyle w:val="63"/>
              <w:rPr>
                <w:rFonts w:hint="default" w:eastAsia="宋体"/>
                <w:color w:val="auto"/>
                <w:kern w:val="0"/>
                <w:lang w:val="en-US" w:eastAsia="zh-CN"/>
              </w:rPr>
            </w:pPr>
            <w:r>
              <w:rPr>
                <w:rFonts w:hint="eastAsia"/>
                <w:color w:val="auto"/>
                <w:kern w:val="0"/>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附墙架间距</w:t>
            </w:r>
          </w:p>
        </w:tc>
        <w:tc>
          <w:tcPr>
            <w:tcW w:w="659" w:type="pct"/>
            <w:noWrap/>
            <w:vAlign w:val="center"/>
          </w:tcPr>
          <w:p>
            <w:pPr>
              <w:pStyle w:val="63"/>
              <w:rPr>
                <w:color w:val="auto"/>
                <w:kern w:val="0"/>
              </w:rPr>
            </w:pPr>
            <w:r>
              <w:rPr>
                <w:rFonts w:hint="eastAsia"/>
                <w:color w:val="auto"/>
                <w:kern w:val="0"/>
              </w:rPr>
              <w:t>m</w:t>
            </w:r>
          </w:p>
        </w:tc>
        <w:tc>
          <w:tcPr>
            <w:tcW w:w="2355" w:type="pct"/>
            <w:noWrap/>
            <w:vAlign w:val="center"/>
          </w:tcPr>
          <w:p>
            <w:pPr>
              <w:pStyle w:val="63"/>
              <w:rPr>
                <w:rFonts w:hint="default" w:eastAsia="宋体"/>
                <w:color w:val="auto"/>
                <w:kern w:val="0"/>
                <w:lang w:val="en-US" w:eastAsia="zh-CN"/>
              </w:rPr>
            </w:pPr>
            <w:r>
              <w:rPr>
                <w:rFonts w:hint="eastAsia"/>
                <w:color w:val="auto"/>
                <w:kern w:val="0"/>
                <w:lang w:val="en-US" w:eastAsia="zh-CN"/>
              </w:rPr>
              <w:t>3.151~7.004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附墙距离</w:t>
            </w:r>
          </w:p>
        </w:tc>
        <w:tc>
          <w:tcPr>
            <w:tcW w:w="659" w:type="pct"/>
            <w:noWrap/>
            <w:vAlign w:val="center"/>
          </w:tcPr>
          <w:p>
            <w:pPr>
              <w:pStyle w:val="63"/>
              <w:rPr>
                <w:color w:val="auto"/>
                <w:kern w:val="0"/>
              </w:rPr>
            </w:pPr>
            <w:r>
              <w:rPr>
                <w:rFonts w:hint="eastAsia"/>
                <w:color w:val="auto"/>
                <w:kern w:val="0"/>
              </w:rPr>
              <w:t>m</w:t>
            </w:r>
          </w:p>
        </w:tc>
        <w:tc>
          <w:tcPr>
            <w:tcW w:w="2355" w:type="pct"/>
            <w:noWrap/>
            <w:vAlign w:val="center"/>
          </w:tcPr>
          <w:p>
            <w:pPr>
              <w:pStyle w:val="63"/>
              <w:rPr>
                <w:rFonts w:hint="default" w:eastAsia="宋体"/>
                <w:color w:val="auto"/>
                <w:kern w:val="0"/>
                <w:lang w:val="en-US" w:eastAsia="zh-CN"/>
              </w:rPr>
            </w:pPr>
            <w:r>
              <w:rPr>
                <w:rFonts w:hint="eastAsia"/>
                <w:color w:val="auto"/>
                <w:kern w:val="0"/>
                <w:lang w:val="en-US" w:eastAsia="zh-CN"/>
              </w:rPr>
              <w:t>3.198</w:t>
            </w:r>
            <w:r>
              <w:rPr>
                <w:rFonts w:hint="eastAsia"/>
                <w:color w:val="auto"/>
                <w:kern w:val="0"/>
              </w:rPr>
              <w:t>~5.</w:t>
            </w:r>
            <w:r>
              <w:rPr>
                <w:rFonts w:hint="eastAsia"/>
                <w:color w:val="auto"/>
                <w:kern w:val="0"/>
                <w:lang w:val="en-US" w:eastAsia="zh-CN"/>
              </w:rPr>
              <w:t>702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附墙架型号</w:t>
            </w:r>
          </w:p>
        </w:tc>
        <w:tc>
          <w:tcPr>
            <w:tcW w:w="659" w:type="pct"/>
            <w:noWrap/>
            <w:vAlign w:val="center"/>
          </w:tcPr>
          <w:p>
            <w:pPr>
              <w:pStyle w:val="63"/>
              <w:rPr>
                <w:color w:val="auto"/>
                <w:kern w:val="0"/>
              </w:rPr>
            </w:pPr>
          </w:p>
        </w:tc>
        <w:tc>
          <w:tcPr>
            <w:tcW w:w="2355" w:type="pct"/>
            <w:noWrap/>
            <w:vAlign w:val="center"/>
          </w:tcPr>
          <w:p>
            <w:pPr>
              <w:pStyle w:val="63"/>
              <w:rPr>
                <w:color w:val="auto"/>
                <w:kern w:val="0"/>
              </w:rPr>
            </w:pPr>
            <w:r>
              <w:rPr>
                <w:rFonts w:hint="eastAsia"/>
                <w:color w:val="auto"/>
                <w:kern w:val="0"/>
              </w:rPr>
              <w:t>Ⅱ型附墙架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自由端高度</w:t>
            </w:r>
          </w:p>
        </w:tc>
        <w:tc>
          <w:tcPr>
            <w:tcW w:w="659" w:type="pct"/>
            <w:noWrap/>
            <w:vAlign w:val="center"/>
          </w:tcPr>
          <w:p>
            <w:pPr>
              <w:pStyle w:val="63"/>
              <w:rPr>
                <w:color w:val="auto"/>
                <w:kern w:val="0"/>
              </w:rPr>
            </w:pPr>
            <w:r>
              <w:rPr>
                <w:rFonts w:hint="eastAsia"/>
                <w:color w:val="auto"/>
                <w:kern w:val="0"/>
              </w:rPr>
              <w:t>m</w:t>
            </w:r>
          </w:p>
        </w:tc>
        <w:tc>
          <w:tcPr>
            <w:tcW w:w="2355" w:type="pct"/>
            <w:noWrap/>
            <w:vAlign w:val="center"/>
          </w:tcPr>
          <w:p>
            <w:pPr>
              <w:pStyle w:val="63"/>
              <w:rPr>
                <w:color w:val="auto"/>
                <w:kern w:val="0"/>
              </w:rPr>
            </w:pPr>
            <w:r>
              <w:rPr>
                <w:rFonts w:hint="eastAsia"/>
                <w:color w:val="auto"/>
                <w:kern w:val="0"/>
              </w:rPr>
              <w:t>不大于7.5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吊笼尺寸</w:t>
            </w:r>
          </w:p>
          <w:p>
            <w:pPr>
              <w:pStyle w:val="63"/>
              <w:rPr>
                <w:color w:val="auto"/>
                <w:kern w:val="0"/>
              </w:rPr>
            </w:pPr>
            <w:r>
              <w:rPr>
                <w:rFonts w:hint="eastAsia"/>
                <w:color w:val="auto"/>
                <w:kern w:val="0"/>
              </w:rPr>
              <w:t>（长×宽×高）</w:t>
            </w:r>
          </w:p>
        </w:tc>
        <w:tc>
          <w:tcPr>
            <w:tcW w:w="659" w:type="pct"/>
            <w:noWrap/>
            <w:vAlign w:val="center"/>
          </w:tcPr>
          <w:p>
            <w:pPr>
              <w:pStyle w:val="63"/>
              <w:rPr>
                <w:color w:val="auto"/>
                <w:kern w:val="0"/>
              </w:rPr>
            </w:pPr>
            <w:r>
              <w:rPr>
                <w:rFonts w:hint="eastAsia"/>
                <w:color w:val="auto"/>
                <w:kern w:val="0"/>
              </w:rPr>
              <w:t>m</w:t>
            </w:r>
          </w:p>
        </w:tc>
        <w:tc>
          <w:tcPr>
            <w:tcW w:w="2355" w:type="pct"/>
            <w:noWrap/>
            <w:vAlign w:val="center"/>
          </w:tcPr>
          <w:p>
            <w:pPr>
              <w:pStyle w:val="63"/>
              <w:rPr>
                <w:color w:val="auto"/>
                <w:kern w:val="0"/>
              </w:rPr>
            </w:pPr>
            <w:r>
              <w:rPr>
                <w:rFonts w:hint="eastAsia"/>
                <w:color w:val="auto"/>
                <w:kern w:val="0"/>
                <w:sz w:val="24"/>
                <w:szCs w:val="24"/>
              </w:rPr>
              <w:t>3.2×2.8×1.5</w:t>
            </w:r>
            <w:r>
              <w:rPr>
                <w:rFonts w:hint="eastAsia"/>
                <w:color w:val="auto"/>
                <w:kern w:val="0"/>
              </w:rPr>
              <w:t>（非标）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标准节数量</w:t>
            </w:r>
          </w:p>
          <w:p>
            <w:pPr>
              <w:pStyle w:val="63"/>
              <w:rPr>
                <w:color w:val="auto"/>
                <w:kern w:val="0"/>
              </w:rPr>
            </w:pPr>
            <w:r>
              <w:rPr>
                <w:rFonts w:hint="eastAsia"/>
                <w:color w:val="auto"/>
                <w:kern w:val="0"/>
              </w:rPr>
              <w:t>（镀锌双齿大框）</w:t>
            </w:r>
          </w:p>
        </w:tc>
        <w:tc>
          <w:tcPr>
            <w:tcW w:w="659" w:type="pct"/>
            <w:noWrap/>
            <w:vAlign w:val="center"/>
          </w:tcPr>
          <w:p>
            <w:pPr>
              <w:pStyle w:val="63"/>
              <w:rPr>
                <w:color w:val="auto"/>
                <w:kern w:val="0"/>
              </w:rPr>
            </w:pPr>
          </w:p>
        </w:tc>
        <w:tc>
          <w:tcPr>
            <w:tcW w:w="2355" w:type="pct"/>
            <w:noWrap/>
            <w:vAlign w:val="center"/>
          </w:tcPr>
          <w:p>
            <w:pPr>
              <w:pStyle w:val="63"/>
              <w:rPr>
                <w:color w:val="auto"/>
                <w:kern w:val="0"/>
              </w:rPr>
            </w:pPr>
            <w:r>
              <w:rPr>
                <w:rFonts w:hint="eastAsia"/>
                <w:color w:val="auto"/>
                <w:kern w:val="0"/>
                <w:lang w:val="en-US" w:eastAsia="zh-CN"/>
              </w:rPr>
              <w:t>76</w:t>
            </w:r>
            <w:r>
              <w:rPr>
                <w:rFonts w:hint="eastAsia"/>
                <w:color w:val="auto"/>
                <w:kern w:val="0"/>
              </w:rPr>
              <w:t>节（δ4.5）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86" w:type="pct"/>
            <w:noWrap/>
            <w:vAlign w:val="center"/>
          </w:tcPr>
          <w:p>
            <w:pPr>
              <w:pStyle w:val="63"/>
              <w:rPr>
                <w:color w:val="auto"/>
                <w:kern w:val="0"/>
              </w:rPr>
            </w:pPr>
            <w:r>
              <w:rPr>
                <w:rFonts w:hint="eastAsia"/>
                <w:color w:val="auto"/>
                <w:kern w:val="0"/>
              </w:rPr>
              <w:t>标准节规格</w:t>
            </w:r>
          </w:p>
          <w:p>
            <w:pPr>
              <w:pStyle w:val="63"/>
              <w:rPr>
                <w:color w:val="auto"/>
                <w:kern w:val="0"/>
              </w:rPr>
            </w:pPr>
            <w:r>
              <w:rPr>
                <w:rFonts w:hint="eastAsia"/>
                <w:color w:val="auto"/>
                <w:kern w:val="0"/>
              </w:rPr>
              <w:t>（宽×长×高 ）</w:t>
            </w:r>
          </w:p>
        </w:tc>
        <w:tc>
          <w:tcPr>
            <w:tcW w:w="659" w:type="pct"/>
            <w:noWrap/>
            <w:vAlign w:val="center"/>
          </w:tcPr>
          <w:p>
            <w:pPr>
              <w:pStyle w:val="63"/>
              <w:rPr>
                <w:color w:val="auto"/>
                <w:kern w:val="0"/>
              </w:rPr>
            </w:pPr>
            <w:r>
              <w:rPr>
                <w:rFonts w:hint="eastAsia"/>
                <w:color w:val="auto"/>
                <w:kern w:val="0"/>
              </w:rPr>
              <w:t>mm</w:t>
            </w:r>
          </w:p>
        </w:tc>
        <w:tc>
          <w:tcPr>
            <w:tcW w:w="2355" w:type="pct"/>
            <w:noWrap/>
            <w:vAlign w:val="center"/>
          </w:tcPr>
          <w:p>
            <w:pPr>
              <w:pStyle w:val="63"/>
              <w:rPr>
                <w:color w:val="auto"/>
                <w:kern w:val="0"/>
              </w:rPr>
            </w:pPr>
            <w:r>
              <w:rPr>
                <w:rFonts w:hint="eastAsia"/>
                <w:color w:val="auto"/>
                <w:kern w:val="0"/>
              </w:rPr>
              <w:t>650×650×1508</w:t>
            </w:r>
          </w:p>
        </w:tc>
      </w:tr>
    </w:tbl>
    <w:p>
      <w:pPr>
        <w:pStyle w:val="5"/>
        <w:spacing w:before="156" w:after="156"/>
        <w:rPr>
          <w:color w:val="auto"/>
        </w:rPr>
      </w:pPr>
      <w:bookmarkStart w:id="43" w:name="_Toc121759966"/>
      <w:bookmarkStart w:id="44" w:name="_Hlk120548787"/>
      <w:r>
        <w:rPr>
          <w:rFonts w:hint="eastAsia"/>
          <w:color w:val="auto"/>
        </w:rPr>
        <w:t>设备布置情况</w:t>
      </w:r>
      <w:bookmarkEnd w:id="43"/>
    </w:p>
    <w:p>
      <w:pPr>
        <w:pStyle w:val="61"/>
        <w:rPr>
          <w:color w:val="auto"/>
        </w:rPr>
      </w:pPr>
      <w:r>
        <w:rPr>
          <w:color w:val="auto"/>
        </w:rPr>
        <w:drawing>
          <wp:inline distT="0" distB="0" distL="114300" distR="114300">
            <wp:extent cx="4185285" cy="4304030"/>
            <wp:effectExtent l="0" t="0" r="5715"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0"/>
                    <a:stretch>
                      <a:fillRect/>
                    </a:stretch>
                  </pic:blipFill>
                  <pic:spPr>
                    <a:xfrm>
                      <a:off x="0" y="0"/>
                      <a:ext cx="4185285" cy="4304030"/>
                    </a:xfrm>
                    <a:prstGeom prst="rect">
                      <a:avLst/>
                    </a:prstGeom>
                    <a:noFill/>
                    <a:ln>
                      <a:noFill/>
                    </a:ln>
                  </pic:spPr>
                </pic:pic>
              </a:graphicData>
            </a:graphic>
          </wp:inline>
        </w:drawing>
      </w:r>
    </w:p>
    <w:p>
      <w:pPr>
        <w:pStyle w:val="61"/>
        <w:rPr>
          <w:rFonts w:hint="eastAsia"/>
          <w:color w:val="auto"/>
          <w:lang w:val="en-US" w:eastAsia="zh-CN"/>
        </w:rPr>
      </w:pPr>
      <w:r>
        <w:rPr>
          <w:rFonts w:hint="eastAsia"/>
          <w:color w:val="auto"/>
          <w:lang w:val="en-US" w:eastAsia="zh-CN"/>
        </w:rPr>
        <w:t>7#中塔施工升降机立面示意</w:t>
      </w:r>
    </w:p>
    <w:p>
      <w:pPr>
        <w:pStyle w:val="61"/>
        <w:rPr>
          <w:rFonts w:hint="default"/>
          <w:color w:val="auto"/>
          <w:lang w:val="en-US" w:eastAsia="zh-CN"/>
        </w:rPr>
      </w:pPr>
      <w:r>
        <w:rPr>
          <w:color w:val="auto"/>
        </w:rPr>
        <w:drawing>
          <wp:inline distT="0" distB="0" distL="114300" distR="114300">
            <wp:extent cx="1884045" cy="4150995"/>
            <wp:effectExtent l="0" t="0" r="571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1"/>
                    <a:stretch>
                      <a:fillRect/>
                    </a:stretch>
                  </pic:blipFill>
                  <pic:spPr>
                    <a:xfrm>
                      <a:off x="0" y="0"/>
                      <a:ext cx="1884045" cy="4150995"/>
                    </a:xfrm>
                    <a:prstGeom prst="rect">
                      <a:avLst/>
                    </a:prstGeom>
                    <a:noFill/>
                    <a:ln>
                      <a:noFill/>
                    </a:ln>
                  </pic:spPr>
                </pic:pic>
              </a:graphicData>
            </a:graphic>
          </wp:inline>
        </w:drawing>
      </w:r>
      <w:r>
        <w:rPr>
          <w:color w:val="auto"/>
        </w:rPr>
        <w:drawing>
          <wp:inline distT="0" distB="0" distL="114300" distR="114300">
            <wp:extent cx="1812290" cy="4373880"/>
            <wp:effectExtent l="0" t="0" r="127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2"/>
                    <a:stretch>
                      <a:fillRect/>
                    </a:stretch>
                  </pic:blipFill>
                  <pic:spPr>
                    <a:xfrm>
                      <a:off x="0" y="0"/>
                      <a:ext cx="1812290" cy="4373880"/>
                    </a:xfrm>
                    <a:prstGeom prst="rect">
                      <a:avLst/>
                    </a:prstGeom>
                    <a:noFill/>
                    <a:ln>
                      <a:noFill/>
                    </a:ln>
                  </pic:spPr>
                </pic:pic>
              </a:graphicData>
            </a:graphic>
          </wp:inline>
        </w:drawing>
      </w:r>
    </w:p>
    <w:p>
      <w:pPr>
        <w:pStyle w:val="61"/>
        <w:rPr>
          <w:color w:val="auto"/>
        </w:rPr>
      </w:pPr>
      <w:r>
        <w:rPr>
          <w:color w:val="auto"/>
        </w:rPr>
        <w:drawing>
          <wp:inline distT="0" distB="0" distL="114300" distR="114300">
            <wp:extent cx="3934460" cy="3675380"/>
            <wp:effectExtent l="0" t="0" r="12700"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3"/>
                    <a:stretch>
                      <a:fillRect/>
                    </a:stretch>
                  </pic:blipFill>
                  <pic:spPr>
                    <a:xfrm>
                      <a:off x="0" y="0"/>
                      <a:ext cx="3934460" cy="3675380"/>
                    </a:xfrm>
                    <a:prstGeom prst="rect">
                      <a:avLst/>
                    </a:prstGeom>
                    <a:noFill/>
                    <a:ln>
                      <a:noFill/>
                    </a:ln>
                  </pic:spPr>
                </pic:pic>
              </a:graphicData>
            </a:graphic>
          </wp:inline>
        </w:drawing>
      </w:r>
    </w:p>
    <w:p>
      <w:pPr>
        <w:pStyle w:val="61"/>
        <w:rPr>
          <w:color w:val="auto"/>
        </w:rPr>
      </w:pPr>
      <w:r>
        <w:rPr>
          <w:rFonts w:hint="eastAsia"/>
          <w:color w:val="auto"/>
        </w:rPr>
        <w:t>图2.</w:t>
      </w:r>
      <w:r>
        <w:rPr>
          <w:color w:val="auto"/>
        </w:rPr>
        <w:t>1.</w:t>
      </w:r>
      <w:r>
        <w:rPr>
          <w:rFonts w:hint="eastAsia"/>
          <w:color w:val="auto"/>
        </w:rPr>
        <w:t xml:space="preserve">4-1 </w:t>
      </w:r>
      <w:r>
        <w:rPr>
          <w:rFonts w:hint="eastAsia"/>
          <w:color w:val="auto"/>
          <w:lang w:eastAsia="zh-CN"/>
        </w:rPr>
        <w:t>施工升降机</w:t>
      </w:r>
      <w:r>
        <w:rPr>
          <w:rFonts w:hint="eastAsia"/>
          <w:color w:val="auto"/>
        </w:rPr>
        <w:t>现场</w:t>
      </w:r>
      <w:r>
        <w:rPr>
          <w:rFonts w:hint="eastAsia"/>
          <w:color w:val="auto"/>
          <w:lang w:val="en-US" w:eastAsia="zh-CN"/>
        </w:rPr>
        <w:t>平面</w:t>
      </w:r>
      <w:r>
        <w:rPr>
          <w:rFonts w:hint="eastAsia"/>
          <w:color w:val="auto"/>
        </w:rPr>
        <w:t>位置图</w:t>
      </w:r>
    </w:p>
    <w:bookmarkEnd w:id="44"/>
    <w:p>
      <w:pPr>
        <w:pStyle w:val="4"/>
        <w:spacing w:before="156" w:after="156"/>
        <w:rPr>
          <w:color w:val="auto"/>
        </w:rPr>
      </w:pPr>
      <w:bookmarkStart w:id="45" w:name="_Toc121759967"/>
      <w:r>
        <w:rPr>
          <w:rFonts w:hint="eastAsia"/>
          <w:color w:val="auto"/>
        </w:rPr>
        <w:t>工程特点</w:t>
      </w:r>
      <w:bookmarkEnd w:id="40"/>
      <w:bookmarkEnd w:id="41"/>
      <w:bookmarkEnd w:id="42"/>
      <w:bookmarkEnd w:id="45"/>
    </w:p>
    <w:p>
      <w:pPr>
        <w:ind w:firstLine="480"/>
        <w:rPr>
          <w:color w:val="auto"/>
        </w:rPr>
      </w:pPr>
      <w:r>
        <w:rPr>
          <w:rFonts w:hint="eastAsia"/>
          <w:color w:val="auto"/>
        </w:rPr>
        <w:t>（1）施工升降机在主墩上进行安拆施工，受主墩平台场地限制，交叉施工工况较多，施工组织难度大。</w:t>
      </w:r>
    </w:p>
    <w:p>
      <w:pPr>
        <w:ind w:firstLine="480"/>
        <w:rPr>
          <w:color w:val="auto"/>
        </w:rPr>
      </w:pPr>
      <w:r>
        <w:rPr>
          <w:rFonts w:hint="eastAsia"/>
          <w:color w:val="auto"/>
        </w:rPr>
        <w:t>（2）施工升降机安拆位于主墩平台，受汛期水位及江面大风天气影响较大，需有效开展防洪度汛及天气预报工作。</w:t>
      </w:r>
    </w:p>
    <w:p>
      <w:pPr>
        <w:ind w:firstLine="480"/>
        <w:rPr>
          <w:color w:val="auto"/>
        </w:rPr>
      </w:pPr>
      <w:r>
        <w:rPr>
          <w:rFonts w:hint="eastAsia"/>
          <w:color w:val="auto"/>
        </w:rPr>
        <w:t>（3）施工升降机附塔高度大，高空作业安全风险高，附塔埋件数量多，安装位置精度要求高，安拆难度及工作量大。</w:t>
      </w:r>
    </w:p>
    <w:p>
      <w:pPr>
        <w:pStyle w:val="4"/>
        <w:spacing w:before="156" w:after="156"/>
        <w:rPr>
          <w:color w:val="auto"/>
        </w:rPr>
      </w:pPr>
      <w:bookmarkStart w:id="46" w:name="_Toc40778423"/>
      <w:bookmarkStart w:id="47" w:name="_Toc55223352"/>
      <w:bookmarkStart w:id="48" w:name="_Toc24090"/>
      <w:bookmarkStart w:id="49" w:name="_Toc121759968"/>
      <w:r>
        <w:rPr>
          <w:rFonts w:hint="eastAsia"/>
          <w:color w:val="auto"/>
        </w:rPr>
        <w:t>施工平面布置</w:t>
      </w:r>
      <w:bookmarkEnd w:id="46"/>
      <w:bookmarkEnd w:id="47"/>
      <w:bookmarkEnd w:id="48"/>
      <w:bookmarkEnd w:id="49"/>
    </w:p>
    <w:p>
      <w:pPr>
        <w:ind w:firstLine="480"/>
        <w:rPr>
          <w:color w:val="auto"/>
        </w:rPr>
      </w:pPr>
      <w:r>
        <w:rPr>
          <w:rFonts w:hint="eastAsia"/>
          <w:color w:val="auto"/>
        </w:rPr>
        <w:t>施工升降机安拆平面布置见下图。安拆时在主墩平台区域划分安拆区域，根据施工升降机进场计划，提前清出场地，存放施工升降机安装所需各部件。</w:t>
      </w:r>
    </w:p>
    <w:p>
      <w:pPr>
        <w:pStyle w:val="61"/>
        <w:rPr>
          <w:color w:val="auto"/>
        </w:rPr>
      </w:pPr>
      <w:r>
        <w:rPr>
          <w:color w:val="auto"/>
        </w:rPr>
        <w:drawing>
          <wp:inline distT="0" distB="0" distL="114300" distR="114300">
            <wp:extent cx="5424805" cy="2357755"/>
            <wp:effectExtent l="0" t="0" r="635" b="444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4"/>
                    <a:stretch>
                      <a:fillRect/>
                    </a:stretch>
                  </pic:blipFill>
                  <pic:spPr>
                    <a:xfrm>
                      <a:off x="0" y="0"/>
                      <a:ext cx="5424805" cy="2357755"/>
                    </a:xfrm>
                    <a:prstGeom prst="rect">
                      <a:avLst/>
                    </a:prstGeom>
                    <a:noFill/>
                    <a:ln>
                      <a:noFill/>
                    </a:ln>
                  </pic:spPr>
                </pic:pic>
              </a:graphicData>
            </a:graphic>
          </wp:inline>
        </w:drawing>
      </w:r>
    </w:p>
    <w:p>
      <w:pPr>
        <w:pStyle w:val="61"/>
        <w:rPr>
          <w:color w:val="auto"/>
        </w:rPr>
      </w:pPr>
      <w:r>
        <w:rPr>
          <w:rFonts w:hint="eastAsia"/>
          <w:color w:val="auto"/>
        </w:rPr>
        <w:t>图</w:t>
      </w:r>
      <w:r>
        <w:rPr>
          <w:color w:val="auto"/>
        </w:rPr>
        <w:t>2.3</w:t>
      </w:r>
      <w:r>
        <w:rPr>
          <w:rFonts w:hint="eastAsia"/>
          <w:color w:val="auto"/>
        </w:rPr>
        <w:t>-1 升降机平面布置图</w:t>
      </w:r>
    </w:p>
    <w:p>
      <w:pPr>
        <w:pStyle w:val="4"/>
        <w:spacing w:before="156" w:after="156"/>
        <w:rPr>
          <w:color w:val="auto"/>
        </w:rPr>
      </w:pPr>
      <w:bookmarkStart w:id="50" w:name="_Toc933"/>
      <w:bookmarkStart w:id="51" w:name="_Toc55223353"/>
      <w:bookmarkStart w:id="52" w:name="_Toc40778424"/>
      <w:bookmarkStart w:id="53" w:name="_Toc121759969"/>
      <w:r>
        <w:rPr>
          <w:rFonts w:hint="eastAsia"/>
          <w:color w:val="auto"/>
        </w:rPr>
        <w:t>施工要求</w:t>
      </w:r>
      <w:bookmarkEnd w:id="50"/>
      <w:bookmarkEnd w:id="51"/>
      <w:bookmarkEnd w:id="52"/>
      <w:bookmarkEnd w:id="53"/>
    </w:p>
    <w:p>
      <w:pPr>
        <w:pStyle w:val="5"/>
        <w:spacing w:before="156" w:after="156"/>
        <w:rPr>
          <w:color w:val="auto"/>
        </w:rPr>
      </w:pPr>
      <w:bookmarkStart w:id="54" w:name="_Toc121759970"/>
      <w:r>
        <w:rPr>
          <w:rFonts w:hint="eastAsia"/>
          <w:color w:val="auto"/>
        </w:rPr>
        <w:t>工期要求</w:t>
      </w:r>
      <w:bookmarkEnd w:id="54"/>
    </w:p>
    <w:p>
      <w:pPr>
        <w:ind w:firstLine="480"/>
        <w:rPr>
          <w:color w:val="auto"/>
        </w:rPr>
      </w:pPr>
      <w:r>
        <w:rPr>
          <w:rFonts w:hint="eastAsia"/>
          <w:color w:val="auto"/>
        </w:rPr>
        <w:t>根据合同工期和总体施工进度安排施工升降机安拆施工，施工升降机基础的设置不得影响施工升降机安装进度计划。</w:t>
      </w:r>
    </w:p>
    <w:p>
      <w:pPr>
        <w:pStyle w:val="5"/>
        <w:spacing w:before="156" w:after="156"/>
        <w:rPr>
          <w:color w:val="auto"/>
        </w:rPr>
      </w:pPr>
      <w:bookmarkStart w:id="55" w:name="_Toc108095437"/>
      <w:bookmarkStart w:id="56" w:name="_Toc121759971"/>
      <w:r>
        <w:rPr>
          <w:rFonts w:hint="eastAsia"/>
          <w:color w:val="auto"/>
        </w:rPr>
        <w:t>质量要求</w:t>
      </w:r>
      <w:bookmarkEnd w:id="55"/>
      <w:bookmarkEnd w:id="56"/>
    </w:p>
    <w:p>
      <w:pPr>
        <w:ind w:firstLine="480"/>
        <w:rPr>
          <w:color w:val="auto"/>
        </w:rPr>
      </w:pPr>
      <w:r>
        <w:rPr>
          <w:rFonts w:hint="eastAsia"/>
          <w:color w:val="auto"/>
        </w:rPr>
        <w:t>（1）工序验收合格率100%，</w:t>
      </w:r>
      <w:r>
        <w:rPr>
          <w:color w:val="auto"/>
        </w:rPr>
        <w:t>不发生质量事故，不发生造成社会恶劣影响的其他事件</w:t>
      </w:r>
      <w:r>
        <w:rPr>
          <w:rFonts w:hint="eastAsia"/>
          <w:color w:val="auto"/>
        </w:rPr>
        <w:t>；</w:t>
      </w:r>
    </w:p>
    <w:p>
      <w:pPr>
        <w:ind w:firstLine="480"/>
        <w:rPr>
          <w:color w:val="auto"/>
        </w:rPr>
      </w:pPr>
      <w:r>
        <w:rPr>
          <w:rFonts w:hint="eastAsia"/>
          <w:color w:val="auto"/>
        </w:rPr>
        <w:t>（2）工程质量符合合同、图纸及规范要求。</w:t>
      </w:r>
    </w:p>
    <w:p>
      <w:pPr>
        <w:pStyle w:val="5"/>
        <w:spacing w:before="156" w:after="156"/>
        <w:rPr>
          <w:color w:val="auto"/>
        </w:rPr>
      </w:pPr>
      <w:bookmarkStart w:id="57" w:name="_Toc121759972"/>
      <w:bookmarkStart w:id="58" w:name="_Toc108095438"/>
      <w:r>
        <w:rPr>
          <w:rFonts w:hint="eastAsia"/>
          <w:color w:val="auto"/>
        </w:rPr>
        <w:t>安全文明施工要求</w:t>
      </w:r>
      <w:bookmarkEnd w:id="57"/>
      <w:bookmarkEnd w:id="58"/>
    </w:p>
    <w:p>
      <w:pPr>
        <w:ind w:firstLine="480"/>
        <w:rPr>
          <w:color w:val="auto"/>
        </w:rPr>
      </w:pPr>
      <w:r>
        <w:rPr>
          <w:rFonts w:hint="eastAsia"/>
          <w:color w:val="auto"/>
        </w:rPr>
        <w:t>（1）所有进场施工人员安全教育考核率达100%，特殊岗位操作人员持证上岗率达100%；</w:t>
      </w:r>
    </w:p>
    <w:p>
      <w:pPr>
        <w:ind w:firstLine="480"/>
        <w:rPr>
          <w:color w:val="auto"/>
        </w:rPr>
      </w:pPr>
      <w:r>
        <w:rPr>
          <w:rFonts w:hint="eastAsia"/>
          <w:color w:val="auto"/>
        </w:rPr>
        <w:t>（2）各种防护用品、设施合格率达100%，施工安全技术交底率达100%。</w:t>
      </w:r>
    </w:p>
    <w:p>
      <w:pPr>
        <w:ind w:firstLine="480"/>
        <w:rPr>
          <w:color w:val="auto"/>
        </w:rPr>
      </w:pPr>
      <w:r>
        <w:rPr>
          <w:rFonts w:hint="eastAsia"/>
          <w:color w:val="auto"/>
        </w:rPr>
        <w:t>（3）施工升降机安装完成后，项目部组织安装、监理等有关单位进行验收，或委托具有相应资质的检验检测机构进行验收。建筑起重机械经验收合格后方可投入使用，未经验收或者验收不合格的不得使用。</w:t>
      </w:r>
    </w:p>
    <w:p>
      <w:pPr>
        <w:ind w:firstLine="480"/>
        <w:rPr>
          <w:color w:val="auto"/>
        </w:rPr>
      </w:pPr>
      <w:r>
        <w:rPr>
          <w:rFonts w:hint="eastAsia"/>
          <w:color w:val="auto"/>
        </w:rPr>
        <w:t>（4）做到现场布局合理，施工组织有序，材料堆码整齐，设备停放有序，标识标志醒目，环境整洁干净，实现施工现场标准化、规范化管理，</w:t>
      </w:r>
      <w:r>
        <w:rPr>
          <w:rFonts w:hint="eastAsia"/>
          <w:color w:val="auto"/>
          <w:lang w:bidi="ar"/>
        </w:rPr>
        <w:t>达到长沙市标准化文明工地的要求，</w:t>
      </w:r>
      <w:r>
        <w:rPr>
          <w:rFonts w:hint="eastAsia"/>
          <w:color w:val="auto"/>
        </w:rPr>
        <w:t>积极争创文明施工示范工地。</w:t>
      </w:r>
    </w:p>
    <w:p>
      <w:pPr>
        <w:pStyle w:val="5"/>
        <w:spacing w:before="156" w:after="156"/>
        <w:rPr>
          <w:color w:val="auto"/>
        </w:rPr>
      </w:pPr>
      <w:bookmarkStart w:id="59" w:name="_Toc108095439"/>
      <w:bookmarkStart w:id="60" w:name="_Toc121759973"/>
      <w:r>
        <w:rPr>
          <w:rFonts w:hint="eastAsia"/>
          <w:color w:val="auto"/>
        </w:rPr>
        <w:t>环境保护要求</w:t>
      </w:r>
      <w:bookmarkEnd w:id="59"/>
      <w:bookmarkEnd w:id="60"/>
    </w:p>
    <w:p>
      <w:pPr>
        <w:ind w:firstLine="480"/>
        <w:rPr>
          <w:color w:val="auto"/>
        </w:rPr>
      </w:pPr>
      <w:r>
        <w:rPr>
          <w:rFonts w:hint="eastAsia"/>
          <w:color w:val="auto"/>
        </w:rPr>
        <w:t>严格执行国家及长沙市有关环保和水保方面的法律、法规及有关规定，接受当地环保部门监督、检查，杜绝环境污染。保护生态环境，实现工程建设与环境保护的和谐统一。</w:t>
      </w:r>
    </w:p>
    <w:p>
      <w:pPr>
        <w:pStyle w:val="5"/>
        <w:spacing w:before="156" w:after="156"/>
        <w:rPr>
          <w:color w:val="auto"/>
        </w:rPr>
      </w:pPr>
      <w:bookmarkStart w:id="61" w:name="_Toc121759974"/>
      <w:bookmarkStart w:id="62" w:name="_Toc108095440"/>
      <w:r>
        <w:rPr>
          <w:rFonts w:hint="eastAsia"/>
          <w:color w:val="auto"/>
        </w:rPr>
        <w:t>节能减排要求</w:t>
      </w:r>
      <w:bookmarkEnd w:id="61"/>
      <w:bookmarkEnd w:id="62"/>
    </w:p>
    <w:p>
      <w:pPr>
        <w:ind w:firstLine="480"/>
        <w:rPr>
          <w:color w:val="auto"/>
        </w:rPr>
      </w:pPr>
      <w:r>
        <w:rPr>
          <w:color w:val="auto"/>
        </w:rPr>
        <w:t>根据</w:t>
      </w:r>
      <w:r>
        <w:rPr>
          <w:rFonts w:hint="eastAsia"/>
          <w:color w:val="auto"/>
        </w:rPr>
        <w:t>施工</w:t>
      </w:r>
      <w:r>
        <w:rPr>
          <w:color w:val="auto"/>
        </w:rPr>
        <w:t>进度和实际需要及时对工地机械设备进行调整和优化，提高机械设备的使用率和满载率；加强机械设备的维修保养，及时检修，减少设备的故障率和跑、冒、漏、滴的发生。</w:t>
      </w:r>
    </w:p>
    <w:p>
      <w:pPr>
        <w:pStyle w:val="4"/>
        <w:spacing w:before="156" w:after="156"/>
        <w:rPr>
          <w:color w:val="auto"/>
        </w:rPr>
      </w:pPr>
      <w:bookmarkStart w:id="63" w:name="_Toc121759975"/>
      <w:bookmarkStart w:id="64" w:name="_Toc108095441"/>
      <w:bookmarkStart w:id="65" w:name="_Toc100221641"/>
      <w:r>
        <w:rPr>
          <w:rFonts w:hint="eastAsia"/>
          <w:color w:val="auto"/>
        </w:rPr>
        <w:t>技术保证条件</w:t>
      </w:r>
      <w:bookmarkEnd w:id="63"/>
      <w:bookmarkEnd w:id="64"/>
      <w:bookmarkEnd w:id="65"/>
    </w:p>
    <w:p>
      <w:pPr>
        <w:ind w:firstLine="480"/>
        <w:rPr>
          <w:color w:val="auto"/>
        </w:rPr>
      </w:pPr>
      <w:r>
        <w:rPr>
          <w:rFonts w:hint="eastAsia"/>
          <w:color w:val="auto"/>
        </w:rPr>
        <w:t>（1）项目部为施工升降机安装单位提供安装基础、设备安装场地等验收合格的相关资料；</w:t>
      </w:r>
    </w:p>
    <w:p>
      <w:pPr>
        <w:ind w:firstLine="480"/>
        <w:rPr>
          <w:color w:val="auto"/>
        </w:rPr>
      </w:pPr>
      <w:r>
        <w:rPr>
          <w:rFonts w:hint="eastAsia"/>
          <w:color w:val="auto"/>
        </w:rPr>
        <w:t>（2）项目部审核安装单位提供的方案，确保完整可行；</w:t>
      </w:r>
    </w:p>
    <w:p>
      <w:pPr>
        <w:ind w:firstLine="480"/>
        <w:rPr>
          <w:color w:val="auto"/>
        </w:rPr>
      </w:pPr>
      <w:r>
        <w:rPr>
          <w:rFonts w:hint="eastAsia"/>
          <w:color w:val="auto"/>
        </w:rPr>
        <w:t>（3）项目部确保本方案及相关附件通过评审、审核和报批；</w:t>
      </w:r>
    </w:p>
    <w:p>
      <w:pPr>
        <w:ind w:firstLine="480"/>
        <w:rPr>
          <w:color w:val="auto"/>
        </w:rPr>
      </w:pPr>
      <w:r>
        <w:rPr>
          <w:rFonts w:hint="eastAsia"/>
          <w:color w:val="auto"/>
        </w:rPr>
        <w:t>（4）项目部确保安装单位在</w:t>
      </w:r>
      <w:r>
        <w:rPr>
          <w:color w:val="auto"/>
        </w:rPr>
        <w:fldChar w:fldCharType="begin"/>
      </w:r>
      <w:r>
        <w:rPr>
          <w:color w:val="auto"/>
        </w:rPr>
        <w:instrText xml:space="preserve"> </w:instrText>
      </w:r>
      <w:r>
        <w:rPr>
          <w:rFonts w:hint="eastAsia"/>
          <w:color w:val="auto"/>
        </w:rPr>
        <w:instrText xml:space="preserve">REF 方案类别 \h</w:instrText>
      </w:r>
      <w:r>
        <w:rPr>
          <w:color w:val="auto"/>
        </w:rPr>
        <w:instrText xml:space="preserve">  \* MERGEFORMAT </w:instrText>
      </w:r>
      <w:r>
        <w:rPr>
          <w:color w:val="auto"/>
        </w:rPr>
        <w:fldChar w:fldCharType="separate"/>
      </w:r>
      <w:r>
        <w:rPr>
          <w:rFonts w:hint="eastAsia"/>
          <w:color w:val="auto"/>
        </w:rPr>
        <w:t>安</w:t>
      </w:r>
      <w:r>
        <w:rPr>
          <w:color w:val="auto"/>
        </w:rPr>
        <w:fldChar w:fldCharType="end"/>
      </w:r>
      <w:r>
        <w:rPr>
          <w:rFonts w:hint="eastAsia"/>
          <w:color w:val="auto"/>
        </w:rPr>
        <w:t>施工前以书面形式告知直辖市或设区的市的特种设备安全监督管理部门，且安装告知完毕后应向检验机构申请检验并提交相关资料；</w:t>
      </w:r>
    </w:p>
    <w:p>
      <w:pPr>
        <w:ind w:firstLine="480"/>
        <w:rPr>
          <w:color w:val="auto"/>
        </w:rPr>
      </w:pPr>
      <w:r>
        <w:rPr>
          <w:rFonts w:hint="eastAsia"/>
          <w:color w:val="auto"/>
        </w:rPr>
        <w:t>（5）本方案</w:t>
      </w:r>
      <w:r>
        <w:rPr>
          <w:color w:val="auto"/>
        </w:rPr>
        <w:t>按要求编制并组织评审程序通过后，对项目部管理层、施工作业层进行安全技术交底。交底内容包括施工工艺、工程数量、完成时间、使用材料、操作要点、工程质量要求以及安全注意事项，并在施工中检查执行情况。</w:t>
      </w:r>
    </w:p>
    <w:p>
      <w:pPr>
        <w:widowControl/>
        <w:ind w:firstLine="0" w:firstLineChars="0"/>
        <w:jc w:val="left"/>
        <w:rPr>
          <w:color w:val="auto"/>
        </w:rPr>
      </w:pPr>
    </w:p>
    <w:p>
      <w:pPr>
        <w:widowControl/>
        <w:ind w:firstLine="0" w:firstLineChars="0"/>
        <w:jc w:val="left"/>
        <w:rPr>
          <w:color w:val="auto"/>
        </w:rPr>
        <w:sectPr>
          <w:pgSz w:w="11906" w:h="16838"/>
          <w:pgMar w:top="1440" w:right="1800" w:bottom="1440" w:left="1800" w:header="851" w:footer="992" w:gutter="0"/>
          <w:pgNumType w:start="1"/>
          <w:cols w:space="720" w:num="1"/>
          <w:docGrid w:type="lines" w:linePitch="312" w:charSpace="0"/>
        </w:sectPr>
      </w:pPr>
    </w:p>
    <w:p>
      <w:pPr>
        <w:pStyle w:val="3"/>
        <w:spacing w:before="156" w:after="156"/>
        <w:rPr>
          <w:color w:val="auto"/>
        </w:rPr>
      </w:pPr>
      <w:bookmarkStart w:id="66" w:name="_Toc55223355"/>
      <w:bookmarkStart w:id="67" w:name="_Toc121759976"/>
      <w:r>
        <w:rPr>
          <w:rFonts w:hint="eastAsia"/>
          <w:color w:val="auto"/>
        </w:rPr>
        <w:t>施工计划</w:t>
      </w:r>
      <w:bookmarkEnd w:id="31"/>
      <w:bookmarkEnd w:id="32"/>
      <w:bookmarkEnd w:id="66"/>
      <w:bookmarkEnd w:id="67"/>
    </w:p>
    <w:p>
      <w:pPr>
        <w:pStyle w:val="4"/>
        <w:spacing w:before="156" w:after="156"/>
        <w:rPr>
          <w:color w:val="auto"/>
        </w:rPr>
      </w:pPr>
      <w:bookmarkStart w:id="68" w:name="_Toc14838"/>
      <w:bookmarkStart w:id="69" w:name="_Toc121759977"/>
      <w:bookmarkStart w:id="70" w:name="_Toc55223357"/>
      <w:bookmarkStart w:id="71" w:name="_Toc40778433"/>
      <w:r>
        <w:rPr>
          <w:rFonts w:hint="eastAsia"/>
          <w:color w:val="auto"/>
        </w:rPr>
        <w:t>施工进度计划</w:t>
      </w:r>
      <w:bookmarkEnd w:id="68"/>
      <w:bookmarkEnd w:id="69"/>
      <w:bookmarkEnd w:id="70"/>
      <w:bookmarkEnd w:id="71"/>
    </w:p>
    <w:p>
      <w:pPr>
        <w:ind w:firstLine="480"/>
        <w:rPr>
          <w:color w:val="auto"/>
        </w:rPr>
      </w:pPr>
      <w:r>
        <w:rPr>
          <w:rFonts w:hint="eastAsia"/>
          <w:color w:val="auto"/>
        </w:rPr>
        <w:t>根据施工进度，施工升降机于202</w:t>
      </w:r>
      <w:r>
        <w:rPr>
          <w:rFonts w:hint="eastAsia"/>
          <w:color w:val="auto"/>
          <w:lang w:val="en-US" w:eastAsia="zh-CN"/>
        </w:rPr>
        <w:t>3</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1</w:t>
      </w:r>
      <w:r>
        <w:rPr>
          <w:rFonts w:hint="eastAsia"/>
          <w:color w:val="auto"/>
        </w:rPr>
        <w:t>日进场，预计202</w:t>
      </w:r>
      <w:r>
        <w:rPr>
          <w:rFonts w:hint="eastAsia"/>
          <w:color w:val="auto"/>
          <w:lang w:val="en-US" w:eastAsia="zh-CN"/>
        </w:rPr>
        <w:t>3</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5</w:t>
      </w:r>
      <w:r>
        <w:rPr>
          <w:rFonts w:hint="eastAsia"/>
          <w:color w:val="auto"/>
        </w:rPr>
        <w:t>日开始安装，于六个工作日内安装完成。具体分项工作进度计划如下表：</w:t>
      </w:r>
    </w:p>
    <w:p>
      <w:pPr>
        <w:pStyle w:val="61"/>
        <w:rPr>
          <w:rFonts w:hint="eastAsia"/>
          <w:color w:val="auto"/>
        </w:rPr>
      </w:pPr>
      <w:r>
        <w:rPr>
          <w:rFonts w:hint="eastAsia"/>
          <w:color w:val="auto"/>
        </w:rPr>
        <w:t>表3</w:t>
      </w:r>
      <w:r>
        <w:rPr>
          <w:color w:val="auto"/>
        </w:rPr>
        <w:t>.1-1</w:t>
      </w:r>
      <w:r>
        <w:rPr>
          <w:rFonts w:hint="eastAsia"/>
          <w:color w:val="auto"/>
        </w:rPr>
        <w:t>施工进度计划表</w:t>
      </w:r>
    </w:p>
    <w:tbl>
      <w:tblPr>
        <w:tblStyle w:val="44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00" w:type="pct"/>
            <w:vAlign w:val="center"/>
          </w:tcPr>
          <w:p>
            <w:pPr>
              <w:pStyle w:val="63"/>
              <w:rPr>
                <w:b/>
                <w:color w:val="auto"/>
                <w:kern w:val="0"/>
              </w:rPr>
            </w:pPr>
            <w:r>
              <w:rPr>
                <w:rFonts w:hint="eastAsia"/>
                <w:b/>
                <w:color w:val="auto"/>
                <w:kern w:val="0"/>
              </w:rPr>
              <w:t>工作内容</w:t>
            </w:r>
          </w:p>
          <w:p>
            <w:pPr>
              <w:pStyle w:val="63"/>
              <w:rPr>
                <w:b/>
                <w:color w:val="auto"/>
                <w:kern w:val="0"/>
              </w:rPr>
            </w:pPr>
            <w:r>
              <w:rPr>
                <w:rFonts w:hint="eastAsia"/>
                <w:b/>
                <w:color w:val="auto"/>
                <w:kern w:val="0"/>
              </w:rPr>
              <w:t>时间进度</w:t>
            </w:r>
          </w:p>
        </w:tc>
        <w:tc>
          <w:tcPr>
            <w:tcW w:w="1000" w:type="pct"/>
            <w:vAlign w:val="center"/>
          </w:tcPr>
          <w:p>
            <w:pPr>
              <w:pStyle w:val="63"/>
              <w:rPr>
                <w:b/>
                <w:color w:val="auto"/>
                <w:kern w:val="0"/>
              </w:rPr>
            </w:pPr>
            <w:r>
              <w:rPr>
                <w:rFonts w:hint="eastAsia"/>
                <w:b/>
                <w:color w:val="auto"/>
                <w:kern w:val="0"/>
              </w:rPr>
              <w:t>1个工作日</w:t>
            </w:r>
          </w:p>
        </w:tc>
        <w:tc>
          <w:tcPr>
            <w:tcW w:w="1000" w:type="pct"/>
            <w:vAlign w:val="center"/>
          </w:tcPr>
          <w:p>
            <w:pPr>
              <w:pStyle w:val="63"/>
              <w:rPr>
                <w:b/>
                <w:color w:val="auto"/>
                <w:kern w:val="0"/>
              </w:rPr>
            </w:pPr>
            <w:r>
              <w:rPr>
                <w:rFonts w:hint="eastAsia"/>
                <w:b/>
                <w:color w:val="auto"/>
                <w:kern w:val="0"/>
              </w:rPr>
              <w:t>2个工作日</w:t>
            </w:r>
          </w:p>
        </w:tc>
        <w:tc>
          <w:tcPr>
            <w:tcW w:w="1000" w:type="pct"/>
            <w:vAlign w:val="center"/>
          </w:tcPr>
          <w:p>
            <w:pPr>
              <w:pStyle w:val="63"/>
              <w:rPr>
                <w:b/>
                <w:color w:val="auto"/>
                <w:kern w:val="0"/>
              </w:rPr>
            </w:pPr>
            <w:r>
              <w:rPr>
                <w:rFonts w:hint="eastAsia"/>
                <w:b/>
                <w:color w:val="auto"/>
                <w:kern w:val="0"/>
              </w:rPr>
              <w:t>2个工作日</w:t>
            </w:r>
          </w:p>
        </w:tc>
        <w:tc>
          <w:tcPr>
            <w:tcW w:w="1000" w:type="pct"/>
            <w:vAlign w:val="center"/>
          </w:tcPr>
          <w:p>
            <w:pPr>
              <w:pStyle w:val="63"/>
              <w:rPr>
                <w:b/>
                <w:color w:val="auto"/>
                <w:kern w:val="0"/>
              </w:rPr>
            </w:pPr>
            <w:r>
              <w:rPr>
                <w:rFonts w:hint="eastAsia"/>
                <w:b/>
                <w:color w:val="auto"/>
                <w:kern w:val="0"/>
              </w:rPr>
              <w:t>1个工作日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00" w:type="pct"/>
            <w:vAlign w:val="center"/>
          </w:tcPr>
          <w:p>
            <w:pPr>
              <w:pStyle w:val="63"/>
              <w:rPr>
                <w:color w:val="auto"/>
                <w:kern w:val="0"/>
              </w:rPr>
            </w:pPr>
            <w:r>
              <w:rPr>
                <w:rFonts w:hint="eastAsia"/>
                <w:color w:val="auto"/>
                <w:kern w:val="0"/>
              </w:rPr>
              <w:t>安装准备工作</w:t>
            </w:r>
          </w:p>
        </w:tc>
        <w:tc>
          <w:tcPr>
            <w:tcW w:w="1000" w:type="pct"/>
            <w:vAlign w:val="center"/>
          </w:tcPr>
          <w:p>
            <w:pPr>
              <w:pStyle w:val="63"/>
              <w:rPr>
                <w:color w:val="auto"/>
                <w:kern w:val="0"/>
              </w:rPr>
            </w:pPr>
            <w:r>
              <w:rPr>
                <w:rFonts w:hint="eastAsia"/>
                <w:color w:val="auto"/>
                <w:kern w:val="0"/>
              </w:rPr>
              <mc:AlternateContent>
                <mc:Choice Requires="wps">
                  <w:drawing>
                    <wp:anchor distT="0" distB="0" distL="114300" distR="114300" simplePos="0" relativeHeight="251659264" behindDoc="0" locked="0" layoutInCell="1" allowOverlap="1">
                      <wp:simplePos x="0" y="0"/>
                      <wp:positionH relativeFrom="column">
                        <wp:posOffset>-57785</wp:posOffset>
                      </wp:positionH>
                      <wp:positionV relativeFrom="paragraph">
                        <wp:posOffset>156210</wp:posOffset>
                      </wp:positionV>
                      <wp:extent cx="1121410" cy="10160"/>
                      <wp:effectExtent l="0" t="0" r="2540" b="8890"/>
                      <wp:wrapNone/>
                      <wp:docPr id="107" name="直接连接符 42"/>
                      <wp:cNvGraphicFramePr/>
                      <a:graphic xmlns:a="http://schemas.openxmlformats.org/drawingml/2006/main">
                        <a:graphicData uri="http://schemas.microsoft.com/office/word/2010/wordprocessingShape">
                          <wps:wsp>
                            <wps:cNvCnPr/>
                            <wps:spPr>
                              <a:xfrm flipV="1">
                                <a:off x="0" y="0"/>
                                <a:ext cx="1121410" cy="1016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直接连接符 42" o:spid="_x0000_s1026" o:spt="20" style="position:absolute;left:0pt;flip:y;margin-left:-4.55pt;margin-top:12.3pt;height:0.8pt;width:88.3pt;z-index:251659264;mso-width-relative:page;mso-height-relative:page;" filled="f" stroked="t" coordsize="21600,21600" o:gfxdata="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PsurNYAAAAIAQAADwAAAAAAAAABACAAAAAiAAAAZHJzL2Rvd25yZXYueG1s&#10;UEsBAhQAFAAAAAgAh07iQDBmctX6AQAA6gMAAA4AAAAAAAAAAQAgAAAAJQEAAGRycy9lMm9Eb2Mu&#10;eG1sUEsFBgAAAAAGAAYAWQEAAJEFAAAAAA==&#10;">
                      <v:fill on="f" focussize="0,0"/>
                      <v:stroke weight="1.25pt" color="#000000" joinstyle="round"/>
                      <v:imagedata o:title=""/>
                      <o:lock v:ext="edit" aspectratio="f"/>
                    </v:line>
                  </w:pict>
                </mc:Fallback>
              </mc:AlternateContent>
            </w:r>
          </w:p>
        </w:tc>
        <w:tc>
          <w:tcPr>
            <w:tcW w:w="1000" w:type="pct"/>
            <w:vAlign w:val="center"/>
          </w:tcPr>
          <w:p>
            <w:pPr>
              <w:pStyle w:val="63"/>
              <w:rPr>
                <w:color w:val="auto"/>
                <w:kern w:val="0"/>
              </w:rPr>
            </w:pPr>
          </w:p>
        </w:tc>
        <w:tc>
          <w:tcPr>
            <w:tcW w:w="1000" w:type="pct"/>
            <w:vAlign w:val="center"/>
          </w:tcPr>
          <w:p>
            <w:pPr>
              <w:pStyle w:val="63"/>
              <w:rPr>
                <w:color w:val="auto"/>
                <w:kern w:val="0"/>
              </w:rPr>
            </w:pPr>
          </w:p>
        </w:tc>
        <w:tc>
          <w:tcPr>
            <w:tcW w:w="100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00" w:type="pct"/>
            <w:vAlign w:val="center"/>
          </w:tcPr>
          <w:p>
            <w:pPr>
              <w:pStyle w:val="63"/>
              <w:rPr>
                <w:color w:val="auto"/>
                <w:kern w:val="0"/>
              </w:rPr>
            </w:pPr>
            <w:r>
              <w:rPr>
                <w:rFonts w:hint="eastAsia"/>
                <w:color w:val="auto"/>
                <w:kern w:val="0"/>
              </w:rPr>
              <w:t>主要结构件安装</w:t>
            </w:r>
          </w:p>
        </w:tc>
        <w:tc>
          <w:tcPr>
            <w:tcW w:w="1000" w:type="pct"/>
            <w:vAlign w:val="center"/>
          </w:tcPr>
          <w:p>
            <w:pPr>
              <w:pStyle w:val="63"/>
              <w:rPr>
                <w:color w:val="auto"/>
                <w:kern w:val="0"/>
              </w:rPr>
            </w:pPr>
          </w:p>
        </w:tc>
        <w:tc>
          <w:tcPr>
            <w:tcW w:w="1000" w:type="pct"/>
            <w:vAlign w:val="center"/>
          </w:tcPr>
          <w:p>
            <w:pPr>
              <w:pStyle w:val="63"/>
              <w:rPr>
                <w:color w:val="auto"/>
                <w:kern w:val="0"/>
              </w:rPr>
            </w:pPr>
            <w:r>
              <w:rPr>
                <w:rFonts w:hint="eastAsia"/>
                <w:color w:val="auto"/>
                <w:kern w:val="0"/>
              </w:rPr>
              <mc:AlternateContent>
                <mc:Choice Requires="wps">
                  <w:drawing>
                    <wp:anchor distT="0" distB="0" distL="114300" distR="114300" simplePos="0" relativeHeight="251660288" behindDoc="0" locked="0" layoutInCell="1" allowOverlap="1">
                      <wp:simplePos x="0" y="0"/>
                      <wp:positionH relativeFrom="column">
                        <wp:posOffset>-56515</wp:posOffset>
                      </wp:positionH>
                      <wp:positionV relativeFrom="paragraph">
                        <wp:posOffset>153670</wp:posOffset>
                      </wp:positionV>
                      <wp:extent cx="930910" cy="10160"/>
                      <wp:effectExtent l="0" t="0" r="2540" b="8890"/>
                      <wp:wrapNone/>
                      <wp:docPr id="106" name="直接连接符 41"/>
                      <wp:cNvGraphicFramePr/>
                      <a:graphic xmlns:a="http://schemas.openxmlformats.org/drawingml/2006/main">
                        <a:graphicData uri="http://schemas.microsoft.com/office/word/2010/wordprocessingShape">
                          <wps:wsp>
                            <wps:cNvCnPr/>
                            <wps:spPr>
                              <a:xfrm flipV="1">
                                <a:off x="0" y="0"/>
                                <a:ext cx="930910" cy="1016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直接连接符 41" o:spid="_x0000_s1026" o:spt="20" style="position:absolute;left:0pt;flip:y;margin-left:-4.45pt;margin-top:12.1pt;height:0.8pt;width:73.3pt;z-index:251660288;mso-width-relative:page;mso-height-relative:page;" filled="f" stroked="t" coordsize="21600,21600" o:gfxdata="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5UVhtYAAAAIAQAADwAAAAAAAAABACAAAAAiAAAAZHJzL2Rvd25yZXYueG1s&#10;UEsBAhQAFAAAAAgAh07iQO8Uqaf6AQAA6QMAAA4AAAAAAAAAAQAgAAAAJQEAAGRycy9lMm9Eb2Mu&#10;eG1sUEsFBgAAAAAGAAYAWQEAAJEFAAAAAA==&#10;">
                      <v:fill on="f" focussize="0,0"/>
                      <v:stroke weight="1.25pt" color="#000000" joinstyle="round"/>
                      <v:imagedata o:title=""/>
                      <o:lock v:ext="edit" aspectratio="f"/>
                    </v:line>
                  </w:pict>
                </mc:Fallback>
              </mc:AlternateContent>
            </w:r>
          </w:p>
        </w:tc>
        <w:tc>
          <w:tcPr>
            <w:tcW w:w="1000" w:type="pct"/>
            <w:vAlign w:val="center"/>
          </w:tcPr>
          <w:p>
            <w:pPr>
              <w:pStyle w:val="63"/>
              <w:rPr>
                <w:color w:val="auto"/>
                <w:kern w:val="0"/>
              </w:rPr>
            </w:pPr>
          </w:p>
        </w:tc>
        <w:tc>
          <w:tcPr>
            <w:tcW w:w="100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00" w:type="pct"/>
            <w:vAlign w:val="center"/>
          </w:tcPr>
          <w:p>
            <w:pPr>
              <w:pStyle w:val="63"/>
              <w:rPr>
                <w:color w:val="auto"/>
                <w:kern w:val="0"/>
              </w:rPr>
            </w:pPr>
            <w:r>
              <w:rPr>
                <w:rFonts w:hint="eastAsia"/>
                <w:color w:val="auto"/>
                <w:kern w:val="0"/>
              </w:rPr>
              <w:t>附着、加节工作</w:t>
            </w:r>
          </w:p>
        </w:tc>
        <w:tc>
          <w:tcPr>
            <w:tcW w:w="1000" w:type="pct"/>
            <w:vAlign w:val="center"/>
          </w:tcPr>
          <w:p>
            <w:pPr>
              <w:pStyle w:val="63"/>
              <w:rPr>
                <w:color w:val="auto"/>
                <w:kern w:val="0"/>
              </w:rPr>
            </w:pPr>
          </w:p>
        </w:tc>
        <w:tc>
          <w:tcPr>
            <w:tcW w:w="1000" w:type="pct"/>
            <w:vAlign w:val="center"/>
          </w:tcPr>
          <w:p>
            <w:pPr>
              <w:pStyle w:val="63"/>
              <w:rPr>
                <w:color w:val="auto"/>
                <w:kern w:val="0"/>
              </w:rPr>
            </w:pPr>
          </w:p>
        </w:tc>
        <w:tc>
          <w:tcPr>
            <w:tcW w:w="1000" w:type="pct"/>
            <w:vAlign w:val="center"/>
          </w:tcPr>
          <w:p>
            <w:pPr>
              <w:pStyle w:val="63"/>
              <w:rPr>
                <w:color w:val="auto"/>
                <w:kern w:val="0"/>
              </w:rPr>
            </w:pPr>
            <w:r>
              <w:rPr>
                <w:rFonts w:hint="eastAsia"/>
                <w:color w:val="auto"/>
                <w:kern w:val="0"/>
              </w:rPr>
              <mc:AlternateContent>
                <mc:Choice Requires="wps">
                  <w:drawing>
                    <wp:anchor distT="0" distB="0" distL="114300" distR="114300" simplePos="0" relativeHeight="251661312" behindDoc="0" locked="0" layoutInCell="1" allowOverlap="1">
                      <wp:simplePos x="0" y="0"/>
                      <wp:positionH relativeFrom="column">
                        <wp:posOffset>-48895</wp:posOffset>
                      </wp:positionH>
                      <wp:positionV relativeFrom="paragraph">
                        <wp:posOffset>150495</wp:posOffset>
                      </wp:positionV>
                      <wp:extent cx="835025" cy="11430"/>
                      <wp:effectExtent l="0" t="0" r="3175" b="7620"/>
                      <wp:wrapNone/>
                      <wp:docPr id="105" name="直接连接符 38"/>
                      <wp:cNvGraphicFramePr/>
                      <a:graphic xmlns:a="http://schemas.openxmlformats.org/drawingml/2006/main">
                        <a:graphicData uri="http://schemas.microsoft.com/office/word/2010/wordprocessingShape">
                          <wps:wsp>
                            <wps:cNvCnPr/>
                            <wps:spPr>
                              <a:xfrm>
                                <a:off x="0" y="0"/>
                                <a:ext cx="835025" cy="11430"/>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直接连接符 38" o:spid="_x0000_s1026" o:spt="20" style="position:absolute;left:0pt;margin-left:-3.85pt;margin-top:11.85pt;height:0.9pt;width:65.75pt;z-index:251661312;mso-width-relative:page;mso-height-relative:page;" filled="f" stroked="t" coordsize="21600,21600" o:gfxdata="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c4WidgAAAAIAQAADwAAAAAAAAABACAAAAAiAAAAZHJzL2Rvd25yZXYueG1sUEsBAhQA&#10;FAAAAAgAh07iQPwF+ETyAQAA3wMAAA4AAAAAAAAAAQAgAAAAJwEAAGRycy9lMm9Eb2MueG1sUEsF&#10;BgAAAAAGAAYAWQEAAIsFAAAAAA==&#10;">
                      <v:fill on="f" focussize="0,0"/>
                      <v:stroke weight="1.25pt" color="#000000" joinstyle="round"/>
                      <v:imagedata o:title=""/>
                      <o:lock v:ext="edit" aspectratio="f"/>
                    </v:line>
                  </w:pict>
                </mc:Fallback>
              </mc:AlternateContent>
            </w:r>
          </w:p>
        </w:tc>
        <w:tc>
          <w:tcPr>
            <w:tcW w:w="100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00" w:type="pct"/>
            <w:vAlign w:val="center"/>
          </w:tcPr>
          <w:p>
            <w:pPr>
              <w:pStyle w:val="63"/>
              <w:rPr>
                <w:color w:val="auto"/>
                <w:kern w:val="0"/>
              </w:rPr>
            </w:pPr>
            <w:r>
              <w:rPr>
                <w:rFonts w:hint="eastAsia"/>
                <w:color w:val="auto"/>
                <w:kern w:val="0"/>
              </w:rPr>
              <w:t>整机调试、验收</w:t>
            </w:r>
          </w:p>
        </w:tc>
        <w:tc>
          <w:tcPr>
            <w:tcW w:w="1000" w:type="pct"/>
            <w:vAlign w:val="center"/>
          </w:tcPr>
          <w:p>
            <w:pPr>
              <w:pStyle w:val="63"/>
              <w:rPr>
                <w:color w:val="auto"/>
                <w:kern w:val="0"/>
              </w:rPr>
            </w:pPr>
          </w:p>
        </w:tc>
        <w:tc>
          <w:tcPr>
            <w:tcW w:w="1000" w:type="pct"/>
            <w:vAlign w:val="center"/>
          </w:tcPr>
          <w:p>
            <w:pPr>
              <w:pStyle w:val="63"/>
              <w:rPr>
                <w:color w:val="auto"/>
                <w:kern w:val="0"/>
              </w:rPr>
            </w:pPr>
          </w:p>
        </w:tc>
        <w:tc>
          <w:tcPr>
            <w:tcW w:w="1000" w:type="pct"/>
            <w:vAlign w:val="center"/>
          </w:tcPr>
          <w:p>
            <w:pPr>
              <w:pStyle w:val="63"/>
              <w:rPr>
                <w:color w:val="auto"/>
                <w:kern w:val="0"/>
              </w:rPr>
            </w:pPr>
          </w:p>
        </w:tc>
        <w:tc>
          <w:tcPr>
            <w:tcW w:w="1000" w:type="pct"/>
            <w:vAlign w:val="center"/>
          </w:tcPr>
          <w:p>
            <w:pPr>
              <w:pStyle w:val="63"/>
              <w:rPr>
                <w:color w:val="auto"/>
                <w:kern w:val="0"/>
              </w:rPr>
            </w:pPr>
            <w:r>
              <w:rPr>
                <w:rFonts w:hint="eastAsia"/>
                <w:color w:val="auto"/>
                <w:kern w:val="0"/>
              </w:rPr>
              <mc:AlternateContent>
                <mc:Choice Requires="wps">
                  <w:drawing>
                    <wp:anchor distT="0" distB="0" distL="114300" distR="114300" simplePos="0" relativeHeight="251662336" behindDoc="0" locked="0" layoutInCell="1" allowOverlap="1">
                      <wp:simplePos x="0" y="0"/>
                      <wp:positionH relativeFrom="column">
                        <wp:posOffset>-66040</wp:posOffset>
                      </wp:positionH>
                      <wp:positionV relativeFrom="paragraph">
                        <wp:posOffset>153670</wp:posOffset>
                      </wp:positionV>
                      <wp:extent cx="815340" cy="635"/>
                      <wp:effectExtent l="0" t="0" r="3810" b="18415"/>
                      <wp:wrapNone/>
                      <wp:docPr id="104" name="直接连接符 33"/>
                      <wp:cNvGraphicFramePr/>
                      <a:graphic xmlns:a="http://schemas.openxmlformats.org/drawingml/2006/main">
                        <a:graphicData uri="http://schemas.microsoft.com/office/word/2010/wordprocessingShape">
                          <wps:wsp>
                            <wps:cNvCnPr/>
                            <wps:spPr>
                              <a:xfrm>
                                <a:off x="0" y="0"/>
                                <a:ext cx="815340"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直接连接符 33" o:spid="_x0000_s1026" o:spt="20" style="position:absolute;left:0pt;margin-left:-5.2pt;margin-top:12.1pt;height:0.05pt;width:64.2pt;z-index:251662336;mso-width-relative:page;mso-height-relative:page;" filled="f" stroked="t" coordsize="21600,21600" o:gfxdata="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P6YEdgAAAAJAQAADwAAAAAAAAABACAAAAAiAAAAZHJzL2Rvd25yZXYueG1sUEsBAhQAFAAA&#10;AAgAh07iQHsYHTnvAQAA3QMAAA4AAAAAAAAAAQAgAAAAJwEAAGRycy9lMm9Eb2MueG1sUEsFBgAA&#10;AAAGAAYAWQEAAIgFAAAAAA==&#10;">
                      <v:fill on="f" focussize="0,0"/>
                      <v:stroke weight="1.25pt" color="#000000" joinstyle="round"/>
                      <v:imagedata o:title=""/>
                      <o:lock v:ext="edit" aspectratio="f"/>
                    </v:line>
                  </w:pict>
                </mc:Fallback>
              </mc:AlternateContent>
            </w:r>
          </w:p>
        </w:tc>
      </w:tr>
    </w:tbl>
    <w:p>
      <w:pPr>
        <w:pStyle w:val="4"/>
        <w:spacing w:before="156" w:after="156"/>
        <w:rPr>
          <w:color w:val="auto"/>
        </w:rPr>
      </w:pPr>
      <w:bookmarkStart w:id="72" w:name="_Toc40778434"/>
      <w:bookmarkStart w:id="73" w:name="_Toc121759978"/>
      <w:bookmarkStart w:id="74" w:name="_Toc17125"/>
      <w:bookmarkStart w:id="75" w:name="_Toc55223358"/>
      <w:r>
        <w:rPr>
          <w:rFonts w:hint="eastAsia"/>
          <w:color w:val="auto"/>
        </w:rPr>
        <w:t>材料计划</w:t>
      </w:r>
      <w:bookmarkEnd w:id="72"/>
      <w:bookmarkEnd w:id="73"/>
      <w:bookmarkEnd w:id="74"/>
      <w:bookmarkEnd w:id="75"/>
    </w:p>
    <w:p>
      <w:pPr>
        <w:pStyle w:val="5"/>
        <w:numPr>
          <w:ilvl w:val="2"/>
          <w:numId w:val="1"/>
        </w:numPr>
        <w:spacing w:before="156" w:after="156"/>
        <w:rPr>
          <w:color w:val="auto"/>
        </w:rPr>
      </w:pPr>
      <w:bookmarkStart w:id="76" w:name="_Toc121759979"/>
      <w:r>
        <w:rPr>
          <w:rFonts w:hint="eastAsia"/>
          <w:color w:val="auto"/>
        </w:rPr>
        <w:t>设备部件计划</w:t>
      </w:r>
      <w:bookmarkEnd w:id="76"/>
    </w:p>
    <w:p>
      <w:pPr>
        <w:pStyle w:val="61"/>
        <w:rPr>
          <w:rFonts w:hint="eastAsia"/>
          <w:color w:val="auto"/>
        </w:rPr>
      </w:pPr>
      <w:r>
        <w:rPr>
          <w:rFonts w:hint="eastAsia"/>
          <w:color w:val="auto"/>
        </w:rPr>
        <w:t>表3</w:t>
      </w:r>
      <w:r>
        <w:rPr>
          <w:color w:val="auto"/>
        </w:rPr>
        <w:t>.2-1</w:t>
      </w:r>
      <w:r>
        <w:rPr>
          <w:rFonts w:hint="eastAsia"/>
          <w:color w:val="auto"/>
        </w:rPr>
        <w:t>设备部件计划</w:t>
      </w:r>
    </w:p>
    <w:tbl>
      <w:tblPr>
        <w:tblStyle w:val="65"/>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1"/>
        <w:gridCol w:w="1770"/>
        <w:gridCol w:w="2257"/>
        <w:gridCol w:w="24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部件名称</w:t>
            </w:r>
          </w:p>
        </w:tc>
        <w:tc>
          <w:tcPr>
            <w:tcW w:w="1770" w:type="dxa"/>
            <w:vAlign w:val="center"/>
          </w:tcPr>
          <w:p>
            <w:pPr>
              <w:pStyle w:val="63"/>
              <w:rPr>
                <w:color w:val="auto"/>
                <w:kern w:val="0"/>
              </w:rPr>
            </w:pPr>
            <w:r>
              <w:rPr>
                <w:rFonts w:hint="eastAsia"/>
                <w:color w:val="auto"/>
                <w:kern w:val="0"/>
              </w:rPr>
              <w:t>数量</w:t>
            </w:r>
          </w:p>
        </w:tc>
        <w:tc>
          <w:tcPr>
            <w:tcW w:w="2257" w:type="dxa"/>
            <w:vAlign w:val="center"/>
          </w:tcPr>
          <w:p>
            <w:pPr>
              <w:pStyle w:val="63"/>
              <w:rPr>
                <w:color w:val="auto"/>
                <w:kern w:val="0"/>
              </w:rPr>
            </w:pPr>
            <w:r>
              <w:rPr>
                <w:rFonts w:hint="eastAsia"/>
                <w:color w:val="auto"/>
                <w:kern w:val="0"/>
              </w:rPr>
              <w:t>进场日期</w:t>
            </w:r>
          </w:p>
        </w:tc>
        <w:tc>
          <w:tcPr>
            <w:tcW w:w="2408" w:type="dxa"/>
            <w:vAlign w:val="center"/>
          </w:tcPr>
          <w:p>
            <w:pPr>
              <w:pStyle w:val="63"/>
              <w:rPr>
                <w:color w:val="auto"/>
                <w:kern w:val="0"/>
              </w:rPr>
            </w:pPr>
            <w:r>
              <w:rPr>
                <w:rFonts w:hint="eastAsia"/>
                <w:color w:val="auto"/>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电机</w:t>
            </w:r>
          </w:p>
        </w:tc>
        <w:tc>
          <w:tcPr>
            <w:tcW w:w="1770" w:type="dxa"/>
            <w:vAlign w:val="center"/>
          </w:tcPr>
          <w:p>
            <w:pPr>
              <w:pStyle w:val="63"/>
              <w:rPr>
                <w:color w:val="auto"/>
                <w:kern w:val="0"/>
              </w:rPr>
            </w:pPr>
            <w:r>
              <w:rPr>
                <w:rFonts w:hint="eastAsia"/>
                <w:color w:val="auto"/>
                <w:kern w:val="0"/>
              </w:rPr>
              <w:t>3</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减速机</w:t>
            </w:r>
          </w:p>
        </w:tc>
        <w:tc>
          <w:tcPr>
            <w:tcW w:w="1770" w:type="dxa"/>
            <w:vAlign w:val="center"/>
          </w:tcPr>
          <w:p>
            <w:pPr>
              <w:pStyle w:val="63"/>
              <w:rPr>
                <w:color w:val="auto"/>
                <w:kern w:val="0"/>
              </w:rPr>
            </w:pPr>
            <w:r>
              <w:rPr>
                <w:rFonts w:hint="eastAsia"/>
                <w:color w:val="auto"/>
                <w:kern w:val="0"/>
              </w:rPr>
              <w:t>3</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防坠器</w:t>
            </w:r>
          </w:p>
        </w:tc>
        <w:tc>
          <w:tcPr>
            <w:tcW w:w="1770" w:type="dxa"/>
            <w:vAlign w:val="center"/>
          </w:tcPr>
          <w:p>
            <w:pPr>
              <w:pStyle w:val="63"/>
              <w:rPr>
                <w:color w:val="auto"/>
                <w:kern w:val="0"/>
              </w:rPr>
            </w:pPr>
            <w:r>
              <w:rPr>
                <w:rFonts w:hint="eastAsia"/>
                <w:color w:val="auto"/>
                <w:kern w:val="0"/>
              </w:rPr>
              <w:t>1</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传动架</w:t>
            </w:r>
          </w:p>
        </w:tc>
        <w:tc>
          <w:tcPr>
            <w:tcW w:w="1770" w:type="dxa"/>
            <w:vAlign w:val="center"/>
          </w:tcPr>
          <w:p>
            <w:pPr>
              <w:pStyle w:val="63"/>
              <w:rPr>
                <w:color w:val="auto"/>
                <w:kern w:val="0"/>
              </w:rPr>
            </w:pPr>
            <w:r>
              <w:rPr>
                <w:rFonts w:hint="eastAsia"/>
                <w:color w:val="auto"/>
                <w:kern w:val="0"/>
              </w:rPr>
              <w:t>1</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吊笼</w:t>
            </w:r>
          </w:p>
        </w:tc>
        <w:tc>
          <w:tcPr>
            <w:tcW w:w="1770" w:type="dxa"/>
            <w:vAlign w:val="center"/>
          </w:tcPr>
          <w:p>
            <w:pPr>
              <w:pStyle w:val="63"/>
              <w:rPr>
                <w:color w:val="auto"/>
                <w:kern w:val="0"/>
              </w:rPr>
            </w:pPr>
            <w:r>
              <w:rPr>
                <w:rFonts w:hint="eastAsia"/>
                <w:color w:val="auto"/>
                <w:kern w:val="0"/>
              </w:rPr>
              <w:t>1</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超载保护器</w:t>
            </w:r>
          </w:p>
        </w:tc>
        <w:tc>
          <w:tcPr>
            <w:tcW w:w="1770" w:type="dxa"/>
            <w:vAlign w:val="center"/>
          </w:tcPr>
          <w:p>
            <w:pPr>
              <w:pStyle w:val="63"/>
              <w:rPr>
                <w:color w:val="auto"/>
                <w:kern w:val="0"/>
              </w:rPr>
            </w:pPr>
            <w:r>
              <w:rPr>
                <w:rFonts w:hint="eastAsia"/>
                <w:color w:val="auto"/>
                <w:kern w:val="0"/>
              </w:rPr>
              <w:t>1</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底盘</w:t>
            </w:r>
          </w:p>
        </w:tc>
        <w:tc>
          <w:tcPr>
            <w:tcW w:w="1770" w:type="dxa"/>
            <w:vAlign w:val="center"/>
          </w:tcPr>
          <w:p>
            <w:pPr>
              <w:pStyle w:val="63"/>
              <w:rPr>
                <w:color w:val="auto"/>
                <w:kern w:val="0"/>
              </w:rPr>
            </w:pPr>
            <w:r>
              <w:rPr>
                <w:rFonts w:hint="eastAsia"/>
                <w:color w:val="auto"/>
                <w:kern w:val="0"/>
              </w:rPr>
              <w:t>1</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标准节</w:t>
            </w:r>
          </w:p>
        </w:tc>
        <w:tc>
          <w:tcPr>
            <w:tcW w:w="1770" w:type="dxa"/>
            <w:vAlign w:val="center"/>
          </w:tcPr>
          <w:p>
            <w:pPr>
              <w:pStyle w:val="63"/>
              <w:rPr>
                <w:color w:val="auto"/>
                <w:kern w:val="0"/>
              </w:rPr>
            </w:pPr>
            <w:r>
              <w:rPr>
                <w:rFonts w:hint="eastAsia"/>
                <w:color w:val="auto"/>
                <w:kern w:val="0"/>
              </w:rPr>
              <w:t>128</w:t>
            </w:r>
          </w:p>
        </w:tc>
        <w:tc>
          <w:tcPr>
            <w:tcW w:w="2257" w:type="dxa"/>
            <w:vAlign w:val="center"/>
          </w:tcPr>
          <w:p>
            <w:pPr>
              <w:pStyle w:val="63"/>
              <w:rPr>
                <w:color w:val="auto"/>
                <w:kern w:val="0"/>
              </w:rPr>
            </w:pPr>
          </w:p>
        </w:tc>
        <w:tc>
          <w:tcPr>
            <w:tcW w:w="2408" w:type="dxa"/>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Align w:val="center"/>
          </w:tcPr>
          <w:p>
            <w:pPr>
              <w:pStyle w:val="63"/>
              <w:rPr>
                <w:color w:val="auto"/>
                <w:kern w:val="0"/>
              </w:rPr>
            </w:pPr>
            <w:r>
              <w:rPr>
                <w:rFonts w:hint="eastAsia"/>
                <w:color w:val="auto"/>
                <w:kern w:val="0"/>
              </w:rPr>
              <w:t>附墙架</w:t>
            </w:r>
          </w:p>
        </w:tc>
        <w:tc>
          <w:tcPr>
            <w:tcW w:w="1770" w:type="dxa"/>
            <w:vAlign w:val="center"/>
          </w:tcPr>
          <w:p>
            <w:pPr>
              <w:pStyle w:val="63"/>
              <w:rPr>
                <w:color w:val="auto"/>
                <w:kern w:val="0"/>
              </w:rPr>
            </w:pPr>
            <w:r>
              <w:rPr>
                <w:rFonts w:hint="eastAsia"/>
                <w:color w:val="auto"/>
                <w:kern w:val="0"/>
              </w:rPr>
              <w:t>33</w:t>
            </w:r>
          </w:p>
        </w:tc>
        <w:tc>
          <w:tcPr>
            <w:tcW w:w="2257" w:type="dxa"/>
            <w:vAlign w:val="center"/>
          </w:tcPr>
          <w:p>
            <w:pPr>
              <w:pStyle w:val="63"/>
              <w:rPr>
                <w:color w:val="auto"/>
                <w:kern w:val="0"/>
              </w:rPr>
            </w:pPr>
          </w:p>
        </w:tc>
        <w:tc>
          <w:tcPr>
            <w:tcW w:w="2408" w:type="dxa"/>
            <w:vAlign w:val="center"/>
          </w:tcPr>
          <w:p>
            <w:pPr>
              <w:pStyle w:val="63"/>
              <w:rPr>
                <w:color w:val="auto"/>
                <w:kern w:val="0"/>
              </w:rPr>
            </w:pPr>
          </w:p>
        </w:tc>
      </w:tr>
    </w:tbl>
    <w:p>
      <w:pPr>
        <w:pStyle w:val="5"/>
        <w:numPr>
          <w:ilvl w:val="2"/>
          <w:numId w:val="1"/>
        </w:numPr>
        <w:spacing w:before="156" w:after="156"/>
        <w:rPr>
          <w:color w:val="auto"/>
        </w:rPr>
      </w:pPr>
      <w:bookmarkStart w:id="77" w:name="_Toc121759980"/>
      <w:r>
        <w:rPr>
          <w:rFonts w:hint="eastAsia"/>
          <w:color w:val="auto"/>
        </w:rPr>
        <w:t>施工措施材料</w:t>
      </w:r>
      <w:bookmarkEnd w:id="77"/>
    </w:p>
    <w:p>
      <w:pPr>
        <w:pStyle w:val="61"/>
        <w:rPr>
          <w:color w:val="auto"/>
        </w:rPr>
      </w:pPr>
      <w:r>
        <w:rPr>
          <w:rFonts w:hint="eastAsia"/>
          <w:color w:val="auto"/>
        </w:rPr>
        <w:t>表3.</w:t>
      </w:r>
      <w:r>
        <w:rPr>
          <w:color w:val="auto"/>
        </w:rPr>
        <w:t>2</w:t>
      </w:r>
      <w:r>
        <w:rPr>
          <w:rFonts w:hint="eastAsia"/>
          <w:color w:val="auto"/>
        </w:rPr>
        <w:t>-</w:t>
      </w:r>
      <w:r>
        <w:rPr>
          <w:color w:val="auto"/>
        </w:rPr>
        <w:t>2</w:t>
      </w:r>
      <w:r>
        <w:rPr>
          <w:rFonts w:hint="eastAsia"/>
          <w:color w:val="auto"/>
        </w:rPr>
        <w:t>起重设备、索具、机具、仪器等</w:t>
      </w:r>
    </w:p>
    <w:tbl>
      <w:tblPr>
        <w:tblStyle w:val="6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4074"/>
        <w:gridCol w:w="1261"/>
        <w:gridCol w:w="2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序号</w:t>
            </w:r>
          </w:p>
        </w:tc>
        <w:tc>
          <w:tcPr>
            <w:tcW w:w="2390" w:type="pct"/>
            <w:vAlign w:val="center"/>
          </w:tcPr>
          <w:p>
            <w:pPr>
              <w:pStyle w:val="63"/>
              <w:rPr>
                <w:color w:val="auto"/>
                <w:kern w:val="0"/>
              </w:rPr>
            </w:pPr>
            <w:r>
              <w:rPr>
                <w:rFonts w:hint="eastAsia"/>
                <w:color w:val="auto"/>
                <w:kern w:val="0"/>
              </w:rPr>
              <w:t>机具名称</w:t>
            </w:r>
          </w:p>
        </w:tc>
        <w:tc>
          <w:tcPr>
            <w:tcW w:w="740" w:type="pct"/>
            <w:vAlign w:val="center"/>
          </w:tcPr>
          <w:p>
            <w:pPr>
              <w:pStyle w:val="63"/>
              <w:rPr>
                <w:color w:val="auto"/>
                <w:kern w:val="0"/>
              </w:rPr>
            </w:pPr>
            <w:r>
              <w:rPr>
                <w:rFonts w:hint="eastAsia"/>
                <w:color w:val="auto"/>
                <w:kern w:val="0"/>
              </w:rPr>
              <w:t>数量</w:t>
            </w:r>
          </w:p>
        </w:tc>
        <w:tc>
          <w:tcPr>
            <w:tcW w:w="1230" w:type="pct"/>
            <w:vAlign w:val="center"/>
          </w:tcPr>
          <w:p>
            <w:pPr>
              <w:pStyle w:val="63"/>
              <w:rPr>
                <w:color w:val="auto"/>
                <w:kern w:val="0"/>
              </w:rPr>
            </w:pPr>
            <w:r>
              <w:rPr>
                <w:rFonts w:hint="eastAsia"/>
                <w:color w:val="auto"/>
                <w:kern w:val="0"/>
              </w:rPr>
              <w:t xml:space="preserve"> 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12</w:t>
            </w:r>
          </w:p>
        </w:tc>
        <w:tc>
          <w:tcPr>
            <w:tcW w:w="2390" w:type="pct"/>
            <w:vAlign w:val="center"/>
          </w:tcPr>
          <w:p>
            <w:pPr>
              <w:pStyle w:val="63"/>
              <w:rPr>
                <w:color w:val="auto"/>
                <w:kern w:val="0"/>
              </w:rPr>
            </w:pPr>
            <w:r>
              <w:rPr>
                <w:rFonts w:hint="eastAsia"/>
                <w:color w:val="auto"/>
                <w:kern w:val="0"/>
              </w:rPr>
              <w:t>16磅锤</w:t>
            </w:r>
          </w:p>
        </w:tc>
        <w:tc>
          <w:tcPr>
            <w:tcW w:w="740" w:type="pct"/>
            <w:vAlign w:val="center"/>
          </w:tcPr>
          <w:p>
            <w:pPr>
              <w:pStyle w:val="63"/>
              <w:rPr>
                <w:color w:val="auto"/>
                <w:kern w:val="0"/>
              </w:rPr>
            </w:pPr>
            <w:r>
              <w:rPr>
                <w:rFonts w:hint="eastAsia"/>
                <w:color w:val="auto"/>
                <w:kern w:val="0"/>
              </w:rPr>
              <w:t>2把</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13</w:t>
            </w:r>
          </w:p>
        </w:tc>
        <w:tc>
          <w:tcPr>
            <w:tcW w:w="2390" w:type="pct"/>
            <w:vAlign w:val="center"/>
          </w:tcPr>
          <w:p>
            <w:pPr>
              <w:pStyle w:val="63"/>
              <w:rPr>
                <w:color w:val="auto"/>
                <w:kern w:val="0"/>
              </w:rPr>
            </w:pPr>
            <w:r>
              <w:rPr>
                <w:rFonts w:hint="eastAsia"/>
                <w:color w:val="auto"/>
                <w:kern w:val="0"/>
              </w:rPr>
              <w:t>2磅锤</w:t>
            </w:r>
          </w:p>
        </w:tc>
        <w:tc>
          <w:tcPr>
            <w:tcW w:w="740" w:type="pct"/>
            <w:vAlign w:val="center"/>
          </w:tcPr>
          <w:p>
            <w:pPr>
              <w:pStyle w:val="63"/>
              <w:rPr>
                <w:color w:val="auto"/>
                <w:kern w:val="0"/>
              </w:rPr>
            </w:pPr>
            <w:r>
              <w:rPr>
                <w:rFonts w:hint="eastAsia"/>
                <w:color w:val="auto"/>
                <w:kern w:val="0"/>
              </w:rPr>
              <w:t>4把</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14</w:t>
            </w:r>
          </w:p>
        </w:tc>
        <w:tc>
          <w:tcPr>
            <w:tcW w:w="2390" w:type="pct"/>
            <w:vAlign w:val="center"/>
          </w:tcPr>
          <w:p>
            <w:pPr>
              <w:pStyle w:val="63"/>
              <w:rPr>
                <w:color w:val="auto"/>
                <w:kern w:val="0"/>
              </w:rPr>
            </w:pPr>
            <w:r>
              <w:rPr>
                <w:rFonts w:hint="eastAsia"/>
                <w:color w:val="auto"/>
                <w:kern w:val="0"/>
              </w:rPr>
              <w:t>12寸活络板手</w:t>
            </w:r>
          </w:p>
        </w:tc>
        <w:tc>
          <w:tcPr>
            <w:tcW w:w="740" w:type="pct"/>
            <w:vAlign w:val="center"/>
          </w:tcPr>
          <w:p>
            <w:pPr>
              <w:pStyle w:val="63"/>
              <w:rPr>
                <w:color w:val="auto"/>
                <w:kern w:val="0"/>
              </w:rPr>
            </w:pPr>
            <w:r>
              <w:rPr>
                <w:rFonts w:hint="eastAsia"/>
                <w:color w:val="auto"/>
                <w:kern w:val="0"/>
              </w:rPr>
              <w:t>4把</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15</w:t>
            </w:r>
          </w:p>
        </w:tc>
        <w:tc>
          <w:tcPr>
            <w:tcW w:w="2390" w:type="pct"/>
            <w:vAlign w:val="center"/>
          </w:tcPr>
          <w:p>
            <w:pPr>
              <w:pStyle w:val="63"/>
              <w:rPr>
                <w:color w:val="auto"/>
                <w:kern w:val="0"/>
              </w:rPr>
            </w:pPr>
            <w:r>
              <w:rPr>
                <w:rFonts w:hint="eastAsia"/>
                <w:color w:val="auto"/>
                <w:kern w:val="0"/>
              </w:rPr>
              <w:t>10寸活络板手</w:t>
            </w:r>
          </w:p>
        </w:tc>
        <w:tc>
          <w:tcPr>
            <w:tcW w:w="740" w:type="pct"/>
            <w:vAlign w:val="center"/>
          </w:tcPr>
          <w:p>
            <w:pPr>
              <w:pStyle w:val="63"/>
              <w:rPr>
                <w:color w:val="auto"/>
                <w:kern w:val="0"/>
              </w:rPr>
            </w:pPr>
            <w:r>
              <w:rPr>
                <w:rFonts w:hint="eastAsia"/>
                <w:color w:val="auto"/>
                <w:kern w:val="0"/>
              </w:rPr>
              <w:t>4把</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16</w:t>
            </w:r>
          </w:p>
        </w:tc>
        <w:tc>
          <w:tcPr>
            <w:tcW w:w="2390" w:type="pct"/>
            <w:vAlign w:val="center"/>
          </w:tcPr>
          <w:p>
            <w:pPr>
              <w:pStyle w:val="63"/>
              <w:rPr>
                <w:color w:val="auto"/>
                <w:kern w:val="0"/>
              </w:rPr>
            </w:pPr>
            <w:r>
              <w:rPr>
                <w:rFonts w:hint="eastAsia"/>
                <w:color w:val="auto"/>
                <w:kern w:val="0"/>
              </w:rPr>
              <w:t>专用板手</w:t>
            </w:r>
          </w:p>
        </w:tc>
        <w:tc>
          <w:tcPr>
            <w:tcW w:w="740" w:type="pct"/>
            <w:vAlign w:val="center"/>
          </w:tcPr>
          <w:p>
            <w:pPr>
              <w:pStyle w:val="63"/>
              <w:rPr>
                <w:color w:val="auto"/>
                <w:kern w:val="0"/>
              </w:rPr>
            </w:pPr>
            <w:r>
              <w:rPr>
                <w:rFonts w:hint="eastAsia"/>
                <w:color w:val="auto"/>
                <w:kern w:val="0"/>
              </w:rPr>
              <w:t>4把</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17</w:t>
            </w:r>
          </w:p>
        </w:tc>
        <w:tc>
          <w:tcPr>
            <w:tcW w:w="2390" w:type="pct"/>
            <w:vAlign w:val="center"/>
          </w:tcPr>
          <w:p>
            <w:pPr>
              <w:pStyle w:val="63"/>
              <w:rPr>
                <w:color w:val="auto"/>
                <w:kern w:val="0"/>
              </w:rPr>
            </w:pPr>
            <w:r>
              <w:rPr>
                <w:rFonts w:hint="eastAsia"/>
                <w:color w:val="auto"/>
                <w:kern w:val="0"/>
              </w:rPr>
              <w:t>6寸钢丝钳</w:t>
            </w:r>
          </w:p>
        </w:tc>
        <w:tc>
          <w:tcPr>
            <w:tcW w:w="740" w:type="pct"/>
            <w:vAlign w:val="center"/>
          </w:tcPr>
          <w:p>
            <w:pPr>
              <w:pStyle w:val="63"/>
              <w:rPr>
                <w:color w:val="auto"/>
                <w:kern w:val="0"/>
              </w:rPr>
            </w:pPr>
            <w:r>
              <w:rPr>
                <w:rFonts w:hint="eastAsia"/>
                <w:color w:val="auto"/>
                <w:kern w:val="0"/>
              </w:rPr>
              <w:t>2把</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18</w:t>
            </w:r>
          </w:p>
        </w:tc>
        <w:tc>
          <w:tcPr>
            <w:tcW w:w="2390" w:type="pct"/>
            <w:vAlign w:val="center"/>
          </w:tcPr>
          <w:p>
            <w:pPr>
              <w:pStyle w:val="63"/>
              <w:rPr>
                <w:color w:val="auto"/>
                <w:kern w:val="0"/>
              </w:rPr>
            </w:pPr>
            <w:r>
              <w:rPr>
                <w:rFonts w:hint="eastAsia"/>
                <w:color w:val="auto"/>
                <w:kern w:val="0"/>
              </w:rPr>
              <w:t>撬棒φ25×800</w:t>
            </w:r>
          </w:p>
        </w:tc>
        <w:tc>
          <w:tcPr>
            <w:tcW w:w="740" w:type="pct"/>
            <w:vAlign w:val="center"/>
          </w:tcPr>
          <w:p>
            <w:pPr>
              <w:pStyle w:val="63"/>
              <w:rPr>
                <w:color w:val="auto"/>
                <w:kern w:val="0"/>
              </w:rPr>
            </w:pPr>
            <w:r>
              <w:rPr>
                <w:rFonts w:hint="eastAsia"/>
                <w:color w:val="auto"/>
                <w:kern w:val="0"/>
              </w:rPr>
              <w:t>2把</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19</w:t>
            </w:r>
          </w:p>
        </w:tc>
        <w:tc>
          <w:tcPr>
            <w:tcW w:w="2390" w:type="pct"/>
            <w:vAlign w:val="center"/>
          </w:tcPr>
          <w:p>
            <w:pPr>
              <w:pStyle w:val="63"/>
              <w:rPr>
                <w:color w:val="auto"/>
                <w:kern w:val="0"/>
              </w:rPr>
            </w:pPr>
            <w:r>
              <w:rPr>
                <w:rFonts w:hint="eastAsia"/>
                <w:color w:val="auto"/>
                <w:kern w:val="0"/>
              </w:rPr>
              <w:t>吊索（钢丝绳）φ18.5×8M</w:t>
            </w:r>
          </w:p>
        </w:tc>
        <w:tc>
          <w:tcPr>
            <w:tcW w:w="740" w:type="pct"/>
            <w:vAlign w:val="center"/>
          </w:tcPr>
          <w:p>
            <w:pPr>
              <w:pStyle w:val="63"/>
              <w:rPr>
                <w:color w:val="auto"/>
                <w:kern w:val="0"/>
              </w:rPr>
            </w:pPr>
            <w:r>
              <w:rPr>
                <w:rFonts w:hint="eastAsia"/>
                <w:color w:val="auto"/>
                <w:kern w:val="0"/>
              </w:rPr>
              <w:t>2根</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20</w:t>
            </w:r>
          </w:p>
        </w:tc>
        <w:tc>
          <w:tcPr>
            <w:tcW w:w="2390" w:type="pct"/>
            <w:vAlign w:val="center"/>
          </w:tcPr>
          <w:p>
            <w:pPr>
              <w:pStyle w:val="63"/>
              <w:rPr>
                <w:color w:val="auto"/>
                <w:kern w:val="0"/>
              </w:rPr>
            </w:pPr>
            <w:r>
              <w:rPr>
                <w:rFonts w:hint="eastAsia"/>
                <w:color w:val="auto"/>
                <w:kern w:val="0"/>
              </w:rPr>
              <w:t>绳扣</w:t>
            </w:r>
          </w:p>
        </w:tc>
        <w:tc>
          <w:tcPr>
            <w:tcW w:w="740" w:type="pct"/>
            <w:vAlign w:val="center"/>
          </w:tcPr>
          <w:p>
            <w:pPr>
              <w:pStyle w:val="63"/>
              <w:rPr>
                <w:color w:val="auto"/>
                <w:kern w:val="0"/>
              </w:rPr>
            </w:pPr>
            <w:r>
              <w:rPr>
                <w:rFonts w:hint="eastAsia"/>
                <w:color w:val="auto"/>
                <w:kern w:val="0"/>
              </w:rPr>
              <w:t>2套</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21</w:t>
            </w:r>
          </w:p>
        </w:tc>
        <w:tc>
          <w:tcPr>
            <w:tcW w:w="2390" w:type="pct"/>
            <w:vAlign w:val="center"/>
          </w:tcPr>
          <w:p>
            <w:pPr>
              <w:pStyle w:val="63"/>
              <w:rPr>
                <w:color w:val="auto"/>
                <w:kern w:val="0"/>
              </w:rPr>
            </w:pPr>
            <w:r>
              <w:rPr>
                <w:rFonts w:hint="eastAsia"/>
                <w:color w:val="auto"/>
                <w:kern w:val="0"/>
              </w:rPr>
              <w:t>棕绳</w:t>
            </w:r>
          </w:p>
        </w:tc>
        <w:tc>
          <w:tcPr>
            <w:tcW w:w="740" w:type="pct"/>
            <w:vAlign w:val="center"/>
          </w:tcPr>
          <w:p>
            <w:pPr>
              <w:pStyle w:val="63"/>
              <w:rPr>
                <w:color w:val="auto"/>
                <w:kern w:val="0"/>
              </w:rPr>
            </w:pPr>
            <w:r>
              <w:rPr>
                <w:rFonts w:hint="eastAsia"/>
                <w:color w:val="auto"/>
                <w:kern w:val="0"/>
              </w:rPr>
              <w:t>2捆</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22</w:t>
            </w:r>
          </w:p>
        </w:tc>
        <w:tc>
          <w:tcPr>
            <w:tcW w:w="2390" w:type="pct"/>
            <w:vAlign w:val="center"/>
          </w:tcPr>
          <w:p>
            <w:pPr>
              <w:pStyle w:val="63"/>
              <w:rPr>
                <w:color w:val="auto"/>
                <w:kern w:val="0"/>
              </w:rPr>
            </w:pPr>
            <w:r>
              <w:rPr>
                <w:rFonts w:hint="eastAsia"/>
                <w:color w:val="auto"/>
                <w:kern w:val="0"/>
              </w:rPr>
              <w:t>8#、10#铅丝</w:t>
            </w:r>
          </w:p>
        </w:tc>
        <w:tc>
          <w:tcPr>
            <w:tcW w:w="740" w:type="pct"/>
            <w:vAlign w:val="center"/>
          </w:tcPr>
          <w:p>
            <w:pPr>
              <w:pStyle w:val="63"/>
              <w:rPr>
                <w:color w:val="auto"/>
                <w:kern w:val="0"/>
              </w:rPr>
            </w:pPr>
            <w:r>
              <w:rPr>
                <w:rFonts w:hint="eastAsia"/>
                <w:color w:val="auto"/>
                <w:kern w:val="0"/>
              </w:rPr>
              <w:t>按需</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23</w:t>
            </w:r>
          </w:p>
        </w:tc>
        <w:tc>
          <w:tcPr>
            <w:tcW w:w="2390" w:type="pct"/>
            <w:vAlign w:val="center"/>
          </w:tcPr>
          <w:p>
            <w:pPr>
              <w:pStyle w:val="63"/>
              <w:rPr>
                <w:color w:val="auto"/>
                <w:kern w:val="0"/>
              </w:rPr>
            </w:pPr>
            <w:r>
              <w:rPr>
                <w:rFonts w:hint="eastAsia"/>
                <w:color w:val="auto"/>
                <w:kern w:val="0"/>
              </w:rPr>
              <w:t>50×100方木</w:t>
            </w:r>
          </w:p>
        </w:tc>
        <w:tc>
          <w:tcPr>
            <w:tcW w:w="740" w:type="pct"/>
            <w:vAlign w:val="center"/>
          </w:tcPr>
          <w:p>
            <w:pPr>
              <w:pStyle w:val="63"/>
              <w:rPr>
                <w:color w:val="auto"/>
                <w:kern w:val="0"/>
              </w:rPr>
            </w:pPr>
            <w:r>
              <w:rPr>
                <w:rFonts w:hint="eastAsia"/>
                <w:color w:val="auto"/>
                <w:kern w:val="0"/>
              </w:rPr>
              <w:t>按需</w:t>
            </w:r>
          </w:p>
        </w:tc>
        <w:tc>
          <w:tcPr>
            <w:tcW w:w="1230"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1" w:type="pct"/>
            <w:vAlign w:val="center"/>
          </w:tcPr>
          <w:p>
            <w:pPr>
              <w:pStyle w:val="63"/>
              <w:rPr>
                <w:color w:val="auto"/>
                <w:kern w:val="0"/>
              </w:rPr>
            </w:pPr>
            <w:r>
              <w:rPr>
                <w:rFonts w:hint="eastAsia"/>
                <w:color w:val="auto"/>
                <w:kern w:val="0"/>
              </w:rPr>
              <w:t>24</w:t>
            </w:r>
          </w:p>
        </w:tc>
        <w:tc>
          <w:tcPr>
            <w:tcW w:w="2390" w:type="pct"/>
            <w:vAlign w:val="center"/>
          </w:tcPr>
          <w:p>
            <w:pPr>
              <w:pStyle w:val="63"/>
              <w:rPr>
                <w:color w:val="auto"/>
                <w:kern w:val="0"/>
              </w:rPr>
            </w:pPr>
            <w:r>
              <w:rPr>
                <w:rFonts w:hint="eastAsia"/>
                <w:color w:val="auto"/>
                <w:kern w:val="0"/>
              </w:rPr>
              <w:t>2~12毫米的钢垫片</w:t>
            </w:r>
          </w:p>
        </w:tc>
        <w:tc>
          <w:tcPr>
            <w:tcW w:w="740" w:type="pct"/>
            <w:vAlign w:val="center"/>
          </w:tcPr>
          <w:p>
            <w:pPr>
              <w:pStyle w:val="63"/>
              <w:rPr>
                <w:color w:val="auto"/>
                <w:kern w:val="0"/>
              </w:rPr>
            </w:pPr>
            <w:r>
              <w:rPr>
                <w:rFonts w:hint="eastAsia"/>
                <w:color w:val="auto"/>
                <w:kern w:val="0"/>
              </w:rPr>
              <w:t>按需</w:t>
            </w:r>
          </w:p>
        </w:tc>
        <w:tc>
          <w:tcPr>
            <w:tcW w:w="1230" w:type="pct"/>
            <w:vAlign w:val="center"/>
          </w:tcPr>
          <w:p>
            <w:pPr>
              <w:pStyle w:val="63"/>
              <w:rPr>
                <w:color w:val="auto"/>
                <w:kern w:val="0"/>
              </w:rPr>
            </w:pPr>
          </w:p>
        </w:tc>
      </w:tr>
    </w:tbl>
    <w:p>
      <w:pPr>
        <w:pStyle w:val="5"/>
        <w:numPr>
          <w:ilvl w:val="2"/>
          <w:numId w:val="1"/>
        </w:numPr>
        <w:spacing w:before="156" w:after="156"/>
        <w:rPr>
          <w:color w:val="auto"/>
        </w:rPr>
      </w:pPr>
      <w:bookmarkStart w:id="78" w:name="_Toc121759981"/>
      <w:bookmarkStart w:id="79" w:name="_Hlk120561704"/>
      <w:r>
        <w:rPr>
          <w:rFonts w:hint="eastAsia"/>
          <w:color w:val="auto"/>
        </w:rPr>
        <w:t>安全防护措施材料</w:t>
      </w:r>
      <w:bookmarkEnd w:id="78"/>
    </w:p>
    <w:bookmarkEnd w:id="79"/>
    <w:p>
      <w:pPr>
        <w:pStyle w:val="61"/>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t xml:space="preserve">3  </w:t>
      </w:r>
      <w:r>
        <w:rPr>
          <w:rFonts w:hint="eastAsia"/>
          <w:color w:val="auto"/>
        </w:rPr>
        <w:t>安全防护措施清单</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137"/>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pStyle w:val="63"/>
              <w:rPr>
                <w:color w:val="auto"/>
                <w:kern w:val="0"/>
              </w:rPr>
            </w:pPr>
            <w:r>
              <w:rPr>
                <w:color w:val="auto"/>
                <w:kern w:val="0"/>
              </w:rPr>
              <w:t>序号</w:t>
            </w:r>
          </w:p>
        </w:tc>
        <w:tc>
          <w:tcPr>
            <w:tcW w:w="2181" w:type="dxa"/>
            <w:vAlign w:val="center"/>
          </w:tcPr>
          <w:p>
            <w:pPr>
              <w:pStyle w:val="63"/>
              <w:rPr>
                <w:color w:val="auto"/>
                <w:kern w:val="0"/>
              </w:rPr>
            </w:pPr>
            <w:r>
              <w:rPr>
                <w:color w:val="auto"/>
                <w:kern w:val="0"/>
              </w:rPr>
              <w:t>类型</w:t>
            </w:r>
          </w:p>
        </w:tc>
        <w:tc>
          <w:tcPr>
            <w:tcW w:w="1671" w:type="dxa"/>
            <w:vAlign w:val="center"/>
          </w:tcPr>
          <w:p>
            <w:pPr>
              <w:pStyle w:val="63"/>
              <w:rPr>
                <w:color w:val="auto"/>
                <w:kern w:val="0"/>
              </w:rPr>
            </w:pPr>
            <w:r>
              <w:rPr>
                <w:color w:val="auto"/>
                <w:kern w:val="0"/>
              </w:rPr>
              <w:t>使用部位</w:t>
            </w:r>
          </w:p>
        </w:tc>
        <w:tc>
          <w:tcPr>
            <w:tcW w:w="736" w:type="dxa"/>
            <w:vAlign w:val="center"/>
          </w:tcPr>
          <w:p>
            <w:pPr>
              <w:pStyle w:val="63"/>
              <w:rPr>
                <w:color w:val="auto"/>
                <w:kern w:val="0"/>
              </w:rPr>
            </w:pPr>
            <w:r>
              <w:rPr>
                <w:color w:val="auto"/>
                <w:kern w:val="0"/>
              </w:rPr>
              <w:t>数量</w:t>
            </w:r>
          </w:p>
        </w:tc>
        <w:tc>
          <w:tcPr>
            <w:tcW w:w="1137" w:type="dxa"/>
            <w:vAlign w:val="center"/>
          </w:tcPr>
          <w:p>
            <w:pPr>
              <w:pStyle w:val="63"/>
              <w:rPr>
                <w:color w:val="auto"/>
                <w:kern w:val="0"/>
              </w:rPr>
            </w:pPr>
            <w:r>
              <w:rPr>
                <w:color w:val="auto"/>
                <w:kern w:val="0"/>
              </w:rPr>
              <w:t>规格</w:t>
            </w:r>
          </w:p>
        </w:tc>
        <w:tc>
          <w:tcPr>
            <w:tcW w:w="1770" w:type="dxa"/>
            <w:vAlign w:val="center"/>
          </w:tcPr>
          <w:p>
            <w:pPr>
              <w:pStyle w:val="63"/>
              <w:rPr>
                <w:color w:val="auto"/>
                <w:kern w:val="0"/>
              </w:rPr>
            </w:pPr>
            <w:r>
              <w:rPr>
                <w:color w:val="auto"/>
                <w:kern w:val="0"/>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pStyle w:val="63"/>
              <w:rPr>
                <w:color w:val="auto"/>
                <w:kern w:val="0"/>
              </w:rPr>
            </w:pPr>
            <w:r>
              <w:rPr>
                <w:color w:val="auto"/>
                <w:kern w:val="0"/>
              </w:rPr>
              <w:t>1</w:t>
            </w:r>
          </w:p>
        </w:tc>
        <w:tc>
          <w:tcPr>
            <w:tcW w:w="2181" w:type="dxa"/>
            <w:vAlign w:val="center"/>
          </w:tcPr>
          <w:p>
            <w:pPr>
              <w:pStyle w:val="63"/>
              <w:rPr>
                <w:color w:val="auto"/>
                <w:kern w:val="0"/>
              </w:rPr>
            </w:pPr>
            <w:r>
              <w:rPr>
                <w:rFonts w:hint="eastAsia"/>
                <w:color w:val="auto"/>
                <w:kern w:val="0"/>
              </w:rPr>
              <w:t>洞口安全网及防坠网</w:t>
            </w:r>
          </w:p>
        </w:tc>
        <w:tc>
          <w:tcPr>
            <w:tcW w:w="1671" w:type="dxa"/>
            <w:vAlign w:val="center"/>
          </w:tcPr>
          <w:p>
            <w:pPr>
              <w:pStyle w:val="63"/>
              <w:rPr>
                <w:color w:val="auto"/>
                <w:kern w:val="0"/>
              </w:rPr>
            </w:pPr>
            <w:r>
              <w:rPr>
                <w:rFonts w:hint="eastAsia"/>
                <w:color w:val="auto"/>
                <w:kern w:val="0"/>
                <w:lang w:eastAsia="zh-CN"/>
              </w:rPr>
              <w:t>施工升降机</w:t>
            </w:r>
            <w:r>
              <w:rPr>
                <w:rFonts w:hint="eastAsia"/>
                <w:color w:val="auto"/>
                <w:kern w:val="0"/>
              </w:rPr>
              <w:t>出口</w:t>
            </w:r>
          </w:p>
        </w:tc>
        <w:tc>
          <w:tcPr>
            <w:tcW w:w="736" w:type="dxa"/>
            <w:vAlign w:val="center"/>
          </w:tcPr>
          <w:p>
            <w:pPr>
              <w:pStyle w:val="63"/>
              <w:rPr>
                <w:color w:val="auto"/>
                <w:kern w:val="0"/>
              </w:rPr>
            </w:pPr>
            <w:r>
              <w:rPr>
                <w:color w:val="auto"/>
                <w:kern w:val="0"/>
              </w:rPr>
              <w:t>/</w:t>
            </w:r>
          </w:p>
        </w:tc>
        <w:tc>
          <w:tcPr>
            <w:tcW w:w="1137" w:type="dxa"/>
            <w:vAlign w:val="center"/>
          </w:tcPr>
          <w:p>
            <w:pPr>
              <w:pStyle w:val="63"/>
              <w:rPr>
                <w:color w:val="auto"/>
                <w:kern w:val="0"/>
              </w:rPr>
            </w:pPr>
            <w:r>
              <w:rPr>
                <w:color w:val="auto"/>
                <w:kern w:val="0"/>
              </w:rPr>
              <w:t>/</w:t>
            </w:r>
          </w:p>
        </w:tc>
        <w:tc>
          <w:tcPr>
            <w:tcW w:w="1770" w:type="dxa"/>
            <w:vAlign w:val="center"/>
          </w:tcPr>
          <w:p>
            <w:pPr>
              <w:pStyle w:val="63"/>
              <w:rPr>
                <w:color w:val="auto"/>
                <w:kern w:val="0"/>
              </w:rPr>
            </w:pPr>
            <w:r>
              <w:rPr>
                <w:rFonts w:hint="eastAsia"/>
                <w:color w:val="auto"/>
                <w:kern w:val="0"/>
              </w:rPr>
              <w:t>专业采购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pStyle w:val="63"/>
              <w:rPr>
                <w:color w:val="auto"/>
                <w:kern w:val="0"/>
              </w:rPr>
            </w:pPr>
            <w:r>
              <w:rPr>
                <w:color w:val="auto"/>
                <w:kern w:val="0"/>
              </w:rPr>
              <w:t>2</w:t>
            </w:r>
          </w:p>
        </w:tc>
        <w:tc>
          <w:tcPr>
            <w:tcW w:w="2181" w:type="dxa"/>
            <w:vAlign w:val="center"/>
          </w:tcPr>
          <w:p>
            <w:pPr>
              <w:pStyle w:val="63"/>
              <w:rPr>
                <w:color w:val="auto"/>
                <w:kern w:val="0"/>
              </w:rPr>
            </w:pPr>
            <w:r>
              <w:rPr>
                <w:rFonts w:hint="eastAsia"/>
                <w:color w:val="auto"/>
                <w:kern w:val="0"/>
              </w:rPr>
              <w:t>安全警示标志及标牌</w:t>
            </w:r>
          </w:p>
        </w:tc>
        <w:tc>
          <w:tcPr>
            <w:tcW w:w="1671" w:type="dxa"/>
            <w:vAlign w:val="center"/>
          </w:tcPr>
          <w:p>
            <w:pPr>
              <w:pStyle w:val="63"/>
              <w:rPr>
                <w:color w:val="auto"/>
                <w:kern w:val="0"/>
              </w:rPr>
            </w:pPr>
            <w:r>
              <w:rPr>
                <w:rFonts w:hint="eastAsia"/>
                <w:color w:val="auto"/>
                <w:kern w:val="0"/>
                <w:lang w:eastAsia="zh-CN"/>
              </w:rPr>
              <w:t>施工升降机</w:t>
            </w:r>
            <w:r>
              <w:rPr>
                <w:rFonts w:hint="eastAsia"/>
                <w:color w:val="auto"/>
                <w:kern w:val="0"/>
              </w:rPr>
              <w:t>出入口</w:t>
            </w:r>
          </w:p>
        </w:tc>
        <w:tc>
          <w:tcPr>
            <w:tcW w:w="736" w:type="dxa"/>
            <w:vAlign w:val="center"/>
          </w:tcPr>
          <w:p>
            <w:pPr>
              <w:pStyle w:val="63"/>
              <w:rPr>
                <w:color w:val="auto"/>
                <w:kern w:val="0"/>
              </w:rPr>
            </w:pPr>
            <w:r>
              <w:rPr>
                <w:rFonts w:hint="eastAsia"/>
                <w:color w:val="auto"/>
                <w:kern w:val="0"/>
              </w:rPr>
              <w:t>/</w:t>
            </w:r>
          </w:p>
        </w:tc>
        <w:tc>
          <w:tcPr>
            <w:tcW w:w="1137" w:type="dxa"/>
            <w:vAlign w:val="center"/>
          </w:tcPr>
          <w:p>
            <w:pPr>
              <w:pStyle w:val="63"/>
              <w:rPr>
                <w:color w:val="auto"/>
                <w:kern w:val="0"/>
              </w:rPr>
            </w:pPr>
          </w:p>
        </w:tc>
        <w:tc>
          <w:tcPr>
            <w:tcW w:w="1770" w:type="dxa"/>
            <w:vAlign w:val="center"/>
          </w:tcPr>
          <w:p>
            <w:pPr>
              <w:pStyle w:val="63"/>
              <w:rPr>
                <w:color w:val="auto"/>
                <w:kern w:val="0"/>
              </w:rPr>
            </w:pPr>
            <w:r>
              <w:rPr>
                <w:rFonts w:hint="eastAsia"/>
                <w:color w:val="auto"/>
                <w:kern w:val="0"/>
              </w:rPr>
              <w:t>广告公司采购</w:t>
            </w:r>
          </w:p>
        </w:tc>
      </w:tr>
    </w:tbl>
    <w:p>
      <w:pPr>
        <w:pStyle w:val="5"/>
        <w:numPr>
          <w:ilvl w:val="2"/>
          <w:numId w:val="1"/>
        </w:numPr>
        <w:spacing w:before="156" w:after="156"/>
        <w:rPr>
          <w:color w:val="auto"/>
        </w:rPr>
      </w:pPr>
      <w:bookmarkStart w:id="80" w:name="_Toc121759982"/>
      <w:r>
        <w:rPr>
          <w:rFonts w:hint="eastAsia"/>
          <w:color w:val="auto"/>
        </w:rPr>
        <w:t>安全临时设施</w:t>
      </w:r>
      <w:bookmarkEnd w:id="80"/>
    </w:p>
    <w:p>
      <w:pPr>
        <w:pStyle w:val="61"/>
        <w:rPr>
          <w:color w:val="auto"/>
        </w:rPr>
      </w:pPr>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3.2</w:t>
      </w:r>
      <w:r>
        <w:rPr>
          <w:color w:val="auto"/>
        </w:rPr>
        <w:fldChar w:fldCharType="end"/>
      </w:r>
      <w:r>
        <w:rPr>
          <w:color w:val="auto"/>
        </w:rPr>
        <w:noBreakHyphen/>
      </w:r>
      <w:r>
        <w:rPr>
          <w:color w:val="auto"/>
        </w:rPr>
        <w:t xml:space="preserve">4  </w:t>
      </w:r>
      <w:r>
        <w:rPr>
          <w:rFonts w:hint="eastAsia"/>
          <w:color w:val="auto"/>
        </w:rPr>
        <w:t>安全临时设施清单</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137"/>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pStyle w:val="63"/>
              <w:rPr>
                <w:color w:val="auto"/>
                <w:kern w:val="0"/>
              </w:rPr>
            </w:pPr>
            <w:r>
              <w:rPr>
                <w:color w:val="auto"/>
                <w:kern w:val="0"/>
              </w:rPr>
              <w:t>序号</w:t>
            </w:r>
          </w:p>
        </w:tc>
        <w:tc>
          <w:tcPr>
            <w:tcW w:w="2181" w:type="dxa"/>
            <w:vAlign w:val="center"/>
          </w:tcPr>
          <w:p>
            <w:pPr>
              <w:pStyle w:val="63"/>
              <w:rPr>
                <w:color w:val="auto"/>
                <w:kern w:val="0"/>
              </w:rPr>
            </w:pPr>
            <w:r>
              <w:rPr>
                <w:color w:val="auto"/>
                <w:kern w:val="0"/>
              </w:rPr>
              <w:t>类型</w:t>
            </w:r>
          </w:p>
        </w:tc>
        <w:tc>
          <w:tcPr>
            <w:tcW w:w="1671" w:type="dxa"/>
            <w:vAlign w:val="center"/>
          </w:tcPr>
          <w:p>
            <w:pPr>
              <w:pStyle w:val="63"/>
              <w:rPr>
                <w:color w:val="auto"/>
                <w:kern w:val="0"/>
              </w:rPr>
            </w:pPr>
            <w:r>
              <w:rPr>
                <w:color w:val="auto"/>
                <w:kern w:val="0"/>
              </w:rPr>
              <w:t>使用部位</w:t>
            </w:r>
          </w:p>
        </w:tc>
        <w:tc>
          <w:tcPr>
            <w:tcW w:w="736" w:type="dxa"/>
            <w:vAlign w:val="center"/>
          </w:tcPr>
          <w:p>
            <w:pPr>
              <w:pStyle w:val="63"/>
              <w:rPr>
                <w:color w:val="auto"/>
                <w:kern w:val="0"/>
              </w:rPr>
            </w:pPr>
            <w:r>
              <w:rPr>
                <w:color w:val="auto"/>
                <w:kern w:val="0"/>
              </w:rPr>
              <w:t>数量</w:t>
            </w:r>
          </w:p>
        </w:tc>
        <w:tc>
          <w:tcPr>
            <w:tcW w:w="1137" w:type="dxa"/>
            <w:vAlign w:val="center"/>
          </w:tcPr>
          <w:p>
            <w:pPr>
              <w:pStyle w:val="63"/>
              <w:rPr>
                <w:color w:val="auto"/>
                <w:kern w:val="0"/>
              </w:rPr>
            </w:pPr>
            <w:r>
              <w:rPr>
                <w:color w:val="auto"/>
                <w:kern w:val="0"/>
              </w:rPr>
              <w:t>规格</w:t>
            </w:r>
          </w:p>
        </w:tc>
        <w:tc>
          <w:tcPr>
            <w:tcW w:w="1770" w:type="dxa"/>
            <w:vAlign w:val="center"/>
          </w:tcPr>
          <w:p>
            <w:pPr>
              <w:pStyle w:val="63"/>
              <w:rPr>
                <w:color w:val="auto"/>
                <w:kern w:val="0"/>
              </w:rPr>
            </w:pPr>
            <w:r>
              <w:rPr>
                <w:color w:val="auto"/>
                <w:kern w:val="0"/>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pStyle w:val="63"/>
              <w:rPr>
                <w:color w:val="auto"/>
                <w:kern w:val="0"/>
              </w:rPr>
            </w:pPr>
            <w:r>
              <w:rPr>
                <w:color w:val="auto"/>
                <w:kern w:val="0"/>
              </w:rPr>
              <w:t>1</w:t>
            </w:r>
          </w:p>
        </w:tc>
        <w:tc>
          <w:tcPr>
            <w:tcW w:w="2181" w:type="dxa"/>
            <w:vAlign w:val="center"/>
          </w:tcPr>
          <w:p>
            <w:pPr>
              <w:pStyle w:val="63"/>
              <w:rPr>
                <w:color w:val="auto"/>
                <w:kern w:val="0"/>
              </w:rPr>
            </w:pPr>
            <w:r>
              <w:rPr>
                <w:color w:val="auto"/>
                <w:kern w:val="0"/>
              </w:rPr>
              <w:t>安全通道</w:t>
            </w:r>
            <w:r>
              <w:rPr>
                <w:rFonts w:hint="eastAsia"/>
                <w:color w:val="auto"/>
                <w:kern w:val="0"/>
              </w:rPr>
              <w:t>及防护棚</w:t>
            </w:r>
          </w:p>
        </w:tc>
        <w:tc>
          <w:tcPr>
            <w:tcW w:w="1671" w:type="dxa"/>
            <w:vAlign w:val="center"/>
          </w:tcPr>
          <w:p>
            <w:pPr>
              <w:pStyle w:val="63"/>
              <w:rPr>
                <w:color w:val="auto"/>
                <w:kern w:val="0"/>
              </w:rPr>
            </w:pPr>
            <w:r>
              <w:rPr>
                <w:rFonts w:hint="eastAsia"/>
                <w:color w:val="auto"/>
                <w:kern w:val="0"/>
                <w:lang w:eastAsia="zh-CN"/>
              </w:rPr>
              <w:t>施工升降机</w:t>
            </w:r>
            <w:r>
              <w:rPr>
                <w:rFonts w:hint="eastAsia"/>
                <w:color w:val="auto"/>
                <w:kern w:val="0"/>
              </w:rPr>
              <w:t>入口</w:t>
            </w:r>
          </w:p>
        </w:tc>
        <w:tc>
          <w:tcPr>
            <w:tcW w:w="736" w:type="dxa"/>
            <w:vAlign w:val="center"/>
          </w:tcPr>
          <w:p>
            <w:pPr>
              <w:pStyle w:val="63"/>
              <w:rPr>
                <w:color w:val="auto"/>
                <w:kern w:val="0"/>
              </w:rPr>
            </w:pPr>
            <w:r>
              <w:rPr>
                <w:color w:val="auto"/>
                <w:kern w:val="0"/>
              </w:rPr>
              <w:t>1</w:t>
            </w:r>
          </w:p>
        </w:tc>
        <w:tc>
          <w:tcPr>
            <w:tcW w:w="1137" w:type="dxa"/>
            <w:vAlign w:val="center"/>
          </w:tcPr>
          <w:p>
            <w:pPr>
              <w:pStyle w:val="63"/>
              <w:rPr>
                <w:color w:val="auto"/>
                <w:kern w:val="0"/>
              </w:rPr>
            </w:pPr>
            <w:r>
              <w:rPr>
                <w:color w:val="auto"/>
                <w:kern w:val="0"/>
              </w:rPr>
              <w:t>/</w:t>
            </w:r>
          </w:p>
        </w:tc>
        <w:tc>
          <w:tcPr>
            <w:tcW w:w="1770" w:type="dxa"/>
            <w:vAlign w:val="center"/>
          </w:tcPr>
          <w:p>
            <w:pPr>
              <w:pStyle w:val="63"/>
              <w:rPr>
                <w:color w:val="auto"/>
                <w:kern w:val="0"/>
              </w:rPr>
            </w:pPr>
            <w:r>
              <w:rPr>
                <w:color w:val="auto"/>
                <w:kern w:val="0"/>
              </w:rPr>
              <w:t>自制</w:t>
            </w:r>
            <w:r>
              <w:rPr>
                <w:rFonts w:hint="eastAsia"/>
                <w:color w:val="auto"/>
                <w:kern w:val="0"/>
              </w:rPr>
              <w:t>或采购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pStyle w:val="63"/>
              <w:rPr>
                <w:color w:val="auto"/>
                <w:kern w:val="0"/>
              </w:rPr>
            </w:pPr>
            <w:r>
              <w:rPr>
                <w:color w:val="auto"/>
                <w:kern w:val="0"/>
              </w:rPr>
              <w:t>2</w:t>
            </w:r>
          </w:p>
        </w:tc>
        <w:tc>
          <w:tcPr>
            <w:tcW w:w="2181" w:type="dxa"/>
            <w:vAlign w:val="center"/>
          </w:tcPr>
          <w:p>
            <w:pPr>
              <w:pStyle w:val="63"/>
              <w:rPr>
                <w:color w:val="auto"/>
                <w:kern w:val="0"/>
              </w:rPr>
            </w:pPr>
            <w:r>
              <w:rPr>
                <w:rFonts w:hint="eastAsia"/>
                <w:color w:val="auto"/>
                <w:kern w:val="0"/>
              </w:rPr>
              <w:t>安全门</w:t>
            </w:r>
          </w:p>
        </w:tc>
        <w:tc>
          <w:tcPr>
            <w:tcW w:w="1671" w:type="dxa"/>
            <w:vAlign w:val="center"/>
          </w:tcPr>
          <w:p>
            <w:pPr>
              <w:pStyle w:val="63"/>
              <w:rPr>
                <w:color w:val="auto"/>
                <w:kern w:val="0"/>
              </w:rPr>
            </w:pPr>
            <w:r>
              <w:rPr>
                <w:rFonts w:hint="eastAsia"/>
                <w:color w:val="auto"/>
                <w:kern w:val="0"/>
                <w:lang w:eastAsia="zh-CN"/>
              </w:rPr>
              <w:t>施工升降机</w:t>
            </w:r>
            <w:r>
              <w:rPr>
                <w:rFonts w:hint="eastAsia"/>
                <w:color w:val="auto"/>
                <w:kern w:val="0"/>
              </w:rPr>
              <w:t>出口</w:t>
            </w:r>
          </w:p>
        </w:tc>
        <w:tc>
          <w:tcPr>
            <w:tcW w:w="736" w:type="dxa"/>
            <w:vAlign w:val="center"/>
          </w:tcPr>
          <w:p>
            <w:pPr>
              <w:pStyle w:val="63"/>
              <w:rPr>
                <w:color w:val="auto"/>
                <w:kern w:val="0"/>
              </w:rPr>
            </w:pPr>
            <w:r>
              <w:rPr>
                <w:color w:val="auto"/>
                <w:kern w:val="0"/>
              </w:rPr>
              <w:t>1</w:t>
            </w:r>
          </w:p>
        </w:tc>
        <w:tc>
          <w:tcPr>
            <w:tcW w:w="1137" w:type="dxa"/>
            <w:vAlign w:val="center"/>
          </w:tcPr>
          <w:p>
            <w:pPr>
              <w:pStyle w:val="63"/>
              <w:rPr>
                <w:color w:val="auto"/>
                <w:kern w:val="0"/>
              </w:rPr>
            </w:pPr>
            <w:r>
              <w:rPr>
                <w:color w:val="auto"/>
                <w:kern w:val="0"/>
              </w:rPr>
              <w:t>/</w:t>
            </w:r>
          </w:p>
        </w:tc>
        <w:tc>
          <w:tcPr>
            <w:tcW w:w="1770" w:type="dxa"/>
            <w:vAlign w:val="center"/>
          </w:tcPr>
          <w:p>
            <w:pPr>
              <w:pStyle w:val="63"/>
              <w:rPr>
                <w:color w:val="auto"/>
                <w:kern w:val="0"/>
              </w:rPr>
            </w:pPr>
            <w:r>
              <w:rPr>
                <w:rFonts w:hint="eastAsia"/>
                <w:color w:val="auto"/>
                <w:kern w:val="0"/>
              </w:rPr>
              <w:t>自制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Align w:val="center"/>
          </w:tcPr>
          <w:p>
            <w:pPr>
              <w:pStyle w:val="63"/>
              <w:rPr>
                <w:color w:val="auto"/>
                <w:kern w:val="0"/>
              </w:rPr>
            </w:pPr>
            <w:r>
              <w:rPr>
                <w:color w:val="auto"/>
                <w:kern w:val="0"/>
              </w:rPr>
              <w:t>3</w:t>
            </w:r>
          </w:p>
        </w:tc>
        <w:tc>
          <w:tcPr>
            <w:tcW w:w="2181" w:type="dxa"/>
            <w:vAlign w:val="center"/>
          </w:tcPr>
          <w:p>
            <w:pPr>
              <w:pStyle w:val="63"/>
              <w:rPr>
                <w:color w:val="auto"/>
                <w:kern w:val="0"/>
              </w:rPr>
            </w:pPr>
            <w:r>
              <w:rPr>
                <w:rFonts w:hint="eastAsia"/>
                <w:color w:val="auto"/>
                <w:kern w:val="0"/>
              </w:rPr>
              <w:t>洞口栏杆防护</w:t>
            </w:r>
          </w:p>
        </w:tc>
        <w:tc>
          <w:tcPr>
            <w:tcW w:w="1671" w:type="dxa"/>
            <w:vAlign w:val="center"/>
          </w:tcPr>
          <w:p>
            <w:pPr>
              <w:pStyle w:val="63"/>
              <w:rPr>
                <w:color w:val="auto"/>
                <w:kern w:val="0"/>
              </w:rPr>
            </w:pPr>
            <w:r>
              <w:rPr>
                <w:rFonts w:hint="eastAsia"/>
                <w:color w:val="auto"/>
                <w:kern w:val="0"/>
                <w:lang w:eastAsia="zh-CN"/>
              </w:rPr>
              <w:t>施工升降机</w:t>
            </w:r>
            <w:r>
              <w:rPr>
                <w:rFonts w:hint="eastAsia"/>
                <w:color w:val="auto"/>
                <w:kern w:val="0"/>
              </w:rPr>
              <w:t>出口</w:t>
            </w:r>
          </w:p>
        </w:tc>
        <w:tc>
          <w:tcPr>
            <w:tcW w:w="736" w:type="dxa"/>
            <w:vAlign w:val="center"/>
          </w:tcPr>
          <w:p>
            <w:pPr>
              <w:pStyle w:val="63"/>
              <w:rPr>
                <w:color w:val="auto"/>
                <w:kern w:val="0"/>
              </w:rPr>
            </w:pPr>
            <w:r>
              <w:rPr>
                <w:rFonts w:hint="eastAsia"/>
                <w:color w:val="auto"/>
                <w:kern w:val="0"/>
              </w:rPr>
              <w:t>/</w:t>
            </w:r>
          </w:p>
        </w:tc>
        <w:tc>
          <w:tcPr>
            <w:tcW w:w="1137" w:type="dxa"/>
            <w:vAlign w:val="center"/>
          </w:tcPr>
          <w:p>
            <w:pPr>
              <w:pStyle w:val="63"/>
              <w:rPr>
                <w:color w:val="auto"/>
                <w:kern w:val="0"/>
              </w:rPr>
            </w:pPr>
            <w:r>
              <w:rPr>
                <w:rFonts w:hint="eastAsia"/>
                <w:color w:val="auto"/>
                <w:kern w:val="0"/>
              </w:rPr>
              <w:t>高度不小于1</w:t>
            </w:r>
            <w:r>
              <w:rPr>
                <w:color w:val="auto"/>
                <w:kern w:val="0"/>
              </w:rPr>
              <w:t>.2m</w:t>
            </w:r>
          </w:p>
        </w:tc>
        <w:tc>
          <w:tcPr>
            <w:tcW w:w="1770" w:type="dxa"/>
            <w:vAlign w:val="center"/>
          </w:tcPr>
          <w:p>
            <w:pPr>
              <w:pStyle w:val="63"/>
              <w:rPr>
                <w:color w:val="auto"/>
                <w:kern w:val="0"/>
              </w:rPr>
            </w:pPr>
            <w:r>
              <w:rPr>
                <w:color w:val="auto"/>
                <w:kern w:val="0"/>
              </w:rPr>
              <w:t>自制</w:t>
            </w:r>
          </w:p>
        </w:tc>
      </w:tr>
    </w:tbl>
    <w:p>
      <w:pPr>
        <w:pStyle w:val="4"/>
        <w:spacing w:before="156" w:after="156"/>
        <w:rPr>
          <w:color w:val="auto"/>
        </w:rPr>
      </w:pPr>
      <w:bookmarkStart w:id="81" w:name="_Toc40778435"/>
      <w:bookmarkStart w:id="82" w:name="_Toc28613961"/>
      <w:bookmarkStart w:id="83" w:name="_Toc55223359"/>
      <w:bookmarkStart w:id="84" w:name="_Toc121759983"/>
      <w:bookmarkStart w:id="85" w:name="_Toc29143"/>
      <w:r>
        <w:rPr>
          <w:rFonts w:hint="eastAsia"/>
          <w:color w:val="auto"/>
        </w:rPr>
        <w:t>设备及工具计划</w:t>
      </w:r>
      <w:bookmarkEnd w:id="81"/>
      <w:bookmarkEnd w:id="82"/>
      <w:bookmarkEnd w:id="83"/>
      <w:bookmarkEnd w:id="84"/>
      <w:bookmarkEnd w:id="85"/>
    </w:p>
    <w:p>
      <w:pPr>
        <w:pStyle w:val="61"/>
        <w:rPr>
          <w:color w:val="auto"/>
        </w:rPr>
      </w:pPr>
      <w:r>
        <w:rPr>
          <w:rFonts w:hint="eastAsia"/>
          <w:color w:val="auto"/>
        </w:rPr>
        <w:t>表3.</w:t>
      </w:r>
      <w:r>
        <w:rPr>
          <w:color w:val="auto"/>
        </w:rPr>
        <w:t>3</w:t>
      </w:r>
      <w:r>
        <w:rPr>
          <w:rFonts w:hint="eastAsia"/>
          <w:color w:val="auto"/>
        </w:rPr>
        <w:t>-</w:t>
      </w:r>
      <w:r>
        <w:rPr>
          <w:color w:val="auto"/>
        </w:rPr>
        <w:t>1</w:t>
      </w:r>
      <w:r>
        <w:rPr>
          <w:rFonts w:hint="eastAsia"/>
          <w:color w:val="auto"/>
        </w:rPr>
        <w:t>设备计划</w:t>
      </w:r>
    </w:p>
    <w:tbl>
      <w:tblPr>
        <w:tblStyle w:val="6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2434"/>
        <w:gridCol w:w="919"/>
        <w:gridCol w:w="4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序号</w:t>
            </w:r>
          </w:p>
        </w:tc>
        <w:tc>
          <w:tcPr>
            <w:tcW w:w="1428" w:type="pct"/>
            <w:vAlign w:val="center"/>
          </w:tcPr>
          <w:p>
            <w:pPr>
              <w:pStyle w:val="63"/>
              <w:rPr>
                <w:color w:val="auto"/>
                <w:kern w:val="0"/>
              </w:rPr>
            </w:pPr>
            <w:r>
              <w:rPr>
                <w:rFonts w:hint="eastAsia"/>
                <w:color w:val="auto"/>
                <w:kern w:val="0"/>
              </w:rPr>
              <w:t>机具名称</w:t>
            </w:r>
          </w:p>
        </w:tc>
        <w:tc>
          <w:tcPr>
            <w:tcW w:w="539" w:type="pct"/>
            <w:vAlign w:val="center"/>
          </w:tcPr>
          <w:p>
            <w:pPr>
              <w:pStyle w:val="63"/>
              <w:rPr>
                <w:color w:val="auto"/>
                <w:kern w:val="0"/>
              </w:rPr>
            </w:pPr>
            <w:r>
              <w:rPr>
                <w:rFonts w:hint="eastAsia"/>
                <w:color w:val="auto"/>
                <w:kern w:val="0"/>
              </w:rPr>
              <w:t>数量</w:t>
            </w:r>
          </w:p>
        </w:tc>
        <w:tc>
          <w:tcPr>
            <w:tcW w:w="2495" w:type="pct"/>
            <w:vAlign w:val="center"/>
          </w:tcPr>
          <w:p>
            <w:pPr>
              <w:pStyle w:val="63"/>
              <w:rPr>
                <w:color w:val="auto"/>
                <w:kern w:val="0"/>
              </w:rPr>
            </w:pPr>
            <w:r>
              <w:rPr>
                <w:rFonts w:hint="eastAsia"/>
                <w:color w:val="auto"/>
                <w:kern w:val="0"/>
              </w:rPr>
              <w:t xml:space="preserve"> 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1</w:t>
            </w:r>
          </w:p>
        </w:tc>
        <w:tc>
          <w:tcPr>
            <w:tcW w:w="1428" w:type="pct"/>
            <w:vAlign w:val="center"/>
          </w:tcPr>
          <w:p>
            <w:pPr>
              <w:pStyle w:val="63"/>
              <w:rPr>
                <w:color w:val="auto"/>
                <w:kern w:val="0"/>
              </w:rPr>
            </w:pPr>
            <w:r>
              <w:rPr>
                <w:rFonts w:hint="eastAsia"/>
                <w:color w:val="auto"/>
                <w:kern w:val="0"/>
              </w:rPr>
              <w:t>塔吊</w:t>
            </w:r>
          </w:p>
        </w:tc>
        <w:tc>
          <w:tcPr>
            <w:tcW w:w="539" w:type="pct"/>
            <w:vAlign w:val="center"/>
          </w:tcPr>
          <w:p>
            <w:pPr>
              <w:pStyle w:val="63"/>
              <w:rPr>
                <w:color w:val="auto"/>
                <w:kern w:val="0"/>
              </w:rPr>
            </w:pPr>
            <w:r>
              <w:rPr>
                <w:rFonts w:hint="eastAsia"/>
                <w:color w:val="auto"/>
                <w:kern w:val="0"/>
              </w:rPr>
              <w:t>2台</w:t>
            </w:r>
          </w:p>
        </w:tc>
        <w:tc>
          <w:tcPr>
            <w:tcW w:w="2495" w:type="pct"/>
            <w:vAlign w:val="center"/>
          </w:tcPr>
          <w:p>
            <w:pPr>
              <w:pStyle w:val="63"/>
              <w:rPr>
                <w:color w:val="auto"/>
                <w:kern w:val="0"/>
              </w:rPr>
            </w:pPr>
            <w:r>
              <w:rPr>
                <w:rFonts w:hint="eastAsia"/>
                <w:color w:val="auto"/>
                <w:kern w:val="0"/>
              </w:rPr>
              <w:t>现场有可用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2</w:t>
            </w:r>
          </w:p>
        </w:tc>
        <w:tc>
          <w:tcPr>
            <w:tcW w:w="1428" w:type="pct"/>
            <w:vAlign w:val="center"/>
          </w:tcPr>
          <w:p>
            <w:pPr>
              <w:pStyle w:val="63"/>
              <w:rPr>
                <w:color w:val="auto"/>
                <w:kern w:val="0"/>
              </w:rPr>
            </w:pPr>
            <w:r>
              <w:rPr>
                <w:rFonts w:hint="eastAsia"/>
                <w:color w:val="auto"/>
                <w:kern w:val="0"/>
              </w:rPr>
              <w:t>25t汽车吊</w:t>
            </w:r>
          </w:p>
        </w:tc>
        <w:tc>
          <w:tcPr>
            <w:tcW w:w="539" w:type="pct"/>
            <w:vAlign w:val="center"/>
          </w:tcPr>
          <w:p>
            <w:pPr>
              <w:pStyle w:val="63"/>
              <w:rPr>
                <w:color w:val="auto"/>
                <w:kern w:val="0"/>
              </w:rPr>
            </w:pPr>
            <w:r>
              <w:rPr>
                <w:rFonts w:hint="eastAsia"/>
                <w:color w:val="auto"/>
                <w:kern w:val="0"/>
              </w:rPr>
              <w:t>1台</w:t>
            </w:r>
          </w:p>
        </w:tc>
        <w:tc>
          <w:tcPr>
            <w:tcW w:w="2495" w:type="pct"/>
            <w:vAlign w:val="center"/>
          </w:tcPr>
          <w:p>
            <w:pPr>
              <w:pStyle w:val="63"/>
              <w:rPr>
                <w:color w:val="auto"/>
                <w:kern w:val="0"/>
              </w:rPr>
            </w:pPr>
            <w:r>
              <w:rPr>
                <w:rFonts w:hint="eastAsia"/>
                <w:color w:val="auto"/>
                <w:kern w:val="0"/>
              </w:rPr>
              <w:t>根据现场选择合适的起重设备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39" w:type="pct"/>
            <w:vAlign w:val="center"/>
          </w:tcPr>
          <w:p>
            <w:pPr>
              <w:pStyle w:val="63"/>
              <w:rPr>
                <w:color w:val="auto"/>
                <w:kern w:val="0"/>
              </w:rPr>
            </w:pPr>
            <w:r>
              <w:rPr>
                <w:rFonts w:hint="eastAsia"/>
                <w:color w:val="auto"/>
                <w:kern w:val="0"/>
              </w:rPr>
              <w:t>3</w:t>
            </w:r>
          </w:p>
        </w:tc>
        <w:tc>
          <w:tcPr>
            <w:tcW w:w="1428" w:type="pct"/>
            <w:vAlign w:val="center"/>
          </w:tcPr>
          <w:p>
            <w:pPr>
              <w:pStyle w:val="63"/>
              <w:rPr>
                <w:color w:val="auto"/>
                <w:kern w:val="0"/>
              </w:rPr>
            </w:pPr>
            <w:r>
              <w:rPr>
                <w:rFonts w:hint="eastAsia"/>
                <w:color w:val="auto"/>
                <w:kern w:val="0"/>
              </w:rPr>
              <w:t>氧气瓶、乙炔瓶</w:t>
            </w:r>
          </w:p>
        </w:tc>
        <w:tc>
          <w:tcPr>
            <w:tcW w:w="539" w:type="pct"/>
            <w:vAlign w:val="center"/>
          </w:tcPr>
          <w:p>
            <w:pPr>
              <w:pStyle w:val="63"/>
              <w:rPr>
                <w:color w:val="auto"/>
                <w:kern w:val="0"/>
              </w:rPr>
            </w:pPr>
            <w:r>
              <w:rPr>
                <w:rFonts w:hint="eastAsia"/>
                <w:color w:val="auto"/>
                <w:kern w:val="0"/>
              </w:rPr>
              <w:t>1套</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4</w:t>
            </w:r>
          </w:p>
        </w:tc>
        <w:tc>
          <w:tcPr>
            <w:tcW w:w="1428" w:type="pct"/>
            <w:vAlign w:val="center"/>
          </w:tcPr>
          <w:p>
            <w:pPr>
              <w:pStyle w:val="63"/>
              <w:rPr>
                <w:color w:val="auto"/>
                <w:kern w:val="0"/>
              </w:rPr>
            </w:pPr>
            <w:r>
              <w:rPr>
                <w:rFonts w:hint="eastAsia"/>
                <w:color w:val="auto"/>
                <w:kern w:val="0"/>
              </w:rPr>
              <w:t>交流焊机</w:t>
            </w:r>
          </w:p>
        </w:tc>
        <w:tc>
          <w:tcPr>
            <w:tcW w:w="539" w:type="pct"/>
            <w:vAlign w:val="center"/>
          </w:tcPr>
          <w:p>
            <w:pPr>
              <w:pStyle w:val="63"/>
              <w:rPr>
                <w:color w:val="auto"/>
                <w:kern w:val="0"/>
              </w:rPr>
            </w:pPr>
            <w:r>
              <w:rPr>
                <w:rFonts w:hint="eastAsia"/>
                <w:color w:val="auto"/>
                <w:kern w:val="0"/>
              </w:rPr>
              <w:t>1台</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5</w:t>
            </w:r>
          </w:p>
        </w:tc>
        <w:tc>
          <w:tcPr>
            <w:tcW w:w="1428" w:type="pct"/>
            <w:vAlign w:val="center"/>
          </w:tcPr>
          <w:p>
            <w:pPr>
              <w:pStyle w:val="63"/>
              <w:rPr>
                <w:color w:val="auto"/>
                <w:kern w:val="0"/>
              </w:rPr>
            </w:pPr>
            <w:r>
              <w:rPr>
                <w:rFonts w:hint="eastAsia"/>
                <w:color w:val="auto"/>
                <w:kern w:val="0"/>
              </w:rPr>
              <w:t>通讯联络对讲机</w:t>
            </w:r>
          </w:p>
        </w:tc>
        <w:tc>
          <w:tcPr>
            <w:tcW w:w="539" w:type="pct"/>
            <w:vAlign w:val="center"/>
          </w:tcPr>
          <w:p>
            <w:pPr>
              <w:pStyle w:val="63"/>
              <w:rPr>
                <w:color w:val="auto"/>
                <w:kern w:val="0"/>
              </w:rPr>
            </w:pPr>
            <w:r>
              <w:rPr>
                <w:rFonts w:hint="eastAsia"/>
                <w:color w:val="auto"/>
                <w:kern w:val="0"/>
              </w:rPr>
              <w:t>1组</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6</w:t>
            </w:r>
          </w:p>
        </w:tc>
        <w:tc>
          <w:tcPr>
            <w:tcW w:w="1428" w:type="pct"/>
            <w:vAlign w:val="center"/>
          </w:tcPr>
          <w:p>
            <w:pPr>
              <w:pStyle w:val="63"/>
              <w:rPr>
                <w:color w:val="auto"/>
                <w:kern w:val="0"/>
              </w:rPr>
            </w:pPr>
            <w:r>
              <w:rPr>
                <w:rFonts w:hint="eastAsia"/>
                <w:color w:val="auto"/>
                <w:kern w:val="0"/>
              </w:rPr>
              <w:t>电源配电箱</w:t>
            </w:r>
          </w:p>
        </w:tc>
        <w:tc>
          <w:tcPr>
            <w:tcW w:w="539" w:type="pct"/>
            <w:vAlign w:val="center"/>
          </w:tcPr>
          <w:p>
            <w:pPr>
              <w:pStyle w:val="63"/>
              <w:rPr>
                <w:color w:val="auto"/>
                <w:kern w:val="0"/>
              </w:rPr>
            </w:pPr>
            <w:r>
              <w:rPr>
                <w:rFonts w:hint="eastAsia"/>
                <w:color w:val="auto"/>
                <w:kern w:val="0"/>
              </w:rPr>
              <w:t>1套</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7</w:t>
            </w:r>
          </w:p>
        </w:tc>
        <w:tc>
          <w:tcPr>
            <w:tcW w:w="1428" w:type="pct"/>
            <w:vAlign w:val="center"/>
          </w:tcPr>
          <w:p>
            <w:pPr>
              <w:pStyle w:val="63"/>
              <w:rPr>
                <w:color w:val="auto"/>
                <w:kern w:val="0"/>
              </w:rPr>
            </w:pPr>
            <w:r>
              <w:rPr>
                <w:rFonts w:hint="eastAsia"/>
                <w:color w:val="auto"/>
                <w:kern w:val="0"/>
              </w:rPr>
              <w:t>经纬仪</w:t>
            </w:r>
          </w:p>
        </w:tc>
        <w:tc>
          <w:tcPr>
            <w:tcW w:w="539" w:type="pct"/>
            <w:vAlign w:val="center"/>
          </w:tcPr>
          <w:p>
            <w:pPr>
              <w:pStyle w:val="63"/>
              <w:rPr>
                <w:color w:val="auto"/>
                <w:kern w:val="0"/>
              </w:rPr>
            </w:pPr>
            <w:r>
              <w:rPr>
                <w:rFonts w:hint="eastAsia"/>
                <w:color w:val="auto"/>
                <w:kern w:val="0"/>
              </w:rPr>
              <w:t>2台</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8</w:t>
            </w:r>
          </w:p>
        </w:tc>
        <w:tc>
          <w:tcPr>
            <w:tcW w:w="1428" w:type="pct"/>
            <w:vAlign w:val="center"/>
          </w:tcPr>
          <w:p>
            <w:pPr>
              <w:pStyle w:val="63"/>
              <w:rPr>
                <w:color w:val="auto"/>
                <w:kern w:val="0"/>
              </w:rPr>
            </w:pPr>
            <w:r>
              <w:rPr>
                <w:rFonts w:hint="eastAsia"/>
                <w:color w:val="auto"/>
                <w:kern w:val="0"/>
              </w:rPr>
              <w:t>水准仪</w:t>
            </w:r>
          </w:p>
        </w:tc>
        <w:tc>
          <w:tcPr>
            <w:tcW w:w="539" w:type="pct"/>
            <w:vAlign w:val="center"/>
          </w:tcPr>
          <w:p>
            <w:pPr>
              <w:pStyle w:val="63"/>
              <w:rPr>
                <w:color w:val="auto"/>
                <w:kern w:val="0"/>
              </w:rPr>
            </w:pPr>
            <w:r>
              <w:rPr>
                <w:rFonts w:hint="eastAsia"/>
                <w:color w:val="auto"/>
                <w:kern w:val="0"/>
              </w:rPr>
              <w:t>2台</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9</w:t>
            </w:r>
          </w:p>
        </w:tc>
        <w:tc>
          <w:tcPr>
            <w:tcW w:w="1428" w:type="pct"/>
            <w:vAlign w:val="center"/>
          </w:tcPr>
          <w:p>
            <w:pPr>
              <w:pStyle w:val="63"/>
              <w:rPr>
                <w:color w:val="auto"/>
                <w:kern w:val="0"/>
              </w:rPr>
            </w:pPr>
            <w:r>
              <w:rPr>
                <w:rFonts w:hint="eastAsia"/>
                <w:color w:val="auto"/>
                <w:kern w:val="0"/>
              </w:rPr>
              <w:t>500V兆欧表</w:t>
            </w:r>
          </w:p>
        </w:tc>
        <w:tc>
          <w:tcPr>
            <w:tcW w:w="539" w:type="pct"/>
            <w:vAlign w:val="center"/>
          </w:tcPr>
          <w:p>
            <w:pPr>
              <w:pStyle w:val="63"/>
              <w:rPr>
                <w:color w:val="auto"/>
                <w:kern w:val="0"/>
              </w:rPr>
            </w:pPr>
            <w:r>
              <w:rPr>
                <w:rFonts w:hint="eastAsia"/>
                <w:color w:val="auto"/>
                <w:kern w:val="0"/>
              </w:rPr>
              <w:t>1台</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10</w:t>
            </w:r>
          </w:p>
        </w:tc>
        <w:tc>
          <w:tcPr>
            <w:tcW w:w="1428" w:type="pct"/>
            <w:vAlign w:val="center"/>
          </w:tcPr>
          <w:p>
            <w:pPr>
              <w:pStyle w:val="63"/>
              <w:rPr>
                <w:color w:val="auto"/>
                <w:kern w:val="0"/>
              </w:rPr>
            </w:pPr>
            <w:r>
              <w:rPr>
                <w:rFonts w:hint="eastAsia"/>
                <w:color w:val="auto"/>
                <w:kern w:val="0"/>
              </w:rPr>
              <w:t>凯尔文电表</w:t>
            </w:r>
          </w:p>
        </w:tc>
        <w:tc>
          <w:tcPr>
            <w:tcW w:w="539" w:type="pct"/>
            <w:vAlign w:val="center"/>
          </w:tcPr>
          <w:p>
            <w:pPr>
              <w:pStyle w:val="63"/>
              <w:rPr>
                <w:color w:val="auto"/>
                <w:kern w:val="0"/>
              </w:rPr>
            </w:pPr>
            <w:r>
              <w:rPr>
                <w:rFonts w:hint="eastAsia"/>
                <w:color w:val="auto"/>
                <w:kern w:val="0"/>
              </w:rPr>
              <w:t>1台</w:t>
            </w:r>
          </w:p>
        </w:tc>
        <w:tc>
          <w:tcPr>
            <w:tcW w:w="2495" w:type="pct"/>
            <w:vAlign w:val="center"/>
          </w:tcPr>
          <w:p>
            <w:pPr>
              <w:pStyle w:val="63"/>
              <w:rPr>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pPr>
              <w:pStyle w:val="63"/>
              <w:rPr>
                <w:color w:val="auto"/>
                <w:kern w:val="0"/>
              </w:rPr>
            </w:pPr>
            <w:r>
              <w:rPr>
                <w:rFonts w:hint="eastAsia"/>
                <w:color w:val="auto"/>
                <w:kern w:val="0"/>
              </w:rPr>
              <w:t>11</w:t>
            </w:r>
          </w:p>
        </w:tc>
        <w:tc>
          <w:tcPr>
            <w:tcW w:w="1428" w:type="pct"/>
            <w:vAlign w:val="center"/>
          </w:tcPr>
          <w:p>
            <w:pPr>
              <w:pStyle w:val="63"/>
              <w:rPr>
                <w:color w:val="auto"/>
                <w:kern w:val="0"/>
              </w:rPr>
            </w:pPr>
            <w:r>
              <w:rPr>
                <w:rFonts w:hint="eastAsia"/>
                <w:color w:val="auto"/>
                <w:kern w:val="0"/>
              </w:rPr>
              <w:t>万用电表</w:t>
            </w:r>
          </w:p>
        </w:tc>
        <w:tc>
          <w:tcPr>
            <w:tcW w:w="539" w:type="pct"/>
            <w:vAlign w:val="center"/>
          </w:tcPr>
          <w:p>
            <w:pPr>
              <w:pStyle w:val="63"/>
              <w:rPr>
                <w:color w:val="auto"/>
                <w:kern w:val="0"/>
              </w:rPr>
            </w:pPr>
            <w:r>
              <w:rPr>
                <w:rFonts w:hint="eastAsia"/>
                <w:color w:val="auto"/>
                <w:kern w:val="0"/>
              </w:rPr>
              <w:t>1台</w:t>
            </w:r>
          </w:p>
        </w:tc>
        <w:tc>
          <w:tcPr>
            <w:tcW w:w="2495" w:type="pct"/>
            <w:vAlign w:val="center"/>
          </w:tcPr>
          <w:p>
            <w:pPr>
              <w:pStyle w:val="63"/>
              <w:rPr>
                <w:color w:val="auto"/>
                <w:kern w:val="0"/>
              </w:rPr>
            </w:pPr>
          </w:p>
        </w:tc>
      </w:tr>
    </w:tbl>
    <w:p>
      <w:pPr>
        <w:ind w:firstLine="480"/>
        <w:rPr>
          <w:color w:val="auto"/>
        </w:rPr>
      </w:pPr>
      <w:r>
        <w:rPr>
          <w:color w:val="auto"/>
        </w:rPr>
        <w:br w:type="page"/>
      </w:r>
      <w:bookmarkStart w:id="86" w:name="_Toc40778436"/>
    </w:p>
    <w:p>
      <w:pPr>
        <w:pStyle w:val="3"/>
        <w:spacing w:before="156" w:after="156"/>
        <w:rPr>
          <w:color w:val="auto"/>
        </w:rPr>
      </w:pPr>
      <w:bookmarkStart w:id="87" w:name="_Toc31407"/>
      <w:bookmarkStart w:id="88" w:name="_Toc55223360"/>
      <w:bookmarkStart w:id="89" w:name="_Toc121759984"/>
      <w:r>
        <w:rPr>
          <w:rFonts w:hint="eastAsia"/>
          <w:color w:val="auto"/>
        </w:rPr>
        <w:t>施工工艺技术</w:t>
      </w:r>
      <w:bookmarkEnd w:id="86"/>
      <w:bookmarkEnd w:id="87"/>
      <w:bookmarkEnd w:id="88"/>
      <w:bookmarkEnd w:id="89"/>
    </w:p>
    <w:p>
      <w:pPr>
        <w:pStyle w:val="4"/>
        <w:spacing w:before="156" w:after="156"/>
        <w:rPr>
          <w:color w:val="auto"/>
        </w:rPr>
      </w:pPr>
      <w:bookmarkStart w:id="90" w:name="_Toc121759985"/>
      <w:bookmarkStart w:id="91" w:name="_Toc29597"/>
      <w:bookmarkStart w:id="92" w:name="_Toc2911"/>
      <w:bookmarkStart w:id="93" w:name="_Toc1607"/>
      <w:bookmarkStart w:id="94" w:name="_Toc26392"/>
      <w:bookmarkStart w:id="95" w:name="_Toc40778437"/>
      <w:bookmarkStart w:id="96" w:name="_Toc11075"/>
      <w:r>
        <w:rPr>
          <w:rFonts w:hint="eastAsia"/>
          <w:color w:val="auto"/>
        </w:rPr>
        <w:t>施工方案概述</w:t>
      </w:r>
      <w:bookmarkEnd w:id="90"/>
    </w:p>
    <w:p>
      <w:pPr>
        <w:rPr>
          <w:color w:val="auto"/>
        </w:rPr>
      </w:pPr>
      <w:r>
        <w:rPr>
          <w:rFonts w:hint="eastAsia"/>
          <w:color w:val="auto"/>
          <w:lang w:val="en-US" w:eastAsia="zh-CN"/>
        </w:rPr>
        <w:t>本项目3台</w:t>
      </w:r>
      <w:r>
        <w:rPr>
          <w:rFonts w:hint="eastAsia"/>
          <w:color w:val="auto"/>
        </w:rPr>
        <w:t>施工升降机的安装与拆除主要采用布置在主塔</w:t>
      </w:r>
      <w:r>
        <w:rPr>
          <w:rFonts w:hint="eastAsia"/>
          <w:color w:val="auto"/>
          <w:lang w:val="en-US" w:eastAsia="zh-CN"/>
        </w:rPr>
        <w:t>边</w:t>
      </w:r>
      <w:r>
        <w:rPr>
          <w:rFonts w:hint="eastAsia"/>
          <w:color w:val="auto"/>
        </w:rPr>
        <w:t>的塔吊进行起重吊装施工。施工升降机吊笼搁置在承台顶部的平台上，导轨架基础设置坐落在承台顶部。</w:t>
      </w:r>
    </w:p>
    <w:p>
      <w:pPr>
        <w:rPr>
          <w:rFonts w:hint="eastAsia"/>
          <w:color w:val="auto"/>
        </w:rPr>
      </w:pPr>
      <w:r>
        <w:rPr>
          <w:rFonts w:hint="eastAsia"/>
          <w:color w:val="auto"/>
        </w:rPr>
        <w:t>附墙件与施工升降机之间采用螺栓连接牢靠，附墙件另外一端的支撑桁架片与主塔预埋件焊接，其中附墙件中的C型标准件与支撑桁架片之间通过焊接连接固定。</w:t>
      </w:r>
    </w:p>
    <w:p>
      <w:pPr>
        <w:jc w:val="center"/>
        <w:rPr>
          <w:rFonts w:hint="eastAsia" w:ascii="Times New Roman" w:eastAsia="宋体"/>
          <w:color w:val="auto"/>
          <w:lang w:val="en-US" w:eastAsia="zh-CN"/>
        </w:rPr>
      </w:pPr>
      <w:r>
        <w:rPr>
          <w:color w:val="auto"/>
        </w:rPr>
        <w:drawing>
          <wp:inline distT="0" distB="0" distL="114300" distR="114300">
            <wp:extent cx="4208145" cy="3209290"/>
            <wp:effectExtent l="0" t="0" r="13335" b="635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5"/>
                    <a:stretch>
                      <a:fillRect/>
                    </a:stretch>
                  </pic:blipFill>
                  <pic:spPr>
                    <a:xfrm>
                      <a:off x="0" y="0"/>
                      <a:ext cx="4208145" cy="3209290"/>
                    </a:xfrm>
                    <a:prstGeom prst="rect">
                      <a:avLst/>
                    </a:prstGeom>
                    <a:noFill/>
                    <a:ln>
                      <a:noFill/>
                    </a:ln>
                  </pic:spPr>
                </pic:pic>
              </a:graphicData>
            </a:graphic>
          </wp:inline>
        </w:drawing>
      </w:r>
    </w:p>
    <w:p>
      <w:pPr>
        <w:jc w:val="center"/>
        <w:rPr>
          <w:rFonts w:hint="default" w:eastAsia="宋体"/>
          <w:color w:val="auto"/>
          <w:lang w:val="en-US" w:eastAsia="zh-CN"/>
        </w:rPr>
      </w:pPr>
      <w:r>
        <w:rPr>
          <w:rFonts w:hint="eastAsia" w:ascii="Times New Roman" w:eastAsia="宋体"/>
          <w:color w:val="auto"/>
          <w:lang w:val="en-US" w:eastAsia="zh-CN"/>
        </w:rPr>
        <w:t>图4.1-</w:t>
      </w:r>
      <w:r>
        <w:rPr>
          <w:rFonts w:hint="eastAsia"/>
          <w:color w:val="auto"/>
          <w:lang w:val="en-US" w:eastAsia="zh-CN"/>
        </w:rPr>
        <w:t>1</w:t>
      </w:r>
      <w:r>
        <w:rPr>
          <w:rFonts w:hint="eastAsia" w:ascii="Times New Roman" w:eastAsia="宋体"/>
          <w:color w:val="auto"/>
          <w:lang w:val="en-US" w:eastAsia="zh-CN"/>
        </w:rPr>
        <w:t xml:space="preserve"> 基础图</w:t>
      </w:r>
    </w:p>
    <w:p>
      <w:pPr>
        <w:keepNext/>
        <w:keepLines/>
        <w:widowControl w:val="0"/>
        <w:numPr>
          <w:ilvl w:val="1"/>
          <w:numId w:val="1"/>
        </w:numPr>
        <w:spacing w:before="156" w:beforeLines="50" w:after="156" w:afterLines="50" w:line="360" w:lineRule="auto"/>
        <w:ind w:left="0" w:firstLine="200" w:firstLineChars="0"/>
        <w:jc w:val="left"/>
        <w:outlineLvl w:val="1"/>
        <w:rPr>
          <w:rFonts w:eastAsia="宋体" w:asciiTheme="majorHAnsi" w:hAnsiTheme="majorHAnsi" w:cstheme="majorBidi"/>
          <w:b/>
          <w:bCs/>
          <w:color w:val="auto"/>
          <w:kern w:val="2"/>
          <w:sz w:val="28"/>
          <w:szCs w:val="32"/>
          <w:lang w:val="en-US" w:eastAsia="zh-CN" w:bidi="ar-SA"/>
        </w:rPr>
      </w:pPr>
      <w:bookmarkStart w:id="97" w:name="_Toc121759986"/>
      <w:bookmarkStart w:id="98" w:name="_Toc55223362"/>
      <w:r>
        <w:rPr>
          <w:rFonts w:hint="eastAsia" w:eastAsia="宋体" w:asciiTheme="majorHAnsi" w:hAnsiTheme="majorHAnsi" w:cstheme="majorBidi"/>
          <w:b/>
          <w:bCs/>
          <w:color w:val="auto"/>
          <w:kern w:val="2"/>
          <w:sz w:val="28"/>
          <w:szCs w:val="32"/>
          <w:lang w:val="en-US" w:eastAsia="zh-CN" w:bidi="ar-SA"/>
        </w:rPr>
        <w:t>主要设备选型</w:t>
      </w:r>
      <w:bookmarkEnd w:id="97"/>
      <w:bookmarkEnd w:id="98"/>
    </w:p>
    <w:p>
      <w:pPr>
        <w:pStyle w:val="5"/>
        <w:numPr>
          <w:ilvl w:val="2"/>
          <w:numId w:val="1"/>
        </w:numPr>
        <w:tabs>
          <w:tab w:val="left" w:pos="-813"/>
          <w:tab w:val="left" w:pos="-475"/>
        </w:tabs>
        <w:spacing w:before="156" w:after="156"/>
        <w:ind w:firstLine="200"/>
        <w:rPr>
          <w:color w:val="auto"/>
          <w:szCs w:val="24"/>
        </w:rPr>
      </w:pPr>
      <w:r>
        <w:rPr>
          <w:rFonts w:hint="eastAsia"/>
          <w:color w:val="auto"/>
          <w:szCs w:val="24"/>
          <w:lang w:val="en-US" w:eastAsia="zh-CN"/>
        </w:rPr>
        <w:t>施工升降机</w:t>
      </w:r>
    </w:p>
    <w:p>
      <w:pPr>
        <w:widowControl w:val="0"/>
        <w:spacing w:line="360" w:lineRule="auto"/>
        <w:ind w:firstLine="480" w:firstLineChars="200"/>
        <w:jc w:val="both"/>
        <w:rPr>
          <w:rFonts w:ascii="Times New Roman" w:hAnsi="Times New Roman" w:eastAsia="宋体" w:cs="Times New Roman"/>
          <w:bCs/>
          <w:color w:val="auto"/>
          <w:kern w:val="2"/>
          <w:sz w:val="24"/>
          <w:szCs w:val="24"/>
          <w:lang w:val="en-US" w:eastAsia="zh-CN" w:bidi="ar-SA"/>
        </w:rPr>
      </w:pPr>
      <w:bookmarkStart w:id="99" w:name="_Toc121759988"/>
      <w:r>
        <w:rPr>
          <w:rFonts w:ascii="Times New Roman" w:hAnsi="Times New Roman" w:eastAsia="宋体" w:cs="Times New Roman"/>
          <w:bCs/>
          <w:color w:val="auto"/>
          <w:kern w:val="2"/>
          <w:sz w:val="24"/>
          <w:szCs w:val="24"/>
          <w:lang w:val="en-US" w:eastAsia="zh-CN" w:bidi="ar-SA"/>
        </w:rPr>
        <w:t>施工升降机安拆工程所需主要设备为塔吊，负责吊装施工升降机各个部件，施工升降机主要部件吊重分析表如下表所示。</w:t>
      </w:r>
    </w:p>
    <w:p>
      <w:pPr>
        <w:keepNext/>
        <w:widowControl w:val="0"/>
        <w:spacing w:line="240" w:lineRule="auto"/>
        <w:ind w:firstLine="48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表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4.2</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表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1</w:t>
      </w:r>
      <w:r>
        <w:rPr>
          <w:rFonts w:ascii="Times New Roman" w:hAnsi="Times New Roman" w:eastAsia="宋体" w:cs="Times New Roman"/>
          <w:b/>
          <w:color w:val="auto"/>
          <w:kern w:val="2"/>
          <w:sz w:val="21"/>
          <w:szCs w:val="20"/>
          <w:lang w:val="en-US" w:eastAsia="zh-CN" w:bidi="ar-SA"/>
        </w:rPr>
        <w:fldChar w:fldCharType="end"/>
      </w:r>
      <w:r>
        <w:rPr>
          <w:rFonts w:hint="eastAsia"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施工升降机安装吊重分析表</w:t>
      </w:r>
    </w:p>
    <w:tbl>
      <w:tblPr>
        <w:tblStyle w:val="44"/>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3752"/>
        <w:gridCol w:w="1007"/>
        <w:gridCol w:w="1143"/>
        <w:gridCol w:w="204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54" w:type="pct"/>
            <w:noWrap w:val="0"/>
            <w:vAlign w:val="center"/>
          </w:tcPr>
          <w:p>
            <w:pPr>
              <w:widowControl w:val="0"/>
              <w:adjustRightInd w:val="0"/>
              <w:spacing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序号</w:t>
            </w:r>
          </w:p>
        </w:tc>
        <w:tc>
          <w:tcPr>
            <w:tcW w:w="1732"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吊件名称</w:t>
            </w:r>
          </w:p>
        </w:tc>
        <w:tc>
          <w:tcPr>
            <w:tcW w:w="70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重量（</w:t>
            </w:r>
            <w:r>
              <w:rPr>
                <w:rFonts w:ascii="Times New Roman" w:hAnsi="Times New Roman" w:eastAsia="宋体" w:cs="Times New Roman"/>
                <w:b/>
                <w:bCs/>
                <w:color w:val="auto"/>
                <w:kern w:val="2"/>
                <w:sz w:val="21"/>
                <w:szCs w:val="21"/>
                <w:lang w:val="en-US" w:eastAsia="zh-CN" w:bidi="ar-SA"/>
              </w:rPr>
              <w:t>t</w:t>
            </w:r>
            <w:r>
              <w:rPr>
                <w:rFonts w:hint="eastAsia" w:ascii="Times New Roman" w:hAnsi="Times New Roman" w:eastAsia="宋体" w:cs="Times New Roman"/>
                <w:b/>
                <w:bCs/>
                <w:color w:val="auto"/>
                <w:kern w:val="2"/>
                <w:sz w:val="21"/>
                <w:szCs w:val="21"/>
                <w:lang w:val="en-US" w:eastAsia="zh-CN" w:bidi="ar-SA"/>
              </w:rPr>
              <w:t>）</w:t>
            </w:r>
          </w:p>
        </w:tc>
        <w:tc>
          <w:tcPr>
            <w:tcW w:w="78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吊幅（m）</w:t>
            </w:r>
          </w:p>
        </w:tc>
        <w:tc>
          <w:tcPr>
            <w:tcW w:w="131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4" w:type="pct"/>
            <w:noWrap w:val="0"/>
            <w:vAlign w:val="center"/>
          </w:tcPr>
          <w:p>
            <w:pPr>
              <w:widowControl w:val="0"/>
              <w:adjustRightInd w:val="0"/>
              <w:spacing w:line="240" w:lineRule="auto"/>
              <w:ind w:firstLine="0" w:firstLineChars="0"/>
              <w:jc w:val="center"/>
              <w:rPr>
                <w:rFonts w:ascii="Times New Roman" w:hAnsi="Times New Roman" w:eastAsia="等线" w:cs="Times New Roman"/>
                <w:color w:val="auto"/>
                <w:kern w:val="2"/>
                <w:sz w:val="21"/>
                <w:szCs w:val="21"/>
                <w:lang w:val="en-US" w:eastAsia="zh-CN" w:bidi="ar-SA"/>
              </w:rPr>
            </w:pPr>
            <w:r>
              <w:rPr>
                <w:rFonts w:hint="eastAsia" w:ascii="Times New Roman" w:hAnsi="Times New Roman" w:eastAsia="等线" w:cs="Times New Roman"/>
                <w:color w:val="auto"/>
                <w:kern w:val="2"/>
                <w:sz w:val="21"/>
                <w:szCs w:val="21"/>
                <w:lang w:val="en-US" w:eastAsia="zh-CN" w:bidi="ar-SA"/>
              </w:rPr>
              <w:t>1</w:t>
            </w:r>
          </w:p>
        </w:tc>
        <w:tc>
          <w:tcPr>
            <w:tcW w:w="1732"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标准节（0</w:t>
            </w:r>
            <w:r>
              <w:rPr>
                <w:rFonts w:ascii="Times New Roman" w:hAnsi="Times New Roman" w:eastAsia="宋体" w:cs="Times New Roman"/>
                <w:color w:val="auto"/>
                <w:kern w:val="2"/>
                <w:sz w:val="21"/>
                <w:szCs w:val="21"/>
                <w:lang w:val="en-US" w:eastAsia="zh-CN" w:bidi="ar-SA"/>
              </w:rPr>
              <w:t>.65</w:t>
            </w:r>
            <w:r>
              <w:rPr>
                <w:rFonts w:hint="eastAsia" w:ascii="Times New Roman" w:hAnsi="Times New Roman" w:eastAsia="宋体" w:cs="Times New Roman"/>
                <w:color w:val="auto"/>
                <w:kern w:val="2"/>
                <w:sz w:val="21"/>
                <w:szCs w:val="21"/>
                <w:lang w:val="en-US" w:eastAsia="zh-CN" w:bidi="ar-SA"/>
              </w:rPr>
              <w:t>×0</w:t>
            </w:r>
            <w:r>
              <w:rPr>
                <w:rFonts w:ascii="Times New Roman" w:hAnsi="Times New Roman" w:eastAsia="宋体" w:cs="Times New Roman"/>
                <w:color w:val="auto"/>
                <w:kern w:val="2"/>
                <w:sz w:val="21"/>
                <w:szCs w:val="21"/>
                <w:lang w:val="en-US" w:eastAsia="zh-CN" w:bidi="ar-SA"/>
              </w:rPr>
              <w:t>.65</w:t>
            </w:r>
            <w:r>
              <w:rPr>
                <w:rFonts w:hint="eastAsia" w:ascii="Times New Roman" w:hAnsi="Times New Roman" w:eastAsia="宋体" w:cs="Times New Roman"/>
                <w:color w:val="auto"/>
                <w:kern w:val="2"/>
                <w:sz w:val="21"/>
                <w:szCs w:val="21"/>
                <w:lang w:val="en-US" w:eastAsia="zh-CN" w:bidi="ar-SA"/>
              </w:rPr>
              <w:t>×1</w:t>
            </w:r>
            <w:r>
              <w:rPr>
                <w:rFonts w:ascii="Times New Roman" w:hAnsi="Times New Roman" w:eastAsia="宋体" w:cs="Times New Roman"/>
                <w:color w:val="auto"/>
                <w:kern w:val="2"/>
                <w:sz w:val="21"/>
                <w:szCs w:val="21"/>
                <w:lang w:val="en-US" w:eastAsia="zh-CN" w:bidi="ar-SA"/>
              </w:rPr>
              <w:t>.508m</w:t>
            </w:r>
            <w:r>
              <w:rPr>
                <w:rFonts w:hint="eastAsia" w:ascii="Times New Roman" w:hAnsi="Times New Roman" w:eastAsia="宋体" w:cs="Times New Roman"/>
                <w:color w:val="auto"/>
                <w:kern w:val="2"/>
                <w:sz w:val="21"/>
                <w:szCs w:val="21"/>
                <w:lang w:val="en-US" w:eastAsia="zh-CN" w:bidi="ar-SA"/>
              </w:rPr>
              <w:t>—</w:t>
            </w:r>
            <w:r>
              <w:rPr>
                <w:rFonts w:hint="eastAsia" w:ascii="SJQY" w:hAnsi="SJQY" w:eastAsia="SJQY" w:cs="Times New Roman"/>
                <w:color w:val="auto"/>
                <w:kern w:val="2"/>
                <w:sz w:val="21"/>
                <w:szCs w:val="21"/>
                <w:lang w:val="en-US" w:eastAsia="zh-CN" w:bidi="ar-SA"/>
              </w:rPr>
              <w:t>A</w:t>
            </w:r>
            <w:r>
              <w:rPr>
                <w:rFonts w:ascii="Times New Roman" w:hAnsi="Times New Roman" w:eastAsia="SJQY" w:cs="Times New Roman"/>
                <w:color w:val="auto"/>
                <w:kern w:val="2"/>
                <w:sz w:val="21"/>
                <w:szCs w:val="21"/>
                <w:lang w:val="en-US" w:eastAsia="zh-CN" w:bidi="ar-SA"/>
              </w:rPr>
              <w:t>76</w:t>
            </w:r>
            <w:r>
              <w:rPr>
                <w:rFonts w:hint="eastAsia" w:ascii="Times New Roman" w:hAnsi="Times New Roman" w:eastAsia="宋体" w:cs="Times New Roman"/>
                <w:color w:val="auto"/>
                <w:kern w:val="2"/>
                <w:sz w:val="21"/>
                <w:szCs w:val="21"/>
                <w:lang w:val="en-US" w:eastAsia="zh-CN" w:bidi="ar-SA"/>
              </w:rPr>
              <w:t>×6</w:t>
            </w:r>
            <w:r>
              <w:rPr>
                <w:rFonts w:ascii="Times New Roman" w:hAnsi="Times New Roman" w:eastAsia="宋体" w:cs="Times New Roman"/>
                <w:color w:val="auto"/>
                <w:kern w:val="2"/>
                <w:sz w:val="21"/>
                <w:szCs w:val="21"/>
                <w:lang w:val="en-US" w:eastAsia="zh-CN" w:bidi="ar-SA"/>
              </w:rPr>
              <w:t>.3mm</w:t>
            </w:r>
            <w:r>
              <w:rPr>
                <w:rFonts w:hint="eastAsia" w:ascii="Times New Roman" w:hAnsi="Times New Roman" w:eastAsia="宋体" w:cs="Times New Roman"/>
                <w:color w:val="auto"/>
                <w:kern w:val="2"/>
                <w:sz w:val="21"/>
                <w:szCs w:val="21"/>
                <w:lang w:val="en-US" w:eastAsia="zh-CN" w:bidi="ar-SA"/>
              </w:rPr>
              <w:t>）</w:t>
            </w:r>
          </w:p>
        </w:tc>
        <w:tc>
          <w:tcPr>
            <w:tcW w:w="70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0.16</w:t>
            </w:r>
          </w:p>
        </w:tc>
        <w:tc>
          <w:tcPr>
            <w:tcW w:w="788" w:type="pc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w:t>
            </w:r>
          </w:p>
        </w:tc>
        <w:tc>
          <w:tcPr>
            <w:tcW w:w="131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4" w:type="pct"/>
            <w:noWrap w:val="0"/>
            <w:vAlign w:val="center"/>
          </w:tcPr>
          <w:p>
            <w:pPr>
              <w:widowControl w:val="0"/>
              <w:adjustRightInd w:val="0"/>
              <w:spacing w:line="240" w:lineRule="auto"/>
              <w:ind w:firstLine="0" w:firstLineChars="0"/>
              <w:jc w:val="center"/>
              <w:rPr>
                <w:rFonts w:ascii="Times New Roman" w:hAnsi="Times New Roman" w:eastAsia="等线" w:cs="Times New Roman"/>
                <w:color w:val="auto"/>
                <w:kern w:val="2"/>
                <w:sz w:val="21"/>
                <w:szCs w:val="21"/>
                <w:lang w:val="en-US" w:eastAsia="zh-CN" w:bidi="ar-SA"/>
              </w:rPr>
            </w:pPr>
            <w:r>
              <w:rPr>
                <w:rFonts w:hint="eastAsia" w:ascii="Times New Roman" w:hAnsi="Times New Roman" w:eastAsia="等线" w:cs="Times New Roman"/>
                <w:color w:val="auto"/>
                <w:kern w:val="2"/>
                <w:sz w:val="21"/>
                <w:szCs w:val="21"/>
                <w:lang w:val="en-US" w:eastAsia="zh-CN" w:bidi="ar-SA"/>
              </w:rPr>
              <w:t>2</w:t>
            </w:r>
          </w:p>
        </w:tc>
        <w:tc>
          <w:tcPr>
            <w:tcW w:w="1732"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底笼</w:t>
            </w:r>
          </w:p>
        </w:tc>
        <w:tc>
          <w:tcPr>
            <w:tcW w:w="70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r>
              <w:rPr>
                <w:rFonts w:ascii="Times New Roman" w:hAnsi="Times New Roman" w:eastAsia="宋体" w:cs="Times New Roman"/>
                <w:color w:val="auto"/>
                <w:kern w:val="2"/>
                <w:sz w:val="21"/>
                <w:szCs w:val="21"/>
                <w:lang w:val="en-US" w:eastAsia="zh-CN" w:bidi="ar-SA"/>
              </w:rPr>
              <w:t>.5</w:t>
            </w:r>
          </w:p>
        </w:tc>
        <w:tc>
          <w:tcPr>
            <w:tcW w:w="788" w:type="pct"/>
            <w:noWrap w:val="0"/>
            <w:vAlign w:val="center"/>
          </w:tcPr>
          <w:p>
            <w:pPr>
              <w:widowControl w:val="0"/>
              <w:adjustRightIn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4.6</w:t>
            </w:r>
          </w:p>
        </w:tc>
        <w:tc>
          <w:tcPr>
            <w:tcW w:w="131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散件拼装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54" w:type="pct"/>
            <w:noWrap w:val="0"/>
            <w:vAlign w:val="center"/>
          </w:tcPr>
          <w:p>
            <w:pPr>
              <w:widowControl w:val="0"/>
              <w:adjustRightInd w:val="0"/>
              <w:spacing w:line="240" w:lineRule="auto"/>
              <w:ind w:firstLine="0" w:firstLineChars="0"/>
              <w:jc w:val="center"/>
              <w:rPr>
                <w:rFonts w:ascii="Times New Roman" w:hAnsi="Times New Roman" w:eastAsia="等线" w:cs="Times New Roman"/>
                <w:color w:val="auto"/>
                <w:kern w:val="2"/>
                <w:sz w:val="21"/>
                <w:szCs w:val="21"/>
                <w:lang w:val="en-US" w:eastAsia="zh-CN" w:bidi="ar-SA"/>
              </w:rPr>
            </w:pPr>
            <w:r>
              <w:rPr>
                <w:rFonts w:hint="eastAsia" w:ascii="Times New Roman" w:hAnsi="Times New Roman" w:eastAsia="等线" w:cs="Times New Roman"/>
                <w:color w:val="auto"/>
                <w:kern w:val="2"/>
                <w:sz w:val="21"/>
                <w:szCs w:val="21"/>
                <w:lang w:val="en-US" w:eastAsia="zh-CN" w:bidi="ar-SA"/>
              </w:rPr>
              <w:t>3</w:t>
            </w:r>
          </w:p>
        </w:tc>
        <w:tc>
          <w:tcPr>
            <w:tcW w:w="1732"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吊笼自重（含电控系统+驱动系统）</w:t>
            </w:r>
          </w:p>
        </w:tc>
        <w:tc>
          <w:tcPr>
            <w:tcW w:w="70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r>
              <w:rPr>
                <w:rFonts w:ascii="Times New Roman" w:hAnsi="Times New Roman" w:eastAsia="宋体" w:cs="Times New Roman"/>
                <w:color w:val="auto"/>
                <w:kern w:val="2"/>
                <w:sz w:val="21"/>
                <w:szCs w:val="21"/>
                <w:lang w:val="en-US" w:eastAsia="zh-CN" w:bidi="ar-SA"/>
              </w:rPr>
              <w:t>1.9</w:t>
            </w:r>
          </w:p>
        </w:tc>
        <w:tc>
          <w:tcPr>
            <w:tcW w:w="788" w:type="pct"/>
            <w:noWrap w:val="0"/>
            <w:vAlign w:val="center"/>
          </w:tcPr>
          <w:p>
            <w:pPr>
              <w:widowControl w:val="0"/>
              <w:adjustRightIn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3.6</w:t>
            </w:r>
          </w:p>
        </w:tc>
        <w:tc>
          <w:tcPr>
            <w:tcW w:w="1318" w:type="pct"/>
            <w:noWrap w:val="0"/>
            <w:vAlign w:val="center"/>
          </w:tcPr>
          <w:p>
            <w:pPr>
              <w:widowControl w:val="0"/>
              <w:adjustRightIn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r>
    </w:tbl>
    <w:p>
      <w:pPr>
        <w:widowControl w:val="0"/>
        <w:spacing w:line="360" w:lineRule="auto"/>
        <w:ind w:firstLine="480" w:firstLineChars="200"/>
        <w:jc w:val="both"/>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根据以上吊重分析表可知：</w:t>
      </w:r>
    </w:p>
    <w:p>
      <w:pPr>
        <w:widowControl w:val="0"/>
        <w:spacing w:line="360" w:lineRule="auto"/>
        <w:ind w:firstLine="480" w:firstLineChars="200"/>
        <w:jc w:val="both"/>
        <w:rPr>
          <w:rFonts w:ascii="Times New Roman" w:hAnsi="Times New Roman" w:eastAsia="宋体" w:cs="Times New Roman"/>
          <w:bCs/>
          <w:color w:val="auto"/>
          <w:kern w:val="2"/>
          <w:sz w:val="24"/>
          <w:szCs w:val="24"/>
          <w:lang w:val="en-US" w:eastAsia="zh-CN" w:bidi="ar-SA"/>
        </w:rPr>
      </w:pPr>
      <w:r>
        <w:rPr>
          <w:rFonts w:ascii="Times New Roman" w:hAnsi="Times New Roman" w:eastAsia="宋体" w:cs="Times New Roman"/>
          <w:bCs/>
          <w:color w:val="auto"/>
          <w:kern w:val="2"/>
          <w:sz w:val="24"/>
          <w:szCs w:val="24"/>
          <w:lang w:val="en-US" w:eastAsia="zh-CN" w:bidi="ar-SA"/>
        </w:rPr>
        <w:t>施工升降机安拆过程中最重部件为吊笼主结构1.85t、吊距为</w:t>
      </w:r>
      <w:r>
        <w:rPr>
          <w:rFonts w:hint="eastAsia" w:cs="Times New Roman"/>
          <w:bCs/>
          <w:color w:val="auto"/>
          <w:kern w:val="2"/>
          <w:sz w:val="24"/>
          <w:szCs w:val="24"/>
          <w:lang w:val="en-US" w:eastAsia="zh-CN" w:bidi="ar-SA"/>
        </w:rPr>
        <w:t>20.62</w:t>
      </w:r>
      <w:r>
        <w:rPr>
          <w:rFonts w:ascii="Times New Roman" w:hAnsi="Times New Roman" w:eastAsia="宋体" w:cs="Times New Roman"/>
          <w:bCs/>
          <w:color w:val="auto"/>
          <w:kern w:val="2"/>
          <w:sz w:val="24"/>
          <w:szCs w:val="24"/>
          <w:lang w:val="en-US" w:eastAsia="zh-CN" w:bidi="ar-SA"/>
        </w:rPr>
        <w:t>m，采用</w:t>
      </w:r>
      <w:bookmarkStart w:id="100" w:name="_Hlk76737614"/>
      <w:r>
        <w:rPr>
          <w:rFonts w:hint="eastAsia" w:cs="Times New Roman"/>
          <w:bCs/>
          <w:color w:val="auto"/>
          <w:kern w:val="2"/>
          <w:sz w:val="24"/>
          <w:szCs w:val="24"/>
          <w:lang w:val="en-US" w:eastAsia="zh-CN" w:bidi="ar-SA"/>
        </w:rPr>
        <w:t>XGT7530-20S</w:t>
      </w:r>
      <w:r>
        <w:rPr>
          <w:rFonts w:ascii="Times New Roman" w:hAnsi="Times New Roman" w:eastAsia="宋体" w:cs="Times New Roman"/>
          <w:bCs/>
          <w:color w:val="auto"/>
          <w:kern w:val="2"/>
          <w:sz w:val="24"/>
          <w:szCs w:val="24"/>
          <w:lang w:val="en-US" w:eastAsia="zh-CN" w:bidi="ar-SA"/>
        </w:rPr>
        <w:t>型</w:t>
      </w:r>
      <w:r>
        <w:rPr>
          <w:rFonts w:hint="eastAsia" w:cs="Times New Roman"/>
          <w:bCs/>
          <w:color w:val="auto"/>
          <w:kern w:val="2"/>
          <w:sz w:val="24"/>
          <w:szCs w:val="24"/>
          <w:lang w:val="en-US" w:eastAsia="zh-CN" w:bidi="ar-SA"/>
        </w:rPr>
        <w:t>55</w:t>
      </w:r>
      <w:r>
        <w:rPr>
          <w:rFonts w:ascii="Times New Roman" w:hAnsi="Times New Roman" w:eastAsia="宋体" w:cs="Times New Roman"/>
          <w:bCs/>
          <w:color w:val="auto"/>
          <w:kern w:val="2"/>
          <w:sz w:val="24"/>
          <w:szCs w:val="24"/>
          <w:lang w:val="en-US" w:eastAsia="zh-CN" w:bidi="ar-SA"/>
        </w:rPr>
        <w:t>m臂长</w:t>
      </w:r>
      <w:bookmarkEnd w:id="100"/>
      <w:r>
        <w:rPr>
          <w:rFonts w:ascii="Times New Roman" w:hAnsi="Times New Roman" w:eastAsia="宋体" w:cs="Times New Roman"/>
          <w:bCs/>
          <w:color w:val="auto"/>
          <w:kern w:val="2"/>
          <w:sz w:val="24"/>
          <w:szCs w:val="24"/>
          <w:lang w:val="en-US" w:eastAsia="zh-CN" w:bidi="ar-SA"/>
        </w:rPr>
        <w:t>塔吊进行吊装</w:t>
      </w:r>
      <w:r>
        <w:rPr>
          <w:rFonts w:hint="eastAsia" w:ascii="Times New Roman" w:hAnsi="Times New Roman" w:eastAsia="宋体" w:cs="Times New Roman"/>
          <w:bCs/>
          <w:color w:val="auto"/>
          <w:kern w:val="2"/>
          <w:sz w:val="24"/>
          <w:szCs w:val="24"/>
          <w:lang w:val="en-US" w:eastAsia="zh-CN" w:bidi="en-US"/>
        </w:rPr>
        <w:t>，本</w:t>
      </w:r>
      <w:r>
        <w:rPr>
          <w:rFonts w:hint="eastAsia" w:ascii="Times New Roman" w:hAnsi="Times New Roman" w:eastAsia="宋体" w:cs="Times New Roman"/>
          <w:color w:val="auto"/>
          <w:kern w:val="2"/>
          <w:sz w:val="24"/>
          <w:szCs w:val="24"/>
          <w:lang w:val="en-US" w:eastAsia="zh-CN" w:bidi="en-US"/>
        </w:rPr>
        <w:t>塔吊起重特性表见</w:t>
      </w:r>
      <w:r>
        <w:rPr>
          <w:rFonts w:ascii="Times New Roman" w:hAnsi="Times New Roman" w:eastAsia="宋体" w:cs="Times New Roman"/>
          <w:b/>
          <w:bCs/>
          <w:color w:val="auto"/>
          <w:kern w:val="2"/>
          <w:sz w:val="24"/>
          <w:szCs w:val="24"/>
          <w:lang w:val="en-US" w:eastAsia="zh-CN" w:bidi="en-US"/>
        </w:rPr>
        <w:fldChar w:fldCharType="begin"/>
      </w:r>
      <w:r>
        <w:rPr>
          <w:rFonts w:ascii="Times New Roman" w:hAnsi="Times New Roman" w:eastAsia="宋体" w:cs="Times New Roman"/>
          <w:b/>
          <w:bCs/>
          <w:color w:val="auto"/>
          <w:kern w:val="2"/>
          <w:sz w:val="24"/>
          <w:szCs w:val="24"/>
          <w:lang w:val="en-US" w:eastAsia="zh-CN" w:bidi="en-US"/>
        </w:rPr>
        <w:instrText xml:space="preserve"> </w:instrText>
      </w:r>
      <w:r>
        <w:rPr>
          <w:rFonts w:hint="eastAsia" w:ascii="Times New Roman" w:hAnsi="Times New Roman" w:eastAsia="宋体" w:cs="Times New Roman"/>
          <w:b/>
          <w:bCs/>
          <w:color w:val="auto"/>
          <w:kern w:val="2"/>
          <w:sz w:val="24"/>
          <w:szCs w:val="24"/>
          <w:lang w:val="en-US" w:eastAsia="zh-CN" w:bidi="en-US"/>
        </w:rPr>
        <w:instrText xml:space="preserve">REF _Ref71297025 \h</w:instrText>
      </w:r>
      <w:r>
        <w:rPr>
          <w:rFonts w:ascii="Times New Roman" w:hAnsi="Times New Roman" w:eastAsia="宋体" w:cs="Times New Roman"/>
          <w:b/>
          <w:bCs/>
          <w:color w:val="auto"/>
          <w:kern w:val="2"/>
          <w:sz w:val="24"/>
          <w:szCs w:val="24"/>
          <w:lang w:val="en-US" w:eastAsia="zh-CN" w:bidi="en-US"/>
        </w:rPr>
        <w:instrText xml:space="preserve">  \* MERGEFORMAT </w:instrText>
      </w:r>
      <w:r>
        <w:rPr>
          <w:rFonts w:ascii="Times New Roman" w:hAnsi="Times New Roman" w:eastAsia="宋体" w:cs="Times New Roman"/>
          <w:b/>
          <w:bCs/>
          <w:color w:val="auto"/>
          <w:kern w:val="2"/>
          <w:sz w:val="24"/>
          <w:szCs w:val="24"/>
          <w:lang w:val="en-US" w:eastAsia="zh-CN" w:bidi="en-US"/>
        </w:rPr>
        <w:fldChar w:fldCharType="separate"/>
      </w:r>
      <w:r>
        <w:rPr>
          <w:rFonts w:hint="eastAsia" w:ascii="Times New Roman" w:hAnsi="Times New Roman" w:eastAsia="宋体" w:cs="Times New Roman"/>
          <w:b/>
          <w:bCs/>
          <w:color w:val="auto"/>
          <w:kern w:val="2"/>
          <w:sz w:val="24"/>
          <w:szCs w:val="24"/>
          <w:lang w:val="en-US" w:eastAsia="zh-CN" w:bidi="ar-SA"/>
        </w:rPr>
        <w:t xml:space="preserve">表 </w:t>
      </w:r>
      <w:r>
        <w:rPr>
          <w:rFonts w:ascii="Times New Roman" w:hAnsi="Times New Roman" w:eastAsia="宋体" w:cs="Times New Roman"/>
          <w:b/>
          <w:bCs/>
          <w:color w:val="auto"/>
          <w:kern w:val="2"/>
          <w:sz w:val="24"/>
          <w:szCs w:val="24"/>
          <w:lang w:val="en-US" w:eastAsia="zh-CN" w:bidi="ar-SA"/>
        </w:rPr>
        <w:t>4.2</w:t>
      </w:r>
      <w:r>
        <w:rPr>
          <w:rFonts w:ascii="Times New Roman" w:hAnsi="Times New Roman" w:eastAsia="宋体" w:cs="Times New Roman"/>
          <w:b/>
          <w:bCs/>
          <w:color w:val="auto"/>
          <w:kern w:val="2"/>
          <w:sz w:val="24"/>
          <w:szCs w:val="24"/>
          <w:lang w:val="en-US" w:eastAsia="zh-CN" w:bidi="ar-SA"/>
        </w:rPr>
        <w:noBreakHyphen/>
      </w:r>
      <w:r>
        <w:rPr>
          <w:rFonts w:ascii="Times New Roman" w:hAnsi="Times New Roman" w:eastAsia="宋体" w:cs="Times New Roman"/>
          <w:b/>
          <w:bCs/>
          <w:color w:val="auto"/>
          <w:kern w:val="2"/>
          <w:sz w:val="24"/>
          <w:szCs w:val="24"/>
          <w:lang w:val="en-US" w:eastAsia="zh-CN" w:bidi="ar-SA"/>
        </w:rPr>
        <w:t>2</w:t>
      </w:r>
      <w:r>
        <w:rPr>
          <w:rFonts w:ascii="Times New Roman" w:hAnsi="Times New Roman" w:eastAsia="宋体" w:cs="Times New Roman"/>
          <w:b/>
          <w:bCs/>
          <w:color w:val="auto"/>
          <w:kern w:val="2"/>
          <w:sz w:val="24"/>
          <w:szCs w:val="24"/>
          <w:lang w:val="en-US" w:eastAsia="zh-CN" w:bidi="en-US"/>
        </w:rPr>
        <w:fldChar w:fldCharType="end"/>
      </w:r>
      <w:r>
        <w:rPr>
          <w:rFonts w:hint="eastAsia" w:ascii="Times New Roman" w:hAnsi="Times New Roman" w:eastAsia="宋体" w:cs="Times New Roman"/>
          <w:color w:val="auto"/>
          <w:kern w:val="2"/>
          <w:sz w:val="24"/>
          <w:szCs w:val="24"/>
          <w:lang w:val="en-US" w:eastAsia="zh-CN" w:bidi="en-US"/>
        </w:rPr>
        <w:t>。</w:t>
      </w:r>
    </w:p>
    <w:p>
      <w:pPr>
        <w:keepNext/>
        <w:widowControl w:val="0"/>
        <w:spacing w:line="240" w:lineRule="auto"/>
        <w:ind w:firstLine="480" w:firstLineChars="0"/>
        <w:jc w:val="center"/>
        <w:rPr>
          <w:rFonts w:ascii="Times New Roman" w:hAnsi="Times New Roman" w:eastAsia="宋体" w:cs="Times New Roman"/>
          <w:b/>
          <w:color w:val="auto"/>
          <w:kern w:val="2"/>
          <w:sz w:val="21"/>
          <w:szCs w:val="20"/>
          <w:lang w:val="en-US" w:eastAsia="zh-CN" w:bidi="ar-SA"/>
        </w:rPr>
      </w:pPr>
      <w:bookmarkStart w:id="101" w:name="_Ref71297025"/>
      <w:r>
        <w:rPr>
          <w:rFonts w:hint="eastAsia" w:ascii="Times New Roman" w:hAnsi="Times New Roman" w:eastAsia="宋体" w:cs="Times New Roman"/>
          <w:b/>
          <w:color w:val="auto"/>
          <w:kern w:val="2"/>
          <w:sz w:val="21"/>
          <w:szCs w:val="20"/>
          <w:lang w:val="en-US" w:eastAsia="zh-CN" w:bidi="ar-SA"/>
        </w:rPr>
        <w:t xml:space="preserve">表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4.2</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表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2</w:t>
      </w:r>
      <w:r>
        <w:rPr>
          <w:rFonts w:ascii="Times New Roman" w:hAnsi="Times New Roman" w:eastAsia="宋体" w:cs="Times New Roman"/>
          <w:b/>
          <w:color w:val="auto"/>
          <w:kern w:val="2"/>
          <w:sz w:val="21"/>
          <w:szCs w:val="20"/>
          <w:lang w:val="en-US" w:eastAsia="zh-CN" w:bidi="ar-SA"/>
        </w:rPr>
        <w:fldChar w:fldCharType="end"/>
      </w:r>
      <w:bookmarkEnd w:id="101"/>
      <w:r>
        <w:rPr>
          <w:rFonts w:hint="eastAsia" w:cs="Times New Roman"/>
          <w:b/>
          <w:color w:val="auto"/>
          <w:kern w:val="2"/>
          <w:sz w:val="21"/>
          <w:szCs w:val="20"/>
          <w:lang w:val="en-US" w:eastAsia="zh-CN" w:bidi="ar-SA"/>
        </w:rPr>
        <w:t>XGT7530-20S</w:t>
      </w:r>
      <w:r>
        <w:rPr>
          <w:rFonts w:hint="eastAsia" w:ascii="Times New Roman" w:hAnsi="Times New Roman" w:eastAsia="宋体" w:cs="Times New Roman"/>
          <w:b/>
          <w:color w:val="auto"/>
          <w:kern w:val="2"/>
          <w:sz w:val="21"/>
          <w:szCs w:val="20"/>
          <w:lang w:val="en-US" w:eastAsia="zh-CN" w:bidi="ar-SA"/>
        </w:rPr>
        <w:t>塔吊起重特性表</w:t>
      </w:r>
    </w:p>
    <w:p>
      <w:pPr>
        <w:ind w:firstLine="480"/>
        <w:rPr>
          <w:color w:val="auto"/>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1613535</wp:posOffset>
                </wp:positionV>
                <wp:extent cx="5062855" cy="482600"/>
                <wp:effectExtent l="13970" t="13970" r="28575" b="21590"/>
                <wp:wrapNone/>
                <wp:docPr id="5" name="矩形 5"/>
                <wp:cNvGraphicFramePr/>
                <a:graphic xmlns:a="http://schemas.openxmlformats.org/drawingml/2006/main">
                  <a:graphicData uri="http://schemas.microsoft.com/office/word/2010/wordprocessingShape">
                    <wps:wsp>
                      <wps:cNvSpPr/>
                      <wps:spPr>
                        <a:xfrm>
                          <a:off x="1225550" y="2480310"/>
                          <a:ext cx="5062855" cy="48260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127.05pt;height:38pt;width:398.65pt;z-index:251663360;v-text-anchor:middle;mso-width-relative:page;mso-height-relative:page;" filled="f" stroked="t" coordsize="21600,21600" o:gfxdata="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K73MdgAAAAKAQAADwAAAAAAAAABACAAAAAiAAAAZHJz&#10;L2Rvd25yZXYueG1sUEsBAhQAFAAAAAgAh07iQN+fKo12AgAA1wQAAA4AAAAAAAAAAQAgAAAAJwEA&#10;AGRycy9lMm9Eb2MueG1sUEsFBgAAAAAGAAYAWQEAAA8GAAAAAA==&#10;">
                <v:fill on="f" focussize="0,0"/>
                <v:stroke weight="2.25pt" color="#FF0000 [3204]" miterlimit="8" joinstyle="miter"/>
                <v:imagedata o:title=""/>
                <o:lock v:ext="edit" aspectratio="f"/>
              </v:rect>
            </w:pict>
          </mc:Fallback>
        </mc:AlternateContent>
      </w:r>
      <w:r>
        <w:rPr>
          <w:color w:val="auto"/>
        </w:rPr>
        <w:drawing>
          <wp:inline distT="0" distB="0" distL="114300" distR="114300">
            <wp:extent cx="5285105" cy="2917190"/>
            <wp:effectExtent l="0" t="0" r="3175" b="889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6"/>
                    <a:stretch>
                      <a:fillRect/>
                    </a:stretch>
                  </pic:blipFill>
                  <pic:spPr>
                    <a:xfrm>
                      <a:off x="0" y="0"/>
                      <a:ext cx="5285105" cy="2917190"/>
                    </a:xfrm>
                    <a:prstGeom prst="rect">
                      <a:avLst/>
                    </a:prstGeom>
                    <a:noFill/>
                    <a:ln>
                      <a:noFill/>
                    </a:ln>
                  </pic:spPr>
                </pic:pic>
              </a:graphicData>
            </a:graphic>
          </wp:inline>
        </w:drawing>
      </w:r>
    </w:p>
    <w:p>
      <w:pPr>
        <w:ind w:firstLine="480"/>
        <w:rPr>
          <w:rFonts w:hint="eastAsia"/>
          <w:color w:val="auto"/>
          <w:lang w:val="en-US" w:eastAsia="zh-CN"/>
        </w:rPr>
      </w:pPr>
      <w:r>
        <w:rPr>
          <w:rFonts w:hint="eastAsia"/>
          <w:color w:val="auto"/>
        </w:rPr>
        <w:t>施工升降机初始安装时，塔吊的吊高均在</w:t>
      </w:r>
      <w:r>
        <w:rPr>
          <w:color w:val="auto"/>
        </w:rPr>
        <w:t>40</w:t>
      </w:r>
      <w:r>
        <w:rPr>
          <w:rFonts w:hint="eastAsia"/>
          <w:color w:val="auto"/>
        </w:rPr>
        <w:t>m以上（初始安装高度为</w:t>
      </w:r>
      <w:r>
        <w:rPr>
          <w:color w:val="auto"/>
        </w:rPr>
        <w:t>7.5m</w:t>
      </w:r>
      <w:r>
        <w:rPr>
          <w:rFonts w:hint="eastAsia"/>
          <w:color w:val="auto"/>
        </w:rPr>
        <w:t>左右），且施工升降机拆除时塔吊</w:t>
      </w:r>
      <w:r>
        <w:rPr>
          <w:rFonts w:hint="eastAsia"/>
          <w:color w:val="auto"/>
          <w:lang w:val="en-US" w:eastAsia="zh-CN"/>
        </w:rPr>
        <w:t>位于施工升降机上方</w:t>
      </w:r>
      <w:r>
        <w:rPr>
          <w:rFonts w:hint="eastAsia"/>
          <w:color w:val="auto"/>
        </w:rPr>
        <w:t>，</w:t>
      </w:r>
      <w:r>
        <w:rPr>
          <w:rFonts w:hint="eastAsia"/>
          <w:color w:val="auto"/>
          <w:lang w:val="en-US" w:eastAsia="zh-CN"/>
        </w:rPr>
        <w:t>故</w:t>
      </w:r>
      <w:r>
        <w:rPr>
          <w:rFonts w:hint="eastAsia"/>
          <w:color w:val="auto"/>
        </w:rPr>
        <w:t>起重高度满足要求。同时参照以上塔吊起重性能参数表可知，两台塔吊在</w:t>
      </w:r>
      <w:r>
        <w:rPr>
          <w:rFonts w:hint="eastAsia"/>
          <w:color w:val="auto"/>
          <w:lang w:val="en-US" w:eastAsia="zh-CN"/>
        </w:rPr>
        <w:t>20.62</w:t>
      </w:r>
      <w:r>
        <w:rPr>
          <w:rFonts w:hint="eastAsia"/>
          <w:color w:val="auto"/>
        </w:rPr>
        <w:t>m</w:t>
      </w:r>
      <w:r>
        <w:rPr>
          <w:rFonts w:hint="eastAsia"/>
          <w:color w:val="auto"/>
          <w:lang w:val="en-US" w:eastAsia="zh-CN"/>
        </w:rPr>
        <w:t>以下</w:t>
      </w:r>
      <w:r>
        <w:rPr>
          <w:rFonts w:hint="eastAsia"/>
          <w:color w:val="auto"/>
        </w:rPr>
        <w:t>的吊幅下起重能力达</w:t>
      </w:r>
      <w:r>
        <w:rPr>
          <w:rFonts w:hint="eastAsia"/>
          <w:color w:val="auto"/>
          <w:lang w:val="en-US" w:eastAsia="zh-CN"/>
        </w:rPr>
        <w:t>10</w:t>
      </w:r>
      <w:r>
        <w:rPr>
          <w:rFonts w:hint="eastAsia"/>
          <w:color w:val="auto"/>
        </w:rPr>
        <w:t>t（二倍率），满足</w:t>
      </w:r>
      <w:r>
        <w:rPr>
          <w:bCs/>
          <w:color w:val="auto"/>
        </w:rPr>
        <w:t>吊笼主结构1.85t</w:t>
      </w:r>
      <w:r>
        <w:rPr>
          <w:rFonts w:hint="eastAsia"/>
          <w:bCs/>
          <w:color w:val="auto"/>
        </w:rPr>
        <w:t>在</w:t>
      </w:r>
      <w:r>
        <w:rPr>
          <w:bCs/>
          <w:color w:val="auto"/>
        </w:rPr>
        <w:t>吊距为</w:t>
      </w:r>
      <w:r>
        <w:rPr>
          <w:rFonts w:hint="eastAsia"/>
          <w:bCs/>
          <w:color w:val="auto"/>
          <w:lang w:val="en-US" w:eastAsia="zh-CN"/>
        </w:rPr>
        <w:t>20.62</w:t>
      </w:r>
      <w:r>
        <w:rPr>
          <w:bCs/>
          <w:color w:val="auto"/>
        </w:rPr>
        <w:t>m</w:t>
      </w:r>
      <w:r>
        <w:rPr>
          <w:rFonts w:hint="eastAsia"/>
          <w:bCs/>
          <w:color w:val="auto"/>
        </w:rPr>
        <w:t>的工况下</w:t>
      </w:r>
      <w:r>
        <w:rPr>
          <w:rFonts w:hint="eastAsia"/>
          <w:color w:val="auto"/>
        </w:rPr>
        <w:t>的安装与拆除的施工要求。</w:t>
      </w:r>
      <w:r>
        <w:rPr>
          <w:rFonts w:hint="eastAsia"/>
          <w:color w:val="auto"/>
          <w:lang w:val="en-US" w:eastAsia="zh-CN"/>
        </w:rPr>
        <w:t>如下图所示。</w:t>
      </w:r>
    </w:p>
    <w:p>
      <w:pPr>
        <w:ind w:firstLine="480"/>
        <w:rPr>
          <w:color w:val="auto"/>
        </w:rPr>
      </w:pPr>
      <w:r>
        <w:rPr>
          <w:color w:val="auto"/>
        </w:rPr>
        <w:drawing>
          <wp:inline distT="0" distB="0" distL="114300" distR="114300">
            <wp:extent cx="4819650" cy="2094865"/>
            <wp:effectExtent l="0" t="0" r="11430" b="825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4"/>
                    <a:stretch>
                      <a:fillRect/>
                    </a:stretch>
                  </pic:blipFill>
                  <pic:spPr>
                    <a:xfrm>
                      <a:off x="0" y="0"/>
                      <a:ext cx="4819650" cy="2094865"/>
                    </a:xfrm>
                    <a:prstGeom prst="rect">
                      <a:avLst/>
                    </a:prstGeom>
                    <a:noFill/>
                    <a:ln>
                      <a:noFill/>
                    </a:ln>
                  </pic:spPr>
                </pic:pic>
              </a:graphicData>
            </a:graphic>
          </wp:inline>
        </w:drawing>
      </w:r>
    </w:p>
    <w:p>
      <w:pPr>
        <w:ind w:firstLine="480"/>
        <w:jc w:val="center"/>
        <w:rPr>
          <w:rFonts w:hint="default" w:eastAsia="宋体"/>
          <w:color w:val="auto"/>
          <w:lang w:val="en-US" w:eastAsia="zh-CN"/>
        </w:rPr>
      </w:pPr>
      <w:r>
        <w:rPr>
          <w:rFonts w:hint="eastAsia"/>
          <w:color w:val="auto"/>
          <w:lang w:val="en-US" w:eastAsia="zh-CN"/>
        </w:rPr>
        <w:t>图4.2-2 施工升降机吊装平面示意图</w:t>
      </w:r>
    </w:p>
    <w:p>
      <w:pPr>
        <w:pStyle w:val="5"/>
        <w:numPr>
          <w:ilvl w:val="2"/>
          <w:numId w:val="1"/>
        </w:numPr>
        <w:tabs>
          <w:tab w:val="left" w:pos="-813"/>
          <w:tab w:val="left" w:pos="-475"/>
        </w:tabs>
        <w:spacing w:before="156" w:after="156"/>
        <w:ind w:firstLine="200"/>
        <w:rPr>
          <w:color w:val="auto"/>
          <w:szCs w:val="24"/>
        </w:rPr>
      </w:pPr>
      <w:r>
        <w:rPr>
          <w:color w:val="auto"/>
          <w:szCs w:val="24"/>
        </w:rPr>
        <w:t>吊</w:t>
      </w:r>
      <w:r>
        <w:rPr>
          <w:rFonts w:hint="eastAsia"/>
          <w:color w:val="auto"/>
          <w:szCs w:val="24"/>
        </w:rPr>
        <w:t>索具</w:t>
      </w:r>
      <w:r>
        <w:rPr>
          <w:color w:val="auto"/>
          <w:szCs w:val="24"/>
        </w:rPr>
        <w:t>选型</w:t>
      </w:r>
      <w:bookmarkEnd w:id="99"/>
    </w:p>
    <w:p>
      <w:pPr>
        <w:ind w:firstLine="480"/>
        <w:rPr>
          <w:color w:val="auto"/>
        </w:rPr>
      </w:pPr>
      <w:bookmarkStart w:id="102" w:name="_Toc13209"/>
      <w:bookmarkStart w:id="103" w:name="_Toc29689"/>
      <w:bookmarkStart w:id="104" w:name="_Toc15471"/>
      <w:bookmarkStart w:id="105" w:name="_Toc62118792"/>
      <w:bookmarkStart w:id="106" w:name="_Toc6006"/>
      <w:bookmarkStart w:id="107" w:name="_Toc1252"/>
      <w:bookmarkStart w:id="108" w:name="_Toc9736"/>
      <w:r>
        <w:rPr>
          <w:rFonts w:hint="eastAsia"/>
          <w:color w:val="auto"/>
        </w:rPr>
        <w:t>4</w:t>
      </w:r>
      <w:r>
        <w:rPr>
          <w:color w:val="auto"/>
        </w:rPr>
        <w:t>.2.2.1</w:t>
      </w:r>
      <w:r>
        <w:rPr>
          <w:rFonts w:hint="eastAsia"/>
          <w:color w:val="auto"/>
        </w:rPr>
        <w:t>钢丝绳的选用</w:t>
      </w:r>
      <w:bookmarkEnd w:id="102"/>
      <w:bookmarkEnd w:id="103"/>
      <w:bookmarkEnd w:id="104"/>
      <w:bookmarkEnd w:id="105"/>
      <w:bookmarkEnd w:id="106"/>
      <w:bookmarkEnd w:id="107"/>
      <w:bookmarkEnd w:id="108"/>
    </w:p>
    <w:p>
      <w:pPr>
        <w:ind w:firstLine="480"/>
        <w:rPr>
          <w:color w:val="auto"/>
          <w:szCs w:val="24"/>
        </w:rPr>
      </w:pPr>
      <w:r>
        <w:rPr>
          <w:rFonts w:hint="eastAsia"/>
          <w:color w:val="auto"/>
          <w:szCs w:val="24"/>
        </w:rPr>
        <w:t>（1）钢丝绳设计与计算</w:t>
      </w:r>
    </w:p>
    <w:p>
      <w:pPr>
        <w:pStyle w:val="15"/>
        <w:ind w:firstLine="480"/>
        <w:rPr>
          <w:rFonts w:ascii="宋体" w:hAnsi="宋体" w:cs="宋体"/>
          <w:color w:val="auto"/>
          <w:szCs w:val="24"/>
        </w:rPr>
      </w:pPr>
      <w:r>
        <w:rPr>
          <w:rFonts w:hint="eastAsia" w:ascii="宋体" w:hAnsi="宋体" w:cs="宋体"/>
          <w:color w:val="auto"/>
          <w:szCs w:val="24"/>
        </w:rPr>
        <w:t>钢丝绳是吊装中的主要绳索，它具有强度高、弹性大、韧性好、耐磨、能承受冲击载荷等优点，且磨损后外部产生许多毛刺，容易检查，便于预防事故。</w:t>
      </w:r>
    </w:p>
    <w:p>
      <w:pPr>
        <w:pStyle w:val="15"/>
        <w:ind w:firstLine="480"/>
        <w:rPr>
          <w:rFonts w:ascii="宋体" w:hAnsi="宋体" w:cs="宋体"/>
          <w:color w:val="auto"/>
          <w:szCs w:val="24"/>
        </w:rPr>
      </w:pPr>
      <w:r>
        <w:rPr>
          <w:rFonts w:hint="eastAsia" w:ascii="宋体" w:hAnsi="宋体" w:cs="宋体"/>
          <w:color w:val="auto"/>
          <w:szCs w:val="24"/>
        </w:rPr>
        <w:t>钢丝绳实际受力计算</w:t>
      </w:r>
    </w:p>
    <w:p>
      <w:pPr>
        <w:pStyle w:val="15"/>
        <w:ind w:firstLine="480"/>
        <w:rPr>
          <w:rFonts w:ascii="宋体" w:hAnsi="宋体" w:cs="宋体"/>
          <w:color w:val="auto"/>
          <w:szCs w:val="24"/>
        </w:rPr>
      </w:pPr>
      <w:r>
        <w:rPr>
          <w:rFonts w:hint="eastAsia" w:ascii="宋体" w:hAnsi="宋体" w:cs="宋体"/>
          <w:color w:val="auto"/>
          <w:szCs w:val="24"/>
        </w:rPr>
        <w:t>当被起吊物体重量一定时，钢丝绳与铅垂线的夹角a愈大，吊索所受的拉力愈大；或者说，吊索所受的拉力一定时，起重量随着a角的增大而降低。</w:t>
      </w:r>
    </w:p>
    <w:p>
      <w:pPr>
        <w:pStyle w:val="58"/>
        <w:ind w:left="420" w:firstLine="480"/>
        <w:rPr>
          <w:rFonts w:ascii="宋体" w:hAnsi="宋体" w:cs="宋体"/>
          <w:color w:val="auto"/>
        </w:rPr>
      </w:pPr>
      <w:r>
        <w:rPr>
          <w:rFonts w:hint="eastAsia" w:ascii="宋体" w:hAnsi="宋体" w:cs="宋体"/>
          <w:color w:val="auto"/>
        </w:rPr>
        <w:t xml:space="preserve">                      </w:t>
      </w:r>
      <w:r>
        <w:rPr>
          <w:rFonts w:hint="eastAsia" w:ascii="宋体" w:hAnsi="宋体" w:cs="宋体"/>
          <w:color w:val="auto"/>
        </w:rPr>
        <w:drawing>
          <wp:inline distT="0" distB="0" distL="0" distR="0">
            <wp:extent cx="816610" cy="381000"/>
            <wp:effectExtent l="0" t="0" r="6350" b="0"/>
            <wp:docPr id="70" name="图片 70" descr="$GWWKRKRERFL61IPIC~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GWWKRKRERFL61IPIC~44@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16610" cy="381000"/>
                    </a:xfrm>
                    <a:prstGeom prst="rect">
                      <a:avLst/>
                    </a:prstGeom>
                    <a:noFill/>
                    <a:ln>
                      <a:noFill/>
                    </a:ln>
                  </pic:spPr>
                </pic:pic>
              </a:graphicData>
            </a:graphic>
          </wp:inline>
        </w:drawing>
      </w:r>
    </w:p>
    <w:p>
      <w:pPr>
        <w:pStyle w:val="15"/>
        <w:ind w:firstLine="480"/>
        <w:rPr>
          <w:rFonts w:ascii="宋体" w:hAnsi="宋体" w:cs="宋体"/>
          <w:color w:val="auto"/>
          <w:szCs w:val="24"/>
        </w:rPr>
      </w:pPr>
      <w:r>
        <w:rPr>
          <w:rFonts w:hint="eastAsia" w:ascii="宋体" w:hAnsi="宋体" w:cs="宋体"/>
          <w:color w:val="auto"/>
          <w:szCs w:val="24"/>
        </w:rPr>
        <w:t>P——每根钢丝绳所受的拉力（N）；</w:t>
      </w:r>
    </w:p>
    <w:p>
      <w:pPr>
        <w:pStyle w:val="15"/>
        <w:ind w:firstLine="480"/>
        <w:rPr>
          <w:rFonts w:ascii="宋体" w:hAnsi="宋体" w:cs="宋体"/>
          <w:color w:val="auto"/>
          <w:szCs w:val="24"/>
        </w:rPr>
      </w:pPr>
      <w:r>
        <w:rPr>
          <w:rFonts w:hint="eastAsia" w:ascii="宋体" w:hAnsi="宋体" w:cs="宋体"/>
          <w:color w:val="auto"/>
          <w:szCs w:val="24"/>
        </w:rPr>
        <w:t>Q——起重设备的重力（N）；</w:t>
      </w:r>
    </w:p>
    <w:p>
      <w:pPr>
        <w:pStyle w:val="15"/>
        <w:ind w:firstLine="480"/>
        <w:rPr>
          <w:rFonts w:ascii="宋体" w:hAnsi="宋体" w:cs="宋体"/>
          <w:color w:val="auto"/>
          <w:szCs w:val="24"/>
        </w:rPr>
      </w:pPr>
      <w:r>
        <w:rPr>
          <w:rFonts w:hint="eastAsia" w:ascii="宋体" w:hAnsi="宋体" w:cs="宋体"/>
          <w:color w:val="auto"/>
          <w:szCs w:val="24"/>
        </w:rPr>
        <w:t>n——使用钢丝绳的根数（n=4）；</w:t>
      </w:r>
    </w:p>
    <w:p>
      <w:pPr>
        <w:pStyle w:val="15"/>
        <w:ind w:firstLine="480"/>
        <w:rPr>
          <w:rFonts w:ascii="宋体" w:hAnsi="宋体" w:cs="宋体"/>
          <w:color w:val="auto"/>
          <w:szCs w:val="24"/>
        </w:rPr>
      </w:pPr>
      <w:r>
        <w:rPr>
          <w:rFonts w:hint="eastAsia" w:ascii="宋体" w:hAnsi="宋体" w:cs="宋体"/>
          <w:color w:val="auto"/>
          <w:szCs w:val="24"/>
        </w:rPr>
        <w:t>a——钢丝绳与铅垂线的夹角。</w:t>
      </w:r>
    </w:p>
    <w:p>
      <w:pPr>
        <w:ind w:firstLine="480"/>
        <w:jc w:val="center"/>
        <w:rPr>
          <w:rFonts w:ascii="宋体" w:hAnsi="宋体" w:cs="宋体"/>
          <w:color w:val="auto"/>
        </w:rPr>
      </w:pPr>
      <w:r>
        <w:rPr>
          <w:rFonts w:hint="eastAsia" w:ascii="宋体" w:hAnsi="宋体" w:cs="宋体"/>
          <w:color w:val="auto"/>
        </w:rPr>
        <w:drawing>
          <wp:inline distT="0" distB="0" distL="0" distR="0">
            <wp:extent cx="3484880" cy="2576830"/>
            <wp:effectExtent l="0" t="0" r="1270" b="0"/>
            <wp:docPr id="69" name="图片 69" descr="diaozhu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iaozhuang "/>
                    <pic:cNvPicPr>
                      <a:picLocks noChangeAspect="1" noChangeArrowheads="1"/>
                    </pic:cNvPicPr>
                  </pic:nvPicPr>
                  <pic:blipFill>
                    <a:blip r:embed="rId38" cstate="print">
                      <a:extLst>
                        <a:ext uri="{28A0092B-C50C-407E-A947-70E740481C1C}">
                          <a14:useLocalDpi xmlns:a14="http://schemas.microsoft.com/office/drawing/2010/main" val="0"/>
                        </a:ext>
                      </a:extLst>
                    </a:blip>
                    <a:srcRect l="4900" t="10648" r="8224" b="8891"/>
                    <a:stretch>
                      <a:fillRect/>
                    </a:stretch>
                  </pic:blipFill>
                  <pic:spPr>
                    <a:xfrm>
                      <a:off x="0" y="0"/>
                      <a:ext cx="3488805" cy="2579559"/>
                    </a:xfrm>
                    <a:prstGeom prst="rect">
                      <a:avLst/>
                    </a:prstGeom>
                    <a:noFill/>
                    <a:ln>
                      <a:noFill/>
                    </a:ln>
                  </pic:spPr>
                </pic:pic>
              </a:graphicData>
            </a:graphic>
          </wp:inline>
        </w:drawing>
      </w:r>
    </w:p>
    <w:p>
      <w:pPr>
        <w:pStyle w:val="15"/>
        <w:ind w:firstLine="480"/>
        <w:rPr>
          <w:rFonts w:ascii="宋体" w:hAnsi="宋体" w:cs="宋体"/>
          <w:color w:val="auto"/>
          <w:szCs w:val="24"/>
        </w:rPr>
      </w:pPr>
      <w:r>
        <w:rPr>
          <w:rFonts w:hint="eastAsia" w:ascii="宋体" w:hAnsi="宋体" w:cs="宋体"/>
          <w:color w:val="auto"/>
          <w:szCs w:val="24"/>
        </w:rPr>
        <w:t>取Q值（最重重量）=1.35t，n=4，角度为30度时，计算得 P=1.55t，</w:t>
      </w:r>
    </w:p>
    <w:p>
      <w:pPr>
        <w:ind w:firstLine="480"/>
        <w:rPr>
          <w:color w:val="auto"/>
        </w:rPr>
      </w:pPr>
      <w:r>
        <w:rPr>
          <w:rFonts w:hint="eastAsia"/>
          <w:color w:val="auto"/>
        </w:rPr>
        <w:t>（2）钢丝绳直径选择</w:t>
      </w:r>
    </w:p>
    <w:p>
      <w:pPr>
        <w:pStyle w:val="15"/>
        <w:ind w:firstLine="480"/>
        <w:rPr>
          <w:rFonts w:ascii="宋体" w:hAnsi="宋体" w:cs="宋体"/>
          <w:color w:val="auto"/>
          <w:szCs w:val="24"/>
        </w:rPr>
      </w:pPr>
      <w:r>
        <w:rPr>
          <w:rFonts w:hint="eastAsia" w:ascii="宋体" w:hAnsi="宋体" w:cs="宋体"/>
          <w:color w:val="auto"/>
          <w:szCs w:val="24"/>
        </w:rPr>
        <w:t>选择钢丝绳直径时，一般可根据钢丝绳受到的拉力（即许用拉力P），求出钢丝破断拉力总和ΣS0，再查表找出相应的钢丝绳直径。如所用的是旧钢丝绳，则以上所求得的许用拉力P应根据绳的新旧程度，乘以0.4～0.7的系数。</w:t>
      </w:r>
    </w:p>
    <w:p>
      <w:pPr>
        <w:pStyle w:val="15"/>
        <w:ind w:firstLine="480"/>
        <w:rPr>
          <w:rFonts w:ascii="宋体" w:hAnsi="宋体" w:cs="宋体"/>
          <w:color w:val="auto"/>
          <w:szCs w:val="24"/>
        </w:rPr>
      </w:pPr>
      <w:r>
        <w:rPr>
          <w:rFonts w:hint="eastAsia" w:ascii="宋体" w:hAnsi="宋体" w:cs="宋体"/>
          <w:color w:val="auto"/>
          <w:szCs w:val="24"/>
        </w:rPr>
        <w:t>钢丝绳的容许拉力可按下式计算：</w:t>
      </w:r>
    </w:p>
    <w:p>
      <w:pPr>
        <w:pStyle w:val="58"/>
        <w:ind w:left="420" w:firstLine="480"/>
        <w:rPr>
          <w:rFonts w:ascii="宋体" w:hAnsi="宋体" w:cs="宋体"/>
          <w:color w:val="auto"/>
        </w:rPr>
      </w:pPr>
      <w:r>
        <w:rPr>
          <w:rFonts w:hint="eastAsia" w:ascii="宋体" w:hAnsi="宋体" w:cs="宋体"/>
          <w:color w:val="auto"/>
        </w:rPr>
        <w:drawing>
          <wp:inline distT="0" distB="0" distL="0" distR="0">
            <wp:extent cx="772795" cy="359410"/>
            <wp:effectExtent l="0" t="0" r="4445" b="6350"/>
            <wp:docPr id="68" name="图片 68" descr="LU[{{QM5LY3W4Z]GVB5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LU[{{QM5LY3W4Z]GVB52C@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72795" cy="359410"/>
                    </a:xfrm>
                    <a:prstGeom prst="rect">
                      <a:avLst/>
                    </a:prstGeom>
                    <a:noFill/>
                    <a:ln>
                      <a:noFill/>
                    </a:ln>
                  </pic:spPr>
                </pic:pic>
              </a:graphicData>
            </a:graphic>
          </wp:inline>
        </w:drawing>
      </w:r>
    </w:p>
    <w:p>
      <w:pPr>
        <w:pStyle w:val="15"/>
        <w:ind w:firstLine="480"/>
        <w:rPr>
          <w:rFonts w:ascii="宋体" w:hAnsi="宋体" w:cs="宋体"/>
          <w:color w:val="auto"/>
          <w:szCs w:val="24"/>
        </w:rPr>
      </w:pPr>
      <w:r>
        <w:rPr>
          <w:rFonts w:hint="eastAsia" w:ascii="宋体" w:hAnsi="宋体" w:cs="宋体"/>
          <w:color w:val="auto"/>
          <w:szCs w:val="24"/>
        </w:rPr>
        <w:t>式中P——钢丝绳的容许拉力（kN）；</w:t>
      </w:r>
    </w:p>
    <w:p>
      <w:pPr>
        <w:pStyle w:val="15"/>
        <w:ind w:firstLine="480"/>
        <w:rPr>
          <w:rFonts w:ascii="宋体" w:hAnsi="宋体" w:cs="宋体"/>
          <w:color w:val="auto"/>
          <w:szCs w:val="24"/>
        </w:rPr>
      </w:pPr>
      <w:r>
        <w:rPr>
          <w:rFonts w:hint="eastAsia" w:ascii="宋体" w:hAnsi="宋体" w:cs="宋体"/>
          <w:color w:val="auto"/>
          <w:szCs w:val="24"/>
        </w:rPr>
        <w:t xml:space="preserve">ΣS0——钢丝绳的钢丝破断拉力总和（kN）； </w:t>
      </w:r>
    </w:p>
    <w:p>
      <w:pPr>
        <w:pStyle w:val="15"/>
        <w:ind w:firstLine="480"/>
        <w:rPr>
          <w:rFonts w:ascii="宋体" w:hAnsi="宋体" w:cs="宋体"/>
          <w:color w:val="auto"/>
          <w:szCs w:val="24"/>
        </w:rPr>
      </w:pPr>
      <w:r>
        <w:rPr>
          <w:rFonts w:hint="eastAsia" w:ascii="宋体" w:hAnsi="宋体" w:cs="宋体"/>
          <w:color w:val="auto"/>
          <w:szCs w:val="24"/>
        </w:rPr>
        <w:t>a ——考虑钢丝绳之间荷载不均匀系数，对6×19、6×37、6×61钢丝绳，a分别取0.85、0.82、0.80；</w:t>
      </w:r>
    </w:p>
    <w:p>
      <w:pPr>
        <w:pStyle w:val="15"/>
        <w:ind w:firstLine="480"/>
        <w:rPr>
          <w:rFonts w:ascii="宋体" w:hAnsi="宋体" w:cs="宋体"/>
          <w:color w:val="auto"/>
          <w:szCs w:val="24"/>
        </w:rPr>
      </w:pPr>
      <w:r>
        <w:rPr>
          <w:rFonts w:hint="eastAsia" w:ascii="宋体" w:hAnsi="宋体" w:cs="宋体"/>
          <w:color w:val="auto"/>
          <w:szCs w:val="24"/>
        </w:rPr>
        <w:t>K——钢丝绳使用安全系数。</w:t>
      </w:r>
    </w:p>
    <w:p>
      <w:pPr>
        <w:pStyle w:val="15"/>
        <w:ind w:firstLine="480"/>
        <w:rPr>
          <w:rFonts w:ascii="宋体" w:hAnsi="宋体" w:cs="宋体"/>
          <w:color w:val="auto"/>
          <w:szCs w:val="24"/>
        </w:rPr>
      </w:pPr>
      <w:r>
        <w:rPr>
          <w:rFonts w:hint="eastAsia" w:ascii="宋体" w:hAnsi="宋体" w:cs="宋体"/>
          <w:color w:val="auto"/>
          <w:szCs w:val="24"/>
        </w:rPr>
        <w:t>取吊装用8倍安全系数，动载系数1.1，则</w:t>
      </w:r>
    </w:p>
    <w:p>
      <w:pPr>
        <w:pStyle w:val="15"/>
        <w:ind w:firstLine="480"/>
        <w:rPr>
          <w:rFonts w:ascii="宋体" w:hAnsi="宋体" w:cs="宋体"/>
          <w:color w:val="auto"/>
          <w:szCs w:val="24"/>
        </w:rPr>
      </w:pPr>
      <w:r>
        <w:rPr>
          <w:rFonts w:hint="eastAsia" w:ascii="宋体" w:hAnsi="宋体" w:cs="宋体"/>
          <w:color w:val="auto"/>
          <w:szCs w:val="24"/>
        </w:rPr>
        <w:t>计算得：ΣS0 =1.55×8/0.82×1.1=16.6t</w:t>
      </w:r>
    </w:p>
    <w:p>
      <w:pPr>
        <w:pStyle w:val="15"/>
        <w:ind w:firstLine="480"/>
        <w:rPr>
          <w:rFonts w:ascii="宋体" w:hAnsi="宋体" w:cs="宋体"/>
          <w:color w:val="auto"/>
          <w:szCs w:val="24"/>
        </w:rPr>
      </w:pPr>
      <w:r>
        <w:rPr>
          <w:rFonts w:hint="eastAsia" w:ascii="宋体" w:hAnsi="宋体" w:cs="宋体"/>
          <w:color w:val="auto"/>
          <w:szCs w:val="24"/>
        </w:rPr>
        <w:t>根据国标GB8918-2006查阅得：</w:t>
      </w:r>
    </w:p>
    <w:p>
      <w:pPr>
        <w:pStyle w:val="61"/>
        <w:rPr>
          <w:color w:val="auto"/>
        </w:rPr>
      </w:pPr>
      <w:r>
        <w:rPr>
          <w:rFonts w:hint="eastAsia"/>
          <w:color w:val="auto"/>
        </w:rPr>
        <w:drawing>
          <wp:inline distT="0" distB="0" distL="0" distR="0">
            <wp:extent cx="5125720" cy="25361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129646" cy="2538236"/>
                    </a:xfrm>
                    <a:prstGeom prst="rect">
                      <a:avLst/>
                    </a:prstGeom>
                    <a:noFill/>
                    <a:ln>
                      <a:noFill/>
                    </a:ln>
                  </pic:spPr>
                </pic:pic>
              </a:graphicData>
            </a:graphic>
          </wp:inline>
        </w:drawing>
      </w:r>
    </w:p>
    <w:p>
      <w:pPr>
        <w:pStyle w:val="15"/>
        <w:ind w:firstLine="480"/>
        <w:rPr>
          <w:rFonts w:ascii="宋体" w:hAnsi="宋体" w:cs="宋体"/>
          <w:color w:val="auto"/>
          <w:szCs w:val="24"/>
        </w:rPr>
      </w:pPr>
      <w:r>
        <w:rPr>
          <w:rFonts w:hint="eastAsia" w:ascii="宋体" w:hAnsi="宋体" w:cs="宋体"/>
          <w:color w:val="auto"/>
          <w:szCs w:val="24"/>
        </w:rPr>
        <w:t>钢丝绳力学性能表如下：</w:t>
      </w:r>
    </w:p>
    <w:p>
      <w:pPr>
        <w:pStyle w:val="61"/>
        <w:rPr>
          <w:color w:val="auto"/>
        </w:rPr>
      </w:pPr>
      <w:r>
        <w:rPr>
          <w:rFonts w:hint="eastAsia"/>
          <w:color w:val="auto"/>
        </w:rPr>
        <w:drawing>
          <wp:inline distT="0" distB="0" distL="0" distR="0">
            <wp:extent cx="5259070" cy="343027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69445" cy="3437178"/>
                    </a:xfrm>
                    <a:prstGeom prst="rect">
                      <a:avLst/>
                    </a:prstGeom>
                    <a:noFill/>
                    <a:ln>
                      <a:noFill/>
                    </a:ln>
                  </pic:spPr>
                </pic:pic>
              </a:graphicData>
            </a:graphic>
          </wp:inline>
        </w:drawing>
      </w:r>
    </w:p>
    <w:p>
      <w:pPr>
        <w:pStyle w:val="15"/>
        <w:ind w:firstLine="480"/>
        <w:rPr>
          <w:rFonts w:ascii="宋体" w:hAnsi="宋体" w:cs="宋体"/>
          <w:color w:val="auto"/>
          <w:szCs w:val="24"/>
        </w:rPr>
      </w:pPr>
      <w:r>
        <w:rPr>
          <w:rFonts w:hint="eastAsia" w:ascii="宋体" w:hAnsi="宋体" w:cs="宋体"/>
          <w:color w:val="auto"/>
          <w:szCs w:val="24"/>
        </w:rPr>
        <w:t>结论：采用6×37-1670，绳径12及以上的纤维芯钢丝绳即可满足吊装要求！实际选用绳径16的纤维芯钢丝绳。</w:t>
      </w:r>
    </w:p>
    <w:p>
      <w:pPr>
        <w:ind w:firstLine="480"/>
        <w:rPr>
          <w:color w:val="auto"/>
        </w:rPr>
      </w:pPr>
      <w:r>
        <w:rPr>
          <w:rFonts w:hint="eastAsia"/>
          <w:color w:val="auto"/>
        </w:rPr>
        <w:t>（3）钢丝绳验收步骤：</w:t>
      </w:r>
    </w:p>
    <w:p>
      <w:pPr>
        <w:pStyle w:val="15"/>
        <w:widowControl/>
        <w:numPr>
          <w:ilvl w:val="0"/>
          <w:numId w:val="8"/>
        </w:numPr>
        <w:ind w:firstLine="480"/>
        <w:rPr>
          <w:rFonts w:ascii="宋体" w:hAnsi="宋体" w:cs="宋体"/>
          <w:color w:val="auto"/>
          <w:szCs w:val="24"/>
        </w:rPr>
      </w:pPr>
      <w:r>
        <w:rPr>
          <w:rFonts w:hint="eastAsia" w:ascii="宋体" w:hAnsi="宋体" w:cs="宋体"/>
          <w:color w:val="auto"/>
          <w:szCs w:val="24"/>
        </w:rPr>
        <w:t>质保书检查，是否符合GB8918-2006标准。</w:t>
      </w:r>
    </w:p>
    <w:p>
      <w:pPr>
        <w:pStyle w:val="15"/>
        <w:widowControl/>
        <w:numPr>
          <w:ilvl w:val="0"/>
          <w:numId w:val="8"/>
        </w:numPr>
        <w:ind w:firstLine="480"/>
        <w:rPr>
          <w:rFonts w:ascii="宋体" w:hAnsi="宋体" w:cs="宋体"/>
          <w:color w:val="auto"/>
        </w:rPr>
      </w:pPr>
      <w:r>
        <w:rPr>
          <w:rFonts w:hint="eastAsia" w:ascii="宋体" w:hAnsi="宋体" w:cs="宋体"/>
          <w:color w:val="auto"/>
          <w:szCs w:val="24"/>
        </w:rPr>
        <w:t>尺寸和外观质量检查，采用目测方法，检查钢丝绳紧密和不松散，不得呈波浪状。绳内钢丝不得有交错、折弯、严重压伤和断裂等缺陷，但允许有变形工卡具压紧造成的钢丝绳压扁现象存在。钢丝绳不得严重锈蚀，钢丝绳试样直径与公称直径相比不得缩小10%。</w:t>
      </w:r>
      <w:bookmarkStart w:id="109" w:name="_Toc7819"/>
      <w:bookmarkStart w:id="110" w:name="_Toc62118793"/>
    </w:p>
    <w:p>
      <w:pPr>
        <w:ind w:firstLine="480"/>
        <w:rPr>
          <w:color w:val="auto"/>
        </w:rPr>
      </w:pPr>
      <w:bookmarkStart w:id="111" w:name="_Toc17320"/>
      <w:bookmarkStart w:id="112" w:name="_Toc13319"/>
      <w:bookmarkStart w:id="113" w:name="_Toc32767"/>
      <w:bookmarkStart w:id="114" w:name="_Toc7119"/>
      <w:bookmarkStart w:id="115" w:name="_Toc17436"/>
      <w:r>
        <w:rPr>
          <w:rFonts w:hint="eastAsia"/>
          <w:color w:val="auto"/>
        </w:rPr>
        <w:t>4</w:t>
      </w:r>
      <w:r>
        <w:rPr>
          <w:color w:val="auto"/>
        </w:rPr>
        <w:t>.2.2.2</w:t>
      </w:r>
      <w:r>
        <w:rPr>
          <w:rFonts w:hint="eastAsia"/>
          <w:color w:val="auto"/>
        </w:rPr>
        <w:t>卸扣的选用</w:t>
      </w:r>
      <w:bookmarkEnd w:id="109"/>
      <w:bookmarkEnd w:id="110"/>
      <w:bookmarkEnd w:id="111"/>
      <w:bookmarkEnd w:id="112"/>
      <w:bookmarkEnd w:id="113"/>
      <w:bookmarkEnd w:id="114"/>
      <w:bookmarkEnd w:id="115"/>
      <w:r>
        <w:rPr>
          <w:rFonts w:hint="eastAsia"/>
          <w:color w:val="auto"/>
        </w:rPr>
        <w:tab/>
      </w:r>
    </w:p>
    <w:p>
      <w:pPr>
        <w:ind w:firstLine="480"/>
        <w:rPr>
          <w:rFonts w:ascii="宋体" w:hAnsi="宋体" w:cs="宋体"/>
          <w:color w:val="auto"/>
          <w:szCs w:val="24"/>
        </w:rPr>
      </w:pPr>
      <w:r>
        <w:rPr>
          <w:rFonts w:hint="eastAsia" w:ascii="宋体" w:hAnsi="宋体" w:cs="宋体"/>
          <w:color w:val="auto"/>
          <w:szCs w:val="24"/>
        </w:rPr>
        <w:t>根据国家标准GB 25854-2010查询：</w:t>
      </w:r>
    </w:p>
    <w:tbl>
      <w:tblPr>
        <w:tblStyle w:val="6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29"/>
        <w:gridCol w:w="4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8" w:hRule="atLeast"/>
          <w:jc w:val="center"/>
        </w:trPr>
        <w:tc>
          <w:tcPr>
            <w:tcW w:w="5029" w:type="dxa"/>
            <w:vAlign w:val="center"/>
          </w:tcPr>
          <w:p>
            <w:pPr>
              <w:pStyle w:val="63"/>
              <w:rPr>
                <w:color w:val="auto"/>
                <w:kern w:val="0"/>
              </w:rPr>
            </w:pPr>
            <w:r>
              <w:rPr>
                <w:rFonts w:hint="eastAsia"/>
                <w:color w:val="auto"/>
                <w:kern w:val="0"/>
              </w:rPr>
              <w:drawing>
                <wp:inline distT="0" distB="0" distL="0" distR="0">
                  <wp:extent cx="2569210" cy="3759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2">
                            <a:extLst>
                              <a:ext uri="{28A0092B-C50C-407E-A947-70E740481C1C}">
                                <a14:useLocalDpi xmlns:a14="http://schemas.microsoft.com/office/drawing/2010/main" val="0"/>
                              </a:ext>
                            </a:extLst>
                          </a:blip>
                          <a:srcRect l="4324" t="11096" r="15266"/>
                          <a:stretch>
                            <a:fillRect/>
                          </a:stretch>
                        </pic:blipFill>
                        <pic:spPr>
                          <a:xfrm>
                            <a:off x="0" y="0"/>
                            <a:ext cx="2572336" cy="3763774"/>
                          </a:xfrm>
                          <a:prstGeom prst="rect">
                            <a:avLst/>
                          </a:prstGeom>
                          <a:noFill/>
                          <a:ln>
                            <a:noFill/>
                          </a:ln>
                          <a:effectLst/>
                        </pic:spPr>
                      </pic:pic>
                    </a:graphicData>
                  </a:graphic>
                </wp:inline>
              </w:drawing>
            </w:r>
          </w:p>
        </w:tc>
        <w:tc>
          <w:tcPr>
            <w:tcW w:w="4870" w:type="dxa"/>
            <w:vAlign w:val="center"/>
          </w:tcPr>
          <w:p>
            <w:pPr>
              <w:pStyle w:val="63"/>
              <w:rPr>
                <w:color w:val="auto"/>
                <w:kern w:val="0"/>
              </w:rPr>
            </w:pPr>
            <w:r>
              <w:rPr>
                <w:rFonts w:hint="eastAsia"/>
                <w:color w:val="auto"/>
                <w:kern w:val="0"/>
              </w:rPr>
              <w:drawing>
                <wp:inline distT="0" distB="0" distL="0" distR="0">
                  <wp:extent cx="2474595" cy="3256280"/>
                  <wp:effectExtent l="0" t="0" r="9525"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3">
                            <a:extLst>
                              <a:ext uri="{28A0092B-C50C-407E-A947-70E740481C1C}">
                                <a14:useLocalDpi xmlns:a14="http://schemas.microsoft.com/office/drawing/2010/main" val="0"/>
                              </a:ext>
                            </a:extLst>
                          </a:blip>
                          <a:srcRect l="3108" t="17291" r="16566"/>
                          <a:stretch>
                            <a:fillRect/>
                          </a:stretch>
                        </pic:blipFill>
                        <pic:spPr>
                          <a:xfrm>
                            <a:off x="0" y="0"/>
                            <a:ext cx="2499619" cy="3288941"/>
                          </a:xfrm>
                          <a:prstGeom prst="rect">
                            <a:avLst/>
                          </a:prstGeom>
                          <a:noFill/>
                          <a:ln>
                            <a:noFill/>
                          </a:ln>
                          <a:effectLst/>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899" w:type="dxa"/>
            <w:gridSpan w:val="2"/>
            <w:vAlign w:val="center"/>
          </w:tcPr>
          <w:p>
            <w:pPr>
              <w:pStyle w:val="63"/>
              <w:rPr>
                <w:color w:val="auto"/>
                <w:kern w:val="0"/>
              </w:rPr>
            </w:pPr>
            <w:r>
              <w:rPr>
                <w:rFonts w:hint="eastAsia"/>
                <w:color w:val="auto"/>
                <w:kern w:val="0"/>
              </w:rPr>
              <w:drawing>
                <wp:inline distT="0" distB="0" distL="0" distR="0">
                  <wp:extent cx="4424680" cy="3756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440295" cy="3769804"/>
                          </a:xfrm>
                          <a:prstGeom prst="rect">
                            <a:avLst/>
                          </a:prstGeom>
                          <a:noFill/>
                          <a:ln>
                            <a:noFill/>
                          </a:ln>
                          <a:effectLst/>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561" w:hRule="atLeast"/>
          <w:jc w:val="center"/>
        </w:trPr>
        <w:tc>
          <w:tcPr>
            <w:tcW w:w="9899" w:type="dxa"/>
            <w:gridSpan w:val="2"/>
            <w:vAlign w:val="center"/>
          </w:tcPr>
          <w:p>
            <w:pPr>
              <w:pStyle w:val="63"/>
              <w:rPr>
                <w:color w:val="auto"/>
                <w:kern w:val="0"/>
              </w:rPr>
            </w:pPr>
            <w:r>
              <w:rPr>
                <w:rFonts w:hint="eastAsia"/>
                <w:color w:val="auto"/>
                <w:kern w:val="0"/>
              </w:rPr>
              <w:drawing>
                <wp:inline distT="0" distB="0" distL="0" distR="0">
                  <wp:extent cx="5100955" cy="3939540"/>
                  <wp:effectExtent l="0" t="0" r="444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06777" cy="3944149"/>
                          </a:xfrm>
                          <a:prstGeom prst="rect">
                            <a:avLst/>
                          </a:prstGeom>
                          <a:noFill/>
                          <a:ln>
                            <a:noFill/>
                          </a:ln>
                          <a:effectLst/>
                        </pic:spPr>
                      </pic:pic>
                    </a:graphicData>
                  </a:graphic>
                </wp:inline>
              </w:drawing>
            </w:r>
          </w:p>
        </w:tc>
      </w:tr>
    </w:tbl>
    <w:p>
      <w:pPr>
        <w:ind w:firstLine="480"/>
        <w:rPr>
          <w:color w:val="auto"/>
        </w:rPr>
      </w:pPr>
      <w:r>
        <w:rPr>
          <w:rFonts w:hint="eastAsia"/>
          <w:color w:val="auto"/>
        </w:rPr>
        <w:t>1.梯笼重量1.495t，采用四绳吊装，按单绳计算角度为30度时，计算得 P=3.6t</w:t>
      </w:r>
    </w:p>
    <w:p>
      <w:pPr>
        <w:ind w:firstLine="480"/>
        <w:rPr>
          <w:color w:val="auto"/>
        </w:rPr>
      </w:pPr>
      <w:r>
        <w:rPr>
          <w:rFonts w:hint="eastAsia"/>
          <w:color w:val="auto"/>
        </w:rPr>
        <w:t>2.结论：采用4t即可满足吊装要求。</w:t>
      </w:r>
    </w:p>
    <w:p>
      <w:pPr>
        <w:pStyle w:val="4"/>
        <w:spacing w:before="156" w:after="156"/>
        <w:rPr>
          <w:color w:val="auto"/>
        </w:rPr>
      </w:pPr>
      <w:bookmarkStart w:id="116" w:name="_Toc55223363"/>
      <w:bookmarkStart w:id="117" w:name="_Toc121759989"/>
      <w:r>
        <w:rPr>
          <w:rFonts w:hint="eastAsia"/>
          <w:color w:val="auto"/>
        </w:rPr>
        <w:t>施工准备</w:t>
      </w:r>
      <w:bookmarkEnd w:id="91"/>
      <w:bookmarkEnd w:id="92"/>
      <w:bookmarkEnd w:id="93"/>
      <w:bookmarkEnd w:id="94"/>
      <w:bookmarkEnd w:id="95"/>
      <w:bookmarkEnd w:id="96"/>
      <w:bookmarkEnd w:id="116"/>
      <w:bookmarkEnd w:id="117"/>
    </w:p>
    <w:p>
      <w:pPr>
        <w:pStyle w:val="5"/>
        <w:spacing w:before="156" w:after="156"/>
        <w:rPr>
          <w:color w:val="auto"/>
        </w:rPr>
      </w:pPr>
      <w:bookmarkStart w:id="118" w:name="_Toc108095451"/>
      <w:bookmarkStart w:id="119" w:name="_Toc121759990"/>
      <w:r>
        <w:rPr>
          <w:rFonts w:hint="eastAsia"/>
          <w:color w:val="auto"/>
        </w:rPr>
        <w:t>技术准备</w:t>
      </w:r>
      <w:bookmarkEnd w:id="118"/>
      <w:bookmarkEnd w:id="119"/>
    </w:p>
    <w:p>
      <w:pPr>
        <w:ind w:firstLine="480"/>
        <w:rPr>
          <w:color w:val="auto"/>
        </w:rPr>
      </w:pPr>
      <w:r>
        <w:rPr>
          <w:rFonts w:hint="eastAsia"/>
          <w:color w:val="auto"/>
        </w:rPr>
        <w:t>（1）测量准备</w:t>
      </w:r>
    </w:p>
    <w:p>
      <w:pPr>
        <w:ind w:firstLine="480"/>
        <w:rPr>
          <w:color w:val="auto"/>
        </w:rPr>
      </w:pPr>
      <w:r>
        <w:rPr>
          <w:rFonts w:hint="eastAsia"/>
          <w:color w:val="auto"/>
        </w:rPr>
        <w:t>施工升降机安装</w:t>
      </w:r>
      <w:r>
        <w:rPr>
          <w:color w:val="auto"/>
        </w:rPr>
        <w:t>坐标已根据施工图进行复核</w:t>
      </w:r>
      <w:r>
        <w:rPr>
          <w:rFonts w:hint="eastAsia"/>
          <w:color w:val="auto"/>
        </w:rPr>
        <w:t>，</w:t>
      </w:r>
      <w:r>
        <w:rPr>
          <w:color w:val="auto"/>
        </w:rPr>
        <w:t>平面施工测量控制网已建立。</w:t>
      </w:r>
    </w:p>
    <w:p>
      <w:pPr>
        <w:ind w:firstLine="480"/>
        <w:rPr>
          <w:color w:val="auto"/>
        </w:rPr>
      </w:pPr>
      <w:r>
        <w:rPr>
          <w:rFonts w:hint="eastAsia"/>
          <w:color w:val="auto"/>
        </w:rPr>
        <w:t>（2）技术交底</w:t>
      </w:r>
    </w:p>
    <w:p>
      <w:pPr>
        <w:ind w:firstLine="480"/>
        <w:rPr>
          <w:color w:val="auto"/>
        </w:rPr>
      </w:pPr>
      <w:r>
        <w:rPr>
          <w:rFonts w:hint="eastAsia"/>
          <w:color w:val="auto"/>
        </w:rPr>
        <w:t>针对施工内容，对本工程相关管理人员和施工</w:t>
      </w:r>
      <w:r>
        <w:rPr>
          <w:color w:val="auto"/>
        </w:rPr>
        <w:t>人员，</w:t>
      </w:r>
      <w:r>
        <w:rPr>
          <w:rFonts w:hint="eastAsia"/>
          <w:color w:val="auto"/>
        </w:rPr>
        <w:t>进行安全技术交底与</w:t>
      </w:r>
      <w:r>
        <w:rPr>
          <w:color w:val="auto"/>
        </w:rPr>
        <w:t>安全</w:t>
      </w:r>
      <w:r>
        <w:rPr>
          <w:rFonts w:hint="eastAsia"/>
          <w:color w:val="auto"/>
        </w:rPr>
        <w:t>教育</w:t>
      </w:r>
      <w:r>
        <w:rPr>
          <w:color w:val="auto"/>
        </w:rPr>
        <w:t>培训。</w:t>
      </w:r>
    </w:p>
    <w:p>
      <w:pPr>
        <w:pStyle w:val="5"/>
        <w:spacing w:before="156" w:after="156"/>
        <w:rPr>
          <w:color w:val="auto"/>
        </w:rPr>
      </w:pPr>
      <w:bookmarkStart w:id="120" w:name="_Toc121759991"/>
      <w:bookmarkStart w:id="121" w:name="_Toc108095452"/>
      <w:r>
        <w:rPr>
          <w:rFonts w:hint="eastAsia"/>
          <w:color w:val="auto"/>
        </w:rPr>
        <w:t>现场准备</w:t>
      </w:r>
      <w:bookmarkEnd w:id="120"/>
      <w:bookmarkEnd w:id="121"/>
    </w:p>
    <w:p>
      <w:pPr>
        <w:ind w:firstLine="480"/>
        <w:rPr>
          <w:color w:val="auto"/>
        </w:rPr>
      </w:pPr>
      <w:r>
        <w:rPr>
          <w:rFonts w:hint="eastAsia"/>
          <w:color w:val="auto"/>
        </w:rPr>
        <w:t>（1）物资准备</w:t>
      </w:r>
    </w:p>
    <w:p>
      <w:pPr>
        <w:ind w:firstLine="480"/>
        <w:rPr>
          <w:color w:val="auto"/>
        </w:rPr>
      </w:pPr>
      <w:r>
        <w:rPr>
          <w:rFonts w:hint="eastAsia"/>
          <w:color w:val="auto"/>
        </w:rPr>
        <w:t>①施工</w:t>
      </w:r>
      <w:r>
        <w:rPr>
          <w:color w:val="auto"/>
        </w:rPr>
        <w:t>材料已经</w:t>
      </w:r>
      <w:r>
        <w:rPr>
          <w:rFonts w:hint="eastAsia"/>
          <w:color w:val="auto"/>
        </w:rPr>
        <w:t>按照设计要求加工完成并</w:t>
      </w:r>
      <w:r>
        <w:rPr>
          <w:color w:val="auto"/>
        </w:rPr>
        <w:t>进场验收合格。</w:t>
      </w:r>
    </w:p>
    <w:p>
      <w:pPr>
        <w:ind w:firstLine="480"/>
        <w:rPr>
          <w:color w:val="auto"/>
        </w:rPr>
      </w:pPr>
      <w:r>
        <w:rPr>
          <w:rFonts w:hint="eastAsia"/>
          <w:color w:val="auto"/>
        </w:rPr>
        <w:t>②安全设施材料准备齐全、质量合格并保存妥当。</w:t>
      </w:r>
    </w:p>
    <w:p>
      <w:pPr>
        <w:ind w:firstLine="480"/>
        <w:rPr>
          <w:color w:val="auto"/>
        </w:rPr>
      </w:pPr>
      <w:r>
        <w:rPr>
          <w:rFonts w:hint="eastAsia"/>
          <w:color w:val="auto"/>
        </w:rPr>
        <w:t>③进场的钢管、螺栓以及各类型钢等的质量进行严格把关。</w:t>
      </w:r>
    </w:p>
    <w:p>
      <w:pPr>
        <w:ind w:firstLine="480"/>
        <w:rPr>
          <w:color w:val="auto"/>
        </w:rPr>
      </w:pPr>
      <w:r>
        <w:rPr>
          <w:rFonts w:hint="eastAsia"/>
          <w:color w:val="auto"/>
        </w:rPr>
        <w:t>（2）设备准备</w:t>
      </w:r>
    </w:p>
    <w:p>
      <w:pPr>
        <w:ind w:firstLine="480"/>
        <w:rPr>
          <w:color w:val="auto"/>
        </w:rPr>
      </w:pPr>
      <w:r>
        <w:rPr>
          <w:rFonts w:hint="eastAsia"/>
          <w:color w:val="auto"/>
        </w:rPr>
        <w:t>①组织落实机械设备、工具的进场验收。</w:t>
      </w:r>
    </w:p>
    <w:p>
      <w:pPr>
        <w:ind w:firstLine="480"/>
        <w:rPr>
          <w:color w:val="auto"/>
        </w:rPr>
      </w:pPr>
      <w:r>
        <w:rPr>
          <w:rFonts w:hint="eastAsia"/>
          <w:color w:val="auto"/>
        </w:rPr>
        <w:t>②设备开机前先经检查、调试，检查机械设备的运行情况，保证设备的完好、设备的配套设施齐备。</w:t>
      </w:r>
    </w:p>
    <w:p>
      <w:pPr>
        <w:ind w:firstLine="480"/>
        <w:rPr>
          <w:color w:val="auto"/>
        </w:rPr>
      </w:pPr>
      <w:r>
        <w:rPr>
          <w:rFonts w:hint="eastAsia"/>
          <w:color w:val="auto"/>
        </w:rPr>
        <w:t>③施工设备经过设备部验收合格后准许进场，司操人员持证上岗。</w:t>
      </w:r>
    </w:p>
    <w:p>
      <w:pPr>
        <w:ind w:firstLine="480"/>
        <w:rPr>
          <w:color w:val="auto"/>
        </w:rPr>
      </w:pPr>
      <w:r>
        <w:rPr>
          <w:rFonts w:hint="eastAsia"/>
          <w:color w:val="auto"/>
        </w:rPr>
        <w:t>④配备性能好的机械设备，机械设备的检查、验证、维修、保养等记录齐全、正常合规。</w:t>
      </w:r>
    </w:p>
    <w:p>
      <w:pPr>
        <w:ind w:firstLine="480"/>
        <w:rPr>
          <w:color w:val="auto"/>
        </w:rPr>
      </w:pPr>
      <w:r>
        <w:rPr>
          <w:rFonts w:hint="eastAsia"/>
          <w:color w:val="auto"/>
        </w:rPr>
        <w:t>（3）临时用电</w:t>
      </w:r>
    </w:p>
    <w:p>
      <w:pPr>
        <w:ind w:firstLine="480"/>
        <w:rPr>
          <w:color w:val="auto"/>
        </w:rPr>
      </w:pPr>
      <w:r>
        <w:rPr>
          <w:rFonts w:hint="eastAsia"/>
          <w:color w:val="auto"/>
        </w:rPr>
        <w:t>现场主墩平台与河东栈桥连接处设置的1</w:t>
      </w:r>
      <w:r>
        <w:rPr>
          <w:color w:val="auto"/>
        </w:rPr>
        <w:t>000</w:t>
      </w:r>
      <w:r>
        <w:rPr>
          <w:rFonts w:hint="eastAsia"/>
          <w:color w:val="auto"/>
        </w:rPr>
        <w:t>kV</w:t>
      </w:r>
      <w:r>
        <w:rPr>
          <w:color w:val="auto"/>
        </w:rPr>
        <w:t xml:space="preserve"> </w:t>
      </w:r>
      <w:r>
        <w:rPr>
          <w:rFonts w:hint="eastAsia"/>
          <w:color w:val="auto"/>
        </w:rPr>
        <w:t>A变压器工作正常，按照三级配电原则，完成施工区域用电配置。</w:t>
      </w:r>
    </w:p>
    <w:p>
      <w:pPr>
        <w:ind w:firstLine="480"/>
        <w:rPr>
          <w:color w:val="auto"/>
        </w:rPr>
      </w:pPr>
      <w:r>
        <w:rPr>
          <w:rFonts w:hint="eastAsia"/>
          <w:color w:val="auto"/>
        </w:rPr>
        <w:t>为避免突发停电造成不利影响，额外配置3</w:t>
      </w:r>
      <w:r>
        <w:rPr>
          <w:color w:val="auto"/>
        </w:rPr>
        <w:t>00</w:t>
      </w:r>
      <w:r>
        <w:rPr>
          <w:rFonts w:hint="eastAsia"/>
          <w:color w:val="auto"/>
        </w:rPr>
        <w:t>kW的柴油发电机作为备用电源。</w:t>
      </w:r>
    </w:p>
    <w:p>
      <w:pPr>
        <w:pStyle w:val="5"/>
        <w:spacing w:before="156" w:after="156"/>
        <w:rPr>
          <w:color w:val="auto"/>
        </w:rPr>
      </w:pPr>
      <w:bookmarkStart w:id="122" w:name="_Toc121759992"/>
      <w:bookmarkStart w:id="123" w:name="_Toc108095453"/>
      <w:r>
        <w:rPr>
          <w:rFonts w:hint="eastAsia"/>
          <w:color w:val="auto"/>
        </w:rPr>
        <w:t>人员准备</w:t>
      </w:r>
      <w:bookmarkEnd w:id="122"/>
      <w:bookmarkEnd w:id="123"/>
    </w:p>
    <w:p>
      <w:pPr>
        <w:ind w:firstLine="480"/>
        <w:rPr>
          <w:color w:val="auto"/>
          <w:lang w:bidi="ar"/>
        </w:rPr>
      </w:pPr>
      <w:r>
        <w:rPr>
          <w:rFonts w:hint="eastAsia"/>
          <w:color w:val="auto"/>
          <w:lang w:bidi="ar"/>
        </w:rPr>
        <w:t>安拆作业人员以及电工、焊工等辅助作业人员必须持有“建筑施工特种作业操作资格证”，必须熟悉产品和说明书；</w:t>
      </w:r>
    </w:p>
    <w:p>
      <w:pPr>
        <w:ind w:firstLine="480"/>
        <w:rPr>
          <w:color w:val="auto"/>
        </w:rPr>
      </w:pPr>
      <w:r>
        <w:rPr>
          <w:rFonts w:hint="eastAsia"/>
          <w:color w:val="auto"/>
          <w:lang w:bidi="ar"/>
        </w:rPr>
        <w:t>安拆作业人员应至少包括指挥人员（负责统一指挥），两名安拆操作工，一名电工和一名焊接工人。所有安拆作业人员进场作业前都应进行体检、安全培训教育、安全技术交底。</w:t>
      </w:r>
    </w:p>
    <w:p>
      <w:pPr>
        <w:pStyle w:val="4"/>
        <w:spacing w:before="156" w:after="156"/>
        <w:rPr>
          <w:color w:val="auto"/>
        </w:rPr>
      </w:pPr>
      <w:bookmarkStart w:id="124" w:name="_Toc14477"/>
      <w:bookmarkStart w:id="125" w:name="_Toc24606"/>
      <w:bookmarkStart w:id="126" w:name="_Toc40778439"/>
      <w:bookmarkStart w:id="127" w:name="_Toc21364"/>
      <w:bookmarkStart w:id="128" w:name="_Toc55223364"/>
      <w:bookmarkStart w:id="129" w:name="_Toc121759993"/>
      <w:bookmarkStart w:id="130" w:name="_Toc29750"/>
      <w:bookmarkStart w:id="131" w:name="_Toc7048"/>
      <w:r>
        <w:rPr>
          <w:rFonts w:hint="eastAsia"/>
          <w:color w:val="auto"/>
        </w:rPr>
        <w:t>工艺流程</w:t>
      </w:r>
      <w:bookmarkEnd w:id="124"/>
      <w:bookmarkEnd w:id="125"/>
      <w:bookmarkEnd w:id="126"/>
      <w:bookmarkEnd w:id="127"/>
      <w:bookmarkEnd w:id="128"/>
      <w:bookmarkEnd w:id="129"/>
      <w:bookmarkEnd w:id="130"/>
      <w:bookmarkEnd w:id="131"/>
    </w:p>
    <w:p>
      <w:pPr>
        <w:ind w:firstLine="480"/>
        <w:rPr>
          <w:color w:val="auto"/>
        </w:rPr>
      </w:pPr>
      <w:r>
        <w:rPr>
          <w:rFonts w:hint="eastAsia"/>
          <w:color w:val="auto"/>
        </w:rPr>
        <w:t>施工升降机安装流程见下图。</w:t>
      </w:r>
    </w:p>
    <w:p>
      <w:pPr>
        <w:ind w:firstLine="480"/>
        <w:jc w:val="center"/>
        <w:rPr>
          <w:color w:val="auto"/>
        </w:rPr>
      </w:pPr>
      <w:r>
        <w:rPr>
          <w:color w:val="auto"/>
        </w:rPr>
        <w:object>
          <v:shape id="_x0000_i1025" o:spt="75" type="#_x0000_t75" style="height:396.05pt;width:211.6pt;" o:ole="t" filled="f" o:preferrelative="t" stroked="f" coordsize="21600,21600">
            <v:path/>
            <v:fill on="f" focussize="0,0"/>
            <v:stroke on="f"/>
            <v:imagedata r:id="rId47" o:title=""/>
            <o:lock v:ext="edit" aspectratio="t"/>
            <w10:wrap type="none"/>
            <w10:anchorlock/>
          </v:shape>
          <o:OLEObject Type="Embed" ProgID="Visio.Drawing.15" ShapeID="_x0000_i1025" DrawAspect="Content" ObjectID="_1468075725" r:id="rId46">
            <o:LockedField>false</o:LockedField>
          </o:OLEObject>
        </w:object>
      </w:r>
    </w:p>
    <w:p>
      <w:pPr>
        <w:pStyle w:val="61"/>
        <w:rPr>
          <w:color w:val="auto"/>
        </w:rPr>
      </w:pPr>
      <w:r>
        <w:rPr>
          <w:rFonts w:hint="eastAsia"/>
          <w:color w:val="auto"/>
        </w:rPr>
        <w:t>图</w:t>
      </w:r>
      <w:r>
        <w:rPr>
          <w:color w:val="auto"/>
        </w:rPr>
        <w:fldChar w:fldCharType="begin"/>
      </w:r>
      <w:r>
        <w:rPr>
          <w:color w:val="auto"/>
        </w:rPr>
        <w:instrText xml:space="preserve"> </w:instrText>
      </w:r>
      <w:r>
        <w:rPr>
          <w:rFonts w:hint="eastAsia"/>
          <w:color w:val="auto"/>
        </w:rPr>
        <w:instrText xml:space="preserve">STYLEREF 2 \s</w:instrText>
      </w:r>
      <w:r>
        <w:rPr>
          <w:color w:val="auto"/>
        </w:rPr>
        <w:instrText xml:space="preserve"> </w:instrText>
      </w:r>
      <w:r>
        <w:rPr>
          <w:color w:val="auto"/>
        </w:rPr>
        <w:fldChar w:fldCharType="separate"/>
      </w:r>
      <w:r>
        <w:rPr>
          <w:color w:val="auto"/>
        </w:rPr>
        <w:t>4.4</w:t>
      </w:r>
      <w:r>
        <w:rPr>
          <w:color w:val="auto"/>
        </w:rPr>
        <w:fldChar w:fldCharType="end"/>
      </w:r>
      <w:r>
        <w:rPr>
          <w:color w:val="auto"/>
        </w:rPr>
        <w:noBreakHyphen/>
      </w:r>
      <w:r>
        <w:rPr>
          <w:color w:val="auto"/>
        </w:rPr>
        <w:fldChar w:fldCharType="begin"/>
      </w:r>
      <w:r>
        <w:rPr>
          <w:color w:val="auto"/>
        </w:rPr>
        <w:instrText xml:space="preserve"> </w:instrText>
      </w:r>
      <w:r>
        <w:rPr>
          <w:rFonts w:hint="eastAsia"/>
          <w:color w:val="auto"/>
        </w:rPr>
        <w:instrText xml:space="preserve">SEQ 图** \* ARABIC \s 2</w:instrText>
      </w:r>
      <w:r>
        <w:rPr>
          <w:color w:val="auto"/>
        </w:rPr>
        <w:instrText xml:space="preserve">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施工升降机安装流程图</w:t>
      </w:r>
    </w:p>
    <w:p>
      <w:pPr>
        <w:pStyle w:val="4"/>
        <w:spacing w:before="156" w:after="156"/>
        <w:rPr>
          <w:color w:val="auto"/>
        </w:rPr>
      </w:pPr>
      <w:bookmarkStart w:id="132" w:name="_Toc55223365"/>
      <w:bookmarkStart w:id="133" w:name="_Toc121759994"/>
      <w:bookmarkStart w:id="134" w:name="_Toc19280"/>
      <w:bookmarkStart w:id="135" w:name="_Toc24247"/>
      <w:bookmarkStart w:id="136" w:name="_Toc663"/>
      <w:bookmarkStart w:id="137" w:name="_Toc14138"/>
      <w:bookmarkStart w:id="138" w:name="_Toc19383"/>
      <w:bookmarkStart w:id="139" w:name="_Toc40778440"/>
      <w:r>
        <w:rPr>
          <w:rFonts w:hint="eastAsia"/>
          <w:color w:val="auto"/>
        </w:rPr>
        <w:t>施工方法</w:t>
      </w:r>
      <w:bookmarkEnd w:id="132"/>
      <w:bookmarkEnd w:id="133"/>
      <w:bookmarkEnd w:id="134"/>
      <w:bookmarkEnd w:id="135"/>
      <w:bookmarkEnd w:id="136"/>
    </w:p>
    <w:bookmarkEnd w:id="137"/>
    <w:bookmarkEnd w:id="138"/>
    <w:bookmarkEnd w:id="139"/>
    <w:p>
      <w:pPr>
        <w:pStyle w:val="5"/>
        <w:numPr>
          <w:ilvl w:val="2"/>
          <w:numId w:val="1"/>
        </w:numPr>
        <w:spacing w:before="156" w:after="156"/>
        <w:rPr>
          <w:color w:val="auto"/>
        </w:rPr>
      </w:pPr>
      <w:bookmarkStart w:id="140" w:name="_Toc121759995"/>
      <w:r>
        <w:rPr>
          <w:rFonts w:hint="eastAsia"/>
          <w:color w:val="auto"/>
          <w:szCs w:val="24"/>
        </w:rPr>
        <w:t>设备</w:t>
      </w:r>
      <w:r>
        <w:rPr>
          <w:color w:val="auto"/>
          <w:szCs w:val="24"/>
        </w:rPr>
        <w:t>安装</w:t>
      </w:r>
      <w:bookmarkEnd w:id="140"/>
    </w:p>
    <w:p>
      <w:pPr>
        <w:ind w:firstLine="480"/>
        <w:rPr>
          <w:color w:val="auto"/>
        </w:rPr>
      </w:pPr>
      <w:bookmarkStart w:id="141" w:name="_Toc9620"/>
      <w:bookmarkStart w:id="142" w:name="_Toc17357"/>
      <w:bookmarkStart w:id="143" w:name="_Toc10609"/>
      <w:bookmarkStart w:id="144" w:name="_Toc22024"/>
      <w:bookmarkStart w:id="145" w:name="_Toc15639"/>
      <w:bookmarkStart w:id="146" w:name="_Hlk120704487"/>
      <w:r>
        <w:rPr>
          <w:rFonts w:hint="eastAsia"/>
          <w:color w:val="auto"/>
        </w:rPr>
        <w:t>（1）安装前的准备</w:t>
      </w:r>
      <w:bookmarkEnd w:id="141"/>
      <w:bookmarkEnd w:id="142"/>
      <w:bookmarkEnd w:id="143"/>
      <w:bookmarkEnd w:id="144"/>
      <w:bookmarkEnd w:id="145"/>
    </w:p>
    <w:p>
      <w:pPr>
        <w:ind w:firstLine="480"/>
        <w:rPr>
          <w:color w:val="auto"/>
        </w:rPr>
      </w:pPr>
      <w:r>
        <w:rPr>
          <w:rFonts w:hint="eastAsia"/>
          <w:color w:val="auto"/>
        </w:rPr>
        <w:t>1、技术准备</w:t>
      </w:r>
    </w:p>
    <w:p>
      <w:pPr>
        <w:ind w:firstLine="480"/>
        <w:rPr>
          <w:rFonts w:ascii="宋体" w:hAnsi="宋体" w:cs="宋体"/>
          <w:color w:val="auto"/>
          <w:szCs w:val="24"/>
        </w:rPr>
      </w:pPr>
      <w:r>
        <w:rPr>
          <w:rFonts w:hint="eastAsia" w:ascii="宋体" w:hAnsi="宋体" w:cs="宋体"/>
          <w:color w:val="auto"/>
          <w:szCs w:val="24"/>
        </w:rPr>
        <w:t xml:space="preserve">a.设备首次安装前必须进行全面检查，设备转场安装前必须进行全面的维护和保养。 </w:t>
      </w:r>
    </w:p>
    <w:p>
      <w:pPr>
        <w:ind w:firstLine="480"/>
        <w:rPr>
          <w:rFonts w:ascii="宋体" w:hAnsi="宋体" w:cs="宋体"/>
          <w:color w:val="auto"/>
          <w:szCs w:val="24"/>
        </w:rPr>
      </w:pPr>
      <w:r>
        <w:rPr>
          <w:rFonts w:hint="eastAsia" w:ascii="宋体" w:hAnsi="宋体" w:cs="宋体"/>
          <w:color w:val="auto"/>
          <w:szCs w:val="24"/>
        </w:rPr>
        <w:t>b.设备使用单位根据设备说明书、规范标准及现场实际编制设备基础制作方案，且经设备使用单位技术负责人、现场监理审批；设备安装单位根据设备说明书、规范标准及现场实际编制安装、附着加节、拆除三个专项方案，且经设备安装单位技术负责人、现场监理审批。</w:t>
      </w:r>
    </w:p>
    <w:p>
      <w:pPr>
        <w:ind w:firstLine="480"/>
        <w:rPr>
          <w:rFonts w:ascii="宋体" w:hAnsi="宋体" w:cs="宋体"/>
          <w:color w:val="auto"/>
          <w:szCs w:val="24"/>
        </w:rPr>
      </w:pPr>
      <w:r>
        <w:rPr>
          <w:rFonts w:hint="eastAsia" w:ascii="宋体" w:hAnsi="宋体" w:cs="宋体"/>
          <w:color w:val="auto"/>
          <w:szCs w:val="24"/>
        </w:rPr>
        <w:t>c.本工程所用的施工升降机为斜梯的型式，其斜度为89.27°，即</w:t>
      </w:r>
      <w:r>
        <w:rPr>
          <w:rFonts w:hint="eastAsia" w:ascii="宋体" w:hAnsi="宋体" w:cs="宋体"/>
          <w:color w:val="auto"/>
          <w:szCs w:val="24"/>
          <w:lang w:eastAsia="zh-CN"/>
        </w:rPr>
        <w:t>施工升降机</w:t>
      </w:r>
      <w:r>
        <w:rPr>
          <w:rFonts w:hint="eastAsia" w:ascii="宋体" w:hAnsi="宋体" w:cs="宋体"/>
          <w:color w:val="auto"/>
          <w:szCs w:val="24"/>
        </w:rPr>
        <w:t>倾斜0.73°。</w:t>
      </w:r>
    </w:p>
    <w:p>
      <w:pPr>
        <w:ind w:firstLine="480"/>
        <w:rPr>
          <w:color w:val="auto"/>
        </w:rPr>
      </w:pPr>
      <w:r>
        <w:rPr>
          <w:rFonts w:hint="eastAsia"/>
          <w:color w:val="auto"/>
        </w:rPr>
        <w:t>2、基础准备</w:t>
      </w:r>
    </w:p>
    <w:p>
      <w:pPr>
        <w:ind w:firstLine="480"/>
        <w:rPr>
          <w:rFonts w:ascii="宋体" w:hAnsi="宋体" w:cs="宋体"/>
          <w:color w:val="auto"/>
          <w:szCs w:val="24"/>
        </w:rPr>
      </w:pPr>
      <w:r>
        <w:rPr>
          <w:rFonts w:hint="eastAsia" w:ascii="宋体" w:hAnsi="宋体" w:cs="宋体"/>
          <w:color w:val="auto"/>
          <w:szCs w:val="24"/>
        </w:rPr>
        <w:t>根据SC型施工升降机吊笼规格及安装要求，按“使用说明书”并结合工地实际情况，选择升降机的安装位置，按相应技术要求由土建单位设计制作升降机基础，要求基础平台能承受总自重2倍以上的静压力，并应有排水设施。</w:t>
      </w:r>
    </w:p>
    <w:p>
      <w:pPr>
        <w:ind w:firstLine="480"/>
        <w:rPr>
          <w:rFonts w:ascii="宋体" w:hAnsi="宋体" w:cs="宋体"/>
          <w:color w:val="auto"/>
          <w:szCs w:val="24"/>
        </w:rPr>
      </w:pPr>
      <w:r>
        <w:rPr>
          <w:rFonts w:hint="eastAsia" w:ascii="宋体" w:hAnsi="宋体" w:cs="宋体"/>
          <w:color w:val="auto"/>
          <w:szCs w:val="24"/>
        </w:rPr>
        <w:t>a.升降机的基础应满足说明书各项要求外,还必须符合当地的安全法规。</w:t>
      </w:r>
    </w:p>
    <w:p>
      <w:pPr>
        <w:ind w:firstLine="480"/>
        <w:rPr>
          <w:rFonts w:ascii="宋体" w:hAnsi="宋体" w:cs="宋体"/>
          <w:color w:val="auto"/>
          <w:szCs w:val="24"/>
        </w:rPr>
      </w:pPr>
      <w:r>
        <w:rPr>
          <w:rFonts w:hint="eastAsia" w:ascii="宋体" w:hAnsi="宋体" w:cs="宋体"/>
          <w:color w:val="auto"/>
          <w:szCs w:val="24"/>
        </w:rPr>
        <w:t>b.基础所承受的载荷不得小于P。</w:t>
      </w:r>
    </w:p>
    <w:p>
      <w:pPr>
        <w:ind w:firstLine="480"/>
        <w:rPr>
          <w:rFonts w:ascii="宋体" w:hAnsi="宋体" w:cs="宋体"/>
          <w:color w:val="auto"/>
          <w:szCs w:val="24"/>
        </w:rPr>
      </w:pPr>
      <w:r>
        <w:rPr>
          <w:rFonts w:hint="eastAsia" w:ascii="宋体" w:hAnsi="宋体" w:cs="宋体"/>
          <w:color w:val="auto"/>
          <w:szCs w:val="24"/>
        </w:rPr>
        <w:t>c.基础水平度不大于1/1000。</w:t>
      </w:r>
    </w:p>
    <w:p>
      <w:pPr>
        <w:ind w:firstLine="480"/>
        <w:rPr>
          <w:color w:val="auto"/>
        </w:rPr>
      </w:pPr>
      <w:r>
        <w:rPr>
          <w:rFonts w:hint="eastAsia"/>
          <w:color w:val="auto"/>
        </w:rPr>
        <w:t>3、安装场地的清理</w:t>
      </w:r>
    </w:p>
    <w:p>
      <w:pPr>
        <w:ind w:firstLine="480"/>
        <w:rPr>
          <w:rFonts w:ascii="宋体" w:hAnsi="宋体" w:cs="宋体"/>
          <w:color w:val="auto"/>
          <w:szCs w:val="24"/>
        </w:rPr>
      </w:pPr>
      <w:r>
        <w:rPr>
          <w:rFonts w:hint="eastAsia" w:ascii="宋体" w:hAnsi="宋体" w:cs="宋体"/>
          <w:color w:val="auto"/>
          <w:szCs w:val="24"/>
        </w:rPr>
        <w:t>a.清理足够大的专用安装场地。</w:t>
      </w:r>
    </w:p>
    <w:p>
      <w:pPr>
        <w:ind w:firstLine="480"/>
        <w:rPr>
          <w:rFonts w:ascii="宋体" w:hAnsi="宋体" w:cs="宋体"/>
          <w:color w:val="auto"/>
          <w:szCs w:val="24"/>
        </w:rPr>
      </w:pPr>
      <w:r>
        <w:rPr>
          <w:rFonts w:hint="eastAsia" w:ascii="宋体" w:hAnsi="宋体" w:cs="宋体"/>
          <w:color w:val="auto"/>
          <w:szCs w:val="24"/>
        </w:rPr>
        <w:t>b.安装场地应清理干净，并用标志杆围起来，禁止非工作人员入内。</w:t>
      </w:r>
    </w:p>
    <w:p>
      <w:pPr>
        <w:ind w:firstLine="480"/>
        <w:rPr>
          <w:rFonts w:ascii="宋体" w:hAnsi="宋体" w:cs="宋体"/>
          <w:color w:val="auto"/>
          <w:szCs w:val="24"/>
        </w:rPr>
      </w:pPr>
      <w:r>
        <w:rPr>
          <w:rFonts w:hint="eastAsia" w:ascii="宋体" w:hAnsi="宋体" w:cs="宋体"/>
          <w:color w:val="auto"/>
          <w:szCs w:val="24"/>
        </w:rPr>
        <w:t>c.防止安装地点上方掉落物体，必要时加安全网。</w:t>
      </w:r>
    </w:p>
    <w:p>
      <w:pPr>
        <w:ind w:firstLine="439" w:firstLineChars="183"/>
        <w:rPr>
          <w:color w:val="auto"/>
        </w:rPr>
      </w:pPr>
      <w:r>
        <w:rPr>
          <w:color w:val="auto"/>
        </w:rPr>
        <w:t>4</w:t>
      </w:r>
      <w:r>
        <w:rPr>
          <w:rFonts w:hint="eastAsia"/>
          <w:color w:val="auto"/>
        </w:rPr>
        <w:t>、安装前各作业人员熟记安全技术要求如下：</w:t>
      </w:r>
    </w:p>
    <w:p>
      <w:pPr>
        <w:ind w:firstLine="480"/>
        <w:rPr>
          <w:rFonts w:ascii="宋体" w:hAnsi="宋体" w:cs="宋体"/>
          <w:color w:val="auto"/>
          <w:szCs w:val="24"/>
        </w:rPr>
      </w:pPr>
      <w:r>
        <w:rPr>
          <w:rFonts w:hint="eastAsia" w:ascii="宋体" w:hAnsi="宋体" w:cs="宋体"/>
          <w:color w:val="auto"/>
          <w:szCs w:val="24"/>
        </w:rPr>
        <w:t>a.安装前须先熟悉本工程的工作环境。</w:t>
      </w:r>
    </w:p>
    <w:p>
      <w:pPr>
        <w:ind w:firstLine="480"/>
        <w:rPr>
          <w:rFonts w:ascii="宋体" w:hAnsi="宋体" w:cs="宋体"/>
          <w:color w:val="auto"/>
          <w:szCs w:val="24"/>
        </w:rPr>
      </w:pPr>
      <w:r>
        <w:rPr>
          <w:rFonts w:hint="eastAsia" w:ascii="宋体" w:hAnsi="宋体" w:cs="宋体"/>
          <w:color w:val="auto"/>
          <w:szCs w:val="24"/>
        </w:rPr>
        <w:t>b.安装过程中必须有专业人员负责统一指挥。</w:t>
      </w:r>
    </w:p>
    <w:p>
      <w:pPr>
        <w:ind w:firstLine="480"/>
        <w:rPr>
          <w:rFonts w:ascii="宋体" w:hAnsi="宋体" w:cs="宋体"/>
          <w:color w:val="auto"/>
          <w:szCs w:val="24"/>
        </w:rPr>
      </w:pPr>
      <w:r>
        <w:rPr>
          <w:rFonts w:hint="eastAsia" w:ascii="宋体" w:hAnsi="宋体" w:cs="宋体"/>
          <w:color w:val="auto"/>
          <w:szCs w:val="24"/>
        </w:rPr>
        <w:t>c.升降机运行时，人员的头、手绝不能露出安全栏外。</w:t>
      </w:r>
    </w:p>
    <w:p>
      <w:pPr>
        <w:ind w:firstLine="480"/>
        <w:rPr>
          <w:rFonts w:ascii="宋体" w:hAnsi="宋体" w:cs="宋体"/>
          <w:color w:val="auto"/>
          <w:szCs w:val="24"/>
        </w:rPr>
      </w:pPr>
      <w:r>
        <w:rPr>
          <w:rFonts w:hint="eastAsia" w:ascii="宋体" w:hAnsi="宋体" w:cs="宋体"/>
          <w:color w:val="auto"/>
          <w:szCs w:val="24"/>
        </w:rPr>
        <w:t>d.如果有人在导轨架上或附墙架上工作时，绝对不允许开动升降机，当吊笼运行时严禁进入外笼内。</w:t>
      </w:r>
    </w:p>
    <w:p>
      <w:pPr>
        <w:ind w:firstLine="480"/>
        <w:rPr>
          <w:rFonts w:ascii="宋体" w:hAnsi="宋体" w:cs="宋体"/>
          <w:color w:val="auto"/>
          <w:szCs w:val="24"/>
        </w:rPr>
      </w:pPr>
      <w:r>
        <w:rPr>
          <w:rFonts w:hint="eastAsia" w:ascii="宋体" w:hAnsi="宋体" w:cs="宋体"/>
          <w:color w:val="auto"/>
          <w:szCs w:val="24"/>
        </w:rPr>
        <w:t>e.吊笼上的零部件必须放置平稳，不得露出安全栏外。</w:t>
      </w:r>
    </w:p>
    <w:p>
      <w:pPr>
        <w:ind w:firstLine="480"/>
        <w:rPr>
          <w:rFonts w:ascii="宋体" w:hAnsi="宋体" w:cs="宋体"/>
          <w:color w:val="auto"/>
          <w:szCs w:val="24"/>
        </w:rPr>
      </w:pPr>
      <w:r>
        <w:rPr>
          <w:rFonts w:hint="eastAsia" w:ascii="宋体" w:hAnsi="宋体" w:cs="宋体"/>
          <w:color w:val="auto"/>
          <w:szCs w:val="24"/>
        </w:rPr>
        <w:t>f.利用吊杆进行安装时，不允许超载，吊杆只用来安装和拆卸升降机零部件，不得用于其它用途。</w:t>
      </w:r>
    </w:p>
    <w:p>
      <w:pPr>
        <w:ind w:firstLine="480"/>
        <w:rPr>
          <w:rFonts w:ascii="宋体" w:hAnsi="宋体" w:cs="宋体"/>
          <w:color w:val="auto"/>
          <w:szCs w:val="24"/>
        </w:rPr>
      </w:pPr>
      <w:r>
        <w:rPr>
          <w:rFonts w:hint="eastAsia" w:ascii="宋体" w:hAnsi="宋体" w:cs="宋体"/>
          <w:color w:val="auto"/>
          <w:szCs w:val="24"/>
        </w:rPr>
        <w:t>g.吊杆上有悬挂物时，不得开动吊笼。</w:t>
      </w:r>
    </w:p>
    <w:p>
      <w:pPr>
        <w:ind w:firstLine="480"/>
        <w:rPr>
          <w:rFonts w:ascii="宋体" w:hAnsi="宋体" w:cs="宋体"/>
          <w:color w:val="auto"/>
          <w:szCs w:val="24"/>
        </w:rPr>
      </w:pPr>
      <w:r>
        <w:rPr>
          <w:rFonts w:hint="eastAsia" w:ascii="宋体" w:hAnsi="宋体" w:cs="宋体"/>
          <w:color w:val="auto"/>
          <w:szCs w:val="24"/>
        </w:rPr>
        <w:t>h.安装作业人员应按空中作业的安全要求，包括必须戴安全帽、系安全带、穿防滑鞋等，不要穿过于宽松的衣物，应穿工作服，以免被卷入运行部件中，发生安全事故。</w:t>
      </w:r>
    </w:p>
    <w:p>
      <w:pPr>
        <w:ind w:firstLine="480"/>
        <w:rPr>
          <w:rFonts w:ascii="宋体" w:hAnsi="宋体" w:cs="宋体"/>
          <w:color w:val="auto"/>
          <w:szCs w:val="24"/>
        </w:rPr>
      </w:pPr>
      <w:r>
        <w:rPr>
          <w:rFonts w:hint="eastAsia" w:ascii="宋体" w:hAnsi="宋体" w:cs="宋体"/>
          <w:color w:val="auto"/>
          <w:szCs w:val="24"/>
        </w:rPr>
        <w:t>i.安装过程中，必须笼顶操作，不允许笼内操作。</w:t>
      </w:r>
    </w:p>
    <w:p>
      <w:pPr>
        <w:ind w:firstLine="480"/>
        <w:rPr>
          <w:rFonts w:ascii="宋体" w:hAnsi="宋体" w:cs="宋体"/>
          <w:color w:val="auto"/>
          <w:szCs w:val="24"/>
        </w:rPr>
      </w:pPr>
      <w:r>
        <w:rPr>
          <w:rFonts w:hint="eastAsia" w:ascii="宋体" w:hAnsi="宋体" w:cs="宋体"/>
          <w:color w:val="auto"/>
          <w:szCs w:val="24"/>
        </w:rPr>
        <w:t>j.吊笼启动前应先进行全面检查，确保升降机运行通道无障碍，消除所有不安全隐患。</w:t>
      </w:r>
    </w:p>
    <w:p>
      <w:pPr>
        <w:ind w:firstLine="480"/>
        <w:rPr>
          <w:rFonts w:ascii="宋体" w:hAnsi="宋体" w:cs="宋体"/>
          <w:color w:val="auto"/>
          <w:szCs w:val="24"/>
        </w:rPr>
      </w:pPr>
      <w:r>
        <w:rPr>
          <w:rFonts w:hint="eastAsia" w:ascii="宋体" w:hAnsi="宋体" w:cs="宋体"/>
          <w:color w:val="auto"/>
          <w:szCs w:val="24"/>
        </w:rPr>
        <w:t>k.安装运行时，绝对不允许超过额定安装载重量。</w:t>
      </w:r>
    </w:p>
    <w:p>
      <w:pPr>
        <w:ind w:firstLine="480"/>
        <w:rPr>
          <w:rFonts w:ascii="宋体" w:hAnsi="宋体" w:cs="宋体"/>
          <w:color w:val="auto"/>
          <w:szCs w:val="24"/>
        </w:rPr>
      </w:pPr>
      <w:r>
        <w:rPr>
          <w:rFonts w:hint="eastAsia" w:ascii="宋体" w:hAnsi="宋体" w:cs="宋体"/>
          <w:color w:val="auto"/>
          <w:szCs w:val="24"/>
        </w:rPr>
        <w:t>l.雷雨天、雪天或风速超过13m/s的恶劣天气下不能进行安装作业。</w:t>
      </w:r>
    </w:p>
    <w:p>
      <w:pPr>
        <w:ind w:firstLine="480"/>
        <w:rPr>
          <w:rFonts w:ascii="宋体" w:hAnsi="宋体" w:cs="宋体"/>
          <w:color w:val="auto"/>
          <w:szCs w:val="24"/>
        </w:rPr>
      </w:pPr>
      <w:r>
        <w:rPr>
          <w:rFonts w:hint="eastAsia" w:ascii="宋体" w:hAnsi="宋体" w:cs="宋体"/>
          <w:color w:val="auto"/>
          <w:szCs w:val="24"/>
        </w:rPr>
        <w:t>m.严禁夜间进行安装作业。</w:t>
      </w:r>
    </w:p>
    <w:p>
      <w:pPr>
        <w:ind w:firstLine="480"/>
        <w:rPr>
          <w:rFonts w:ascii="宋体" w:hAnsi="宋体" w:cs="宋体"/>
          <w:color w:val="auto"/>
          <w:szCs w:val="24"/>
        </w:rPr>
      </w:pPr>
      <w:r>
        <w:rPr>
          <w:rFonts w:hint="eastAsia" w:ascii="宋体" w:hAnsi="宋体" w:cs="宋体"/>
          <w:color w:val="auto"/>
          <w:szCs w:val="24"/>
        </w:rPr>
        <w:t>n.安装作业时，应防止安装地点上方掉落物体，必要时加安全网，避免高空多层交叉作业。</w:t>
      </w:r>
    </w:p>
    <w:p>
      <w:pPr>
        <w:ind w:firstLine="480"/>
        <w:rPr>
          <w:color w:val="auto"/>
        </w:rPr>
      </w:pPr>
      <w:r>
        <w:rPr>
          <w:rFonts w:hint="eastAsia"/>
          <w:color w:val="auto"/>
        </w:rPr>
        <w:t>4、安装过程中注意的质量技术要求如下：</w:t>
      </w:r>
    </w:p>
    <w:p>
      <w:pPr>
        <w:ind w:firstLine="480"/>
        <w:rPr>
          <w:rFonts w:ascii="宋体" w:hAnsi="宋体" w:cs="宋体"/>
          <w:color w:val="auto"/>
          <w:szCs w:val="24"/>
        </w:rPr>
      </w:pPr>
      <w:r>
        <w:rPr>
          <w:rFonts w:hint="eastAsia" w:ascii="宋体" w:hAnsi="宋体" w:cs="宋体"/>
          <w:color w:val="auto"/>
          <w:szCs w:val="24"/>
        </w:rPr>
        <w:t>a.安装标准节必须注意：</w:t>
      </w:r>
    </w:p>
    <w:p>
      <w:pPr>
        <w:ind w:firstLine="480"/>
        <w:rPr>
          <w:rFonts w:ascii="宋体" w:hAnsi="宋体" w:cs="宋体"/>
          <w:color w:val="auto"/>
          <w:szCs w:val="24"/>
        </w:rPr>
      </w:pPr>
      <w:r>
        <w:rPr>
          <w:rFonts w:hint="eastAsia" w:ascii="宋体" w:hAnsi="宋体" w:cs="宋体"/>
          <w:color w:val="auto"/>
          <w:szCs w:val="24"/>
        </w:rPr>
        <w:t>① 拧紧所有标准节螺栓；</w:t>
      </w:r>
    </w:p>
    <w:p>
      <w:pPr>
        <w:ind w:firstLine="480"/>
        <w:rPr>
          <w:rFonts w:ascii="宋体" w:hAnsi="宋体" w:cs="宋体"/>
          <w:color w:val="auto"/>
          <w:szCs w:val="24"/>
        </w:rPr>
      </w:pPr>
      <w:r>
        <w:rPr>
          <w:rFonts w:hint="eastAsia" w:ascii="宋体" w:hAnsi="宋体" w:cs="宋体"/>
          <w:color w:val="auto"/>
          <w:szCs w:val="24"/>
        </w:rPr>
        <w:t>② 注意各标准节接口之间的间隙；</w:t>
      </w:r>
    </w:p>
    <w:p>
      <w:pPr>
        <w:ind w:firstLine="480"/>
        <w:rPr>
          <w:rFonts w:ascii="宋体" w:hAnsi="宋体" w:cs="宋体"/>
          <w:color w:val="auto"/>
          <w:szCs w:val="24"/>
        </w:rPr>
      </w:pPr>
      <w:r>
        <w:rPr>
          <w:rFonts w:hint="eastAsia" w:ascii="宋体" w:hAnsi="宋体" w:cs="宋体"/>
          <w:color w:val="auto"/>
          <w:szCs w:val="24"/>
        </w:rPr>
        <w:t>③ 安装时绝对不允许超过额定安装载重量；</w:t>
      </w:r>
    </w:p>
    <w:p>
      <w:pPr>
        <w:ind w:firstLine="480"/>
        <w:rPr>
          <w:rFonts w:ascii="宋体" w:hAnsi="宋体" w:cs="宋体"/>
          <w:color w:val="auto"/>
          <w:szCs w:val="24"/>
        </w:rPr>
      </w:pPr>
      <w:r>
        <w:rPr>
          <w:rFonts w:hint="eastAsia" w:ascii="宋体" w:hAnsi="宋体" w:cs="宋体"/>
          <w:color w:val="auto"/>
          <w:szCs w:val="24"/>
        </w:rPr>
        <w:t>④ 严禁夜间作业和酒后作业。</w:t>
      </w:r>
    </w:p>
    <w:p>
      <w:pPr>
        <w:ind w:firstLine="480"/>
        <w:rPr>
          <w:rFonts w:ascii="宋体" w:hAnsi="宋体" w:cs="宋体"/>
          <w:color w:val="auto"/>
          <w:szCs w:val="24"/>
        </w:rPr>
      </w:pPr>
      <w:r>
        <w:rPr>
          <w:rFonts w:hint="eastAsia" w:ascii="宋体" w:hAnsi="宋体" w:cs="宋体"/>
          <w:color w:val="auto"/>
          <w:szCs w:val="24"/>
        </w:rPr>
        <w:t>b.安装附墙架时必须要注意：</w:t>
      </w:r>
    </w:p>
    <w:p>
      <w:pPr>
        <w:ind w:firstLine="480"/>
        <w:rPr>
          <w:rFonts w:ascii="宋体" w:hAnsi="宋体" w:cs="宋体"/>
          <w:color w:val="auto"/>
          <w:szCs w:val="24"/>
        </w:rPr>
      </w:pPr>
      <w:r>
        <w:rPr>
          <w:rFonts w:hint="eastAsia" w:ascii="宋体" w:hAnsi="宋体" w:cs="宋体"/>
          <w:color w:val="auto"/>
          <w:szCs w:val="24"/>
        </w:rPr>
        <w:t>① 拧紧所有螺栓，开口销必须张开；</w:t>
      </w:r>
    </w:p>
    <w:p>
      <w:pPr>
        <w:ind w:firstLine="480"/>
        <w:rPr>
          <w:rFonts w:ascii="宋体" w:hAnsi="宋体" w:cs="宋体"/>
          <w:color w:val="auto"/>
          <w:szCs w:val="24"/>
        </w:rPr>
      </w:pPr>
      <w:r>
        <w:rPr>
          <w:rFonts w:hint="eastAsia" w:ascii="宋体" w:hAnsi="宋体" w:cs="宋体"/>
          <w:color w:val="auto"/>
          <w:szCs w:val="24"/>
        </w:rPr>
        <w:t>②、附墙间距不得大于10.5m，最大悬高不得超过7.5m。</w:t>
      </w:r>
    </w:p>
    <w:p>
      <w:pPr>
        <w:ind w:firstLine="480"/>
        <w:rPr>
          <w:rFonts w:ascii="宋体" w:hAnsi="宋体" w:cs="宋体"/>
          <w:color w:val="auto"/>
          <w:szCs w:val="24"/>
        </w:rPr>
      </w:pPr>
      <w:r>
        <w:rPr>
          <w:rFonts w:hint="eastAsia" w:ascii="宋体" w:hAnsi="宋体" w:cs="宋体"/>
          <w:color w:val="auto"/>
          <w:szCs w:val="24"/>
        </w:rPr>
        <w:t>c.安装电缆装置必须注意事项：</w:t>
      </w:r>
    </w:p>
    <w:p>
      <w:pPr>
        <w:ind w:firstLine="480"/>
        <w:rPr>
          <w:rFonts w:ascii="宋体" w:hAnsi="宋体" w:cs="宋体"/>
          <w:color w:val="auto"/>
          <w:szCs w:val="24"/>
        </w:rPr>
      </w:pPr>
      <w:r>
        <w:rPr>
          <w:rFonts w:hint="eastAsia" w:ascii="宋体" w:hAnsi="宋体" w:cs="宋体"/>
          <w:color w:val="auto"/>
          <w:szCs w:val="24"/>
        </w:rPr>
        <w:t>① 注意电缆的保护，防止划破漏电电人现象；</w:t>
      </w:r>
    </w:p>
    <w:p>
      <w:pPr>
        <w:ind w:firstLine="480"/>
        <w:rPr>
          <w:rFonts w:ascii="宋体" w:hAnsi="宋体" w:cs="宋体"/>
          <w:color w:val="auto"/>
          <w:szCs w:val="24"/>
        </w:rPr>
      </w:pPr>
      <w:r>
        <w:rPr>
          <w:rFonts w:hint="eastAsia" w:ascii="宋体" w:hAnsi="宋体" w:cs="宋体"/>
          <w:color w:val="auto"/>
          <w:szCs w:val="24"/>
        </w:rPr>
        <w:t>② 试运行电缆装置的小车是否正常；</w:t>
      </w:r>
    </w:p>
    <w:p>
      <w:pPr>
        <w:ind w:firstLine="480"/>
        <w:rPr>
          <w:rFonts w:ascii="宋体" w:hAnsi="宋体" w:cs="宋体"/>
          <w:color w:val="auto"/>
          <w:szCs w:val="24"/>
        </w:rPr>
      </w:pPr>
      <w:r>
        <w:rPr>
          <w:rFonts w:hint="eastAsia" w:ascii="宋体" w:hAnsi="宋体" w:cs="宋体"/>
          <w:color w:val="auto"/>
          <w:szCs w:val="24"/>
        </w:rPr>
        <w:t>③ 电缆小车轮是否灵活，中间挑线架安装位置是否合理，尼龙轮导向是否正常。</w:t>
      </w:r>
    </w:p>
    <w:p>
      <w:pPr>
        <w:ind w:firstLine="480"/>
        <w:rPr>
          <w:rFonts w:ascii="宋体" w:hAnsi="宋体" w:cs="宋体"/>
          <w:color w:val="auto"/>
          <w:szCs w:val="24"/>
        </w:rPr>
      </w:pPr>
      <w:r>
        <w:rPr>
          <w:rFonts w:hint="eastAsia" w:ascii="宋体" w:hAnsi="宋体" w:cs="宋体"/>
          <w:color w:val="auto"/>
          <w:szCs w:val="24"/>
        </w:rPr>
        <w:t>④升降机运行前，应首先保证接地装置与升降机金属结构联通，接地电阻≤4Ω。</w:t>
      </w:r>
    </w:p>
    <w:p>
      <w:pPr>
        <w:ind w:firstLine="480"/>
        <w:rPr>
          <w:rFonts w:ascii="宋体" w:hAnsi="宋体" w:cs="宋体"/>
          <w:color w:val="auto"/>
          <w:szCs w:val="24"/>
        </w:rPr>
      </w:pPr>
      <w:r>
        <w:rPr>
          <w:rFonts w:hint="eastAsia" w:ascii="宋体" w:hAnsi="宋体" w:cs="宋体"/>
          <w:color w:val="auto"/>
          <w:szCs w:val="24"/>
        </w:rPr>
        <w:t>⑤安装及加高完毕立即对导轨架等部位润滑。</w:t>
      </w:r>
    </w:p>
    <w:p>
      <w:pPr>
        <w:ind w:firstLine="480"/>
        <w:rPr>
          <w:color w:val="auto"/>
        </w:rPr>
      </w:pPr>
      <w:r>
        <w:rPr>
          <w:rFonts w:hint="eastAsia"/>
          <w:color w:val="auto"/>
        </w:rPr>
        <w:t>5、安装前技术交底</w:t>
      </w:r>
    </w:p>
    <w:p>
      <w:pPr>
        <w:ind w:firstLine="480"/>
        <w:rPr>
          <w:rFonts w:ascii="宋体" w:hAnsi="宋体" w:cs="宋体"/>
          <w:color w:val="auto"/>
        </w:rPr>
      </w:pPr>
      <w:r>
        <w:rPr>
          <w:rFonts w:hint="eastAsia" w:ascii="宋体" w:hAnsi="宋体" w:cs="宋体"/>
          <w:color w:val="auto"/>
          <w:szCs w:val="24"/>
        </w:rPr>
        <w:t>设备安装前，安装单位应对本单位参与安装的特种设备人员进行技术交底，然后使用单位再对安装单位参与此次安装的相关人员进行技术及安全交底</w:t>
      </w:r>
    </w:p>
    <w:p>
      <w:pPr>
        <w:tabs>
          <w:tab w:val="left" w:pos="868"/>
          <w:tab w:val="left" w:pos="2520"/>
        </w:tabs>
        <w:spacing w:line="480" w:lineRule="exact"/>
        <w:ind w:firstLine="480"/>
        <w:jc w:val="center"/>
        <w:rPr>
          <w:rFonts w:ascii="宋体" w:hAnsi="宋体" w:cs="宋体"/>
          <w:bCs/>
          <w:color w:val="auto"/>
          <w:szCs w:val="24"/>
        </w:rPr>
      </w:pPr>
      <w:r>
        <w:rPr>
          <w:rFonts w:hint="eastAsia" w:ascii="宋体" w:hAnsi="宋体" w:cs="宋体"/>
          <w:bCs/>
          <w:color w:val="auto"/>
          <w:szCs w:val="24"/>
        </w:rPr>
        <w:t>施工升降机安拆安全技术交底</w:t>
      </w:r>
    </w:p>
    <w:tbl>
      <w:tblPr>
        <w:tblStyle w:val="44"/>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241"/>
        <w:gridCol w:w="2033"/>
        <w:gridCol w:w="1396"/>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1447" w:type="dxa"/>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工程名称</w:t>
            </w:r>
          </w:p>
        </w:tc>
        <w:tc>
          <w:tcPr>
            <w:tcW w:w="2274" w:type="dxa"/>
            <w:gridSpan w:val="2"/>
            <w:vAlign w:val="center"/>
          </w:tcPr>
          <w:p>
            <w:pPr>
              <w:pStyle w:val="54"/>
              <w:ind w:firstLine="420"/>
              <w:jc w:val="both"/>
              <w:rPr>
                <w:rFonts w:ascii="宋体" w:hAnsi="宋体" w:cs="宋体"/>
                <w:b w:val="0"/>
                <w:color w:val="auto"/>
                <w:sz w:val="21"/>
              </w:rPr>
            </w:pPr>
            <w:r>
              <w:rPr>
                <w:rFonts w:hint="eastAsia" w:ascii="宋体" w:hAnsi="宋体" w:cs="宋体"/>
                <w:b w:val="0"/>
                <w:color w:val="auto"/>
                <w:sz w:val="21"/>
                <w:lang w:eastAsia="zh-CN"/>
              </w:rPr>
              <w:t>梧州-玉林-钦州公路（苍梧至容县段）</w:t>
            </w:r>
            <w:r>
              <w:rPr>
                <w:rFonts w:hint="eastAsia" w:ascii="宋体" w:hAnsi="宋体" w:cs="宋体"/>
                <w:b w:val="0"/>
                <w:color w:val="auto"/>
                <w:sz w:val="21"/>
              </w:rPr>
              <w:t>工程</w:t>
            </w:r>
          </w:p>
        </w:tc>
        <w:tc>
          <w:tcPr>
            <w:tcW w:w="1396" w:type="dxa"/>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施工单位</w:t>
            </w:r>
          </w:p>
        </w:tc>
        <w:tc>
          <w:tcPr>
            <w:tcW w:w="3421" w:type="dxa"/>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中交第二航务工程局有限公司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47" w:type="dxa"/>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分项工程名称</w:t>
            </w:r>
          </w:p>
        </w:tc>
        <w:tc>
          <w:tcPr>
            <w:tcW w:w="2274" w:type="dxa"/>
            <w:gridSpan w:val="2"/>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施工升降机安装</w:t>
            </w:r>
          </w:p>
        </w:tc>
        <w:tc>
          <w:tcPr>
            <w:tcW w:w="1396" w:type="dxa"/>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安装单位</w:t>
            </w:r>
          </w:p>
        </w:tc>
        <w:tc>
          <w:tcPr>
            <w:tcW w:w="3421" w:type="dxa"/>
          </w:tcPr>
          <w:p>
            <w:pPr>
              <w:spacing w:line="400" w:lineRule="exact"/>
              <w:ind w:firstLine="420"/>
              <w:jc w:val="center"/>
              <w:rPr>
                <w:rFonts w:ascii="宋体" w:hAnsi="宋体" w:cs="宋体"/>
                <w:color w:val="auto"/>
                <w:sz w:val="21"/>
              </w:rPr>
            </w:pPr>
            <w:r>
              <w:rPr>
                <w:rFonts w:hint="eastAsia" w:ascii="宋体" w:hAnsi="宋体" w:cs="宋体"/>
                <w:color w:val="auto"/>
                <w:sz w:val="21"/>
              </w:rPr>
              <w:t>重庆钱桥建筑设备租赁有限公司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2" w:hRule="atLeast"/>
          <w:jc w:val="center"/>
        </w:trPr>
        <w:tc>
          <w:tcPr>
            <w:tcW w:w="8538" w:type="dxa"/>
            <w:gridSpan w:val="5"/>
          </w:tcPr>
          <w:p>
            <w:pPr>
              <w:spacing w:line="400" w:lineRule="exact"/>
              <w:ind w:firstLine="420"/>
              <w:rPr>
                <w:rFonts w:ascii="宋体" w:hAnsi="宋体" w:cs="宋体"/>
                <w:color w:val="auto"/>
                <w:sz w:val="21"/>
              </w:rPr>
            </w:pPr>
            <w:r>
              <w:rPr>
                <w:rFonts w:hint="eastAsia" w:ascii="宋体" w:hAnsi="宋体" w:cs="宋体"/>
                <w:color w:val="auto"/>
                <w:sz w:val="21"/>
              </w:rPr>
              <w:t>交底内容:</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lang w:eastAsia="zh-CN"/>
              </w:rPr>
              <w:t>施工升降机</w:t>
            </w:r>
            <w:r>
              <w:rPr>
                <w:rFonts w:hint="eastAsia" w:ascii="宋体" w:hAnsi="宋体" w:cs="宋体"/>
                <w:color w:val="auto"/>
                <w:sz w:val="21"/>
              </w:rPr>
              <w:t>的拆装作业须在白天进行,如需加快进度,可在具备良好照明条件的夜间做一些拼装工作。不得在大风、浓雾和雪雨天进行。</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在拆装作业前，必须对索具、滑轮和钢丝绳等部件进行周密检查，并根据需要进行必须的荷载试验。</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拆装用的钢丝绳及其联接和固定，必须符合标准和满足安装的要求。</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在进行构组拼或部件安装之前，必须符合标准和满足安装的要求。</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在架设过程中，结构和钢线形绳的受力在立梯初始阶段最为不利。在拆装过程中，以井架即将完全卧倒时受力最大，必须缓慢进行，并加强主要部位的检查和观察。</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在拆装作业过程中，如突然停电、机械故障、天气骤变等情况已不能继续作业或作业时间已到需要停休时，必须使施工</w:t>
            </w:r>
            <w:r>
              <w:rPr>
                <w:rFonts w:hint="eastAsia" w:ascii="宋体" w:hAnsi="宋体" w:cs="宋体"/>
                <w:color w:val="auto"/>
                <w:sz w:val="21"/>
                <w:lang w:eastAsia="zh-CN"/>
              </w:rPr>
              <w:t>施工升降机</w:t>
            </w:r>
            <w:r>
              <w:rPr>
                <w:rFonts w:hint="eastAsia" w:ascii="宋体" w:hAnsi="宋体" w:cs="宋体"/>
                <w:color w:val="auto"/>
                <w:sz w:val="21"/>
              </w:rPr>
              <w:t>已安装拆卸的部位达到稳定状态并已锁固牢靠。</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安装时应按安装要求使用规定的螺栓、销、轴等联接件，螺栓紧固时应符合规定的预紧力，螺栓、销、轴都要有可靠的防松或保护装置。</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在安装施工</w:t>
            </w:r>
            <w:r>
              <w:rPr>
                <w:rFonts w:hint="eastAsia" w:ascii="宋体" w:hAnsi="宋体" w:cs="宋体"/>
                <w:color w:val="auto"/>
                <w:sz w:val="21"/>
                <w:lang w:eastAsia="zh-CN"/>
              </w:rPr>
              <w:t>施工升降机</w:t>
            </w:r>
            <w:r>
              <w:rPr>
                <w:rFonts w:hint="eastAsia" w:ascii="宋体" w:hAnsi="宋体" w:cs="宋体"/>
                <w:color w:val="auto"/>
                <w:sz w:val="21"/>
              </w:rPr>
              <w:t>时，必须将各部位的栏杆平台护栏等安全装置装齐。</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在拆除因损坏而不能用正常方法拆卸施工</w:t>
            </w:r>
            <w:r>
              <w:rPr>
                <w:rFonts w:hint="eastAsia" w:ascii="宋体" w:hAnsi="宋体" w:cs="宋体"/>
                <w:color w:val="auto"/>
                <w:sz w:val="21"/>
                <w:lang w:eastAsia="zh-CN"/>
              </w:rPr>
              <w:t>施工升降机</w:t>
            </w:r>
            <w:r>
              <w:rPr>
                <w:rFonts w:hint="eastAsia" w:ascii="宋体" w:hAnsi="宋体" w:cs="宋体"/>
                <w:color w:val="auto"/>
                <w:sz w:val="21"/>
              </w:rPr>
              <w:t>时，必须有经技术部门批准，确保安全的拆卸方案。</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安装作业的程序、辅助设备、索具、工具均应遵照该机使用文说明书或参照标准安装工艺执行。</w:t>
            </w:r>
          </w:p>
          <w:p>
            <w:pPr>
              <w:widowControl/>
              <w:numPr>
                <w:ilvl w:val="0"/>
                <w:numId w:val="9"/>
              </w:numPr>
              <w:spacing w:line="400" w:lineRule="exact"/>
              <w:ind w:firstLine="420" w:firstLineChars="0"/>
              <w:rPr>
                <w:rFonts w:ascii="宋体" w:hAnsi="宋体" w:cs="宋体"/>
                <w:color w:val="auto"/>
                <w:sz w:val="21"/>
              </w:rPr>
            </w:pPr>
            <w:r>
              <w:rPr>
                <w:rFonts w:hint="eastAsia" w:ascii="宋体" w:hAnsi="宋体" w:cs="宋体"/>
                <w:color w:val="auto"/>
                <w:sz w:val="21"/>
              </w:rPr>
              <w:t>安拆施工现场必须划定作业区域，并在四周增设围栏、悬挂警告标牌。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9" w:hRule="atLeast"/>
          <w:jc w:val="center"/>
        </w:trPr>
        <w:tc>
          <w:tcPr>
            <w:tcW w:w="1688" w:type="dxa"/>
            <w:gridSpan w:val="2"/>
          </w:tcPr>
          <w:p>
            <w:pPr>
              <w:spacing w:line="400" w:lineRule="exact"/>
              <w:ind w:firstLine="420"/>
              <w:rPr>
                <w:rFonts w:ascii="宋体" w:hAnsi="宋体" w:cs="宋体"/>
                <w:color w:val="auto"/>
                <w:sz w:val="21"/>
              </w:rPr>
            </w:pPr>
            <w:r>
              <w:rPr>
                <w:rFonts w:hint="eastAsia" w:ascii="宋体" w:hAnsi="宋体" w:cs="宋体"/>
                <w:color w:val="auto"/>
                <w:sz w:val="21"/>
              </w:rPr>
              <w:t>交底人：</w:t>
            </w:r>
          </w:p>
          <w:p>
            <w:pPr>
              <w:spacing w:line="400" w:lineRule="exact"/>
              <w:ind w:firstLine="420"/>
              <w:rPr>
                <w:rFonts w:ascii="宋体" w:hAnsi="宋体" w:cs="宋体"/>
                <w:color w:val="auto"/>
                <w:sz w:val="21"/>
              </w:rPr>
            </w:pPr>
          </w:p>
        </w:tc>
        <w:tc>
          <w:tcPr>
            <w:tcW w:w="6850" w:type="dxa"/>
            <w:gridSpan w:val="3"/>
          </w:tcPr>
          <w:p>
            <w:pPr>
              <w:spacing w:line="400" w:lineRule="exact"/>
              <w:ind w:firstLine="420"/>
              <w:rPr>
                <w:rFonts w:ascii="宋体" w:hAnsi="宋体" w:cs="宋体"/>
                <w:color w:val="auto"/>
                <w:sz w:val="21"/>
              </w:rPr>
            </w:pPr>
            <w:r>
              <w:rPr>
                <w:rFonts w:hint="eastAsia" w:ascii="宋体" w:hAnsi="宋体" w:cs="宋体"/>
                <w:color w:val="auto"/>
                <w:sz w:val="21"/>
              </w:rPr>
              <w:t>接受人：</w:t>
            </w:r>
          </w:p>
          <w:p>
            <w:pPr>
              <w:spacing w:line="400" w:lineRule="exact"/>
              <w:ind w:firstLine="420"/>
              <w:rPr>
                <w:rFonts w:ascii="宋体" w:hAnsi="宋体" w:cs="宋体"/>
                <w:color w:val="auto"/>
                <w:sz w:val="21"/>
              </w:rPr>
            </w:pPr>
          </w:p>
          <w:p>
            <w:pPr>
              <w:spacing w:line="400" w:lineRule="exact"/>
              <w:ind w:firstLine="420"/>
              <w:rPr>
                <w:rFonts w:ascii="宋体" w:hAnsi="宋体" w:cs="宋体"/>
                <w:color w:val="auto"/>
                <w:sz w:val="21"/>
              </w:rPr>
            </w:pPr>
          </w:p>
          <w:p>
            <w:pPr>
              <w:spacing w:line="400" w:lineRule="exact"/>
              <w:ind w:left="1985" w:leftChars="827" w:firstLine="2415" w:firstLineChars="1150"/>
              <w:rPr>
                <w:rFonts w:ascii="宋体" w:hAnsi="宋体" w:cs="宋体"/>
                <w:color w:val="auto"/>
                <w:sz w:val="21"/>
              </w:rPr>
            </w:pPr>
            <w:r>
              <w:rPr>
                <w:rFonts w:hint="eastAsia" w:ascii="宋体" w:hAnsi="宋体" w:cs="宋体"/>
                <w:color w:val="auto"/>
                <w:sz w:val="21"/>
              </w:rPr>
              <w:t>年  月  日</w:t>
            </w:r>
          </w:p>
        </w:tc>
      </w:tr>
    </w:tbl>
    <w:p>
      <w:pPr>
        <w:ind w:firstLine="480"/>
        <w:rPr>
          <w:color w:val="auto"/>
        </w:rPr>
      </w:pPr>
      <w:r>
        <w:rPr>
          <w:rFonts w:hint="eastAsia"/>
          <w:color w:val="auto"/>
        </w:rPr>
        <w:t>6、安装前构配件进场验收</w:t>
      </w:r>
    </w:p>
    <w:p>
      <w:pPr>
        <w:ind w:firstLine="480"/>
        <w:rPr>
          <w:rFonts w:ascii="宋体" w:hAnsi="宋体" w:cs="宋体"/>
          <w:color w:val="auto"/>
        </w:rPr>
      </w:pPr>
      <w:bookmarkStart w:id="147" w:name="_Toc8039"/>
      <w:bookmarkStart w:id="148" w:name="_Toc505617765"/>
      <w:bookmarkStart w:id="149" w:name="_Toc505613525"/>
      <w:bookmarkStart w:id="150" w:name="_Toc505615462"/>
      <w:bookmarkStart w:id="151" w:name="_Toc505612980"/>
      <w:bookmarkStart w:id="152" w:name="_Toc505078201"/>
      <w:bookmarkStart w:id="153" w:name="_Toc505617230"/>
      <w:bookmarkStart w:id="154" w:name="_Toc505615997"/>
      <w:bookmarkStart w:id="155" w:name="_Toc505612448"/>
      <w:bookmarkStart w:id="156" w:name="_Toc505614060"/>
      <w:bookmarkStart w:id="157" w:name="_Toc505618300"/>
      <w:bookmarkStart w:id="158" w:name="_Toc20603862"/>
      <w:r>
        <w:rPr>
          <w:rFonts w:hint="eastAsia" w:ascii="宋体" w:hAnsi="宋体" w:cs="宋体"/>
          <w:color w:val="auto"/>
          <w:szCs w:val="24"/>
          <w:lang w:eastAsia="zh-CN"/>
        </w:rPr>
        <w:t>施工升降机</w:t>
      </w:r>
      <w:r>
        <w:rPr>
          <w:rFonts w:hint="eastAsia" w:ascii="宋体" w:hAnsi="宋体" w:cs="宋体"/>
          <w:color w:val="auto"/>
          <w:szCs w:val="24"/>
        </w:rPr>
        <w:t>安装之前，必须确保各个构配件齐全完整，需组织租赁单位、安装单位、施工单位进行验收，验收内容如下表：</w:t>
      </w:r>
      <w:bookmarkEnd w:id="147"/>
    </w:p>
    <w:p>
      <w:pPr>
        <w:tabs>
          <w:tab w:val="left" w:pos="1567"/>
        </w:tabs>
        <w:spacing w:line="240" w:lineRule="auto"/>
        <w:ind w:firstLine="480"/>
        <w:jc w:val="center"/>
        <w:rPr>
          <w:rFonts w:ascii="宋体" w:hAnsi="宋体" w:cs="宋体"/>
          <w:color w:val="auto"/>
        </w:rPr>
      </w:pPr>
      <w:r>
        <w:rPr>
          <w:rFonts w:hint="eastAsia" w:ascii="宋体" w:hAnsi="宋体" w:cs="宋体"/>
          <w:color w:val="auto"/>
        </w:rPr>
        <w:t>施工升降机构配件进场验收表</w:t>
      </w:r>
    </w:p>
    <w:p>
      <w:pPr>
        <w:tabs>
          <w:tab w:val="left" w:pos="1567"/>
        </w:tabs>
        <w:spacing w:line="240" w:lineRule="auto"/>
        <w:ind w:firstLine="7200" w:firstLineChars="3000"/>
        <w:rPr>
          <w:rFonts w:ascii="宋体" w:hAnsi="宋体" w:cs="宋体"/>
          <w:color w:val="auto"/>
        </w:rPr>
      </w:pPr>
      <w:r>
        <w:rPr>
          <w:rFonts w:hint="eastAsia" w:ascii="宋体" w:hAnsi="宋体" w:cs="宋体"/>
          <w:color w:val="auto"/>
        </w:rPr>
        <w:t>编号：</w:t>
      </w:r>
    </w:p>
    <w:tbl>
      <w:tblPr>
        <w:tblStyle w:val="44"/>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474"/>
        <w:gridCol w:w="1147"/>
        <w:gridCol w:w="715"/>
        <w:gridCol w:w="1131"/>
        <w:gridCol w:w="1467"/>
        <w:gridCol w:w="1000"/>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50" w:type="dxa"/>
            <w:gridSpan w:val="2"/>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工程名称</w:t>
            </w:r>
          </w:p>
        </w:tc>
        <w:tc>
          <w:tcPr>
            <w:tcW w:w="1862" w:type="dxa"/>
            <w:gridSpan w:val="2"/>
            <w:noWrap/>
            <w:vAlign w:val="center"/>
          </w:tcPr>
          <w:p>
            <w:pPr>
              <w:spacing w:line="240" w:lineRule="auto"/>
              <w:ind w:firstLine="420"/>
              <w:jc w:val="center"/>
              <w:rPr>
                <w:rFonts w:ascii="宋体" w:hAnsi="宋体" w:cs="宋体"/>
                <w:color w:val="auto"/>
                <w:sz w:val="21"/>
              </w:rPr>
            </w:pPr>
            <w:r>
              <w:rPr>
                <w:rFonts w:hint="eastAsia" w:ascii="宋体" w:hAnsi="宋体" w:cs="宋体"/>
                <w:color w:val="auto"/>
                <w:sz w:val="21"/>
                <w:lang w:eastAsia="zh-CN"/>
              </w:rPr>
              <w:t>梧州-玉林-钦州公路（苍梧至容县段）</w:t>
            </w:r>
            <w:r>
              <w:rPr>
                <w:rFonts w:hint="eastAsia" w:ascii="宋体" w:hAnsi="宋体" w:cs="宋体"/>
                <w:color w:val="auto"/>
                <w:sz w:val="21"/>
              </w:rPr>
              <w:t>工程</w:t>
            </w:r>
          </w:p>
        </w:tc>
        <w:tc>
          <w:tcPr>
            <w:tcW w:w="1131" w:type="dxa"/>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墩号</w:t>
            </w:r>
          </w:p>
        </w:tc>
        <w:tc>
          <w:tcPr>
            <w:tcW w:w="1467" w:type="dxa"/>
            <w:noWrap/>
            <w:vAlign w:val="center"/>
          </w:tcPr>
          <w:p>
            <w:pPr>
              <w:spacing w:line="400" w:lineRule="exact"/>
              <w:ind w:firstLine="420"/>
              <w:jc w:val="center"/>
              <w:rPr>
                <w:rFonts w:ascii="宋体" w:hAnsi="宋体" w:cs="宋体"/>
                <w:color w:val="auto"/>
                <w:sz w:val="21"/>
              </w:rPr>
            </w:pPr>
          </w:p>
        </w:tc>
        <w:tc>
          <w:tcPr>
            <w:tcW w:w="1000" w:type="dxa"/>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备案编号</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150" w:type="dxa"/>
            <w:gridSpan w:val="2"/>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设备型号</w:t>
            </w:r>
          </w:p>
        </w:tc>
        <w:tc>
          <w:tcPr>
            <w:tcW w:w="1862" w:type="dxa"/>
            <w:gridSpan w:val="2"/>
            <w:noWrap/>
            <w:vAlign w:val="center"/>
          </w:tcPr>
          <w:p>
            <w:pPr>
              <w:spacing w:line="400" w:lineRule="exact"/>
              <w:ind w:firstLine="420"/>
              <w:jc w:val="center"/>
              <w:rPr>
                <w:rFonts w:hint="default" w:ascii="宋体" w:hAnsi="宋体" w:eastAsia="宋体" w:cs="宋体"/>
                <w:color w:val="auto"/>
                <w:sz w:val="21"/>
                <w:lang w:val="en-US" w:eastAsia="zh-CN"/>
              </w:rPr>
            </w:pPr>
            <w:r>
              <w:rPr>
                <w:rFonts w:hint="eastAsia" w:ascii="宋体" w:hAnsi="宋体" w:cs="宋体"/>
                <w:color w:val="auto"/>
                <w:sz w:val="21"/>
              </w:rPr>
              <w:t>SC200</w:t>
            </w:r>
            <w:r>
              <w:rPr>
                <w:rFonts w:hint="eastAsia" w:ascii="宋体" w:hAnsi="宋体" w:cs="宋体"/>
                <w:color w:val="auto"/>
                <w:sz w:val="21"/>
                <w:lang w:val="en-US" w:eastAsia="zh-CN"/>
              </w:rPr>
              <w:t>/SC200</w:t>
            </w:r>
          </w:p>
        </w:tc>
        <w:tc>
          <w:tcPr>
            <w:tcW w:w="1131" w:type="dxa"/>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产权备案号</w:t>
            </w:r>
          </w:p>
        </w:tc>
        <w:tc>
          <w:tcPr>
            <w:tcW w:w="1467" w:type="dxa"/>
            <w:noWrap/>
            <w:vAlign w:val="center"/>
          </w:tcPr>
          <w:p>
            <w:pPr>
              <w:spacing w:line="400" w:lineRule="exact"/>
              <w:ind w:firstLine="420"/>
              <w:jc w:val="center"/>
              <w:rPr>
                <w:rFonts w:ascii="宋体" w:hAnsi="宋体" w:cs="宋体"/>
                <w:color w:val="auto"/>
                <w:sz w:val="21"/>
              </w:rPr>
            </w:pPr>
          </w:p>
        </w:tc>
        <w:tc>
          <w:tcPr>
            <w:tcW w:w="1000" w:type="dxa"/>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登记编号</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150" w:type="dxa"/>
            <w:gridSpan w:val="2"/>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验收单位</w:t>
            </w:r>
          </w:p>
        </w:tc>
        <w:tc>
          <w:tcPr>
            <w:tcW w:w="1862" w:type="dxa"/>
            <w:gridSpan w:val="2"/>
            <w:noWrap/>
            <w:vAlign w:val="center"/>
          </w:tcPr>
          <w:p>
            <w:pPr>
              <w:spacing w:line="240" w:lineRule="auto"/>
              <w:ind w:firstLine="420"/>
              <w:jc w:val="center"/>
              <w:rPr>
                <w:rFonts w:ascii="宋体" w:hAnsi="宋体" w:cs="宋体"/>
                <w:color w:val="auto"/>
                <w:sz w:val="21"/>
              </w:rPr>
            </w:pPr>
            <w:r>
              <w:rPr>
                <w:rFonts w:hint="eastAsia" w:ascii="宋体" w:hAnsi="宋体" w:cs="宋体"/>
                <w:color w:val="auto"/>
                <w:sz w:val="21"/>
              </w:rPr>
              <w:t>中交第二航务工程局有限公司</w:t>
            </w:r>
          </w:p>
        </w:tc>
        <w:tc>
          <w:tcPr>
            <w:tcW w:w="1131" w:type="dxa"/>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验收日期</w:t>
            </w:r>
          </w:p>
        </w:tc>
        <w:tc>
          <w:tcPr>
            <w:tcW w:w="1467" w:type="dxa"/>
            <w:noWrap/>
            <w:vAlign w:val="center"/>
          </w:tcPr>
          <w:p>
            <w:pPr>
              <w:spacing w:line="400" w:lineRule="exact"/>
              <w:ind w:firstLine="420"/>
              <w:jc w:val="center"/>
              <w:rPr>
                <w:rFonts w:ascii="宋体" w:hAnsi="宋体" w:cs="宋体"/>
                <w:color w:val="auto"/>
                <w:sz w:val="21"/>
              </w:rPr>
            </w:pPr>
          </w:p>
        </w:tc>
        <w:tc>
          <w:tcPr>
            <w:tcW w:w="1000" w:type="dxa"/>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验收人员</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676" w:type="dxa"/>
            <w:noWrap/>
            <w:vAlign w:val="center"/>
          </w:tcPr>
          <w:p>
            <w:pPr>
              <w:spacing w:line="400" w:lineRule="exact"/>
              <w:ind w:left="0" w:leftChars="0" w:firstLine="0" w:firstLineChars="0"/>
              <w:jc w:val="both"/>
              <w:rPr>
                <w:rFonts w:ascii="宋体" w:hAnsi="宋体" w:cs="宋体"/>
                <w:color w:val="auto"/>
                <w:sz w:val="21"/>
              </w:rPr>
            </w:pPr>
            <w:r>
              <w:rPr>
                <w:rFonts w:hint="eastAsia" w:ascii="宋体" w:hAnsi="宋体" w:cs="宋体"/>
                <w:color w:val="auto"/>
                <w:sz w:val="21"/>
              </w:rPr>
              <w:t>序号</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验收内容</w:t>
            </w:r>
          </w:p>
        </w:tc>
        <w:tc>
          <w:tcPr>
            <w:tcW w:w="4313" w:type="dxa"/>
            <w:gridSpan w:val="4"/>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技术要求</w:t>
            </w:r>
          </w:p>
        </w:tc>
        <w:tc>
          <w:tcPr>
            <w:tcW w:w="1753"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验收结果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1</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安全系统</w:t>
            </w:r>
          </w:p>
        </w:tc>
        <w:tc>
          <w:tcPr>
            <w:tcW w:w="4313" w:type="dxa"/>
            <w:gridSpan w:val="4"/>
            <w:noWrap/>
            <w:vAlign w:val="center"/>
          </w:tcPr>
          <w:p>
            <w:pPr>
              <w:spacing w:line="240" w:lineRule="auto"/>
              <w:ind w:firstLine="420"/>
              <w:jc w:val="center"/>
              <w:rPr>
                <w:rFonts w:ascii="宋体" w:hAnsi="宋体" w:cs="宋体"/>
                <w:color w:val="auto"/>
                <w:sz w:val="21"/>
              </w:rPr>
            </w:pPr>
            <w:r>
              <w:rPr>
                <w:rFonts w:hint="eastAsia" w:ascii="宋体" w:hAnsi="宋体" w:cs="宋体"/>
                <w:color w:val="auto"/>
                <w:sz w:val="21"/>
              </w:rPr>
              <w:t>安全防坠器在有效标定期内、安全钩完好、起重量限制器、上、下限位开关，上、下极限限位装置及极限限位开关、防松绳开关、钢丝绳防脱装置、紧急断电开关，围栏门、吊笼机电联锁齐全、紧急出口安全开关、缓冲器</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2</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传动系统</w:t>
            </w:r>
          </w:p>
        </w:tc>
        <w:tc>
          <w:tcPr>
            <w:tcW w:w="4313" w:type="dxa"/>
            <w:gridSpan w:val="4"/>
            <w:noWrap/>
            <w:vAlign w:val="center"/>
          </w:tcPr>
          <w:p>
            <w:pPr>
              <w:spacing w:line="240" w:lineRule="auto"/>
              <w:ind w:firstLine="420"/>
              <w:jc w:val="center"/>
              <w:rPr>
                <w:rFonts w:ascii="宋体" w:hAnsi="宋体" w:cs="宋体"/>
                <w:color w:val="auto"/>
                <w:sz w:val="21"/>
              </w:rPr>
            </w:pPr>
            <w:r>
              <w:rPr>
                <w:rFonts w:hint="eastAsia" w:ascii="宋体" w:hAnsi="宋体" w:cs="宋体"/>
                <w:color w:val="auto"/>
                <w:sz w:val="21"/>
              </w:rPr>
              <w:t>钢丝绳、滑轮传动、制动器、离合器、齿轮、齿条等无磨损、无锈蚀、无破损</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exac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3</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连接螺栓、销轴</w:t>
            </w:r>
          </w:p>
        </w:tc>
        <w:tc>
          <w:tcPr>
            <w:tcW w:w="4313" w:type="dxa"/>
            <w:gridSpan w:val="4"/>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出具生产许可证、产品合格证和产品说明书</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4</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 xml:space="preserve"> 附墙架、导轨架</w:t>
            </w:r>
          </w:p>
        </w:tc>
        <w:tc>
          <w:tcPr>
            <w:tcW w:w="4313" w:type="dxa"/>
            <w:gridSpan w:val="4"/>
            <w:noWrap/>
            <w:vAlign w:val="center"/>
          </w:tcPr>
          <w:p>
            <w:pPr>
              <w:spacing w:line="240" w:lineRule="auto"/>
              <w:ind w:firstLine="420"/>
              <w:jc w:val="center"/>
              <w:rPr>
                <w:rFonts w:ascii="宋体" w:hAnsi="宋体" w:cs="宋体"/>
                <w:color w:val="auto"/>
                <w:sz w:val="21"/>
              </w:rPr>
            </w:pPr>
            <w:r>
              <w:rPr>
                <w:rFonts w:hint="eastAsia" w:ascii="宋体" w:hAnsi="宋体" w:cs="宋体"/>
                <w:color w:val="auto"/>
                <w:sz w:val="21"/>
              </w:rPr>
              <w:t>附着杆件应为原厂标准配件，无明显变形，无开焊、无裂纹</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5</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标准节</w:t>
            </w:r>
          </w:p>
        </w:tc>
        <w:tc>
          <w:tcPr>
            <w:tcW w:w="4313" w:type="dxa"/>
            <w:gridSpan w:val="4"/>
            <w:noWrap/>
            <w:vAlign w:val="center"/>
          </w:tcPr>
          <w:p>
            <w:pPr>
              <w:spacing w:line="240" w:lineRule="auto"/>
              <w:ind w:firstLine="420"/>
              <w:jc w:val="center"/>
              <w:rPr>
                <w:rFonts w:ascii="宋体" w:hAnsi="宋体" w:cs="宋体"/>
                <w:color w:val="auto"/>
                <w:sz w:val="21"/>
              </w:rPr>
            </w:pPr>
            <w:r>
              <w:rPr>
                <w:rFonts w:hint="eastAsia" w:ascii="宋体" w:hAnsi="宋体" w:cs="宋体"/>
                <w:color w:val="auto"/>
                <w:sz w:val="21"/>
              </w:rPr>
              <w:t>应为原厂同型号同批次配套标准产品、主要结构件应无明显塑性变形、疲劳裂纹、严重锈蚀和可见焊接缺陷</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6</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吊笼</w:t>
            </w:r>
          </w:p>
        </w:tc>
        <w:tc>
          <w:tcPr>
            <w:tcW w:w="4313" w:type="dxa"/>
            <w:gridSpan w:val="4"/>
            <w:noWrap/>
            <w:vAlign w:val="center"/>
          </w:tcPr>
          <w:p>
            <w:pPr>
              <w:spacing w:line="240" w:lineRule="auto"/>
              <w:ind w:firstLine="420"/>
              <w:jc w:val="center"/>
              <w:rPr>
                <w:rFonts w:ascii="宋体" w:hAnsi="宋体" w:cs="宋体"/>
                <w:color w:val="auto"/>
                <w:sz w:val="21"/>
              </w:rPr>
            </w:pPr>
            <w:r>
              <w:rPr>
                <w:rFonts w:hint="eastAsia" w:ascii="宋体" w:hAnsi="宋体" w:cs="宋体"/>
                <w:color w:val="auto"/>
                <w:sz w:val="21"/>
              </w:rPr>
              <w:t>结构无变形及严重锈蚀、吊笼顶部紧急逃离门、护栏应完好， 吊笼门开启正常</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7</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对重导轨</w:t>
            </w:r>
          </w:p>
        </w:tc>
        <w:tc>
          <w:tcPr>
            <w:tcW w:w="4313" w:type="dxa"/>
            <w:gridSpan w:val="4"/>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接缝平整，导向良好</w:t>
            </w: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76" w:type="dxa"/>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8</w:t>
            </w:r>
          </w:p>
        </w:tc>
        <w:tc>
          <w:tcPr>
            <w:tcW w:w="1621" w:type="dxa"/>
            <w:gridSpan w:val="2"/>
            <w:noWrap/>
            <w:vAlign w:val="center"/>
          </w:tcPr>
          <w:p>
            <w:pPr>
              <w:spacing w:line="400" w:lineRule="exact"/>
              <w:ind w:firstLine="420"/>
              <w:jc w:val="center"/>
              <w:rPr>
                <w:rFonts w:ascii="宋体" w:hAnsi="宋体" w:cs="宋体"/>
                <w:color w:val="auto"/>
                <w:sz w:val="21"/>
              </w:rPr>
            </w:pPr>
            <w:r>
              <w:rPr>
                <w:rFonts w:hint="eastAsia" w:ascii="宋体" w:hAnsi="宋体" w:cs="宋体"/>
                <w:color w:val="auto"/>
                <w:sz w:val="21"/>
              </w:rPr>
              <w:t>其他</w:t>
            </w:r>
          </w:p>
        </w:tc>
        <w:tc>
          <w:tcPr>
            <w:tcW w:w="4313" w:type="dxa"/>
            <w:gridSpan w:val="4"/>
            <w:noWrap/>
            <w:vAlign w:val="center"/>
          </w:tcPr>
          <w:p>
            <w:pPr>
              <w:spacing w:line="400" w:lineRule="exact"/>
              <w:ind w:firstLine="420"/>
              <w:jc w:val="center"/>
              <w:rPr>
                <w:rFonts w:ascii="宋体" w:hAnsi="宋体" w:cs="宋体"/>
                <w:color w:val="auto"/>
                <w:sz w:val="21"/>
              </w:rPr>
            </w:pPr>
          </w:p>
        </w:tc>
        <w:tc>
          <w:tcPr>
            <w:tcW w:w="1753" w:type="dxa"/>
            <w:noWrap/>
            <w:vAlign w:val="center"/>
          </w:tcPr>
          <w:p>
            <w:pPr>
              <w:spacing w:line="400" w:lineRule="exact"/>
              <w:ind w:firstLine="420"/>
              <w:jc w:val="center"/>
              <w:rPr>
                <w:rFonts w:ascii="宋体" w:hAnsi="宋体" w:cs="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4143" w:type="dxa"/>
            <w:gridSpan w:val="5"/>
            <w:noWrap/>
            <w:vAlign w:val="center"/>
          </w:tcPr>
          <w:p>
            <w:pPr>
              <w:spacing w:line="400" w:lineRule="exact"/>
              <w:ind w:firstLine="420"/>
              <w:rPr>
                <w:rFonts w:ascii="宋体" w:hAnsi="宋体" w:cs="宋体"/>
                <w:color w:val="auto"/>
                <w:sz w:val="21"/>
              </w:rPr>
            </w:pPr>
            <w:r>
              <w:rPr>
                <w:rFonts w:hint="eastAsia" w:ascii="宋体" w:hAnsi="宋体" w:cs="宋体"/>
                <w:color w:val="auto"/>
                <w:sz w:val="21"/>
              </w:rPr>
              <w:t>施工单位（签字盖章）：</w:t>
            </w:r>
          </w:p>
          <w:p>
            <w:pPr>
              <w:spacing w:line="400" w:lineRule="exact"/>
              <w:ind w:firstLine="420"/>
              <w:rPr>
                <w:rFonts w:ascii="宋体" w:hAnsi="宋体" w:cs="宋体"/>
                <w:color w:val="auto"/>
                <w:sz w:val="21"/>
              </w:rPr>
            </w:pPr>
          </w:p>
          <w:p>
            <w:pPr>
              <w:spacing w:line="400" w:lineRule="exact"/>
              <w:ind w:firstLine="420"/>
              <w:rPr>
                <w:rFonts w:ascii="宋体" w:hAnsi="宋体" w:cs="宋体"/>
                <w:color w:val="auto"/>
                <w:sz w:val="21"/>
              </w:rPr>
            </w:pPr>
          </w:p>
        </w:tc>
        <w:tc>
          <w:tcPr>
            <w:tcW w:w="4220" w:type="dxa"/>
            <w:gridSpan w:val="3"/>
            <w:noWrap/>
            <w:vAlign w:val="center"/>
          </w:tcPr>
          <w:p>
            <w:pPr>
              <w:spacing w:line="400" w:lineRule="exact"/>
              <w:ind w:firstLine="420"/>
              <w:rPr>
                <w:rFonts w:ascii="宋体" w:hAnsi="宋体" w:cs="宋体"/>
                <w:color w:val="auto"/>
                <w:sz w:val="21"/>
              </w:rPr>
            </w:pPr>
            <w:r>
              <w:rPr>
                <w:rFonts w:hint="eastAsia" w:ascii="宋体" w:hAnsi="宋体" w:cs="宋体"/>
                <w:color w:val="auto"/>
                <w:sz w:val="21"/>
              </w:rPr>
              <w:t>租赁单位（签字盖章）：</w:t>
            </w:r>
          </w:p>
          <w:p>
            <w:pPr>
              <w:spacing w:line="400" w:lineRule="exact"/>
              <w:ind w:firstLine="420"/>
              <w:rPr>
                <w:rFonts w:ascii="宋体" w:hAnsi="宋体" w:cs="宋体"/>
                <w:color w:val="auto"/>
                <w:sz w:val="21"/>
              </w:rPr>
            </w:pPr>
          </w:p>
          <w:p>
            <w:pPr>
              <w:spacing w:line="400" w:lineRule="exact"/>
              <w:ind w:firstLine="420"/>
              <w:rPr>
                <w:rFonts w:ascii="宋体" w:hAnsi="宋体" w:cs="宋体"/>
                <w:color w:val="auto"/>
                <w:sz w:val="21"/>
              </w:rPr>
            </w:pPr>
          </w:p>
        </w:tc>
      </w:tr>
      <w:bookmarkEnd w:id="148"/>
      <w:bookmarkEnd w:id="149"/>
      <w:bookmarkEnd w:id="150"/>
      <w:bookmarkEnd w:id="151"/>
      <w:bookmarkEnd w:id="152"/>
      <w:bookmarkEnd w:id="153"/>
      <w:bookmarkEnd w:id="154"/>
      <w:bookmarkEnd w:id="155"/>
      <w:bookmarkEnd w:id="156"/>
      <w:bookmarkEnd w:id="157"/>
    </w:tbl>
    <w:p>
      <w:pPr>
        <w:ind w:firstLine="480"/>
        <w:rPr>
          <w:color w:val="auto"/>
        </w:rPr>
      </w:pPr>
      <w:bookmarkStart w:id="159" w:name="_Toc8444"/>
      <w:bookmarkStart w:id="160" w:name="_Toc23651"/>
      <w:bookmarkStart w:id="161" w:name="_Toc20582"/>
      <w:bookmarkStart w:id="162" w:name="_Toc11827"/>
      <w:bookmarkStart w:id="163" w:name="_Toc27654"/>
      <w:r>
        <w:rPr>
          <w:rFonts w:hint="eastAsia"/>
          <w:color w:val="auto"/>
        </w:rPr>
        <w:t>（2）安装步骤</w:t>
      </w:r>
      <w:bookmarkEnd w:id="158"/>
      <w:bookmarkEnd w:id="159"/>
      <w:bookmarkEnd w:id="160"/>
      <w:bookmarkEnd w:id="161"/>
      <w:bookmarkEnd w:id="162"/>
      <w:bookmarkEnd w:id="163"/>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底架及标准节安装</w:t>
      </w:r>
    </w:p>
    <w:p>
      <w:pPr>
        <w:ind w:firstLine="480"/>
        <w:rPr>
          <w:color w:val="auto"/>
        </w:rPr>
      </w:pPr>
      <w:r>
        <w:rPr>
          <w:rFonts w:hint="eastAsia"/>
          <w:color w:val="auto"/>
        </w:rPr>
        <w:t>（1）承台施工完成后，将预埋螺栓处顶部混凝土清理干净，底架初步固定就位，测量人员采用全站仪进行校正。</w:t>
      </w:r>
    </w:p>
    <w:p>
      <w:pPr>
        <w:ind w:firstLine="480"/>
        <w:rPr>
          <w:color w:val="auto"/>
        </w:rPr>
      </w:pPr>
      <w:r>
        <w:rPr>
          <w:rFonts w:hint="eastAsia"/>
          <w:color w:val="auto"/>
        </w:rPr>
        <w:t>（2）测量人员采用水准仪测量底盘高程，可通过塞垫薄钢板确保底架倾斜角度与设计一致（确保导轨架与底架垂直），随后专业安装作业人员将底架与预埋螺栓连接，但暂不拧紧。</w:t>
      </w:r>
    </w:p>
    <w:p>
      <w:pPr>
        <w:ind w:firstLine="480"/>
        <w:rPr>
          <w:rFonts w:hint="eastAsia"/>
          <w:color w:val="auto"/>
        </w:rPr>
      </w:pPr>
      <w:r>
        <w:rPr>
          <w:rFonts w:hint="eastAsia"/>
          <w:color w:val="auto"/>
        </w:rPr>
        <w:t>（</w:t>
      </w:r>
      <w:r>
        <w:rPr>
          <w:color w:val="auto"/>
        </w:rPr>
        <w:t>3</w:t>
      </w:r>
      <w:r>
        <w:rPr>
          <w:rFonts w:hint="eastAsia"/>
          <w:color w:val="auto"/>
        </w:rPr>
        <w:t>）专业安装作业人员采用塔吊使用</w:t>
      </w:r>
      <w:r>
        <w:rPr>
          <w:color w:val="auto"/>
        </w:rPr>
        <w:t>2</w:t>
      </w:r>
      <w:r>
        <w:rPr>
          <w:rFonts w:hint="eastAsia"/>
          <w:color w:val="auto"/>
        </w:rPr>
        <w:t>根6m长的6×7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mm钢丝绳在首节标准节顶部自带的斜对称的吊耳孔中配置</w:t>
      </w:r>
      <w:r>
        <w:rPr>
          <w:color w:val="auto"/>
        </w:rPr>
        <w:t>GB/T25854-6-DW1</w:t>
      </w:r>
      <w:r>
        <w:rPr>
          <w:rFonts w:hint="eastAsia"/>
          <w:color w:val="auto"/>
        </w:rPr>
        <w:t>卸扣将标准节起吊安装（底节标准节通常不带齿条，安装前将标准节两端管子接头处及齿条销子处擦拭干净，并加少量润滑脂），并拧紧螺栓；</w:t>
      </w:r>
    </w:p>
    <w:p>
      <w:pPr>
        <w:ind w:firstLine="480"/>
        <w:rPr>
          <w:color w:val="auto"/>
        </w:rPr>
      </w:pPr>
      <w:r>
        <w:rPr>
          <w:rFonts w:hint="eastAsia"/>
          <w:color w:val="auto"/>
        </w:rPr>
        <w:t>（</w:t>
      </w:r>
      <w:r>
        <w:rPr>
          <w:color w:val="auto"/>
        </w:rPr>
        <w:t>4</w:t>
      </w:r>
      <w:r>
        <w:rPr>
          <w:rFonts w:hint="eastAsia"/>
          <w:color w:val="auto"/>
        </w:rPr>
        <w:t>）随后采用塔吊配合，用同样的方法再加装</w:t>
      </w:r>
      <w:r>
        <w:rPr>
          <w:color w:val="auto"/>
        </w:rPr>
        <w:t>4</w:t>
      </w:r>
      <w:r>
        <w:rPr>
          <w:rFonts w:hint="eastAsia"/>
          <w:color w:val="auto"/>
        </w:rPr>
        <w:t>节标准节（</w:t>
      </w:r>
      <w:r>
        <w:rPr>
          <w:color w:val="auto"/>
        </w:rPr>
        <w:t>4</w:t>
      </w:r>
      <w:r>
        <w:rPr>
          <w:rFonts w:hint="eastAsia"/>
          <w:color w:val="auto"/>
        </w:rPr>
        <w:t>节标准节事先在地面上采用M</w:t>
      </w:r>
      <w:r>
        <w:rPr>
          <w:color w:val="auto"/>
        </w:rPr>
        <w:t>24</w:t>
      </w:r>
      <w:r>
        <w:rPr>
          <w:rFonts w:hint="eastAsia"/>
          <w:color w:val="auto"/>
        </w:rPr>
        <w:t>×</w:t>
      </w:r>
      <w:r>
        <w:rPr>
          <w:color w:val="auto"/>
        </w:rPr>
        <w:t>230</w:t>
      </w:r>
      <w:r>
        <w:rPr>
          <w:rFonts w:hint="eastAsia"/>
          <w:color w:val="auto"/>
        </w:rPr>
        <w:t>mm的专用螺栓组拼成一体，整体起吊。多节起吊时采用</w:t>
      </w:r>
      <w:r>
        <w:rPr>
          <w:color w:val="auto"/>
        </w:rPr>
        <w:t>2</w:t>
      </w:r>
      <w:r>
        <w:rPr>
          <w:rFonts w:hint="eastAsia"/>
          <w:color w:val="auto"/>
        </w:rPr>
        <w:t>根6m长的6×7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mm钢丝绳配</w:t>
      </w:r>
      <w:r>
        <w:rPr>
          <w:color w:val="auto"/>
        </w:rPr>
        <w:t>GB/T25854-6-DW1</w:t>
      </w:r>
      <w:r>
        <w:rPr>
          <w:rFonts w:hint="eastAsia"/>
          <w:color w:val="auto"/>
        </w:rPr>
        <w:t>卸扣进行吊装），并对安装角度进行检查。（测量人员用全站仪测量、专业安装作业人员调整导轨架的安装角度，保证导轨架的各个立管在两个相邻方向上的倾斜度偏差≤1/1500），检查后用350N·m的预紧力拧紧底架与承台顶部预埋件之间的连接螺栓；</w:t>
      </w:r>
    </w:p>
    <w:p>
      <w:pPr>
        <w:ind w:firstLine="480"/>
        <w:rPr>
          <w:rFonts w:hint="eastAsia"/>
          <w:color w:val="auto"/>
        </w:rPr>
      </w:pPr>
      <w:r>
        <w:rPr>
          <w:rFonts w:hint="eastAsia"/>
          <w:color w:val="auto"/>
        </w:rPr>
        <w:t>（5）塔吊将</w:t>
      </w:r>
      <w:r>
        <w:rPr>
          <w:color w:val="auto"/>
        </w:rPr>
        <w:t>4</w:t>
      </w:r>
      <w:r>
        <w:rPr>
          <w:rFonts w:hint="eastAsia"/>
          <w:color w:val="auto"/>
        </w:rPr>
        <w:t>节标准节吊装到位并完成螺栓连接后，专业安装作业人员通过攀爬标准节至其顶部处解除卸扣连接，攀爬过程中专业安装作业人员将安全带交替系挂在作业人员上方的标准节横杆上，并遵循安全带高挂低用的安全使用原则。</w:t>
      </w:r>
    </w:p>
    <w:p>
      <w:pPr>
        <w:ind w:firstLine="480"/>
        <w:rPr>
          <w:color w:val="auto"/>
        </w:rPr>
      </w:pPr>
      <w:r>
        <w:rPr>
          <w:rFonts w:hint="eastAsia"/>
          <w:color w:val="auto"/>
        </w:rPr>
        <w:t>（</w:t>
      </w:r>
      <w:r>
        <w:rPr>
          <w:color w:val="auto"/>
        </w:rPr>
        <w:t>6</w:t>
      </w:r>
      <w:r>
        <w:rPr>
          <w:rFonts w:hint="eastAsia"/>
          <w:color w:val="auto"/>
        </w:rPr>
        <w:t>）塔吊起吊吊装时设置警戒区，安排专人负责指挥，专人操作，严禁无关人员进入起重作业范围内。</w:t>
      </w:r>
    </w:p>
    <w:p>
      <w:pPr>
        <w:ind w:firstLine="480"/>
        <w:rPr>
          <w:rFonts w:hint="eastAsia"/>
          <w:color w:val="auto"/>
        </w:rPr>
      </w:pPr>
      <w:r>
        <w:rPr>
          <w:rFonts w:hint="eastAsia"/>
          <w:color w:val="auto"/>
        </w:rPr>
        <w:t>（</w:t>
      </w:r>
      <w:r>
        <w:rPr>
          <w:color w:val="auto"/>
        </w:rPr>
        <w:t>7</w:t>
      </w:r>
      <w:r>
        <w:rPr>
          <w:rFonts w:hint="eastAsia"/>
          <w:color w:val="auto"/>
        </w:rPr>
        <w:t>）标准节吊装时，要设置溜绳控制其摆动，防止其碰撞周边构件。</w:t>
      </w:r>
    </w:p>
    <w:p>
      <w:pPr>
        <w:ind w:firstLine="0" w:firstLineChars="0"/>
        <w:jc w:val="center"/>
        <w:rPr>
          <w:rFonts w:hint="eastAsia" w:eastAsia="宋体"/>
          <w:color w:val="auto"/>
          <w:lang w:eastAsia="zh-CN"/>
        </w:rPr>
      </w:pPr>
      <w:r>
        <w:rPr>
          <w:color w:val="auto"/>
        </w:rPr>
        <w:drawing>
          <wp:inline distT="0" distB="0" distL="114300" distR="114300">
            <wp:extent cx="3383280" cy="2682240"/>
            <wp:effectExtent l="0" t="0" r="0"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48"/>
                    <a:stretch>
                      <a:fillRect/>
                    </a:stretch>
                  </pic:blipFill>
                  <pic:spPr>
                    <a:xfrm>
                      <a:off x="0" y="0"/>
                      <a:ext cx="3383280" cy="2682240"/>
                    </a:xfrm>
                    <a:prstGeom prst="rect">
                      <a:avLst/>
                    </a:prstGeom>
                    <a:noFill/>
                    <a:ln>
                      <a:noFill/>
                    </a:ln>
                  </pic:spPr>
                </pic:pic>
              </a:graphicData>
            </a:graphic>
          </wp:inline>
        </w:drawing>
      </w:r>
    </w:p>
    <w:p>
      <w:pPr>
        <w:widowControl w:val="0"/>
        <w:spacing w:line="360" w:lineRule="auto"/>
        <w:ind w:firstLine="422" w:firstLineChars="200"/>
        <w:jc w:val="center"/>
        <w:rPr>
          <w:rFonts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图</w:t>
      </w:r>
      <w:r>
        <w:rPr>
          <w:rFonts w:ascii="Times New Roman" w:hAnsi="Times New Roman" w:eastAsia="宋体" w:cs="Times New Roman"/>
          <w:b/>
          <w:color w:val="auto"/>
          <w:kern w:val="2"/>
          <w:sz w:val="21"/>
          <w:szCs w:val="21"/>
          <w:lang w:val="en-US" w:eastAsia="zh-CN" w:bidi="ar-SA"/>
        </w:rPr>
        <w:fldChar w:fldCharType="begin"/>
      </w:r>
      <w:r>
        <w:rPr>
          <w:rFonts w:ascii="Times New Roman" w:hAnsi="Times New Roman" w:eastAsia="宋体" w:cs="Times New Roman"/>
          <w:b/>
          <w:color w:val="auto"/>
          <w:kern w:val="2"/>
          <w:sz w:val="21"/>
          <w:szCs w:val="21"/>
          <w:lang w:val="en-US" w:eastAsia="zh-CN" w:bidi="ar-SA"/>
        </w:rPr>
        <w:instrText xml:space="preserve"> </w:instrText>
      </w:r>
      <w:r>
        <w:rPr>
          <w:rFonts w:hint="eastAsia" w:ascii="Times New Roman" w:hAnsi="Times New Roman" w:eastAsia="宋体" w:cs="Times New Roman"/>
          <w:b/>
          <w:color w:val="auto"/>
          <w:kern w:val="2"/>
          <w:sz w:val="21"/>
          <w:szCs w:val="21"/>
          <w:lang w:val="en-US" w:eastAsia="zh-CN" w:bidi="ar-SA"/>
        </w:rPr>
        <w:instrText xml:space="preserve">STYLEREF 2 \s</w:instrText>
      </w:r>
      <w:r>
        <w:rPr>
          <w:rFonts w:ascii="Times New Roman" w:hAnsi="Times New Roman" w:eastAsia="宋体" w:cs="Times New Roman"/>
          <w:b/>
          <w:color w:val="auto"/>
          <w:kern w:val="2"/>
          <w:sz w:val="21"/>
          <w:szCs w:val="21"/>
          <w:lang w:val="en-US" w:eastAsia="zh-CN" w:bidi="ar-SA"/>
        </w:rPr>
        <w:instrText xml:space="preserve"> </w:instrText>
      </w:r>
      <w:r>
        <w:rPr>
          <w:rFonts w:ascii="Times New Roman" w:hAnsi="Times New Roman" w:eastAsia="宋体" w:cs="Times New Roman"/>
          <w:b/>
          <w:color w:val="auto"/>
          <w:kern w:val="2"/>
          <w:sz w:val="21"/>
          <w:szCs w:val="21"/>
          <w:lang w:val="en-US" w:eastAsia="zh-CN" w:bidi="ar-SA"/>
        </w:rPr>
        <w:fldChar w:fldCharType="separate"/>
      </w:r>
      <w:r>
        <w:rPr>
          <w:rFonts w:ascii="Times New Roman" w:hAnsi="Times New Roman" w:eastAsia="宋体" w:cs="Times New Roman"/>
          <w:b/>
          <w:color w:val="auto"/>
          <w:kern w:val="2"/>
          <w:sz w:val="21"/>
          <w:szCs w:val="21"/>
          <w:lang w:val="en-US" w:eastAsia="zh-CN" w:bidi="ar-SA"/>
        </w:rPr>
        <w:t>4.5</w:t>
      </w:r>
      <w:r>
        <w:rPr>
          <w:rFonts w:ascii="Times New Roman" w:hAnsi="Times New Roman" w:eastAsia="宋体" w:cs="Times New Roman"/>
          <w:b/>
          <w:color w:val="auto"/>
          <w:kern w:val="2"/>
          <w:sz w:val="21"/>
          <w:szCs w:val="21"/>
          <w:lang w:val="en-US" w:eastAsia="zh-CN" w:bidi="ar-SA"/>
        </w:rPr>
        <w:fldChar w:fldCharType="end"/>
      </w:r>
      <w:r>
        <w:rPr>
          <w:rFonts w:ascii="Times New Roman" w:hAnsi="Times New Roman" w:eastAsia="宋体" w:cs="Times New Roman"/>
          <w:b/>
          <w:color w:val="auto"/>
          <w:kern w:val="2"/>
          <w:sz w:val="21"/>
          <w:szCs w:val="21"/>
          <w:lang w:val="en-US" w:eastAsia="zh-CN" w:bidi="ar-SA"/>
        </w:rPr>
        <w:noBreakHyphen/>
      </w:r>
      <w:r>
        <w:rPr>
          <w:rFonts w:ascii="Times New Roman" w:hAnsi="Times New Roman" w:eastAsia="宋体" w:cs="Times New Roman"/>
          <w:b/>
          <w:color w:val="auto"/>
          <w:kern w:val="2"/>
          <w:sz w:val="21"/>
          <w:szCs w:val="21"/>
          <w:lang w:val="en-US" w:eastAsia="zh-CN" w:bidi="ar-SA"/>
        </w:rPr>
        <w:fldChar w:fldCharType="begin"/>
      </w:r>
      <w:r>
        <w:rPr>
          <w:rFonts w:ascii="Times New Roman" w:hAnsi="Times New Roman" w:eastAsia="宋体" w:cs="Times New Roman"/>
          <w:b/>
          <w:color w:val="auto"/>
          <w:kern w:val="2"/>
          <w:sz w:val="21"/>
          <w:szCs w:val="21"/>
          <w:lang w:val="en-US" w:eastAsia="zh-CN" w:bidi="ar-SA"/>
        </w:rPr>
        <w:instrText xml:space="preserve"> </w:instrText>
      </w:r>
      <w:r>
        <w:rPr>
          <w:rFonts w:hint="eastAsia" w:ascii="Times New Roman" w:hAnsi="Times New Roman" w:eastAsia="宋体" w:cs="Times New Roman"/>
          <w:b/>
          <w:color w:val="auto"/>
          <w:kern w:val="2"/>
          <w:sz w:val="21"/>
          <w:szCs w:val="21"/>
          <w:lang w:val="en-US" w:eastAsia="zh-CN" w:bidi="ar-SA"/>
        </w:rPr>
        <w:instrText xml:space="preserve">SEQ 图 \* ARABIC \s 2</w:instrText>
      </w:r>
      <w:r>
        <w:rPr>
          <w:rFonts w:ascii="Times New Roman" w:hAnsi="Times New Roman" w:eastAsia="宋体" w:cs="Times New Roman"/>
          <w:b/>
          <w:color w:val="auto"/>
          <w:kern w:val="2"/>
          <w:sz w:val="21"/>
          <w:szCs w:val="21"/>
          <w:lang w:val="en-US" w:eastAsia="zh-CN" w:bidi="ar-SA"/>
        </w:rPr>
        <w:instrText xml:space="preserve"> </w:instrText>
      </w:r>
      <w:r>
        <w:rPr>
          <w:rFonts w:ascii="Times New Roman" w:hAnsi="Times New Roman" w:eastAsia="宋体" w:cs="Times New Roman"/>
          <w:b/>
          <w:color w:val="auto"/>
          <w:kern w:val="2"/>
          <w:sz w:val="21"/>
          <w:szCs w:val="21"/>
          <w:lang w:val="en-US" w:eastAsia="zh-CN" w:bidi="ar-SA"/>
        </w:rPr>
        <w:fldChar w:fldCharType="separate"/>
      </w:r>
      <w:r>
        <w:rPr>
          <w:rFonts w:ascii="Times New Roman" w:hAnsi="Times New Roman" w:eastAsia="宋体" w:cs="Times New Roman"/>
          <w:b/>
          <w:color w:val="auto"/>
          <w:kern w:val="2"/>
          <w:sz w:val="21"/>
          <w:szCs w:val="21"/>
          <w:lang w:val="en-US" w:eastAsia="zh-CN" w:bidi="ar-SA"/>
        </w:rPr>
        <w:t>1</w:t>
      </w:r>
      <w:r>
        <w:rPr>
          <w:rFonts w:ascii="Times New Roman" w:hAnsi="Times New Roman" w:eastAsia="宋体" w:cs="Times New Roman"/>
          <w:b/>
          <w:color w:val="auto"/>
          <w:kern w:val="2"/>
          <w:sz w:val="21"/>
          <w:szCs w:val="21"/>
          <w:lang w:val="en-US" w:eastAsia="zh-CN" w:bidi="ar-SA"/>
        </w:rPr>
        <w:fldChar w:fldCharType="end"/>
      </w:r>
      <w:r>
        <w:rPr>
          <w:rFonts w:ascii="Times New Roman" w:hAnsi="Times New Roman" w:eastAsia="宋体" w:cs="Times New Roman"/>
          <w:b/>
          <w:color w:val="auto"/>
          <w:kern w:val="2"/>
          <w:sz w:val="21"/>
          <w:szCs w:val="21"/>
          <w:lang w:val="en-US" w:eastAsia="zh-CN" w:bidi="ar-SA"/>
        </w:rPr>
        <w:t xml:space="preserve"> </w:t>
      </w:r>
      <w:r>
        <w:rPr>
          <w:rFonts w:hint="eastAsia" w:ascii="Times New Roman" w:hAnsi="Times New Roman" w:eastAsia="宋体" w:cs="Times New Roman"/>
          <w:b/>
          <w:color w:val="auto"/>
          <w:kern w:val="2"/>
          <w:sz w:val="21"/>
          <w:szCs w:val="21"/>
          <w:lang w:val="en-US" w:eastAsia="zh-CN" w:bidi="ar-SA"/>
        </w:rPr>
        <w:t>施工升降机基础节安装示意图</w:t>
      </w:r>
    </w:p>
    <w:p>
      <w:pPr>
        <w:pStyle w:val="447"/>
        <w:rPr>
          <w:color w:val="auto"/>
        </w:rPr>
      </w:pPr>
      <w:r>
        <w:rPr>
          <w:color w:val="auto"/>
        </w:rPr>
        <w:drawing>
          <wp:inline distT="0" distB="0" distL="114300" distR="114300">
            <wp:extent cx="2555875" cy="3413125"/>
            <wp:effectExtent l="0" t="0" r="4445" b="635"/>
            <wp:docPr id="19" name="图片 16" descr="IMG_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4632"/>
                    <pic:cNvPicPr>
                      <a:picLocks noChangeAspect="1"/>
                    </pic:cNvPicPr>
                  </pic:nvPicPr>
                  <pic:blipFill>
                    <a:blip r:embed="rId49"/>
                    <a:stretch>
                      <a:fillRect/>
                    </a:stretch>
                  </pic:blipFill>
                  <pic:spPr>
                    <a:xfrm>
                      <a:off x="0" y="0"/>
                      <a:ext cx="2555875" cy="3413125"/>
                    </a:xfrm>
                    <a:prstGeom prst="rect">
                      <a:avLst/>
                    </a:prstGeom>
                    <a:noFill/>
                    <a:ln>
                      <a:noFill/>
                    </a:ln>
                  </pic:spPr>
                </pic:pic>
              </a:graphicData>
            </a:graphic>
          </wp:inline>
        </w:drawing>
      </w:r>
      <w:r>
        <w:rPr>
          <w:color w:val="auto"/>
        </w:rPr>
        <w:drawing>
          <wp:inline distT="0" distB="0" distL="114300" distR="114300">
            <wp:extent cx="3437255" cy="2585720"/>
            <wp:effectExtent l="0" t="0" r="5080" b="6985"/>
            <wp:docPr id="23" name="图片 19" descr="IMG_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5738"/>
                    <pic:cNvPicPr>
                      <a:picLocks noChangeAspect="1"/>
                    </pic:cNvPicPr>
                  </pic:nvPicPr>
                  <pic:blipFill>
                    <a:blip r:embed="rId50"/>
                    <a:stretch>
                      <a:fillRect/>
                    </a:stretch>
                  </pic:blipFill>
                  <pic:spPr>
                    <a:xfrm rot="5400000">
                      <a:off x="0" y="0"/>
                      <a:ext cx="3437255" cy="2585720"/>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图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2</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标准节吊装示意图</w:t>
      </w:r>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底笼（围栏门支撑和电源柜等）及缓冲弹簧安装</w:t>
      </w:r>
    </w:p>
    <w:p>
      <w:pPr>
        <w:ind w:firstLine="480"/>
        <w:rPr>
          <w:color w:val="auto"/>
        </w:rPr>
      </w:pPr>
      <w:r>
        <w:rPr>
          <w:rFonts w:hint="eastAsia"/>
          <w:color w:val="auto"/>
        </w:rPr>
        <w:t>（1）专业安装作业人员依次采用塔吊使用6×7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 xml:space="preserve">mm钢丝绳吊装底笼的侧护栏、后护栏、门框结构、电控柜、弹簧座和缓冲弹簧，并用螺栓将各部件连接起来。 </w:t>
      </w:r>
    </w:p>
    <w:p>
      <w:pPr>
        <w:ind w:firstLine="480"/>
        <w:rPr>
          <w:color w:val="auto"/>
        </w:rPr>
      </w:pPr>
      <w:r>
        <w:rPr>
          <w:rFonts w:hint="eastAsia"/>
          <w:color w:val="auto"/>
        </w:rPr>
        <w:t>（2）吊装侧护栏、后护栏时，先在护栏顶部两端焊接吊耳，采用</w:t>
      </w:r>
      <w:r>
        <w:rPr>
          <w:color w:val="auto"/>
        </w:rPr>
        <w:t>2</w:t>
      </w:r>
      <w:r>
        <w:rPr>
          <w:rFonts w:hint="eastAsia"/>
          <w:color w:val="auto"/>
        </w:rPr>
        <w:t>根6m长6×7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mm钢丝绳配套</w:t>
      </w:r>
      <w:r>
        <w:rPr>
          <w:color w:val="auto"/>
        </w:rPr>
        <w:t>GB/T 25854-6-DW1</w:t>
      </w:r>
      <w:r>
        <w:rPr>
          <w:rFonts w:hint="eastAsia"/>
          <w:color w:val="auto"/>
        </w:rPr>
        <w:t>卸扣与吊耳连接。专业安装作业人员在地面上先将两根钢丝绳的一端挂在塔吊吊钩上，另一端与两侧吊耳采用卸扣连接固定。启动塔吊，将单侧护栏缓慢提升，用溜绳控制其摆动。起吊至指定位置后，</w:t>
      </w:r>
      <w:bookmarkStart w:id="164" w:name="_Hlk76547843"/>
      <w:r>
        <w:rPr>
          <w:rFonts w:hint="eastAsia"/>
          <w:color w:val="auto"/>
        </w:rPr>
        <w:t>专业安装作业人员分别用M10的螺栓将其与主底架和辅底架相连，暂不拧紧。采用</w:t>
      </w:r>
      <w:r>
        <w:rPr>
          <w:rFonts w:hint="eastAsia" w:ascii="SJQY" w:hAnsi="SJQY" w:eastAsia="SJQY"/>
          <w:color w:val="auto"/>
        </w:rPr>
        <w:t>A</w:t>
      </w:r>
      <w:r>
        <w:rPr>
          <w:color w:val="auto"/>
        </w:rPr>
        <w:t>48.3</w:t>
      </w:r>
      <w:r>
        <w:rPr>
          <w:rFonts w:hint="eastAsia"/>
          <w:color w:val="auto"/>
        </w:rPr>
        <w:t>×</w:t>
      </w:r>
      <w:r>
        <w:rPr>
          <w:color w:val="auto"/>
        </w:rPr>
        <w:t>3.6</w:t>
      </w:r>
      <w:r>
        <w:rPr>
          <w:rFonts w:hint="eastAsia"/>
          <w:color w:val="auto"/>
        </w:rPr>
        <w:t>mm钢管支撑单侧围栏进行临时支撑固定</w:t>
      </w:r>
      <w:bookmarkEnd w:id="164"/>
      <w:r>
        <w:rPr>
          <w:rFonts w:hint="eastAsia"/>
          <w:color w:val="auto"/>
        </w:rPr>
        <w:t>，塔吊缓慢落钩后，解除钢丝绳两端的连接，分别用M10的螺栓与主底架和辅底架相连，暂不拧紧。</w:t>
      </w:r>
    </w:p>
    <w:p>
      <w:pPr>
        <w:ind w:firstLine="480"/>
        <w:rPr>
          <w:color w:val="auto"/>
        </w:rPr>
      </w:pPr>
      <w:r>
        <w:rPr>
          <w:rFonts w:hint="eastAsia"/>
          <w:color w:val="auto"/>
        </w:rPr>
        <w:t>相邻围栏吊装完成后及时安装连接螺栓，并同步安装斜撑，确保围栏自身的稳固，直至四周围栏全部吊装安装完成且所有螺栓全部连接形成整体后，再拆除钢管支撑。</w:t>
      </w:r>
    </w:p>
    <w:p>
      <w:pPr>
        <w:ind w:firstLine="480"/>
        <w:rPr>
          <w:color w:val="auto"/>
        </w:rPr>
      </w:pPr>
      <w:r>
        <w:rPr>
          <w:rFonts w:hint="eastAsia"/>
          <w:color w:val="auto"/>
        </w:rPr>
        <w:t>（3）安装门支撑，调节门框架的垂直度，使门框架的垂直度在两个相近方向≤1/1000；调节后护栏、侧护栏的垂直度，并拧紧所有连接螺栓。</w:t>
      </w:r>
    </w:p>
    <w:p>
      <w:pPr>
        <w:ind w:firstLine="480"/>
        <w:rPr>
          <w:rFonts w:hint="eastAsia"/>
          <w:color w:val="auto"/>
        </w:rPr>
      </w:pPr>
      <w:r>
        <w:rPr>
          <w:rFonts w:hint="eastAsia"/>
          <w:color w:val="auto"/>
        </w:rPr>
        <w:t>（4）采用人工安装外护栏门、门配重滑道及门配重；安装吊笼门碰铁及外护栏门锁，调节门锁与外护栏门的距离，使门锁能锁住外护栏门。</w:t>
      </w:r>
    </w:p>
    <w:p>
      <w:pPr>
        <w:ind w:firstLine="480"/>
        <w:rPr>
          <w:color w:val="auto"/>
        </w:rPr>
      </w:pPr>
      <w:r>
        <w:rPr>
          <w:rFonts w:hint="eastAsia"/>
          <w:color w:val="auto"/>
        </w:rPr>
        <w:t>（</w:t>
      </w:r>
      <w:r>
        <w:rPr>
          <w:color w:val="auto"/>
        </w:rPr>
        <w:t>5</w:t>
      </w:r>
      <w:r>
        <w:rPr>
          <w:rFonts w:hint="eastAsia"/>
          <w:color w:val="auto"/>
        </w:rPr>
        <w:t xml:space="preserve">）采用人工安装弹簧座，并将其与钢平台焊接固定牢固。 </w:t>
      </w:r>
    </w:p>
    <w:p>
      <w:pPr>
        <w:ind w:firstLine="480"/>
        <w:rPr>
          <w:rFonts w:hint="eastAsia"/>
          <w:color w:val="auto"/>
        </w:rPr>
      </w:pPr>
      <w:r>
        <w:rPr>
          <w:rFonts w:hint="eastAsia"/>
          <w:color w:val="auto"/>
        </w:rPr>
        <w:t>（6）专业安装作业人员将电源箱安装在底笼电控柜上。</w:t>
      </w:r>
    </w:p>
    <w:p>
      <w:pPr>
        <w:ind w:firstLine="480"/>
        <w:rPr>
          <w:color w:val="auto"/>
        </w:rPr>
      </w:pPr>
      <w:r>
        <w:rPr>
          <w:color w:val="auto"/>
        </w:rPr>
        <w:drawing>
          <wp:inline distT="0" distB="0" distL="114300" distR="114300">
            <wp:extent cx="4223385" cy="2501900"/>
            <wp:effectExtent l="0" t="0" r="13335" b="12700"/>
            <wp:docPr id="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7"/>
                    <pic:cNvPicPr>
                      <a:picLocks noChangeAspect="1"/>
                    </pic:cNvPicPr>
                  </pic:nvPicPr>
                  <pic:blipFill>
                    <a:blip r:embed="rId51"/>
                    <a:stretch>
                      <a:fillRect/>
                    </a:stretch>
                  </pic:blipFill>
                  <pic:spPr>
                    <a:xfrm>
                      <a:off x="0" y="0"/>
                      <a:ext cx="4223385" cy="2501900"/>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cs="Times New Roman"/>
          <w:b/>
          <w:color w:val="auto"/>
          <w:kern w:val="2"/>
          <w:sz w:val="21"/>
          <w:szCs w:val="20"/>
          <w:lang w:val="en-US" w:eastAsia="zh-CN" w:bidi="ar-SA"/>
        </w:rPr>
        <w:t>3</w:t>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标准节吊装示意图</w:t>
      </w:r>
    </w:p>
    <w:p>
      <w:pPr>
        <w:ind w:firstLine="480"/>
        <w:rPr>
          <w:rFonts w:hint="eastAsia"/>
          <w:color w:val="auto"/>
        </w:rPr>
      </w:pPr>
    </w:p>
    <w:p>
      <w:pPr>
        <w:pStyle w:val="447"/>
        <w:rPr>
          <w:color w:val="auto"/>
        </w:rPr>
      </w:pPr>
      <w:r>
        <w:rPr>
          <w:color w:val="auto"/>
        </w:rPr>
        <w:drawing>
          <wp:inline distT="0" distB="0" distL="114300" distR="114300">
            <wp:extent cx="3655695" cy="4077335"/>
            <wp:effectExtent l="0" t="0" r="1905" b="698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52"/>
                    <a:stretch>
                      <a:fillRect/>
                    </a:stretch>
                  </pic:blipFill>
                  <pic:spPr>
                    <a:xfrm>
                      <a:off x="0" y="0"/>
                      <a:ext cx="3655695" cy="4077335"/>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ascii="Times New Roman" w:hAnsi="Times New Roman" w:eastAsia="宋体" w:cs="Times New Roman"/>
          <w:b/>
          <w:color w:val="auto"/>
          <w:kern w:val="2"/>
          <w:sz w:val="21"/>
          <w:szCs w:val="20"/>
          <w:lang w:val="en-US" w:eastAsia="zh-CN" w:bidi="ar-SA"/>
        </w:rPr>
        <w:t>4</w:t>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缓冲弹簧安装示意图</w:t>
      </w:r>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吊笼、传动机构及笼顶部护栏安装</w:t>
      </w:r>
    </w:p>
    <w:p>
      <w:pPr>
        <w:ind w:firstLine="480"/>
        <w:rPr>
          <w:color w:val="auto"/>
        </w:rPr>
      </w:pPr>
      <w:r>
        <w:rPr>
          <w:rFonts w:hint="eastAsia"/>
          <w:color w:val="auto"/>
        </w:rPr>
        <w:t>（1）专业安装作业人员配合塔吊将司机室安装到吊笼指定位置。将司机室从吊笼内部向安装位置推出，使法兰面与吊笼结构贴紧，然后使用螺栓将司机室与吊笼结构紧固连成整体。</w:t>
      </w:r>
    </w:p>
    <w:p>
      <w:pPr>
        <w:ind w:firstLine="480"/>
        <w:rPr>
          <w:color w:val="auto"/>
        </w:rPr>
      </w:pPr>
      <w:r>
        <w:rPr>
          <w:rFonts w:hint="eastAsia"/>
          <w:color w:val="auto"/>
        </w:rPr>
        <w:t>（2）专业安装作业人员在钢平台上放一枕木或其它钢材（高度大于弹簧缓冲装置的高度）；</w:t>
      </w:r>
    </w:p>
    <w:p>
      <w:pPr>
        <w:ind w:firstLine="480"/>
        <w:rPr>
          <w:color w:val="auto"/>
        </w:rPr>
      </w:pPr>
      <w:r>
        <w:rPr>
          <w:rFonts w:hint="eastAsia"/>
          <w:color w:val="auto"/>
        </w:rPr>
        <w:t>（3）专业安装作业人员采用塔吊使用4根6m长6×7</w:t>
      </w:r>
      <w:r>
        <w:rPr>
          <w:color w:val="auto"/>
        </w:rPr>
        <w:t>+FC 1770</w:t>
      </w:r>
      <w:r>
        <w:rPr>
          <w:rFonts w:hint="eastAsia"/>
          <w:color w:val="auto"/>
        </w:rPr>
        <w:t>-</w:t>
      </w:r>
      <w:r>
        <w:rPr>
          <w:rFonts w:hint="eastAsia" w:ascii="SJQY" w:hAnsi="SJQY" w:eastAsia="SJQY"/>
          <w:color w:val="auto"/>
        </w:rPr>
        <w:t>A</w:t>
      </w:r>
      <w:r>
        <w:rPr>
          <w:color w:val="auto"/>
        </w:rPr>
        <w:t>20</w:t>
      </w:r>
      <w:r>
        <w:rPr>
          <w:rFonts w:hint="eastAsia"/>
          <w:color w:val="auto"/>
        </w:rPr>
        <w:t>mm钢丝绳配合</w:t>
      </w:r>
      <w:r>
        <w:rPr>
          <w:color w:val="auto"/>
        </w:rPr>
        <w:t>GB/T25854-6-DW1.6</w:t>
      </w:r>
      <w:r>
        <w:rPr>
          <w:rFonts w:hint="eastAsia"/>
          <w:color w:val="auto"/>
        </w:rPr>
        <w:t xml:space="preserve">卸扣将其与吊笼顶部的四个吊耳连接，并将吊笼吊装到导轨架上。 </w:t>
      </w:r>
    </w:p>
    <w:p>
      <w:pPr>
        <w:ind w:firstLine="480"/>
        <w:rPr>
          <w:color w:val="auto"/>
        </w:rPr>
      </w:pPr>
      <w:r>
        <w:rPr>
          <w:rFonts w:hint="eastAsia"/>
          <w:color w:val="auto"/>
        </w:rPr>
        <w:t>（2）专业安装作业人员在地面上先将钢丝绳一端挂在塔吊吊钩上，另一端与吊笼顶部的四个吊耳采用</w:t>
      </w:r>
      <w:r>
        <w:rPr>
          <w:color w:val="auto"/>
        </w:rPr>
        <w:t>GB/T25854-6-DW1.6</w:t>
      </w:r>
      <w:r>
        <w:rPr>
          <w:rFonts w:hint="eastAsia"/>
          <w:color w:val="auto"/>
        </w:rPr>
        <w:t>卸扣连接。启动塔吊，将吊笼吊起就位，专业安装作业人员站在导轨架最上一节标准节上并将安全带系挂在导轨架的最上层横杆上，然后塔吊操作人员听从指令缓慢下放吊笼，专业安装作业人员根据下降情况扶正吊笼，使吊笼导轮准确卡入导轨内。使吊笼停放在先前的准备的枕木或钢材上，塔吊缓慢落钩后，专业安装作业人员解除钢丝绳两端的连接。</w:t>
      </w:r>
    </w:p>
    <w:p>
      <w:pPr>
        <w:ind w:firstLine="480"/>
        <w:rPr>
          <w:color w:val="auto"/>
        </w:rPr>
      </w:pPr>
      <w:r>
        <w:rPr>
          <w:rFonts w:hint="eastAsia"/>
          <w:color w:val="auto"/>
        </w:rPr>
        <w:t>（</w:t>
      </w:r>
      <w:r>
        <w:rPr>
          <w:color w:val="auto"/>
        </w:rPr>
        <w:t>3</w:t>
      </w:r>
      <w:r>
        <w:rPr>
          <w:rFonts w:hint="eastAsia"/>
          <w:color w:val="auto"/>
        </w:rPr>
        <w:t>）顶部护栏采用塔吊分片吊装，专业安装作业人员在地面上先将钢丝绳一端挂在塔吊吊钩上，另一端与吊笼顶部的护栏用2根钢丝绳（6m长</w:t>
      </w:r>
      <w:bookmarkStart w:id="165" w:name="_Hlk79051403"/>
      <w:r>
        <w:rPr>
          <w:rFonts w:hint="eastAsia"/>
          <w:color w:val="auto"/>
        </w:rPr>
        <w:t>6×7</w:t>
      </w:r>
      <w:r>
        <w:rPr>
          <w:color w:val="auto"/>
        </w:rPr>
        <w:t>+FC 1770</w:t>
      </w:r>
      <w:r>
        <w:rPr>
          <w:rFonts w:hint="eastAsia"/>
          <w:color w:val="auto"/>
        </w:rPr>
        <w:t>-</w:t>
      </w:r>
      <w:r>
        <w:rPr>
          <w:rFonts w:hint="eastAsia" w:ascii="SJQY" w:hAnsi="SJQY" w:eastAsia="SJQY"/>
          <w:color w:val="auto"/>
        </w:rPr>
        <w:t>A</w:t>
      </w:r>
      <w:r>
        <w:rPr>
          <w:color w:val="auto"/>
        </w:rPr>
        <w:t xml:space="preserve"> 20</w:t>
      </w:r>
      <w:r>
        <w:rPr>
          <w:rFonts w:hint="eastAsia"/>
          <w:color w:val="auto"/>
        </w:rPr>
        <w:t>mm</w:t>
      </w:r>
      <w:bookmarkEnd w:id="165"/>
      <w:r>
        <w:rPr>
          <w:rFonts w:hint="eastAsia"/>
          <w:color w:val="auto"/>
        </w:rPr>
        <w:t>）捆绑连接，采用卸扣（</w:t>
      </w:r>
      <w:r>
        <w:rPr>
          <w:color w:val="auto"/>
        </w:rPr>
        <w:t>GB/T25854-6-DW1.6</w:t>
      </w:r>
      <w:r>
        <w:rPr>
          <w:rFonts w:hint="eastAsia"/>
          <w:color w:val="auto"/>
        </w:rPr>
        <w:t>）固定。塔吊缓慢提升至吊笼顶部，专业安装作业人员通过配备的专用爬梯，通过吊笼内部打开顶部顶盖，然后攀登至吊笼顶部。</w:t>
      </w:r>
    </w:p>
    <w:p>
      <w:pPr>
        <w:ind w:firstLine="480"/>
        <w:rPr>
          <w:color w:val="auto"/>
        </w:rPr>
      </w:pPr>
      <w:r>
        <w:rPr>
          <w:rFonts w:hint="eastAsia"/>
          <w:color w:val="auto"/>
        </w:rPr>
        <w:t>塔吊操作人员听从指令缓慢下放吊笼顶部的围栏，下放到位后，专业安装作业人员解除钢丝绳两端的连接，专业安装作业人员逐片将护栏插入到相应插管中，用螺栓将各护栏连接紧固，注意各护栏安装时，有挡板的一端安装在吊笼内侧。安装过程中专业安装作业人员需要将安全带挂在人员上方的导轨架横杆上。</w:t>
      </w:r>
    </w:p>
    <w:p>
      <w:pPr>
        <w:pStyle w:val="447"/>
        <w:rPr>
          <w:color w:val="auto"/>
        </w:rPr>
      </w:pPr>
      <w:r>
        <w:rPr>
          <w:color w:val="auto"/>
        </w:rPr>
        <mc:AlternateContent>
          <mc:Choice Requires="wps">
            <w:drawing>
              <wp:anchor distT="0" distB="0" distL="114300" distR="114300" simplePos="0" relativeHeight="251668480" behindDoc="0" locked="0" layoutInCell="1" allowOverlap="1">
                <wp:simplePos x="0" y="0"/>
                <wp:positionH relativeFrom="column">
                  <wp:posOffset>2751455</wp:posOffset>
                </wp:positionH>
                <wp:positionV relativeFrom="paragraph">
                  <wp:posOffset>1045845</wp:posOffset>
                </wp:positionV>
                <wp:extent cx="493395" cy="259080"/>
                <wp:effectExtent l="0" t="0" r="9525" b="0"/>
                <wp:wrapNone/>
                <wp:docPr id="22" name="矩形 22"/>
                <wp:cNvGraphicFramePr/>
                <a:graphic xmlns:a="http://schemas.openxmlformats.org/drawingml/2006/main">
                  <a:graphicData uri="http://schemas.microsoft.com/office/word/2010/wordprocessingShape">
                    <wps:wsp>
                      <wps:cNvSpPr/>
                      <wps:spPr>
                        <a:xfrm>
                          <a:off x="0" y="0"/>
                          <a:ext cx="493395" cy="259080"/>
                        </a:xfrm>
                        <a:prstGeom prst="rect">
                          <a:avLst/>
                        </a:prstGeom>
                        <a:solidFill>
                          <a:srgbClr val="FFFFFF"/>
                        </a:solidFill>
                        <a:ln>
                          <a:noFill/>
                        </a:ln>
                      </wps:spPr>
                      <wps:txbx>
                        <w:txbxContent>
                          <w:p>
                            <w:pPr>
                              <w:spacing w:line="240" w:lineRule="auto"/>
                              <w:ind w:firstLine="0" w:firstLineChars="0"/>
                              <w:jc w:val="left"/>
                              <w:rPr>
                                <w:sz w:val="21"/>
                                <w:szCs w:val="18"/>
                              </w:rPr>
                            </w:pPr>
                            <w:r>
                              <w:rPr>
                                <w:rFonts w:hint="eastAsia"/>
                                <w:sz w:val="21"/>
                                <w:szCs w:val="18"/>
                              </w:rPr>
                              <w:t>吊耳</w:t>
                            </w:r>
                          </w:p>
                        </w:txbxContent>
                      </wps:txbx>
                      <wps:bodyPr upright="1"/>
                    </wps:wsp>
                  </a:graphicData>
                </a:graphic>
              </wp:anchor>
            </w:drawing>
          </mc:Choice>
          <mc:Fallback>
            <w:pict>
              <v:rect id="_x0000_s1026" o:spid="_x0000_s1026" o:spt="1" style="position:absolute;left:0pt;margin-left:216.65pt;margin-top:82.35pt;height:20.4pt;width:38.85pt;z-index:251668480;mso-width-relative:page;mso-height-relative:page;" fillcolor="#FFFFFF" filled="t" stroked="f" coordsize="21600,21600" o:gfxdata="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8+OTZ2AAAAAsBAAAPAAAAAAAAAAEAIAAAACIAAABkcnMvZG93bnJldi54bWxQSwECFAAU&#10;AAAACACHTuJA14ZXGLgBAABrAwAADgAAAAAAAAABACAAAAAnAQAAZHJzL2Uyb0RvYy54bWxQSwUG&#10;AAAAAAYABgBZAQAAUQUAAAAA&#10;">
                <v:fill on="t" focussize="0,0"/>
                <v:stroke on="f"/>
                <v:imagedata o:title=""/>
                <o:lock v:ext="edit" aspectratio="f"/>
                <v:textbox>
                  <w:txbxContent>
                    <w:p>
                      <w:pPr>
                        <w:spacing w:line="240" w:lineRule="auto"/>
                        <w:ind w:firstLine="0" w:firstLineChars="0"/>
                        <w:jc w:val="left"/>
                        <w:rPr>
                          <w:sz w:val="21"/>
                          <w:szCs w:val="18"/>
                        </w:rPr>
                      </w:pPr>
                      <w:r>
                        <w:rPr>
                          <w:rFonts w:hint="eastAsia"/>
                          <w:sz w:val="21"/>
                          <w:szCs w:val="18"/>
                        </w:rPr>
                        <w:t>吊耳</w:t>
                      </w:r>
                    </w:p>
                  </w:txbxContent>
                </v:textbox>
              </v:rect>
            </w:pict>
          </mc:Fallback>
        </mc:AlternateContent>
      </w:r>
      <w:r>
        <w:rPr>
          <w:color w:val="auto"/>
        </w:rPr>
        <mc:AlternateContent>
          <mc:Choice Requires="wps">
            <w:drawing>
              <wp:anchor distT="0" distB="0" distL="114300" distR="114300" simplePos="0" relativeHeight="251667456" behindDoc="0" locked="0" layoutInCell="1" allowOverlap="1">
                <wp:simplePos x="0" y="0"/>
                <wp:positionH relativeFrom="column">
                  <wp:posOffset>2764155</wp:posOffset>
                </wp:positionH>
                <wp:positionV relativeFrom="paragraph">
                  <wp:posOffset>1235710</wp:posOffset>
                </wp:positionV>
                <wp:extent cx="467995" cy="907415"/>
                <wp:effectExtent l="4445" t="1905" r="0" b="5080"/>
                <wp:wrapNone/>
                <wp:docPr id="17" name="直接箭头连接符 17"/>
                <wp:cNvGraphicFramePr/>
                <a:graphic xmlns:a="http://schemas.openxmlformats.org/drawingml/2006/main">
                  <a:graphicData uri="http://schemas.microsoft.com/office/word/2010/wordprocessingShape">
                    <wps:wsp>
                      <wps:cNvCnPr/>
                      <wps:spPr>
                        <a:xfrm>
                          <a:off x="0" y="0"/>
                          <a:ext cx="467995" cy="90741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7.65pt;margin-top:97.3pt;height:71.45pt;width:36.85pt;z-index:251667456;mso-width-relative:page;mso-height-relative:page;" filled="f" stroked="t" coordsize="21600,21600" o:gfxdata="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jZzLtsAAAALAQAADwAAAAAAAAABACAA&#10;AAAiAAAAZHJzL2Rvd25yZXYueG1sUEsBAhQAFAAAAAgAh07iQHdwP/8KAgAA9gMAAA4AAAAAAAAA&#10;AQAgAAAAKgEAAGRycy9lMm9Eb2MueG1sUEsFBgAAAAAGAAYAWQEAAKYFA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64384" behindDoc="0" locked="0" layoutInCell="1" allowOverlap="1">
                <wp:simplePos x="0" y="0"/>
                <wp:positionH relativeFrom="column">
                  <wp:posOffset>2749550</wp:posOffset>
                </wp:positionH>
                <wp:positionV relativeFrom="paragraph">
                  <wp:posOffset>1235710</wp:posOffset>
                </wp:positionV>
                <wp:extent cx="33020" cy="593090"/>
                <wp:effectExtent l="9525" t="0" r="33655" b="1270"/>
                <wp:wrapNone/>
                <wp:docPr id="50" name="直接箭头连接符 50"/>
                <wp:cNvGraphicFramePr/>
                <a:graphic xmlns:a="http://schemas.openxmlformats.org/drawingml/2006/main">
                  <a:graphicData uri="http://schemas.microsoft.com/office/word/2010/wordprocessingShape">
                    <wps:wsp>
                      <wps:cNvCnPr/>
                      <wps:spPr>
                        <a:xfrm>
                          <a:off x="0" y="0"/>
                          <a:ext cx="33020" cy="59309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6.5pt;margin-top:97.3pt;height:46.7pt;width:2.6pt;z-index:251664384;mso-width-relative:page;mso-height-relative:page;" filled="f" stroked="t" coordsize="21600,21600" o:gfxdata="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FbtSPbAAAACwEAAA8AAAAAAAAAAQAg&#10;AAAAIgAAAGRycy9kb3ducmV2LnhtbFBLAQIUABQAAAAIAIdO4kBPqbjvCwIAAPUDAAAOAAAAAAAA&#10;AAEAIAAAACoBAABkcnMvZTJvRG9jLnhtbFBLBQYAAAAABgAGAFkBAACnBQ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65408" behindDoc="0" locked="0" layoutInCell="1" allowOverlap="1">
                <wp:simplePos x="0" y="0"/>
                <wp:positionH relativeFrom="column">
                  <wp:posOffset>2291715</wp:posOffset>
                </wp:positionH>
                <wp:positionV relativeFrom="paragraph">
                  <wp:posOffset>1235710</wp:posOffset>
                </wp:positionV>
                <wp:extent cx="441325" cy="892810"/>
                <wp:effectExtent l="635" t="1905" r="15240" b="4445"/>
                <wp:wrapNone/>
                <wp:docPr id="54" name="直接箭头连接符 54"/>
                <wp:cNvGraphicFramePr/>
                <a:graphic xmlns:a="http://schemas.openxmlformats.org/drawingml/2006/main">
                  <a:graphicData uri="http://schemas.microsoft.com/office/word/2010/wordprocessingShape">
                    <wps:wsp>
                      <wps:cNvCnPr/>
                      <wps:spPr>
                        <a:xfrm flipH="1">
                          <a:off x="0" y="0"/>
                          <a:ext cx="441325" cy="89281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0.45pt;margin-top:97.3pt;height:70.3pt;width:34.75pt;z-index:251665408;mso-width-relative:page;mso-height-relative:page;" filled="f" stroked="t" coordsize="21600,21600" o:gfxdata="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MA0wNoAAAALAQAADwAA&#10;AAAAAAABACAAAAAiAAAAZHJzL2Rvd25yZXYueG1sUEsBAhQAFAAAAAgAh07iQFekWwMUAgAAAAQA&#10;AA4AAAAAAAAAAQAgAAAAKQEAAGRycy9lMm9Eb2MueG1sUEsFBgAAAAAGAAYAWQEAAK8FA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2741930</wp:posOffset>
                </wp:positionH>
                <wp:positionV relativeFrom="paragraph">
                  <wp:posOffset>1224915</wp:posOffset>
                </wp:positionV>
                <wp:extent cx="16510" cy="1180465"/>
                <wp:effectExtent l="22860" t="0" r="36830" b="8255"/>
                <wp:wrapNone/>
                <wp:docPr id="39" name="直接箭头连接符 39"/>
                <wp:cNvGraphicFramePr/>
                <a:graphic xmlns:a="http://schemas.openxmlformats.org/drawingml/2006/main">
                  <a:graphicData uri="http://schemas.microsoft.com/office/word/2010/wordprocessingShape">
                    <wps:wsp>
                      <wps:cNvCnPr/>
                      <wps:spPr>
                        <a:xfrm>
                          <a:off x="0" y="0"/>
                          <a:ext cx="16510" cy="118046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5.9pt;margin-top:96.45pt;height:92.95pt;width:1.3pt;z-index:251666432;mso-width-relative:page;mso-height-relative:page;" filled="f" stroked="t" coordsize="21600,21600" o:gfxdata="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gGP2TbAAAACwEAAA8AAAAAAAAAAQAg&#10;AAAAIgAAAGRycy9kb3ducmV2LnhtbFBLAQIUABQAAAAIAIdO4kB4ApEtCwIAAPYDAAAOAAAAAAAA&#10;AAEAIAAAACoBAABkcnMvZTJvRG9jLnhtbFBLBQYAAAAABgAGAFkBAACnBQAAAAA=&#10;">
                <v:fill on="f" focussize="0,0"/>
                <v:stroke color="#FF0000" joinstyle="round" endarrow="block"/>
                <v:imagedata o:title=""/>
                <o:lock v:ext="edit" aspectratio="f"/>
              </v:shape>
            </w:pict>
          </mc:Fallback>
        </mc:AlternateContent>
      </w:r>
      <w:r>
        <w:rPr>
          <w:color w:val="auto"/>
        </w:rPr>
        <w:drawing>
          <wp:inline distT="0" distB="0" distL="114300" distR="114300">
            <wp:extent cx="4173220" cy="5109845"/>
            <wp:effectExtent l="0" t="0" r="2540" b="1079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53"/>
                    <a:stretch>
                      <a:fillRect/>
                    </a:stretch>
                  </pic:blipFill>
                  <pic:spPr>
                    <a:xfrm>
                      <a:off x="0" y="0"/>
                      <a:ext cx="4173220" cy="5109845"/>
                    </a:xfrm>
                    <a:prstGeom prst="rect">
                      <a:avLst/>
                    </a:prstGeom>
                    <a:noFill/>
                    <a:ln>
                      <a:noFill/>
                    </a:ln>
                  </pic:spPr>
                </pic:pic>
              </a:graphicData>
            </a:graphic>
          </wp:inline>
        </w:drawing>
      </w:r>
    </w:p>
    <w:p>
      <w:pPr>
        <w:widowControl w:val="0"/>
        <w:spacing w:line="240" w:lineRule="auto"/>
        <w:ind w:firstLine="0" w:firstLineChars="0"/>
        <w:jc w:val="center"/>
        <w:rPr>
          <w:rFonts w:hint="eastAsia"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ascii="Times New Roman" w:hAnsi="Times New Roman" w:eastAsia="宋体" w:cs="Times New Roman"/>
          <w:b/>
          <w:color w:val="auto"/>
          <w:kern w:val="2"/>
          <w:sz w:val="21"/>
          <w:szCs w:val="20"/>
          <w:lang w:val="en-US" w:eastAsia="zh-CN" w:bidi="ar-SA"/>
        </w:rPr>
        <w:t>5</w:t>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吊笼结构示意图（单位：mm）</w:t>
      </w:r>
    </w:p>
    <w:p>
      <w:pPr>
        <w:widowControl w:val="0"/>
        <w:spacing w:line="240" w:lineRule="auto"/>
        <w:ind w:firstLine="0" w:firstLineChars="0"/>
        <w:jc w:val="center"/>
        <w:rPr>
          <w:color w:val="auto"/>
        </w:rPr>
      </w:pPr>
      <w:r>
        <w:rPr>
          <w:color w:val="auto"/>
        </w:rPr>
        <w:drawing>
          <wp:inline distT="0" distB="0" distL="114300" distR="114300">
            <wp:extent cx="4060190" cy="2364105"/>
            <wp:effectExtent l="0" t="0" r="8890" b="13335"/>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3"/>
                    <pic:cNvPicPr>
                      <a:picLocks noChangeAspect="1"/>
                    </pic:cNvPicPr>
                  </pic:nvPicPr>
                  <pic:blipFill>
                    <a:blip r:embed="rId54"/>
                    <a:stretch>
                      <a:fillRect/>
                    </a:stretch>
                  </pic:blipFill>
                  <pic:spPr>
                    <a:xfrm>
                      <a:off x="0" y="0"/>
                      <a:ext cx="4060190" cy="2364105"/>
                    </a:xfrm>
                    <a:prstGeom prst="rect">
                      <a:avLst/>
                    </a:prstGeom>
                    <a:noFill/>
                    <a:ln>
                      <a:noFill/>
                    </a:ln>
                  </pic:spPr>
                </pic:pic>
              </a:graphicData>
            </a:graphic>
          </wp:inline>
        </w:drawing>
      </w:r>
    </w:p>
    <w:p>
      <w:pPr>
        <w:widowControl w:val="0"/>
        <w:spacing w:line="240" w:lineRule="auto"/>
        <w:ind w:firstLine="0" w:firstLineChars="0"/>
        <w:jc w:val="center"/>
        <w:rPr>
          <w:rFonts w:hint="default"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cs="Times New Roman"/>
          <w:b/>
          <w:color w:val="auto"/>
          <w:kern w:val="2"/>
          <w:sz w:val="21"/>
          <w:szCs w:val="20"/>
          <w:lang w:val="en-US" w:eastAsia="zh-CN" w:bidi="ar-SA"/>
        </w:rPr>
        <w:t>6</w:t>
      </w:r>
      <w:r>
        <w:rPr>
          <w:rFonts w:ascii="Times New Roman" w:hAnsi="Times New Roman" w:eastAsia="宋体" w:cs="Times New Roman"/>
          <w:b/>
          <w:color w:val="auto"/>
          <w:kern w:val="2"/>
          <w:sz w:val="21"/>
          <w:szCs w:val="20"/>
          <w:lang w:val="en-US" w:eastAsia="zh-CN" w:bidi="ar-SA"/>
        </w:rPr>
        <w:t xml:space="preserve"> </w:t>
      </w:r>
      <w:r>
        <w:rPr>
          <w:rFonts w:hint="eastAsia" w:cs="Times New Roman"/>
          <w:b/>
          <w:color w:val="auto"/>
          <w:kern w:val="2"/>
          <w:sz w:val="21"/>
          <w:szCs w:val="20"/>
          <w:lang w:val="en-US" w:eastAsia="zh-CN" w:bidi="ar-SA"/>
        </w:rPr>
        <w:t>吊笼的吊装</w:t>
      </w:r>
    </w:p>
    <w:p>
      <w:pPr>
        <w:widowControl w:val="0"/>
        <w:spacing w:line="240" w:lineRule="auto"/>
        <w:ind w:firstLine="0" w:firstLineChars="0"/>
        <w:jc w:val="center"/>
        <w:rPr>
          <w:rFonts w:hint="eastAsia"/>
          <w:color w:val="auto"/>
          <w:lang w:val="en-US" w:eastAsia="zh-CN"/>
        </w:rPr>
      </w:pPr>
    </w:p>
    <w:p>
      <w:pPr>
        <w:ind w:firstLine="480"/>
        <w:rPr>
          <w:color w:val="auto"/>
        </w:rPr>
      </w:pPr>
      <w:r>
        <w:rPr>
          <w:rFonts w:hint="eastAsia"/>
          <w:color w:val="auto"/>
        </w:rPr>
        <w:t>（</w:t>
      </w:r>
      <w:r>
        <w:rPr>
          <w:color w:val="auto"/>
        </w:rPr>
        <w:t>4</w:t>
      </w:r>
      <w:r>
        <w:rPr>
          <w:rFonts w:hint="eastAsia"/>
          <w:color w:val="auto"/>
        </w:rPr>
        <w:t>）安装传动机构</w:t>
      </w:r>
    </w:p>
    <w:p>
      <w:pPr>
        <w:ind w:firstLine="480"/>
        <w:rPr>
          <w:color w:val="auto"/>
        </w:rPr>
      </w:pPr>
      <w:r>
        <w:rPr>
          <w:rFonts w:hint="eastAsia"/>
          <w:color w:val="auto"/>
        </w:rPr>
        <w:t xml:space="preserve"> 在地面将电机的制动器松开，将电机制动器手动释放杆向电机尾部推，再将螺栓如图顶紧手动释放杆，直至制动器松开可随意拨动制动盘为止；</w:t>
      </w:r>
    </w:p>
    <w:p>
      <w:pPr>
        <w:ind w:firstLine="480"/>
        <w:rPr>
          <w:color w:val="auto"/>
        </w:rPr>
      </w:pPr>
      <w:r>
        <w:rPr>
          <w:rFonts w:hint="eastAsia"/>
          <w:color w:val="auto"/>
        </w:rPr>
        <w:t>专业安装作业人员在地面上先将钢丝绳一端挂在塔吊吊钩上，另一端与传动机构的两个吊耳采用卸扣连接。启动塔吊，将传动机构吊起就位，专业安装作业人员站在吊笼顶部，塔吊操作人员听从指令缓慢下放传动机构。</w:t>
      </w:r>
    </w:p>
    <w:p>
      <w:pPr>
        <w:ind w:firstLine="480"/>
        <w:rPr>
          <w:rFonts w:hint="eastAsia"/>
          <w:color w:val="auto"/>
        </w:rPr>
      </w:pPr>
      <w:r>
        <w:rPr>
          <w:rFonts w:hint="eastAsia"/>
          <w:color w:val="auto"/>
        </w:rPr>
        <w:t>当传动机构上连接耳板距离吊笼的连接耳板400mm时松开驱动系统上电机的螺栓使制动器处于刹车状态，将传动机构与吊笼的连接耳板对接好，然后再穿入传感器销，并将止动槽向上，装上固定板，将制动器复位（旋紧螺母至原有位置，装上开口销）。塔吊缓慢落钩后，专业安装作业人员解除钢丝绳两端的连接。安装过程中专业安装作业人员需要将安全带挂在吊笼顶部的防护围栏等安全稳固的地方上。</w:t>
      </w:r>
    </w:p>
    <w:p>
      <w:pPr>
        <w:ind w:firstLine="480"/>
        <w:rPr>
          <w:color w:val="auto"/>
        </w:rPr>
      </w:pPr>
      <w:r>
        <w:rPr>
          <w:color w:val="auto"/>
        </w:rPr>
        <w:drawing>
          <wp:inline distT="0" distB="0" distL="114300" distR="114300">
            <wp:extent cx="4761865" cy="2879725"/>
            <wp:effectExtent l="0" t="0" r="8255" b="635"/>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4"/>
                    <pic:cNvPicPr>
                      <a:picLocks noChangeAspect="1"/>
                    </pic:cNvPicPr>
                  </pic:nvPicPr>
                  <pic:blipFill>
                    <a:blip r:embed="rId55"/>
                    <a:stretch>
                      <a:fillRect/>
                    </a:stretch>
                  </pic:blipFill>
                  <pic:spPr>
                    <a:xfrm>
                      <a:off x="0" y="0"/>
                      <a:ext cx="4761865" cy="2879725"/>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cs="Times New Roman"/>
          <w:b/>
          <w:color w:val="auto"/>
          <w:kern w:val="2"/>
          <w:sz w:val="21"/>
          <w:szCs w:val="20"/>
          <w:lang w:val="en-US" w:eastAsia="zh-CN" w:bidi="ar-SA"/>
        </w:rPr>
        <w:t>7</w:t>
      </w:r>
      <w:r>
        <w:rPr>
          <w:rFonts w:ascii="Times New Roman" w:hAnsi="Times New Roman" w:eastAsia="宋体" w:cs="Times New Roman"/>
          <w:b/>
          <w:color w:val="auto"/>
          <w:kern w:val="2"/>
          <w:sz w:val="21"/>
          <w:szCs w:val="20"/>
          <w:lang w:val="en-US" w:eastAsia="zh-CN" w:bidi="ar-SA"/>
        </w:rPr>
        <w:t xml:space="preserve"> </w:t>
      </w:r>
      <w:r>
        <w:rPr>
          <w:rFonts w:hint="eastAsia" w:cs="Times New Roman"/>
          <w:b/>
          <w:color w:val="auto"/>
          <w:kern w:val="2"/>
          <w:sz w:val="21"/>
          <w:szCs w:val="20"/>
          <w:lang w:val="en-US" w:eastAsia="zh-CN" w:bidi="ar-SA"/>
        </w:rPr>
        <w:t>传动机构</w:t>
      </w:r>
      <w:r>
        <w:rPr>
          <w:rFonts w:hint="eastAsia" w:ascii="Times New Roman" w:hAnsi="Times New Roman" w:eastAsia="宋体" w:cs="Times New Roman"/>
          <w:b/>
          <w:color w:val="auto"/>
          <w:kern w:val="2"/>
          <w:sz w:val="21"/>
          <w:szCs w:val="20"/>
          <w:lang w:val="en-US" w:eastAsia="zh-CN" w:bidi="ar-SA"/>
        </w:rPr>
        <w:t>吊装示意图</w:t>
      </w:r>
    </w:p>
    <w:p>
      <w:pPr>
        <w:ind w:firstLine="480"/>
        <w:rPr>
          <w:rFonts w:hint="eastAsia"/>
          <w:color w:val="auto"/>
        </w:rPr>
      </w:pPr>
      <w:r>
        <w:rPr>
          <w:rFonts w:hint="eastAsia"/>
          <w:color w:val="auto"/>
        </w:rPr>
        <w:t>（</w:t>
      </w:r>
      <w:r>
        <w:rPr>
          <w:color w:val="auto"/>
        </w:rPr>
        <w:t>5</w:t>
      </w:r>
      <w:r>
        <w:rPr>
          <w:rFonts w:hint="eastAsia"/>
          <w:color w:val="auto"/>
        </w:rPr>
        <w:t>）吊笼安装完毕后的调整</w:t>
      </w:r>
    </w:p>
    <w:p>
      <w:pPr>
        <w:ind w:firstLine="480"/>
        <w:rPr>
          <w:color w:val="auto"/>
        </w:rPr>
      </w:pPr>
      <w:r>
        <w:rPr>
          <w:rFonts w:hint="eastAsia"/>
          <w:color w:val="auto"/>
        </w:rPr>
        <w:t>检查所有用于运输的垫木或螺栓等是否全部除掉，传动机构安装后需调整吊笼导向轮及靠背轮，使其靠拢导轨架，传动齿轮与齿条应啮合。齿轮与齿条的啮合侧隙应保证0.2～0.5mm，导轨与齿条背面的间隙为0.5mm，各滚轮与标准节立管的间隙为0.5mm，所有门应开关灵活且缓冲弹簧均安装到位。</w:t>
      </w:r>
    </w:p>
    <w:p>
      <w:pPr>
        <w:pStyle w:val="447"/>
        <w:rPr>
          <w:color w:val="auto"/>
        </w:rPr>
      </w:pPr>
      <w:r>
        <w:rPr>
          <w:color w:val="auto"/>
        </w:rPr>
        <w:drawing>
          <wp:inline distT="0" distB="0" distL="114300" distR="114300">
            <wp:extent cx="4239260" cy="4102100"/>
            <wp:effectExtent l="0" t="0" r="12700" b="1270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56"/>
                    <a:srcRect t="15839"/>
                    <a:stretch>
                      <a:fillRect/>
                    </a:stretch>
                  </pic:blipFill>
                  <pic:spPr>
                    <a:xfrm>
                      <a:off x="0" y="0"/>
                      <a:ext cx="4239260" cy="4102100"/>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ascii="Times New Roman" w:hAnsi="Times New Roman" w:eastAsia="宋体" w:cs="Times New Roman"/>
          <w:b/>
          <w:color w:val="auto"/>
          <w:kern w:val="2"/>
          <w:sz w:val="21"/>
          <w:szCs w:val="20"/>
          <w:lang w:val="en-US" w:eastAsia="zh-CN" w:bidi="ar-SA"/>
        </w:rPr>
        <w:t>8</w:t>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吊笼安装示意图</w:t>
      </w:r>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吊杆安装</w:t>
      </w:r>
    </w:p>
    <w:p>
      <w:pPr>
        <w:ind w:firstLine="480"/>
        <w:rPr>
          <w:color w:val="auto"/>
        </w:rPr>
      </w:pPr>
      <w:r>
        <w:rPr>
          <w:rFonts w:hint="eastAsia"/>
          <w:color w:val="auto"/>
        </w:rPr>
        <w:t>专业安装作业人员在地面上将吊杆组装好，将2根钢丝绳（6m长6×7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mm）一端挂在塔吊吊钩上，另一端与吊杆采用卸扣（</w:t>
      </w:r>
      <w:r>
        <w:rPr>
          <w:color w:val="auto"/>
        </w:rPr>
        <w:t>GB/T25854-6-DW1</w:t>
      </w:r>
      <w:r>
        <w:rPr>
          <w:rFonts w:hint="eastAsia"/>
          <w:color w:val="auto"/>
        </w:rPr>
        <w:t>）进行捆绑连接。启动塔吊，将吊杆吊起就位，专业安装作业人员站在吊笼顶部，并将安全带系挂在吊笼顶部的围栏上。</w:t>
      </w:r>
    </w:p>
    <w:p>
      <w:pPr>
        <w:ind w:firstLine="480"/>
        <w:rPr>
          <w:color w:val="auto"/>
        </w:rPr>
      </w:pPr>
      <w:r>
        <w:rPr>
          <w:rFonts w:hint="eastAsia"/>
          <w:color w:val="auto"/>
        </w:rPr>
        <w:t>塔吊操作人员听从指令缓慢下放吊杆，专业安装作业人员根据下降情况扶正吊杆，将吊杆准确定位放入吊笼顶部安装孔内（电动吊杆在吊装前接好电源线，并已加入润滑脂）。吊杆下放就位，塔吊缓慢落钩后，专业安装作业人员解除钢丝绳两端的连接。随后专业安装作业人员安装吊杆上的起升机构（包括电机以及起重钢丝绳等）。</w:t>
      </w:r>
    </w:p>
    <w:p>
      <w:pPr>
        <w:pStyle w:val="447"/>
        <w:rPr>
          <w:color w:val="auto"/>
        </w:rPr>
      </w:pPr>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电控制系统及超载保护器安装</w:t>
      </w:r>
    </w:p>
    <w:p>
      <w:pPr>
        <w:ind w:firstLine="480"/>
        <w:rPr>
          <w:rFonts w:hint="eastAsia"/>
          <w:color w:val="auto"/>
        </w:rPr>
      </w:pPr>
      <w:r>
        <w:rPr>
          <w:rFonts w:hint="eastAsia"/>
          <w:color w:val="auto"/>
        </w:rPr>
        <w:t>电控系统包括底笼电源箱、配电箱、变频箱、操纵台、主电缆及各种限位开关等。</w:t>
      </w:r>
    </w:p>
    <w:p>
      <w:pPr>
        <w:ind w:firstLine="480"/>
        <w:rPr>
          <w:color w:val="auto"/>
        </w:rPr>
      </w:pPr>
      <w:r>
        <w:rPr>
          <w:rFonts w:hint="eastAsia"/>
          <w:color w:val="auto"/>
        </w:rPr>
        <w:t>（</w:t>
      </w:r>
      <w:r>
        <w:rPr>
          <w:color w:val="auto"/>
        </w:rPr>
        <w:t>1</w:t>
      </w:r>
      <w:r>
        <w:rPr>
          <w:rFonts w:hint="eastAsia"/>
          <w:color w:val="auto"/>
        </w:rPr>
        <w:t>）专业安装作业人员依次将电控系统以及超载保护器安装就位，随后安装护栏电箱。</w:t>
      </w:r>
    </w:p>
    <w:p>
      <w:pPr>
        <w:ind w:firstLine="480"/>
        <w:rPr>
          <w:rFonts w:hint="eastAsia"/>
          <w:color w:val="auto"/>
        </w:rPr>
      </w:pPr>
      <w:r>
        <w:rPr>
          <w:rFonts w:hint="eastAsia"/>
          <w:color w:val="auto"/>
        </w:rPr>
        <w:t>（2）超载保护器安装时，专业安装作业人员在笼顶利用笼顶操作盒操作驱动系统上、下，对接传动小车与吊笼的连接耳板，穿入超载传感销，用螺栓通过轴端卡板将超载传感销与传动小车固定，将超载传感销的接线端与电控箱的接线端连接；</w:t>
      </w:r>
    </w:p>
    <w:p>
      <w:pPr>
        <w:ind w:firstLine="480"/>
        <w:rPr>
          <w:color w:val="auto"/>
        </w:rPr>
      </w:pPr>
      <w:r>
        <w:rPr>
          <w:rFonts w:hint="eastAsia"/>
          <w:color w:val="auto"/>
        </w:rPr>
        <w:t>（</w:t>
      </w:r>
      <w:r>
        <w:rPr>
          <w:color w:val="auto"/>
        </w:rPr>
        <w:t>3</w:t>
      </w:r>
      <w:r>
        <w:rPr>
          <w:rFonts w:hint="eastAsia"/>
          <w:color w:val="auto"/>
        </w:rPr>
        <w:t>）专业电工从三级配电箱中引出电缆接头，接至围栏电箱上的U、V、W、N、PE接线端子。专业电工然后从围栏电箱上引出另外一根电缆与底节导轨架上的滑触线进线接头相连接。</w:t>
      </w:r>
    </w:p>
    <w:p>
      <w:pPr>
        <w:ind w:firstLine="480"/>
        <w:rPr>
          <w:rFonts w:hint="eastAsia"/>
          <w:color w:val="auto"/>
        </w:rPr>
      </w:pPr>
      <w:r>
        <w:rPr>
          <w:rFonts w:hint="eastAsia"/>
          <w:color w:val="auto"/>
        </w:rPr>
        <w:t>（</w:t>
      </w:r>
      <w:r>
        <w:rPr>
          <w:color w:val="auto"/>
        </w:rPr>
        <w:t>4</w:t>
      </w:r>
      <w:r>
        <w:rPr>
          <w:rFonts w:hint="eastAsia"/>
          <w:color w:val="auto"/>
        </w:rPr>
        <w:t xml:space="preserve">）接通地面三级配电箱的电源开关，检查是否已接入相序正确电源，确保吊笼运行方向与操纵箱或操作盒上的标记，“向上”或“向下”一致。 </w:t>
      </w:r>
    </w:p>
    <w:p>
      <w:pPr>
        <w:ind w:firstLine="480"/>
        <w:rPr>
          <w:rFonts w:hint="eastAsia"/>
          <w:color w:val="auto"/>
        </w:rPr>
      </w:pPr>
      <w:r>
        <w:rPr>
          <w:rFonts w:hint="eastAsia"/>
          <w:color w:val="auto"/>
        </w:rPr>
        <w:t>（</w:t>
      </w:r>
      <w:r>
        <w:rPr>
          <w:color w:val="auto"/>
        </w:rPr>
        <w:t>5</w:t>
      </w:r>
      <w:r>
        <w:rPr>
          <w:rFonts w:hint="eastAsia"/>
          <w:color w:val="auto"/>
        </w:rPr>
        <w:t xml:space="preserve">）检查各安全控制开关：包括吊笼门限位开关、吊笼顶盖限位开关、上、下限位开关、减速限位开关、极限开关、底笼门限位开关及断绳保护开关，均能反映灵敏，启闭自如。 </w:t>
      </w:r>
    </w:p>
    <w:p>
      <w:pPr>
        <w:ind w:firstLine="480"/>
        <w:rPr>
          <w:color w:val="auto"/>
        </w:rPr>
      </w:pPr>
      <w:r>
        <w:rPr>
          <w:rFonts w:hint="eastAsia"/>
          <w:color w:val="auto"/>
        </w:rPr>
        <w:t>（</w:t>
      </w:r>
      <w:r>
        <w:rPr>
          <w:color w:val="auto"/>
        </w:rPr>
        <w:t>6</w:t>
      </w:r>
      <w:r>
        <w:rPr>
          <w:rFonts w:hint="eastAsia"/>
          <w:color w:val="auto"/>
        </w:rPr>
        <w:t>）按吊笼传动机构底板上各限位开关的实际位置，安装、调整导轨架底部各限位挡板、挡块。</w:t>
      </w:r>
    </w:p>
    <w:p>
      <w:pPr>
        <w:ind w:firstLine="480"/>
        <w:rPr>
          <w:color w:val="auto"/>
        </w:rPr>
      </w:pPr>
      <w:r>
        <w:rPr>
          <w:rFonts w:hint="eastAsia"/>
          <w:color w:val="auto"/>
        </w:rPr>
        <w:t>（</w:t>
      </w:r>
      <w:r>
        <w:rPr>
          <w:color w:val="auto"/>
        </w:rPr>
        <w:t>7</w:t>
      </w:r>
      <w:r>
        <w:rPr>
          <w:rFonts w:hint="eastAsia"/>
          <w:color w:val="auto"/>
        </w:rPr>
        <w:t>）在整个电控系统的安装过程中都必须断开总电源，且护栏电箱安装时，必须确保其安装稳定牢固可靠。</w:t>
      </w:r>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升降机通电调试</w:t>
      </w:r>
    </w:p>
    <w:p>
      <w:pPr>
        <w:ind w:firstLine="480"/>
        <w:rPr>
          <w:rFonts w:hint="eastAsia"/>
          <w:color w:val="auto"/>
        </w:rPr>
      </w:pPr>
      <w:r>
        <w:rPr>
          <w:rFonts w:hint="eastAsia"/>
          <w:color w:val="auto"/>
        </w:rPr>
        <w:t>确认吊笼、传动机构及电气、控制系统正确无误的安装后，做如下升降试车：</w:t>
      </w:r>
    </w:p>
    <w:p>
      <w:pPr>
        <w:ind w:firstLine="480"/>
        <w:rPr>
          <w:color w:val="auto"/>
        </w:rPr>
      </w:pPr>
      <w:r>
        <w:rPr>
          <w:rFonts w:hint="eastAsia"/>
          <w:color w:val="auto"/>
        </w:rPr>
        <w:t>（</w:t>
      </w:r>
      <w:r>
        <w:rPr>
          <w:color w:val="auto"/>
        </w:rPr>
        <w:t>2</w:t>
      </w:r>
      <w:r>
        <w:rPr>
          <w:rFonts w:hint="eastAsia"/>
          <w:color w:val="auto"/>
        </w:rPr>
        <w:t>）按通电源，由专职操作员在笼顶谨慎地操作手柄，使吊笼空载沿着导轨架上、下运行数次，行程高度不得大于5m。要求吊笼运行平稳、无跳动、无异响等故障，制动器工作正常，同时进一步检查各导向滚轮与导轨架的接触情况，齿轮齿条的啮合情况。</w:t>
      </w:r>
    </w:p>
    <w:p>
      <w:pPr>
        <w:ind w:firstLine="480"/>
        <w:rPr>
          <w:color w:val="auto"/>
        </w:rPr>
      </w:pPr>
      <w:r>
        <w:rPr>
          <w:rFonts w:hint="eastAsia"/>
          <w:color w:val="auto"/>
        </w:rPr>
        <w:t>（</w:t>
      </w:r>
      <w:r>
        <w:rPr>
          <w:color w:val="auto"/>
        </w:rPr>
        <w:t>3</w:t>
      </w:r>
      <w:r>
        <w:rPr>
          <w:rFonts w:hint="eastAsia"/>
          <w:color w:val="auto"/>
        </w:rPr>
        <w:t>）空载运行一切正常后，在吊笼内安装额定载重量的载荷进行带载运行，并检查电动机、减速器的发热情况</w:t>
      </w:r>
    </w:p>
    <w:p>
      <w:pPr>
        <w:ind w:firstLine="480"/>
        <w:rPr>
          <w:color w:val="auto"/>
        </w:rPr>
      </w:pPr>
      <w:r>
        <w:rPr>
          <w:rFonts w:hint="eastAsia"/>
          <w:color w:val="auto"/>
        </w:rPr>
        <w:t>（</w:t>
      </w:r>
      <w:r>
        <w:rPr>
          <w:color w:val="auto"/>
        </w:rPr>
        <w:t>4</w:t>
      </w:r>
      <w:r>
        <w:rPr>
          <w:rFonts w:hint="eastAsia"/>
          <w:color w:val="auto"/>
        </w:rPr>
        <w:t>）升降试车需在吊笼顶部通过操作手柄实现，因导轨架上未安装上限位挡板和上极限挡板，操作需要谨慎。</w:t>
      </w:r>
    </w:p>
    <w:p>
      <w:pPr>
        <w:ind w:firstLine="480"/>
        <w:rPr>
          <w:color w:val="auto"/>
        </w:rPr>
      </w:pPr>
      <w:r>
        <w:rPr>
          <w:rFonts w:hint="eastAsia"/>
          <w:color w:val="auto"/>
        </w:rPr>
        <w:t>（</w:t>
      </w:r>
      <w:r>
        <w:rPr>
          <w:color w:val="auto"/>
        </w:rPr>
        <w:t>5</w:t>
      </w:r>
      <w:r>
        <w:rPr>
          <w:rFonts w:hint="eastAsia"/>
          <w:color w:val="auto"/>
        </w:rPr>
        <w:t>）检查时需始终按下急停按钮或者关闭电源，专职操作员站在吊笼顶部时，必须将安全带系挂在吊笼顶部围栏的可靠处。</w:t>
      </w:r>
    </w:p>
    <w:p>
      <w:pPr>
        <w:widowControl w:val="0"/>
        <w:numPr>
          <w:ilvl w:val="3"/>
          <w:numId w:val="1"/>
        </w:numPr>
        <w:spacing w:line="360" w:lineRule="auto"/>
        <w:ind w:firstLine="0" w:firstLineChars="0"/>
        <w:jc w:val="both"/>
        <w:outlineLvl w:val="3"/>
        <w:rPr>
          <w:rFonts w:hint="eastAsia"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升降机整机调试</w:t>
      </w:r>
    </w:p>
    <w:p>
      <w:pPr>
        <w:ind w:firstLine="480"/>
        <w:rPr>
          <w:rFonts w:hint="eastAsia"/>
          <w:color w:val="auto"/>
        </w:rPr>
      </w:pPr>
      <w:r>
        <w:rPr>
          <w:rFonts w:hint="eastAsia"/>
          <w:color w:val="auto"/>
        </w:rPr>
        <w:t>升降机主机就位后，此时导轨架高度安装至</w:t>
      </w:r>
      <w:r>
        <w:rPr>
          <w:color w:val="auto"/>
        </w:rPr>
        <w:t>7.5</w:t>
      </w:r>
      <w:r>
        <w:rPr>
          <w:rFonts w:hint="eastAsia"/>
          <w:color w:val="auto"/>
        </w:rPr>
        <w:t>m，应进行通电调试运转检查，首先，确认工地电源功率是否充足，然后检查电机旋转方向及启制动是否正常，错相保护、急停、极限、上下限位、减速限位、各门限位开关是否正常。升降机的安装必须按说明书“升降机安装”章节进行，每安装一道附墙必须检查导轨架的安装是否符合要求。升降机的导轨架加高完毕后，立即进行整机检测及调试，调试内容如下：</w:t>
      </w:r>
    </w:p>
    <w:p>
      <w:pPr>
        <w:ind w:firstLine="480"/>
        <w:rPr>
          <w:rFonts w:hint="eastAsia"/>
          <w:color w:val="auto"/>
        </w:rPr>
      </w:pPr>
      <w:r>
        <w:rPr>
          <w:rFonts w:hint="eastAsia"/>
          <w:color w:val="auto"/>
        </w:rPr>
        <w:t>（1）导向滚轮的间隙调整</w:t>
      </w:r>
    </w:p>
    <w:p>
      <w:pPr>
        <w:ind w:firstLine="480"/>
        <w:rPr>
          <w:rFonts w:hint="eastAsia"/>
          <w:color w:val="auto"/>
        </w:rPr>
      </w:pPr>
      <w:r>
        <w:rPr>
          <w:rFonts w:hint="eastAsia"/>
          <w:color w:val="auto"/>
        </w:rPr>
        <w:t>调整传动机构及吊笼的滚轮偏心轴，使吊笼两个立柱及驱动系统立柱相对于标准节对称放置，各滚轮与标准节立管间隙0.3～0.5mm。调整后必须紧固所有螺栓。</w:t>
      </w:r>
    </w:p>
    <w:p>
      <w:pPr>
        <w:ind w:firstLine="480"/>
        <w:rPr>
          <w:rFonts w:hint="eastAsia"/>
          <w:color w:val="auto"/>
        </w:rPr>
      </w:pPr>
      <w:r>
        <w:rPr>
          <w:rFonts w:hint="eastAsia"/>
          <w:color w:val="auto"/>
        </w:rPr>
        <w:t>（2）齿轮与齿条的啮合间隙调整</w:t>
      </w:r>
    </w:p>
    <w:p>
      <w:pPr>
        <w:ind w:firstLine="480"/>
        <w:rPr>
          <w:color w:val="auto"/>
        </w:rPr>
      </w:pPr>
      <w:r>
        <w:rPr>
          <w:rFonts w:hint="eastAsia"/>
          <w:color w:val="auto"/>
        </w:rPr>
        <w:t>用压铅法检查所有齿轮与齿条的啮合间隙，要求间隙0.2～0.5mm，否则应采用楔铁调整驱动板和安全器板位置，以调整齿轮与齿条的啮合间隙，调整后应紧固相关的螺栓，间隔15-20天巡检一次。</w:t>
      </w:r>
    </w:p>
    <w:p>
      <w:pPr>
        <w:pStyle w:val="447"/>
        <w:rPr>
          <w:color w:val="auto"/>
        </w:rPr>
      </w:pPr>
      <w:r>
        <w:rPr>
          <w:color w:val="auto"/>
        </w:rPr>
        <w:drawing>
          <wp:inline distT="0" distB="0" distL="114300" distR="114300">
            <wp:extent cx="5222240" cy="2494280"/>
            <wp:effectExtent l="0" t="0" r="5080" b="508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57"/>
                    <a:stretch>
                      <a:fillRect/>
                    </a:stretch>
                  </pic:blipFill>
                  <pic:spPr>
                    <a:xfrm>
                      <a:off x="0" y="0"/>
                      <a:ext cx="5222240" cy="2494280"/>
                    </a:xfrm>
                    <a:prstGeom prst="rect">
                      <a:avLst/>
                    </a:prstGeom>
                    <a:noFill/>
                    <a:ln>
                      <a:noFill/>
                    </a:ln>
                  </pic:spPr>
                </pic:pic>
              </a:graphicData>
            </a:graphic>
          </wp:inline>
        </w:drawing>
      </w:r>
    </w:p>
    <w:p>
      <w:pPr>
        <w:widowControl w:val="0"/>
        <w:spacing w:line="240" w:lineRule="auto"/>
        <w:ind w:firstLine="0" w:firstLineChars="0"/>
        <w:jc w:val="center"/>
        <w:rPr>
          <w:rFonts w:hint="eastAsia"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ascii="Times New Roman" w:hAnsi="Times New Roman" w:eastAsia="宋体" w:cs="Times New Roman"/>
          <w:b/>
          <w:color w:val="auto"/>
          <w:kern w:val="2"/>
          <w:sz w:val="21"/>
          <w:szCs w:val="20"/>
          <w:lang w:val="en-US" w:eastAsia="zh-CN" w:bidi="ar-SA"/>
        </w:rPr>
        <w:t>9</w:t>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齿条啮合图示</w:t>
      </w:r>
    </w:p>
    <w:p>
      <w:pPr>
        <w:ind w:firstLine="480"/>
        <w:rPr>
          <w:rFonts w:hint="eastAsia"/>
          <w:color w:val="auto"/>
        </w:rPr>
      </w:pPr>
      <w:r>
        <w:rPr>
          <w:rFonts w:hint="eastAsia"/>
          <w:color w:val="auto"/>
        </w:rPr>
        <w:t>（3）背轮与齿条的间隙调整</w:t>
      </w:r>
    </w:p>
    <w:p>
      <w:pPr>
        <w:ind w:firstLine="480"/>
        <w:rPr>
          <w:color w:val="auto"/>
        </w:rPr>
      </w:pPr>
      <w:r>
        <w:rPr>
          <w:rFonts w:hint="eastAsia"/>
          <w:color w:val="auto"/>
        </w:rPr>
        <w:t>用塞尺检查所有背轮与齿条背面的间隙，要求间隙为0.5mm，否则应调试背轮偏心套，以调整背轮与齿条的间隙，然后紧固导轮螺栓。</w:t>
      </w:r>
    </w:p>
    <w:p>
      <w:pPr>
        <w:ind w:firstLine="480"/>
        <w:rPr>
          <w:color w:val="auto"/>
        </w:rPr>
      </w:pPr>
      <w:r>
        <w:rPr>
          <w:rFonts w:hint="eastAsia"/>
          <w:color w:val="auto"/>
        </w:rPr>
        <w:t>（</w:t>
      </w:r>
      <w:r>
        <w:rPr>
          <w:color w:val="auto"/>
        </w:rPr>
        <w:t>4</w:t>
      </w:r>
      <w:r>
        <w:rPr>
          <w:rFonts w:hint="eastAsia"/>
          <w:color w:val="auto"/>
        </w:rPr>
        <w:t>）下限位碰铁安装</w:t>
      </w:r>
    </w:p>
    <w:p>
      <w:pPr>
        <w:ind w:firstLine="480"/>
        <w:rPr>
          <w:color w:val="auto"/>
        </w:rPr>
      </w:pPr>
      <w:r>
        <w:rPr>
          <w:rFonts w:hint="eastAsia"/>
          <w:color w:val="auto"/>
        </w:rPr>
        <w:t>专业安装作业人员在笼内操作，在低速档下将升降机（装载额定载重量）开到吊笼底与外笼门槛平齐，按下急停按钮，人工安装下限位碰铁及极限开关碰铁（下限位碰铁及极限开关碰铁均用钩形螺栓紧固在导轨架标准节的框架上；极限开关碰铁的安装位置必须保证吊笼在碰到缓冲弹簧之前动作）。施工升降机碰铁安装位置为减速限位的下端面低于下限位的上端面约200mm。</w:t>
      </w:r>
    </w:p>
    <w:p>
      <w:pPr>
        <w:ind w:firstLine="480"/>
        <w:rPr>
          <w:color w:val="auto"/>
        </w:rPr>
      </w:pPr>
      <w:r>
        <w:rPr>
          <w:rFonts w:hint="eastAsia"/>
          <w:color w:val="auto"/>
        </w:rPr>
        <w:t>（5）上限位碰铁及减速限位碰铁安装</w:t>
      </w:r>
    </w:p>
    <w:p>
      <w:pPr>
        <w:ind w:firstLine="480"/>
        <w:rPr>
          <w:rFonts w:hint="eastAsia"/>
          <w:color w:val="auto"/>
        </w:rPr>
      </w:pPr>
      <w:r>
        <w:rPr>
          <w:rFonts w:hint="eastAsia"/>
          <w:color w:val="auto"/>
        </w:rPr>
        <w:t>导轨架加高完成以后，安装上限位开关碰铁、极限位开关碰铁，安装方法与下限位碰铁相同，极限开关碰铁的安装位置满足以下要求：</w:t>
      </w:r>
    </w:p>
    <w:p>
      <w:pPr>
        <w:ind w:firstLine="480"/>
        <w:rPr>
          <w:rFonts w:hint="eastAsia"/>
          <w:color w:val="auto"/>
        </w:rPr>
      </w:pPr>
      <w:r>
        <w:rPr>
          <w:rFonts w:hint="eastAsia"/>
          <w:color w:val="auto"/>
        </w:rPr>
        <w:t>当额定速度小于或等于0.85m/s时，极限开关碰铁的安装位置应保证极限开关触发碰铁后，吊笼顶部还应至少有1.8m的安全距离，此外，吊笼上任何高过吊笼的部件和设备，其上方应有至少0.3m的安全距离；</w:t>
      </w:r>
    </w:p>
    <w:p>
      <w:pPr>
        <w:ind w:firstLine="480"/>
        <w:rPr>
          <w:rFonts w:hint="eastAsia"/>
          <w:color w:val="auto"/>
        </w:rPr>
      </w:pPr>
      <w:r>
        <w:rPr>
          <w:rFonts w:hint="eastAsia"/>
          <w:color w:val="auto"/>
        </w:rPr>
        <w:t>当额定速度大于0.85m/s时，极限开关碰铁的安装位置应保证极限开关触发碰铁后，吊笼顶部还应至少有1.8m+0.1V</w:t>
      </w:r>
      <w:r>
        <w:rPr>
          <w:rFonts w:hint="eastAsia"/>
          <w:color w:val="auto"/>
          <w:vertAlign w:val="superscript"/>
        </w:rPr>
        <w:t>2</w:t>
      </w:r>
      <w:r>
        <w:rPr>
          <w:rFonts w:hint="eastAsia"/>
          <w:color w:val="auto"/>
        </w:rPr>
        <w:t>（V为额定速度）的安全距离，此外，吊笼上任何高过吊笼的部件和设备，其上方应有至少0.3m的安全距离；</w:t>
      </w:r>
    </w:p>
    <w:p>
      <w:pPr>
        <w:ind w:firstLine="480"/>
        <w:rPr>
          <w:rFonts w:hint="eastAsia"/>
          <w:color w:val="auto"/>
        </w:rPr>
      </w:pPr>
      <w:r>
        <w:rPr>
          <w:rFonts w:hint="eastAsia"/>
          <w:color w:val="auto"/>
        </w:rPr>
        <w:t>上限位开关碰铁的安装位置应满足以下要求：在正常工作状态下，上限位开关触发上限位碰铁后，极限开关的臂杆与极限开关碰铁下端距离为150mm；</w:t>
      </w:r>
    </w:p>
    <w:p>
      <w:pPr>
        <w:ind w:firstLine="480"/>
        <w:rPr>
          <w:color w:val="auto"/>
        </w:rPr>
      </w:pPr>
      <w:r>
        <w:rPr>
          <w:rFonts w:hint="eastAsia"/>
          <w:color w:val="auto"/>
        </w:rPr>
        <w:t>减速限位碰铁安装位置为：减速限位碰铁上端面高于上限位碰铁下端面约200mm。</w:t>
      </w:r>
    </w:p>
    <w:p>
      <w:pPr>
        <w:ind w:firstLine="480"/>
        <w:rPr>
          <w:rFonts w:hint="eastAsia"/>
          <w:color w:val="auto"/>
        </w:rPr>
      </w:pPr>
      <w:r>
        <w:rPr>
          <w:rFonts w:hint="eastAsia"/>
          <w:color w:val="auto"/>
        </w:rPr>
        <w:t>（</w:t>
      </w:r>
      <w:r>
        <w:rPr>
          <w:color w:val="auto"/>
        </w:rPr>
        <w:t>6</w:t>
      </w:r>
      <w:r>
        <w:rPr>
          <w:rFonts w:hint="eastAsia"/>
          <w:color w:val="auto"/>
        </w:rPr>
        <w:t>）坠落试验</w:t>
      </w:r>
    </w:p>
    <w:p>
      <w:pPr>
        <w:ind w:firstLine="480"/>
        <w:rPr>
          <w:rFonts w:hint="eastAsia"/>
          <w:color w:val="auto"/>
        </w:rPr>
      </w:pPr>
      <w:r>
        <w:rPr>
          <w:rFonts w:hint="eastAsia"/>
          <w:color w:val="auto"/>
        </w:rPr>
        <w:t>按</w:t>
      </w:r>
      <w:r>
        <w:rPr>
          <w:rFonts w:hint="eastAsia"/>
          <w:color w:val="auto"/>
          <w:lang w:eastAsia="zh-CN"/>
        </w:rPr>
        <w:t>《</w:t>
      </w:r>
      <w:r>
        <w:rPr>
          <w:rFonts w:hint="eastAsia"/>
          <w:color w:val="auto"/>
        </w:rPr>
        <w:t xml:space="preserve">施工升降机使用说明书》坠落试验章节中的要求进行坠落试验； </w:t>
      </w:r>
    </w:p>
    <w:p>
      <w:pPr>
        <w:ind w:firstLine="480"/>
        <w:rPr>
          <w:rFonts w:hint="eastAsia"/>
          <w:color w:val="auto"/>
        </w:rPr>
      </w:pPr>
      <w:r>
        <w:rPr>
          <w:rFonts w:hint="eastAsia"/>
          <w:color w:val="auto"/>
        </w:rPr>
        <w:t>（</w:t>
      </w:r>
      <w:r>
        <w:rPr>
          <w:color w:val="auto"/>
        </w:rPr>
        <w:t>7</w:t>
      </w:r>
      <w:r>
        <w:rPr>
          <w:rFonts w:hint="eastAsia"/>
          <w:color w:val="auto"/>
        </w:rPr>
        <w:t>）超载保护器</w:t>
      </w:r>
    </w:p>
    <w:p>
      <w:pPr>
        <w:ind w:firstLine="480"/>
        <w:rPr>
          <w:rFonts w:hint="eastAsia"/>
          <w:color w:val="auto"/>
        </w:rPr>
      </w:pPr>
      <w:r>
        <w:rPr>
          <w:rFonts w:hint="eastAsia"/>
          <w:color w:val="auto"/>
        </w:rPr>
        <w:t>按</w:t>
      </w:r>
      <w:r>
        <w:rPr>
          <w:rFonts w:hint="eastAsia"/>
          <w:color w:val="auto"/>
          <w:lang w:eastAsia="zh-CN"/>
        </w:rPr>
        <w:t>《</w:t>
      </w:r>
      <w:r>
        <w:rPr>
          <w:rFonts w:hint="eastAsia"/>
          <w:color w:val="auto"/>
        </w:rPr>
        <w:t>施工升降机使用说明书》的要求进行零点调整及吊重显示调整。</w:t>
      </w:r>
    </w:p>
    <w:p>
      <w:pPr>
        <w:ind w:firstLine="480"/>
        <w:rPr>
          <w:rFonts w:hint="eastAsia"/>
          <w:color w:val="auto"/>
        </w:rPr>
      </w:pPr>
      <w:r>
        <w:rPr>
          <w:rFonts w:hint="eastAsia"/>
          <w:color w:val="auto"/>
        </w:rPr>
        <w:t>（）升降机的检查</w:t>
      </w:r>
    </w:p>
    <w:p>
      <w:pPr>
        <w:ind w:firstLine="480"/>
        <w:rPr>
          <w:rFonts w:hint="eastAsia"/>
          <w:color w:val="auto"/>
        </w:rPr>
      </w:pPr>
      <w:r>
        <w:rPr>
          <w:rFonts w:hint="eastAsia"/>
          <w:color w:val="auto"/>
        </w:rPr>
        <w:t>按</w:t>
      </w:r>
      <w:r>
        <w:rPr>
          <w:rFonts w:hint="eastAsia"/>
          <w:color w:val="auto"/>
          <w:lang w:eastAsia="zh-CN"/>
        </w:rPr>
        <w:t>《</w:t>
      </w:r>
      <w:r>
        <w:rPr>
          <w:rFonts w:hint="eastAsia"/>
          <w:color w:val="auto"/>
        </w:rPr>
        <w:t>施工升降机使用说明书》的要求进行检查，发现有问题立即调试或更换零部件。</w:t>
      </w:r>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导轨架加高安装</w:t>
      </w:r>
    </w:p>
    <w:p>
      <w:pPr>
        <w:ind w:firstLine="480"/>
        <w:rPr>
          <w:color w:val="auto"/>
        </w:rPr>
      </w:pPr>
      <w:r>
        <w:rPr>
          <w:rFonts w:hint="eastAsia"/>
          <w:color w:val="auto"/>
        </w:rPr>
        <w:t>在完成以上安装调试过程，额定安装载重量状态下“坠落试验”合格验收，合格后方能加高导轨架。</w:t>
      </w:r>
    </w:p>
    <w:p>
      <w:pPr>
        <w:ind w:firstLine="480"/>
        <w:rPr>
          <w:rFonts w:hint="eastAsia"/>
          <w:color w:val="auto"/>
        </w:rPr>
      </w:pPr>
      <w:r>
        <w:rPr>
          <w:rFonts w:hint="eastAsia"/>
          <w:color w:val="auto"/>
        </w:rPr>
        <w:t>（1）在现场没有其他起重设备配合的情况下，安装步骤如下：</w:t>
      </w:r>
    </w:p>
    <w:p>
      <w:pPr>
        <w:ind w:firstLine="480"/>
        <w:rPr>
          <w:color w:val="auto"/>
        </w:rPr>
      </w:pPr>
      <w:r>
        <w:rPr>
          <w:rFonts w:hint="eastAsia"/>
          <w:color w:val="auto"/>
        </w:rPr>
        <w:t>1）将吊杆的插头插入司机室的插座上，将吊杆的吊钩放下。</w:t>
      </w:r>
    </w:p>
    <w:p>
      <w:pPr>
        <w:ind w:firstLine="480"/>
        <w:rPr>
          <w:color w:val="auto"/>
        </w:rPr>
      </w:pPr>
      <w:r>
        <w:rPr>
          <w:rFonts w:hint="eastAsia"/>
          <w:color w:val="auto"/>
        </w:rPr>
        <w:t>1）专业安装作业人员通过配备的专用爬梯，通过吊笼内部打开顶部顶盖，然后攀登至吊笼顶部后，专业安装作业人员将安全带系挂吊笼的顶部围栏上。</w:t>
      </w:r>
    </w:p>
    <w:p>
      <w:pPr>
        <w:ind w:firstLine="480"/>
        <w:rPr>
          <w:rFonts w:hint="eastAsia"/>
          <w:color w:val="auto"/>
        </w:rPr>
      </w:pPr>
      <w:r>
        <w:rPr>
          <w:color w:val="auto"/>
        </w:rPr>
        <w:t>2</w:t>
      </w:r>
      <w:r>
        <w:rPr>
          <w:rFonts w:hint="eastAsia"/>
          <w:color w:val="auto"/>
        </w:rPr>
        <w:t>）专业安装作业人员操作吊杆控制器放下吊钩，使用1根</w:t>
      </w:r>
      <w:r>
        <w:rPr>
          <w:color w:val="auto"/>
        </w:rPr>
        <w:t>2</w:t>
      </w:r>
      <w:r>
        <w:rPr>
          <w:rFonts w:hint="eastAsia"/>
          <w:color w:val="auto"/>
        </w:rPr>
        <w:t>m长的6×7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mm钢丝绳配置2个</w:t>
      </w:r>
      <w:r>
        <w:rPr>
          <w:color w:val="auto"/>
        </w:rPr>
        <w:t>GB/T25854-6-DW1</w:t>
      </w:r>
      <w:r>
        <w:rPr>
          <w:rFonts w:hint="eastAsia"/>
          <w:color w:val="auto"/>
        </w:rPr>
        <w:t>卸扣将标准节顶部的两侧螺栓孔对称连接固定。专业安装作业人员通过控制器起升吊杆吊钩，将钢丝绳与吊钩连接，将标准节（每次起吊1节）吊至吊笼顶部，放稳（注意带锥套的一端向下）；每次在吊笼顶部最多允许放置3个标准节。</w:t>
      </w:r>
    </w:p>
    <w:p>
      <w:pPr>
        <w:ind w:firstLine="480"/>
        <w:rPr>
          <w:color w:val="auto"/>
        </w:rPr>
      </w:pPr>
      <w:r>
        <w:rPr>
          <w:color w:val="auto"/>
        </w:rPr>
        <w:t>3</w:t>
      </w:r>
      <w:r>
        <w:rPr>
          <w:rFonts w:hint="eastAsia"/>
          <w:color w:val="auto"/>
        </w:rPr>
        <w:t>）</w:t>
      </w:r>
      <w:bookmarkStart w:id="166" w:name="_Hlk75435372"/>
      <w:r>
        <w:rPr>
          <w:rFonts w:hint="eastAsia"/>
          <w:color w:val="auto"/>
        </w:rPr>
        <w:t>专职操作员启动施工升降机，</w:t>
      </w:r>
      <w:bookmarkEnd w:id="166"/>
      <w:r>
        <w:rPr>
          <w:rFonts w:hint="eastAsia"/>
          <w:color w:val="auto"/>
        </w:rPr>
        <w:t>当驱动系统最顶端升至接近导轨架顶部时，改为点动行驶，直至吊笼顶部距导轨架顶部约300mm左右时停止，按下紧急停机按钮，防止意外。</w:t>
      </w:r>
    </w:p>
    <w:p>
      <w:pPr>
        <w:ind w:firstLine="480"/>
        <w:rPr>
          <w:rFonts w:hint="eastAsia"/>
          <w:color w:val="auto"/>
        </w:rPr>
      </w:pPr>
      <w:r>
        <w:rPr>
          <w:color w:val="auto"/>
        </w:rPr>
        <w:t>4</w:t>
      </w:r>
      <w:r>
        <w:rPr>
          <w:rFonts w:hint="eastAsia"/>
          <w:color w:val="auto"/>
        </w:rPr>
        <w:t>）专业安装作业人员操作吊杆控制器吊起单节标准节，将标准节两端管子接头处及齿条销子处擦拭干净，并加少量润滑脂；专业安装作业人员根据下降情况扶正标准节，对准下面标准节立管和齿条上的销孔，缓慢放下吊钩，用螺栓紧固；松开吊钩，将吊杆转回，专业安装作业人员用不小于300N·m的拧紧力紧固全部螺栓。</w:t>
      </w:r>
    </w:p>
    <w:p>
      <w:pPr>
        <w:ind w:firstLine="480"/>
        <w:rPr>
          <w:rFonts w:hint="eastAsia"/>
          <w:color w:val="auto"/>
        </w:rPr>
      </w:pPr>
      <w:r>
        <w:rPr>
          <w:color w:val="auto"/>
        </w:rPr>
        <w:t>5</w:t>
      </w:r>
      <w:r>
        <w:rPr>
          <w:rFonts w:hint="eastAsia"/>
          <w:color w:val="auto"/>
        </w:rPr>
        <w:t>）专职操作员驱动吊笼上升1.5m左右，再安装下一节标准节，直至3节标准节装完，再驱动吊笼下降返回钢平台处。</w:t>
      </w:r>
    </w:p>
    <w:p>
      <w:pPr>
        <w:ind w:firstLine="480"/>
        <w:rPr>
          <w:rFonts w:hint="eastAsia"/>
          <w:color w:val="auto"/>
        </w:rPr>
      </w:pPr>
      <w:r>
        <w:rPr>
          <w:color w:val="auto"/>
        </w:rPr>
        <w:t>6</w:t>
      </w:r>
      <w:r>
        <w:rPr>
          <w:rFonts w:hint="eastAsia"/>
          <w:color w:val="auto"/>
        </w:rPr>
        <w:t>）按上述方法将标准节依次连接直至达到所需高度为止，随着导轨架的不断接长，应同时安装附墙架。</w:t>
      </w:r>
    </w:p>
    <w:p>
      <w:pPr>
        <w:ind w:firstLine="480"/>
        <w:rPr>
          <w:rFonts w:hint="eastAsia"/>
          <w:color w:val="auto"/>
        </w:rPr>
      </w:pPr>
      <w:r>
        <w:rPr>
          <w:rFonts w:hint="eastAsia"/>
          <w:color w:val="auto"/>
        </w:rPr>
        <w:t>（2）在现场有其它起重设备（如塔吊等）的配合情况下的安装：</w:t>
      </w:r>
    </w:p>
    <w:p>
      <w:pPr>
        <w:ind w:firstLine="480"/>
        <w:rPr>
          <w:rFonts w:hint="eastAsia"/>
          <w:color w:val="auto"/>
        </w:rPr>
      </w:pPr>
      <w:r>
        <w:rPr>
          <w:rFonts w:hint="eastAsia"/>
          <w:color w:val="auto"/>
        </w:rPr>
        <w:t>1）在地面将4～6节标准节（≤1t）连成一组（标准节两端管子接头处及齿条销子处擦拭干净，并加少量润滑脂）。</w:t>
      </w:r>
    </w:p>
    <w:p>
      <w:pPr>
        <w:ind w:firstLine="480"/>
        <w:rPr>
          <w:color w:val="auto"/>
        </w:rPr>
      </w:pPr>
      <w:r>
        <w:rPr>
          <w:rFonts w:hint="eastAsia"/>
          <w:color w:val="auto"/>
        </w:rPr>
        <w:t>2）专业安装作业人员在地面上使用</w:t>
      </w:r>
      <w:r>
        <w:rPr>
          <w:color w:val="auto"/>
        </w:rPr>
        <w:t>2</w:t>
      </w:r>
      <w:r>
        <w:rPr>
          <w:rFonts w:hint="eastAsia"/>
          <w:color w:val="auto"/>
        </w:rPr>
        <w:t>根</w:t>
      </w:r>
      <w:r>
        <w:rPr>
          <w:color w:val="auto"/>
        </w:rPr>
        <w:t>6</w:t>
      </w:r>
      <w:r>
        <w:rPr>
          <w:rFonts w:hint="eastAsia"/>
          <w:color w:val="auto"/>
        </w:rPr>
        <w:t>m长的6×7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mm钢丝绳配置2个</w:t>
      </w:r>
      <w:r>
        <w:rPr>
          <w:color w:val="auto"/>
        </w:rPr>
        <w:t>GB/T25854-6-DW1</w:t>
      </w:r>
      <w:r>
        <w:rPr>
          <w:rFonts w:hint="eastAsia"/>
          <w:color w:val="auto"/>
        </w:rPr>
        <w:t>卸扣与标准节顶部的吊装孔连接固定，钢丝绳另外一端与塔吊吊钩连接，缓慢起吊至待安装位置上方。</w:t>
      </w:r>
    </w:p>
    <w:p>
      <w:pPr>
        <w:ind w:firstLine="480"/>
        <w:rPr>
          <w:color w:val="auto"/>
        </w:rPr>
      </w:pPr>
      <w:r>
        <w:rPr>
          <w:rFonts w:hint="eastAsia"/>
          <w:color w:val="auto"/>
        </w:rPr>
        <w:t>3）下方专职操作员同时将吊笼升至导轨架顶部以下3</w:t>
      </w:r>
      <w:r>
        <w:rPr>
          <w:color w:val="auto"/>
        </w:rPr>
        <w:t>00</w:t>
      </w:r>
      <w:r>
        <w:rPr>
          <w:rFonts w:hint="eastAsia"/>
          <w:color w:val="auto"/>
        </w:rPr>
        <w:t>mm处，专业安装作业人员通过配备的专用爬梯，通过吊笼内部打开顶部顶盖，然后攀登至吊笼顶部后，专业安装作业人员将安全带系挂吊笼的顶部围栏上。</w:t>
      </w:r>
    </w:p>
    <w:p>
      <w:pPr>
        <w:ind w:firstLine="480"/>
        <w:rPr>
          <w:color w:val="auto"/>
        </w:rPr>
      </w:pPr>
      <w:r>
        <w:rPr>
          <w:rFonts w:hint="eastAsia"/>
          <w:color w:val="auto"/>
        </w:rPr>
        <w:t>4）塔吊操作人员听从指令缓慢下放标准节，专业安装作业人员根据下降情况扶正标准节，使标准节能够准确对位。标准节下放就位，及时安装连接螺栓并用不小于300N·m的拧紧力紧固；随后塔吊缓慢落钩，专业安装作业人员解除钢丝绳与塔吊吊钩的连接，驱动吊笼上升至接高后的导轨架顶部以下3</w:t>
      </w:r>
      <w:r>
        <w:rPr>
          <w:color w:val="auto"/>
        </w:rPr>
        <w:t>00</w:t>
      </w:r>
      <w:r>
        <w:rPr>
          <w:rFonts w:hint="eastAsia"/>
          <w:color w:val="auto"/>
        </w:rPr>
        <w:t>mm处，专业安装作业人员再次解除钢丝绳与顶部标准节之间的卸扣连接。</w:t>
      </w:r>
    </w:p>
    <w:p>
      <w:pPr>
        <w:spacing w:before="24" w:after="24"/>
        <w:ind w:firstLine="480"/>
        <w:rPr>
          <w:color w:val="auto"/>
        </w:rPr>
      </w:pPr>
      <w:r>
        <w:rPr>
          <w:rFonts w:hint="eastAsia"/>
          <w:color w:val="auto"/>
        </w:rPr>
        <w:t>（3）导轨架每加高1</w:t>
      </w:r>
      <w:r>
        <w:rPr>
          <w:color w:val="auto"/>
        </w:rPr>
        <w:t>0</w:t>
      </w:r>
      <w:r>
        <w:rPr>
          <w:rFonts w:hint="eastAsia"/>
          <w:color w:val="auto"/>
        </w:rPr>
        <w:t>m左右，测量人员用全站仪在2个垂直方向上检查导轨架整体的倾斜度偏差。标准节对接时，确保上、下标准节立柱管对接处的错位阶差≤0.5mm。</w:t>
      </w:r>
    </w:p>
    <w:p>
      <w:pPr>
        <w:keepNext/>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表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表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1</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导轨架倾斜度允许偏差表</w:t>
      </w:r>
    </w:p>
    <w:tbl>
      <w:tblPr>
        <w:tblStyle w:val="44"/>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1533"/>
        <w:gridCol w:w="1363"/>
        <w:gridCol w:w="1364"/>
        <w:gridCol w:w="1364"/>
        <w:gridCol w:w="102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1101"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安装高度（m）</w:t>
            </w:r>
          </w:p>
        </w:tc>
        <w:tc>
          <w:tcPr>
            <w:tcW w:w="9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≤70</w:t>
            </w:r>
          </w:p>
        </w:tc>
        <w:tc>
          <w:tcPr>
            <w:tcW w:w="8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70～100</w:t>
            </w:r>
          </w:p>
        </w:tc>
        <w:tc>
          <w:tcPr>
            <w:tcW w:w="8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100～150</w:t>
            </w:r>
          </w:p>
        </w:tc>
        <w:tc>
          <w:tcPr>
            <w:tcW w:w="8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150～200</w:t>
            </w:r>
          </w:p>
        </w:tc>
        <w:tc>
          <w:tcPr>
            <w:tcW w:w="6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＞200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01"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允许偏差（mm）</w:t>
            </w:r>
          </w:p>
        </w:tc>
        <w:tc>
          <w:tcPr>
            <w:tcW w:w="9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w:t>
            </w:r>
            <w:r>
              <w:rPr>
                <w:rFonts w:ascii="Times New Roman" w:hAnsi="Times New Roman" w:eastAsia="宋体" w:cs="Times New Roman"/>
                <w:color w:val="auto"/>
                <w:kern w:val="2"/>
                <w:sz w:val="21"/>
                <w:szCs w:val="22"/>
                <w:lang w:val="en-US" w:eastAsia="zh-CN" w:bidi="ar-SA"/>
              </w:rPr>
              <w:t>高度×0.5</w:t>
            </w:r>
            <w:r>
              <w:rPr>
                <w:rFonts w:hint="eastAsia" w:ascii="Times New Roman" w:hAnsi="Times New Roman" w:eastAsia="宋体" w:cs="Times New Roman"/>
                <w:color w:val="auto"/>
                <w:kern w:val="2"/>
                <w:sz w:val="21"/>
                <w:szCs w:val="22"/>
                <w:lang w:val="en-US" w:eastAsia="zh-CN" w:bidi="ar-SA"/>
              </w:rPr>
              <w:t>‰</w:t>
            </w:r>
          </w:p>
        </w:tc>
        <w:tc>
          <w:tcPr>
            <w:tcW w:w="8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≤35</w:t>
            </w:r>
          </w:p>
        </w:tc>
        <w:tc>
          <w:tcPr>
            <w:tcW w:w="8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≤40</w:t>
            </w:r>
          </w:p>
        </w:tc>
        <w:tc>
          <w:tcPr>
            <w:tcW w:w="8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≤45</w:t>
            </w:r>
          </w:p>
        </w:tc>
        <w:tc>
          <w:tcPr>
            <w:tcW w:w="600" w:type="pct"/>
            <w:noWrap w:val="0"/>
            <w:vAlign w:val="center"/>
          </w:tcPr>
          <w:p>
            <w:pPr>
              <w:jc w:val="center"/>
              <w:rPr>
                <w:rFonts w:ascii="Times New Roman" w:hAnsi="Times New Roman" w:eastAsia="宋体" w:cs="Times New Roman"/>
                <w:color w:val="auto"/>
                <w:kern w:val="2"/>
                <w:sz w:val="21"/>
                <w:szCs w:val="22"/>
                <w:lang w:val="en-US" w:eastAsia="zh-CN" w:bidi="ar-SA"/>
              </w:rPr>
            </w:pPr>
            <w:r>
              <w:rPr>
                <w:rFonts w:ascii="Times New Roman" w:hAnsi="Times New Roman" w:eastAsia="宋体" w:cs="Times New Roman"/>
                <w:color w:val="auto"/>
                <w:kern w:val="2"/>
                <w:sz w:val="21"/>
                <w:szCs w:val="22"/>
                <w:lang w:val="en-US" w:eastAsia="zh-CN" w:bidi="ar-SA"/>
              </w:rPr>
              <w:t>≤50</w:t>
            </w:r>
          </w:p>
        </w:tc>
      </w:tr>
    </w:tbl>
    <w:p>
      <w:pPr>
        <w:widowControl w:val="0"/>
        <w:numPr>
          <w:ilvl w:val="3"/>
          <w:numId w:val="1"/>
        </w:numPr>
        <w:spacing w:line="360" w:lineRule="auto"/>
        <w:ind w:firstLine="0" w:firstLineChars="0"/>
        <w:jc w:val="both"/>
        <w:outlineLvl w:val="3"/>
        <w:rPr>
          <w:rFonts w:hint="eastAsia" w:ascii="Times New Roman" w:hAnsi="Times New Roman" w:eastAsia="宋体" w:cs="Times New Roman"/>
          <w:b/>
          <w:color w:val="0000FF"/>
          <w:kern w:val="2"/>
          <w:sz w:val="24"/>
          <w:szCs w:val="21"/>
          <w:lang w:val="en-US" w:eastAsia="zh-CN" w:bidi="ar-SA"/>
        </w:rPr>
      </w:pPr>
      <w:r>
        <w:rPr>
          <w:rFonts w:hint="eastAsia" w:ascii="Times New Roman" w:hAnsi="Times New Roman" w:eastAsia="宋体" w:cs="Times New Roman"/>
          <w:b/>
          <w:color w:val="0000FF"/>
          <w:kern w:val="2"/>
          <w:sz w:val="24"/>
          <w:szCs w:val="21"/>
          <w:lang w:val="en-US" w:eastAsia="zh-CN" w:bidi="ar-SA"/>
        </w:rPr>
        <w:t>附墙架安装</w:t>
      </w:r>
    </w:p>
    <w:p>
      <w:pPr>
        <w:ind w:firstLine="480"/>
        <w:rPr>
          <w:color w:val="auto"/>
        </w:rPr>
      </w:pPr>
      <w:r>
        <w:rPr>
          <w:rFonts w:hint="eastAsia"/>
          <w:color w:val="auto"/>
        </w:rPr>
        <w:t>为了保证吊笼运行的稳定性，间隔</w:t>
      </w:r>
      <w:r>
        <w:rPr>
          <w:rFonts w:hint="eastAsia"/>
          <w:color w:val="auto"/>
          <w:lang w:val="en-US" w:eastAsia="zh-CN"/>
        </w:rPr>
        <w:t>6m左右</w:t>
      </w:r>
      <w:r>
        <w:rPr>
          <w:rFonts w:hint="eastAsia"/>
          <w:color w:val="auto"/>
        </w:rPr>
        <w:t>设置一道附墙架，塔吊使用2根6m长6×7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mm钢丝绳捆绑起吊附墙架。</w:t>
      </w:r>
    </w:p>
    <w:p>
      <w:pPr>
        <w:pStyle w:val="447"/>
        <w:keepNext/>
        <w:rPr>
          <w:color w:val="auto"/>
        </w:rPr>
      </w:pPr>
      <w:r>
        <w:rPr>
          <w:color w:val="auto"/>
        </w:rPr>
        <w:drawing>
          <wp:inline distT="0" distB="0" distL="114300" distR="114300">
            <wp:extent cx="5577840" cy="4230370"/>
            <wp:effectExtent l="0" t="0" r="0" b="6350"/>
            <wp:docPr id="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2"/>
                    <pic:cNvPicPr>
                      <a:picLocks noChangeAspect="1"/>
                    </pic:cNvPicPr>
                  </pic:nvPicPr>
                  <pic:blipFill>
                    <a:blip r:embed="rId58"/>
                    <a:stretch>
                      <a:fillRect/>
                    </a:stretch>
                  </pic:blipFill>
                  <pic:spPr>
                    <a:xfrm>
                      <a:off x="0" y="0"/>
                      <a:ext cx="5577840" cy="4230370"/>
                    </a:xfrm>
                    <a:prstGeom prst="rect">
                      <a:avLst/>
                    </a:prstGeom>
                    <a:noFill/>
                    <a:ln>
                      <a:noFill/>
                    </a:ln>
                  </pic:spPr>
                </pic:pic>
              </a:graphicData>
            </a:graphic>
          </wp:inline>
        </w:drawing>
      </w:r>
    </w:p>
    <w:p>
      <w:pPr>
        <w:widowControl w:val="0"/>
        <w:spacing w:line="240" w:lineRule="auto"/>
        <w:ind w:firstLine="0" w:firstLineChars="0"/>
        <w:jc w:val="center"/>
        <w:rPr>
          <w:rFonts w:hint="eastAsia"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ascii="Times New Roman" w:hAnsi="Times New Roman" w:eastAsia="宋体" w:cs="Times New Roman"/>
          <w:b/>
          <w:color w:val="auto"/>
          <w:kern w:val="2"/>
          <w:sz w:val="21"/>
          <w:szCs w:val="20"/>
          <w:lang w:val="en-US" w:eastAsia="zh-CN" w:bidi="ar-SA"/>
        </w:rPr>
        <w:t>10</w:t>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标准附墙件构造总图</w:t>
      </w:r>
    </w:p>
    <w:p>
      <w:pPr>
        <w:ind w:firstLine="480"/>
        <w:rPr>
          <w:color w:val="auto"/>
        </w:rPr>
      </w:pPr>
      <w:r>
        <w:rPr>
          <w:rFonts w:hint="eastAsia"/>
          <w:color w:val="auto"/>
        </w:rPr>
        <w:t>（</w:t>
      </w:r>
      <w:r>
        <w:rPr>
          <w:color w:val="auto"/>
        </w:rPr>
        <w:t>1</w:t>
      </w:r>
      <w:r>
        <w:rPr>
          <w:rFonts w:hint="eastAsia"/>
          <w:color w:val="auto"/>
        </w:rPr>
        <w:t>）附墙架安装</w:t>
      </w:r>
    </w:p>
    <w:p>
      <w:pPr>
        <w:ind w:firstLine="480"/>
        <w:rPr>
          <w:color w:val="auto"/>
        </w:rPr>
      </w:pPr>
      <w:r>
        <w:rPr>
          <w:rFonts w:hint="eastAsia"/>
          <w:color w:val="auto"/>
        </w:rPr>
        <w:t>1）启动施工升降机，当吊笼升至吊笼顶距离待安装附墙架1m左右时停止，专业安装作业人员通过配备的专用爬梯，通过吊笼内部打开顶部顶盖，然后攀登至吊笼顶部，并将安全带系挂在吊笼顶部的围栏上。专业安装作业人员用4套M16V型螺栓将后连接杆安装在标准节上下框架角钢上，先不必将螺栓拧得太紧，以便调整位置。</w:t>
      </w:r>
    </w:p>
    <w:p>
      <w:pPr>
        <w:pStyle w:val="447"/>
        <w:rPr>
          <w:color w:val="auto"/>
        </w:rPr>
      </w:pPr>
      <w:r>
        <w:rPr>
          <w:color w:val="auto"/>
        </w:rPr>
        <mc:AlternateContent>
          <mc:Choice Requires="wps">
            <w:drawing>
              <wp:anchor distT="0" distB="0" distL="114300" distR="114300" simplePos="0" relativeHeight="251671552" behindDoc="0" locked="0" layoutInCell="1" allowOverlap="1">
                <wp:simplePos x="0" y="0"/>
                <wp:positionH relativeFrom="column">
                  <wp:posOffset>1957070</wp:posOffset>
                </wp:positionH>
                <wp:positionV relativeFrom="paragraph">
                  <wp:posOffset>422910</wp:posOffset>
                </wp:positionV>
                <wp:extent cx="768350" cy="320675"/>
                <wp:effectExtent l="0" t="0" r="8890" b="14605"/>
                <wp:wrapNone/>
                <wp:docPr id="60" name="矩形 60"/>
                <wp:cNvGraphicFramePr/>
                <a:graphic xmlns:a="http://schemas.openxmlformats.org/drawingml/2006/main">
                  <a:graphicData uri="http://schemas.microsoft.com/office/word/2010/wordprocessingShape">
                    <wps:wsp>
                      <wps:cNvSpPr/>
                      <wps:spPr>
                        <a:xfrm>
                          <a:off x="0" y="0"/>
                          <a:ext cx="768350" cy="320675"/>
                        </a:xfrm>
                        <a:prstGeom prst="rect">
                          <a:avLst/>
                        </a:prstGeom>
                        <a:solidFill>
                          <a:srgbClr val="FFFFFF"/>
                        </a:solidFill>
                        <a:ln>
                          <a:noFill/>
                        </a:ln>
                      </wps:spPr>
                      <wps:txbx>
                        <w:txbxContent>
                          <w:p>
                            <w:pPr>
                              <w:spacing w:line="240" w:lineRule="auto"/>
                              <w:ind w:firstLine="0" w:firstLineChars="0"/>
                              <w:jc w:val="left"/>
                              <w:rPr>
                                <w:color w:val="FF0000"/>
                                <w:sz w:val="21"/>
                                <w:szCs w:val="18"/>
                              </w:rPr>
                            </w:pPr>
                            <w:r>
                              <w:rPr>
                                <w:rFonts w:hint="eastAsia"/>
                                <w:color w:val="FF0000"/>
                                <w:sz w:val="21"/>
                                <w:szCs w:val="18"/>
                              </w:rPr>
                              <w:t>后连接杆</w:t>
                            </w:r>
                          </w:p>
                        </w:txbxContent>
                      </wps:txbx>
                      <wps:bodyPr upright="1"/>
                    </wps:wsp>
                  </a:graphicData>
                </a:graphic>
              </wp:anchor>
            </w:drawing>
          </mc:Choice>
          <mc:Fallback>
            <w:pict>
              <v:rect id="_x0000_s1026" o:spid="_x0000_s1026" o:spt="1" style="position:absolute;left:0pt;margin-left:154.1pt;margin-top:33.3pt;height:25.25pt;width:60.5pt;z-index:251671552;mso-width-relative:page;mso-height-relative:page;" fillcolor="#FFFFFF" filled="t" stroked="f" coordsize="21600,21600" o:gfxdata="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mKH3XAAAACgEAAA8AAAAAAAAAAQAgAAAAIgAAAGRycy9kb3ducmV2LnhtbFBLAQIUABQAAAAI&#10;AIdO4kACStXltQEAAGsDAAAOAAAAAAAAAAEAIAAAACYBAABkcnMvZTJvRG9jLnhtbFBLBQYAAAAA&#10;BgAGAFkBAABNBQAAAAA=&#10;">
                <v:fill on="t" focussize="0,0"/>
                <v:stroke on="f"/>
                <v:imagedata o:title=""/>
                <o:lock v:ext="edit" aspectratio="f"/>
                <v:textbox>
                  <w:txbxContent>
                    <w:p>
                      <w:pPr>
                        <w:spacing w:line="240" w:lineRule="auto"/>
                        <w:ind w:firstLine="0" w:firstLineChars="0"/>
                        <w:jc w:val="left"/>
                        <w:rPr>
                          <w:color w:val="FF0000"/>
                          <w:sz w:val="21"/>
                          <w:szCs w:val="18"/>
                        </w:rPr>
                      </w:pPr>
                      <w:r>
                        <w:rPr>
                          <w:rFonts w:hint="eastAsia"/>
                          <w:color w:val="FF0000"/>
                          <w:sz w:val="21"/>
                          <w:szCs w:val="18"/>
                        </w:rPr>
                        <w:t>后连接杆</w:t>
                      </w:r>
                    </w:p>
                  </w:txbxContent>
                </v:textbox>
              </v:rect>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2577465</wp:posOffset>
                </wp:positionH>
                <wp:positionV relativeFrom="paragraph">
                  <wp:posOffset>605155</wp:posOffset>
                </wp:positionV>
                <wp:extent cx="944245" cy="878840"/>
                <wp:effectExtent l="3175" t="3175" r="12700" b="1905"/>
                <wp:wrapNone/>
                <wp:docPr id="61" name="直接箭头连接符 61"/>
                <wp:cNvGraphicFramePr/>
                <a:graphic xmlns:a="http://schemas.openxmlformats.org/drawingml/2006/main">
                  <a:graphicData uri="http://schemas.microsoft.com/office/word/2010/wordprocessingShape">
                    <wps:wsp>
                      <wps:cNvCnPr/>
                      <wps:spPr>
                        <a:xfrm>
                          <a:off x="0" y="0"/>
                          <a:ext cx="944245" cy="87884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2.95pt;margin-top:47.65pt;height:69.2pt;width:74.35pt;z-index:251669504;mso-width-relative:page;mso-height-relative:page;" filled="f" stroked="t" coordsize="21600,21600" o:gfxdata="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Ly9s2wAAAAoBAAAPAAAAAAAAAAEA&#10;IAAAACIAAABkcnMvZG93bnJldi54bWxQSwECFAAUAAAACACHTuJAq9V0yQwCAAD2AwAADgAAAAAA&#10;AAABACAAAAAqAQAAZHJzL2Uyb0RvYy54bWxQSwUGAAAAAAYABgBZAQAAqAU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70528" behindDoc="0" locked="0" layoutInCell="1" allowOverlap="1">
                <wp:simplePos x="0" y="0"/>
                <wp:positionH relativeFrom="column">
                  <wp:posOffset>2569210</wp:posOffset>
                </wp:positionH>
                <wp:positionV relativeFrom="paragraph">
                  <wp:posOffset>599440</wp:posOffset>
                </wp:positionV>
                <wp:extent cx="909320" cy="332105"/>
                <wp:effectExtent l="1905" t="4445" r="3175" b="13970"/>
                <wp:wrapNone/>
                <wp:docPr id="52" name="直接箭头连接符 52"/>
                <wp:cNvGraphicFramePr/>
                <a:graphic xmlns:a="http://schemas.openxmlformats.org/drawingml/2006/main">
                  <a:graphicData uri="http://schemas.microsoft.com/office/word/2010/wordprocessingShape">
                    <wps:wsp>
                      <wps:cNvCnPr/>
                      <wps:spPr>
                        <a:xfrm>
                          <a:off x="0" y="0"/>
                          <a:ext cx="909320" cy="33210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2.3pt;margin-top:47.2pt;height:26.15pt;width:71.6pt;z-index:251670528;mso-width-relative:page;mso-height-relative:page;" filled="f" stroked="t" coordsize="21600,21600" o:gfxdata="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THUgNkAAAAKAQAADwAAAAAAAAABACAAAAAi&#10;AAAAZHJzL2Rvd25yZXYueG1sUEsBAhQAFAAAAAgAh07iQH9Nd5gJAgAA9gMAAA4AAAAAAAAAAQAg&#10;AAAAKAEAAGRycy9lMm9Eb2MueG1sUEsFBgAAAAAGAAYAWQEAAKMFAAAAAA==&#10;">
                <v:fill on="f" focussize="0,0"/>
                <v:stroke color="#FF0000" joinstyle="round" endarrow="block"/>
                <v:imagedata o:title=""/>
                <o:lock v:ext="edit" aspectratio="f"/>
              </v:shape>
            </w:pict>
          </mc:Fallback>
        </mc:AlternateContent>
      </w:r>
      <w:r>
        <w:rPr>
          <w:color w:val="auto"/>
        </w:rPr>
        <w:drawing>
          <wp:inline distT="0" distB="0" distL="114300" distR="114300">
            <wp:extent cx="3535680" cy="2147570"/>
            <wp:effectExtent l="0" t="0" r="0" b="1270"/>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59"/>
                    <a:stretch>
                      <a:fillRect/>
                    </a:stretch>
                  </pic:blipFill>
                  <pic:spPr>
                    <a:xfrm>
                      <a:off x="0" y="0"/>
                      <a:ext cx="3535680" cy="2147570"/>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hint="eastAsia" w:ascii="Times New Roman" w:hAnsi="Times New Roman" w:eastAsia="宋体" w:cs="Times New Roman"/>
          <w:b/>
          <w:color w:val="auto"/>
          <w:kern w:val="2"/>
          <w:sz w:val="21"/>
          <w:szCs w:val="20"/>
          <w:lang w:val="en-US" w:eastAsia="zh-CN" w:bidi="ar-SA"/>
        </w:rPr>
        <w:t>11</w:t>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后连接杆安装示意图</w:t>
      </w:r>
    </w:p>
    <w:p>
      <w:pPr>
        <w:ind w:firstLine="480"/>
        <w:rPr>
          <w:color w:val="auto"/>
        </w:rPr>
      </w:pPr>
      <w:r>
        <w:rPr>
          <w:rFonts w:hint="eastAsia"/>
          <w:color w:val="auto"/>
        </w:rPr>
        <w:t>2）附墙座固定在主塔外侧壁上</w:t>
      </w:r>
    </w:p>
    <w:p>
      <w:pPr>
        <w:ind w:firstLine="480"/>
        <w:rPr>
          <w:rFonts w:hint="eastAsia"/>
          <w:color w:val="auto"/>
        </w:rPr>
      </w:pPr>
      <w:r>
        <w:rPr>
          <w:rFonts w:hint="eastAsia"/>
          <w:color w:val="auto"/>
        </w:rPr>
        <w:t>专业安装作业人员通过升降机通行至筑塔机架体底节操作层上，并行走至附墙下面的施工操作平台上，同时交替挂设安全带于平台栏杆上。专业安装作业人员用8.8级M24螺栓将附墙架的附墙座固定在主塔外侧表面。</w:t>
      </w:r>
    </w:p>
    <w:p>
      <w:pPr>
        <w:pStyle w:val="447"/>
        <w:rPr>
          <w:color w:val="auto"/>
        </w:rPr>
      </w:pPr>
      <w:r>
        <w:rPr>
          <w:color w:val="auto"/>
        </w:rPr>
        <mc:AlternateContent>
          <mc:Choice Requires="wps">
            <w:drawing>
              <wp:anchor distT="0" distB="0" distL="114300" distR="114300" simplePos="0" relativeHeight="251674624" behindDoc="0" locked="0" layoutInCell="1" allowOverlap="1">
                <wp:simplePos x="0" y="0"/>
                <wp:positionH relativeFrom="column">
                  <wp:posOffset>3771900</wp:posOffset>
                </wp:positionH>
                <wp:positionV relativeFrom="paragraph">
                  <wp:posOffset>981710</wp:posOffset>
                </wp:positionV>
                <wp:extent cx="591185" cy="284480"/>
                <wp:effectExtent l="0" t="0" r="3175" b="5080"/>
                <wp:wrapNone/>
                <wp:docPr id="46" name="矩形 46"/>
                <wp:cNvGraphicFramePr/>
                <a:graphic xmlns:a="http://schemas.openxmlformats.org/drawingml/2006/main">
                  <a:graphicData uri="http://schemas.microsoft.com/office/word/2010/wordprocessingShape">
                    <wps:wsp>
                      <wps:cNvSpPr/>
                      <wps:spPr>
                        <a:xfrm>
                          <a:off x="0" y="0"/>
                          <a:ext cx="591185" cy="284480"/>
                        </a:xfrm>
                        <a:prstGeom prst="rect">
                          <a:avLst/>
                        </a:prstGeom>
                        <a:solidFill>
                          <a:srgbClr val="FFFFFF"/>
                        </a:solidFill>
                        <a:ln>
                          <a:noFill/>
                        </a:ln>
                      </wps:spPr>
                      <wps:txbx>
                        <w:txbxContent>
                          <w:p>
                            <w:pPr>
                              <w:spacing w:line="240" w:lineRule="auto"/>
                              <w:ind w:firstLine="0" w:firstLineChars="0"/>
                              <w:rPr>
                                <w:sz w:val="21"/>
                                <w:szCs w:val="18"/>
                              </w:rPr>
                            </w:pPr>
                            <w:r>
                              <w:rPr>
                                <w:rFonts w:hint="eastAsia"/>
                                <w:sz w:val="21"/>
                                <w:szCs w:val="18"/>
                              </w:rPr>
                              <w:t>附墙座</w:t>
                            </w:r>
                          </w:p>
                        </w:txbxContent>
                      </wps:txbx>
                      <wps:bodyPr upright="1"/>
                    </wps:wsp>
                  </a:graphicData>
                </a:graphic>
              </wp:anchor>
            </w:drawing>
          </mc:Choice>
          <mc:Fallback>
            <w:pict>
              <v:rect id="_x0000_s1026" o:spid="_x0000_s1026" o:spt="1" style="position:absolute;left:0pt;margin-left:297pt;margin-top:77.3pt;height:22.4pt;width:46.55pt;z-index:251674624;mso-width-relative:page;mso-height-relative:page;" fillcolor="#FFFFFF" filled="t" stroked="f" coordsize="21600,21600" o:gfxdata="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4jGAN2AAAAAsBAAAPAAAAAAAAAAEAIAAAACIAAABkcnMvZG93bnJldi54bWxQSwECFAAU&#10;AAAACACHTuJAa8nIsbgBAABrAwAADgAAAAAAAAABACAAAAAnAQAAZHJzL2Uyb0RvYy54bWxQSwUG&#10;AAAAAAYABgBZAQAAUQUAAAAA&#10;">
                <v:fill on="t" focussize="0,0"/>
                <v:stroke on="f"/>
                <v:imagedata o:title=""/>
                <o:lock v:ext="edit" aspectratio="f"/>
                <v:textbox>
                  <w:txbxContent>
                    <w:p>
                      <w:pPr>
                        <w:spacing w:line="240" w:lineRule="auto"/>
                        <w:ind w:firstLine="0" w:firstLineChars="0"/>
                        <w:rPr>
                          <w:sz w:val="21"/>
                          <w:szCs w:val="18"/>
                        </w:rPr>
                      </w:pPr>
                      <w:r>
                        <w:rPr>
                          <w:rFonts w:hint="eastAsia"/>
                          <w:sz w:val="21"/>
                          <w:szCs w:val="18"/>
                        </w:rPr>
                        <w:t>附墙座</w:t>
                      </w:r>
                    </w:p>
                  </w:txbxContent>
                </v:textbox>
              </v:rect>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4347210</wp:posOffset>
                </wp:positionH>
                <wp:positionV relativeFrom="paragraph">
                  <wp:posOffset>453390</wp:posOffset>
                </wp:positionV>
                <wp:extent cx="349885" cy="627380"/>
                <wp:effectExtent l="4445" t="0" r="11430" b="12700"/>
                <wp:wrapNone/>
                <wp:docPr id="28" name="直接箭头连接符 28"/>
                <wp:cNvGraphicFramePr/>
                <a:graphic xmlns:a="http://schemas.openxmlformats.org/drawingml/2006/main">
                  <a:graphicData uri="http://schemas.microsoft.com/office/word/2010/wordprocessingShape">
                    <wps:wsp>
                      <wps:cNvCnPr/>
                      <wps:spPr>
                        <a:xfrm flipV="1">
                          <a:off x="0" y="0"/>
                          <a:ext cx="349885" cy="62738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42.3pt;margin-top:35.7pt;height:49.4pt;width:27.55pt;z-index:251672576;mso-width-relative:page;mso-height-relative:page;" filled="f" stroked="t" coordsize="21600,21600" o:gfxdata="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cRmr7aAAAACgEAAA8A&#10;AAAAAAAAAQAgAAAAIgAAAGRycy9kb3ducmV2LnhtbFBLAQIUABQAAAAIAIdO4kDq7DWxFQIAAAAE&#10;AAAOAAAAAAAAAAEAIAAAACkBAABkcnMvZTJvRG9jLnhtbFBLBQYAAAAABgAGAFkBAACwBQAAAAA=&#10;">
                <v:fill on="f" focussize="0,0"/>
                <v:stroke color="#FF0000" joinstyle="round" endarrow="block"/>
                <v:imagedata o:title=""/>
                <o:lock v:ext="edit" aspectratio="f"/>
              </v:shape>
            </w:pict>
          </mc:Fallback>
        </mc:AlternateContent>
      </w:r>
      <w:r>
        <w:rPr>
          <w:color w:val="auto"/>
        </w:rPr>
        <mc:AlternateContent>
          <mc:Choice Requires="wps">
            <w:drawing>
              <wp:anchor distT="0" distB="0" distL="114300" distR="114300" simplePos="0" relativeHeight="251673600" behindDoc="0" locked="0" layoutInCell="1" allowOverlap="1">
                <wp:simplePos x="0" y="0"/>
                <wp:positionH relativeFrom="column">
                  <wp:posOffset>4374515</wp:posOffset>
                </wp:positionH>
                <wp:positionV relativeFrom="paragraph">
                  <wp:posOffset>1080770</wp:posOffset>
                </wp:positionV>
                <wp:extent cx="560070" cy="560070"/>
                <wp:effectExtent l="3175" t="3175" r="635" b="635"/>
                <wp:wrapNone/>
                <wp:docPr id="30" name="直接箭头连接符 30"/>
                <wp:cNvGraphicFramePr/>
                <a:graphic xmlns:a="http://schemas.openxmlformats.org/drawingml/2006/main">
                  <a:graphicData uri="http://schemas.microsoft.com/office/word/2010/wordprocessingShape">
                    <wps:wsp>
                      <wps:cNvCnPr/>
                      <wps:spPr>
                        <a:xfrm>
                          <a:off x="0" y="0"/>
                          <a:ext cx="560070" cy="56007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4.45pt;margin-top:85.1pt;height:44.1pt;width:44.1pt;z-index:251673600;mso-width-relative:page;mso-height-relative:page;" filled="f" stroked="t" coordsize="21600,21600" o:gfxdata="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mXStsAAAALAQAADwAAAAAAAAABACAAAAAi&#10;AAAAZHJzL2Rvd25yZXYueG1sUEsBAhQAFAAAAAgAh07iQCuYog0HAgAA9gMAAA4AAAAAAAAAAQAg&#10;AAAAKgEAAGRycy9lMm9Eb2MueG1sUEsFBgAAAAAGAAYAWQEAAKMFAAAAAA==&#10;">
                <v:fill on="f" focussize="0,0"/>
                <v:stroke color="#FF0000" joinstyle="round" endarrow="block"/>
                <v:imagedata o:title=""/>
                <o:lock v:ext="edit" aspectratio="f"/>
              </v:shape>
            </w:pict>
          </mc:Fallback>
        </mc:AlternateContent>
      </w:r>
      <w:r>
        <w:rPr>
          <w:color w:val="auto"/>
        </w:rPr>
        <w:drawing>
          <wp:inline distT="0" distB="0" distL="114300" distR="114300">
            <wp:extent cx="4886325" cy="2106295"/>
            <wp:effectExtent l="0" t="0" r="5715" b="12065"/>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60"/>
                    <a:stretch>
                      <a:fillRect/>
                    </a:stretch>
                  </pic:blipFill>
                  <pic:spPr>
                    <a:xfrm>
                      <a:off x="0" y="0"/>
                      <a:ext cx="4886325" cy="2106295"/>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图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1</w:t>
      </w:r>
      <w:r>
        <w:rPr>
          <w:rFonts w:hint="eastAsia" w:ascii="Times New Roman" w:hAnsi="Times New Roman" w:eastAsia="宋体" w:cs="Times New Roman"/>
          <w:b/>
          <w:color w:val="auto"/>
          <w:kern w:val="2"/>
          <w:sz w:val="21"/>
          <w:szCs w:val="20"/>
          <w:lang w:val="en-US" w:eastAsia="zh-CN" w:bidi="ar-SA"/>
        </w:rPr>
        <w:t>2</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支撑底座安装示意图</w:t>
      </w:r>
    </w:p>
    <w:p>
      <w:pPr>
        <w:ind w:firstLine="480"/>
        <w:rPr>
          <w:color w:val="auto"/>
        </w:rPr>
      </w:pPr>
      <w:r>
        <w:rPr>
          <w:rFonts w:hint="eastAsia"/>
          <w:color w:val="auto"/>
        </w:rPr>
        <w:t>3）专业安装作业人员根据选用的附墙距离，将支撑桁架片、小连接架、大连接架、前连接杆组装成一体后吊运到位，与后连接杆和附墙座连接。</w:t>
      </w:r>
    </w:p>
    <w:p>
      <w:pPr>
        <w:ind w:firstLine="480"/>
        <w:rPr>
          <w:color w:val="auto"/>
        </w:rPr>
      </w:pPr>
      <w:r>
        <w:rPr>
          <w:rFonts w:hint="eastAsia"/>
          <w:color w:val="auto"/>
        </w:rPr>
        <w:t>地面上的专业安装作业人员使用</w:t>
      </w:r>
      <w:r>
        <w:rPr>
          <w:color w:val="auto"/>
        </w:rPr>
        <w:t>2</w:t>
      </w:r>
      <w:r>
        <w:rPr>
          <w:rFonts w:hint="eastAsia"/>
          <w:color w:val="auto"/>
        </w:rPr>
        <w:t>根</w:t>
      </w:r>
      <w:r>
        <w:rPr>
          <w:color w:val="auto"/>
        </w:rPr>
        <w:t>6</w:t>
      </w:r>
      <w:r>
        <w:rPr>
          <w:rFonts w:hint="eastAsia"/>
          <w:color w:val="auto"/>
        </w:rPr>
        <w:t>m长的6×7</w:t>
      </w:r>
      <w:r>
        <w:rPr>
          <w:color w:val="auto"/>
        </w:rPr>
        <w:t>+FC 1770</w:t>
      </w:r>
      <w:r>
        <w:rPr>
          <w:rFonts w:hint="eastAsia"/>
          <w:color w:val="auto"/>
        </w:rPr>
        <w:t>-</w:t>
      </w:r>
      <w:r>
        <w:rPr>
          <w:rFonts w:hint="eastAsia" w:ascii="SJQY" w:hAnsi="SJQY" w:eastAsia="SJQY"/>
          <w:color w:val="auto"/>
        </w:rPr>
        <w:t>A</w:t>
      </w:r>
      <w:r>
        <w:rPr>
          <w:color w:val="auto"/>
        </w:rPr>
        <w:t>10</w:t>
      </w:r>
      <w:r>
        <w:rPr>
          <w:rFonts w:hint="eastAsia"/>
          <w:color w:val="auto"/>
        </w:rPr>
        <w:t>mm钢丝绳配置2个</w:t>
      </w:r>
      <w:r>
        <w:rPr>
          <w:color w:val="auto"/>
        </w:rPr>
        <w:t>GB/T25854-6-DW1</w:t>
      </w:r>
      <w:r>
        <w:rPr>
          <w:rFonts w:hint="eastAsia"/>
          <w:color w:val="auto"/>
        </w:rPr>
        <w:t>卸扣与C型附墙件进行捆绑连接牢靠。钢丝绳另外一端与塔吊吊钩连接，缓慢起吊至待安装位置上方。</w:t>
      </w:r>
    </w:p>
    <w:p>
      <w:pPr>
        <w:ind w:firstLine="480"/>
        <w:rPr>
          <w:color w:val="auto"/>
        </w:rPr>
      </w:pPr>
      <w:r>
        <w:rPr>
          <w:rFonts w:hint="eastAsia"/>
          <w:color w:val="auto"/>
        </w:rPr>
        <w:t>塔吊操作人员听从指令缓慢下放附墙架，位于吊笼顶部以及主塔外侧施工作业平台的专业安装作业人员根据下降情况扶正附墙架，附墙架下放就位后，及时安装连接螺栓并拧紧到位。</w:t>
      </w:r>
    </w:p>
    <w:p>
      <w:pPr>
        <w:ind w:firstLine="480"/>
        <w:rPr>
          <w:color w:val="auto"/>
        </w:rPr>
      </w:pPr>
      <w:r>
        <w:rPr>
          <w:rFonts w:hint="eastAsia"/>
          <w:color w:val="auto"/>
        </w:rPr>
        <w:t>用M24螺栓将小连接架和后连接杆连接在一起，支撑桁架片与附墙座焊接；</w:t>
      </w:r>
    </w:p>
    <w:p>
      <w:pPr>
        <w:pStyle w:val="447"/>
        <w:rPr>
          <w:color w:val="auto"/>
        </w:rPr>
      </w:pPr>
      <w:r>
        <w:rPr>
          <w:color w:val="auto"/>
        </w:rPr>
        <w:drawing>
          <wp:inline distT="0" distB="0" distL="114300" distR="114300">
            <wp:extent cx="4883785" cy="1978660"/>
            <wp:effectExtent l="0" t="0" r="8255" b="254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61"/>
                    <a:stretch>
                      <a:fillRect/>
                    </a:stretch>
                  </pic:blipFill>
                  <pic:spPr>
                    <a:xfrm>
                      <a:off x="0" y="0"/>
                      <a:ext cx="4883785" cy="1978660"/>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图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1</w:t>
      </w:r>
      <w:r>
        <w:rPr>
          <w:rFonts w:hint="eastAsia" w:ascii="Times New Roman" w:hAnsi="Times New Roman" w:eastAsia="宋体" w:cs="Times New Roman"/>
          <w:b/>
          <w:color w:val="auto"/>
          <w:kern w:val="2"/>
          <w:sz w:val="21"/>
          <w:szCs w:val="20"/>
          <w:lang w:val="en-US" w:eastAsia="zh-CN" w:bidi="ar-SA"/>
        </w:rPr>
        <w:t>3</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t xml:space="preserve"> C</w:t>
      </w:r>
      <w:r>
        <w:rPr>
          <w:rFonts w:hint="eastAsia" w:ascii="Times New Roman" w:hAnsi="Times New Roman" w:eastAsia="宋体" w:cs="Times New Roman"/>
          <w:b/>
          <w:color w:val="auto"/>
          <w:kern w:val="2"/>
          <w:sz w:val="21"/>
          <w:szCs w:val="20"/>
          <w:lang w:val="en-US" w:eastAsia="zh-CN" w:bidi="ar-SA"/>
        </w:rPr>
        <w:t>型附墙标准件连接示意图</w:t>
      </w:r>
    </w:p>
    <w:p>
      <w:pPr>
        <w:ind w:firstLine="480"/>
        <w:rPr>
          <w:color w:val="auto"/>
        </w:rPr>
      </w:pPr>
      <w:r>
        <w:rPr>
          <w:rFonts w:hint="eastAsia"/>
          <w:color w:val="auto"/>
        </w:rPr>
        <w:t>4）测量人员采用全站仪测量附墙架的安装水平度以及导轨架的倾斜度，专业安装作业人员根据测量结果校正导轨架的安装倾斜度，并撑紧调整杆。</w:t>
      </w:r>
    </w:p>
    <w:p>
      <w:pPr>
        <w:ind w:firstLine="480"/>
        <w:rPr>
          <w:rFonts w:hint="eastAsia"/>
          <w:color w:val="auto"/>
        </w:rPr>
      </w:pPr>
      <w:r>
        <w:rPr>
          <w:rFonts w:hint="eastAsia"/>
          <w:color w:val="auto"/>
        </w:rPr>
        <w:t>5）调整到位后，吊笼顶部以及主塔外侧施工作业平台的专业安装作业人员同时紧固所有连接螺栓，并安装开口销。</w:t>
      </w:r>
    </w:p>
    <w:p>
      <w:pPr>
        <w:pStyle w:val="447"/>
        <w:rPr>
          <w:color w:val="auto"/>
        </w:rPr>
      </w:pPr>
      <w:r>
        <w:rPr>
          <w:color w:val="auto"/>
        </w:rPr>
        <w:drawing>
          <wp:inline distT="0" distB="0" distL="114300" distR="114300">
            <wp:extent cx="4849495" cy="2573655"/>
            <wp:effectExtent l="0" t="0" r="12065" b="1905"/>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62"/>
                    <a:stretch>
                      <a:fillRect/>
                    </a:stretch>
                  </pic:blipFill>
                  <pic:spPr>
                    <a:xfrm>
                      <a:off x="0" y="0"/>
                      <a:ext cx="4849495" cy="2573655"/>
                    </a:xfrm>
                    <a:prstGeom prst="rect">
                      <a:avLst/>
                    </a:prstGeom>
                    <a:noFill/>
                    <a:ln>
                      <a:noFill/>
                    </a:ln>
                  </pic:spPr>
                </pic:pic>
              </a:graphicData>
            </a:graphic>
          </wp:inline>
        </w:drawing>
      </w:r>
    </w:p>
    <w:p>
      <w:pPr>
        <w:widowControl w:val="0"/>
        <w:spacing w:line="240" w:lineRule="auto"/>
        <w:ind w:firstLine="0" w:firstLineChars="0"/>
        <w:jc w:val="center"/>
        <w:rPr>
          <w:rFonts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图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1</w:t>
      </w:r>
      <w:r>
        <w:rPr>
          <w:rFonts w:hint="eastAsia" w:ascii="Times New Roman" w:hAnsi="Times New Roman" w:eastAsia="宋体" w:cs="Times New Roman"/>
          <w:b/>
          <w:color w:val="auto"/>
          <w:kern w:val="2"/>
          <w:sz w:val="21"/>
          <w:szCs w:val="20"/>
          <w:lang w:val="en-US" w:eastAsia="zh-CN" w:bidi="ar-SA"/>
        </w:rPr>
        <w:t>4</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开口销安装</w:t>
      </w:r>
    </w:p>
    <w:p>
      <w:pPr>
        <w:ind w:firstLine="480"/>
        <w:rPr>
          <w:color w:val="auto"/>
        </w:rPr>
      </w:pPr>
      <w:r>
        <w:rPr>
          <w:rFonts w:hint="eastAsia"/>
          <w:color w:val="auto"/>
        </w:rPr>
        <w:t>6</w:t>
      </w:r>
      <w:r>
        <w:rPr>
          <w:color w:val="auto"/>
        </w:rPr>
        <w:t>）</w:t>
      </w:r>
      <w:r>
        <w:rPr>
          <w:rFonts w:hint="eastAsia"/>
          <w:color w:val="auto"/>
        </w:rPr>
        <w:t>安装完成后，塔吊操作人员听从指令缓慢落钩，专业安装作业人员解除钢丝绳与附墙件之间的卸扣连接。</w:t>
      </w:r>
    </w:p>
    <w:p>
      <w:pPr>
        <w:ind w:firstLine="480"/>
        <w:rPr>
          <w:color w:val="auto"/>
        </w:rPr>
      </w:pPr>
      <w:r>
        <w:rPr>
          <w:rFonts w:hint="eastAsia"/>
          <w:color w:val="auto"/>
        </w:rPr>
        <w:t>（2）施工操作平台设计</w:t>
      </w:r>
    </w:p>
    <w:p>
      <w:pPr>
        <w:ind w:firstLine="480"/>
        <w:rPr>
          <w:color w:val="auto"/>
        </w:rPr>
      </w:pPr>
      <w:r>
        <w:rPr>
          <w:rFonts w:hint="eastAsia"/>
          <w:color w:val="auto"/>
        </w:rPr>
        <w:t>在每道附墙下面设置施工操作平台，施工操作平台如下图所示，施工操作平台托架主体结构由双拼[</w:t>
      </w:r>
      <w:r>
        <w:rPr>
          <w:color w:val="auto"/>
        </w:rPr>
        <w:t>16a</w:t>
      </w:r>
      <w:r>
        <w:rPr>
          <w:rFonts w:hint="eastAsia"/>
          <w:color w:val="auto"/>
        </w:rPr>
        <w:t>槽钢焊接组拼而成，托架与面板骨架采用螺栓连接，面板骨架上面满铺定型钢跳板，外侧设置安全防护围栏。具体设计详见附件。</w:t>
      </w:r>
    </w:p>
    <w:p>
      <w:pPr>
        <w:keepNext/>
        <w:jc w:val="center"/>
        <w:rPr>
          <w:rFonts w:ascii="Times New Roman" w:hAnsi="Times New Roman" w:eastAsia="宋体" w:cs="Times New Roman"/>
          <w:b/>
          <w:color w:val="auto"/>
          <w:kern w:val="2"/>
          <w:sz w:val="21"/>
          <w:szCs w:val="22"/>
          <w:lang w:bidi="ar-SA"/>
        </w:rPr>
      </w:pPr>
      <w:r>
        <w:rPr>
          <w:rFonts w:ascii="Times New Roman" w:hAnsi="Times New Roman" w:eastAsia="宋体" w:cs="Times New Roman"/>
          <w:b/>
          <w:color w:val="auto"/>
          <w:kern w:val="2"/>
          <w:sz w:val="21"/>
          <w:szCs w:val="22"/>
          <w:lang w:bidi="ar-SA"/>
        </w:rPr>
        <w:drawing>
          <wp:inline distT="0" distB="0" distL="114300" distR="114300">
            <wp:extent cx="4900295" cy="3102610"/>
            <wp:effectExtent l="0" t="0" r="6985" b="6350"/>
            <wp:docPr id="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pic:cNvPicPr>
                      <a:picLocks noChangeAspect="1"/>
                    </pic:cNvPicPr>
                  </pic:nvPicPr>
                  <pic:blipFill>
                    <a:blip r:embed="rId63"/>
                    <a:stretch>
                      <a:fillRect/>
                    </a:stretch>
                  </pic:blipFill>
                  <pic:spPr>
                    <a:xfrm>
                      <a:off x="0" y="0"/>
                      <a:ext cx="4900295" cy="3102610"/>
                    </a:xfrm>
                    <a:prstGeom prst="rect">
                      <a:avLst/>
                    </a:prstGeom>
                    <a:noFill/>
                    <a:ln>
                      <a:noFill/>
                    </a:ln>
                  </pic:spPr>
                </pic:pic>
              </a:graphicData>
            </a:graphic>
          </wp:inline>
        </w:drawing>
      </w:r>
    </w:p>
    <w:p>
      <w:pPr>
        <w:widowControl w:val="0"/>
        <w:spacing w:line="240" w:lineRule="auto"/>
        <w:ind w:firstLine="0" w:firstLineChars="0"/>
        <w:jc w:val="center"/>
        <w:rPr>
          <w:rFonts w:hint="eastAsia"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图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1</w:t>
      </w:r>
      <w:r>
        <w:rPr>
          <w:rFonts w:hint="eastAsia" w:ascii="Times New Roman" w:hAnsi="Times New Roman" w:eastAsia="宋体" w:cs="Times New Roman"/>
          <w:b/>
          <w:color w:val="auto"/>
          <w:kern w:val="2"/>
          <w:sz w:val="21"/>
          <w:szCs w:val="20"/>
          <w:lang w:val="en-US" w:eastAsia="zh-CN" w:bidi="ar-SA"/>
        </w:rPr>
        <w:t>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施工操作平台平面布置图（单位：mm）</w:t>
      </w:r>
    </w:p>
    <w:p>
      <w:pPr>
        <w:keepNext/>
        <w:ind w:firstLine="480"/>
        <w:jc w:val="center"/>
        <w:rPr>
          <w:color w:val="auto"/>
        </w:rPr>
      </w:pPr>
      <w:r>
        <w:rPr>
          <w:color w:val="auto"/>
        </w:rPr>
        <w:drawing>
          <wp:inline distT="0" distB="0" distL="114300" distR="114300">
            <wp:extent cx="4416425" cy="6769735"/>
            <wp:effectExtent l="0" t="0" r="3175" b="12065"/>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64"/>
                    <a:stretch>
                      <a:fillRect/>
                    </a:stretch>
                  </pic:blipFill>
                  <pic:spPr>
                    <a:xfrm>
                      <a:off x="0" y="0"/>
                      <a:ext cx="4416425" cy="6769735"/>
                    </a:xfrm>
                    <a:prstGeom prst="rect">
                      <a:avLst/>
                    </a:prstGeom>
                    <a:noFill/>
                    <a:ln>
                      <a:noFill/>
                    </a:ln>
                  </pic:spPr>
                </pic:pic>
              </a:graphicData>
            </a:graphic>
          </wp:inline>
        </w:drawing>
      </w:r>
    </w:p>
    <w:p>
      <w:pPr>
        <w:widowControl w:val="0"/>
        <w:spacing w:line="240" w:lineRule="auto"/>
        <w:ind w:firstLine="0" w:firstLineChars="0"/>
        <w:jc w:val="center"/>
        <w:rPr>
          <w:rFonts w:hint="eastAsia" w:ascii="Times New Roman" w:hAnsi="Times New Roman" w:eastAsia="宋体" w:cs="Times New Roman"/>
          <w:b/>
          <w:color w:val="auto"/>
          <w:kern w:val="2"/>
          <w:sz w:val="21"/>
          <w:szCs w:val="20"/>
          <w:lang w:val="en-US" w:eastAsia="zh-CN" w:bidi="ar-SA"/>
        </w:rPr>
      </w:pPr>
      <w:r>
        <w:rPr>
          <w:rFonts w:hint="eastAsia" w:ascii="Times New Roman" w:hAnsi="Times New Roman" w:eastAsia="宋体" w:cs="Times New Roman"/>
          <w:b/>
          <w:color w:val="auto"/>
          <w:kern w:val="2"/>
          <w:sz w:val="21"/>
          <w:szCs w:val="20"/>
          <w:lang w:val="en-US" w:eastAsia="zh-CN" w:bidi="ar-SA"/>
        </w:rPr>
        <w:t xml:space="preserve">图 </w:t>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STYLEREF 2 \s</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4.5</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noBreakHyphen/>
      </w:r>
      <w:r>
        <w:rPr>
          <w:rFonts w:ascii="Times New Roman" w:hAnsi="Times New Roman" w:eastAsia="宋体" w:cs="Times New Roman"/>
          <w:b/>
          <w:color w:val="auto"/>
          <w:kern w:val="2"/>
          <w:sz w:val="21"/>
          <w:szCs w:val="20"/>
          <w:lang w:val="en-US" w:eastAsia="zh-CN" w:bidi="ar-SA"/>
        </w:rPr>
        <w:fldChar w:fldCharType="begin"/>
      </w:r>
      <w:r>
        <w:rPr>
          <w:rFonts w:ascii="Times New Roman" w:hAnsi="Times New Roman" w:eastAsia="宋体" w:cs="Times New Roman"/>
          <w:b/>
          <w:color w:val="auto"/>
          <w:kern w:val="2"/>
          <w:sz w:val="21"/>
          <w:szCs w:val="20"/>
          <w:lang w:val="en-US" w:eastAsia="zh-CN" w:bidi="ar-SA"/>
        </w:rPr>
        <w:instrText xml:space="preserve"> </w:instrText>
      </w:r>
      <w:r>
        <w:rPr>
          <w:rFonts w:hint="eastAsia" w:ascii="Times New Roman" w:hAnsi="Times New Roman" w:eastAsia="宋体" w:cs="Times New Roman"/>
          <w:b/>
          <w:color w:val="auto"/>
          <w:kern w:val="2"/>
          <w:sz w:val="21"/>
          <w:szCs w:val="20"/>
          <w:lang w:val="en-US" w:eastAsia="zh-CN" w:bidi="ar-SA"/>
        </w:rPr>
        <w:instrText xml:space="preserve">SEQ 图 \* ARABIC \s 2</w:instrText>
      </w:r>
      <w:r>
        <w:rPr>
          <w:rFonts w:ascii="Times New Roman" w:hAnsi="Times New Roman" w:eastAsia="宋体" w:cs="Times New Roman"/>
          <w:b/>
          <w:color w:val="auto"/>
          <w:kern w:val="2"/>
          <w:sz w:val="21"/>
          <w:szCs w:val="20"/>
          <w:lang w:val="en-US" w:eastAsia="zh-CN" w:bidi="ar-SA"/>
        </w:rPr>
        <w:instrText xml:space="preserve"> </w:instrText>
      </w:r>
      <w:r>
        <w:rPr>
          <w:rFonts w:ascii="Times New Roman" w:hAnsi="Times New Roman" w:eastAsia="宋体" w:cs="Times New Roman"/>
          <w:b/>
          <w:color w:val="auto"/>
          <w:kern w:val="2"/>
          <w:sz w:val="21"/>
          <w:szCs w:val="20"/>
          <w:lang w:val="en-US" w:eastAsia="zh-CN" w:bidi="ar-SA"/>
        </w:rPr>
        <w:fldChar w:fldCharType="separate"/>
      </w:r>
      <w:r>
        <w:rPr>
          <w:rFonts w:ascii="Times New Roman" w:hAnsi="Times New Roman" w:eastAsia="宋体" w:cs="Times New Roman"/>
          <w:b/>
          <w:color w:val="auto"/>
          <w:kern w:val="2"/>
          <w:sz w:val="21"/>
          <w:szCs w:val="20"/>
          <w:lang w:val="en-US" w:eastAsia="zh-CN" w:bidi="ar-SA"/>
        </w:rPr>
        <w:t>1</w:t>
      </w:r>
      <w:r>
        <w:rPr>
          <w:rFonts w:hint="eastAsia" w:ascii="Times New Roman" w:hAnsi="Times New Roman" w:eastAsia="宋体" w:cs="Times New Roman"/>
          <w:b/>
          <w:color w:val="auto"/>
          <w:kern w:val="2"/>
          <w:sz w:val="21"/>
          <w:szCs w:val="20"/>
          <w:lang w:val="en-US" w:eastAsia="zh-CN" w:bidi="ar-SA"/>
        </w:rPr>
        <w:t>6</w:t>
      </w:r>
      <w:r>
        <w:rPr>
          <w:rFonts w:ascii="Times New Roman" w:hAnsi="Times New Roman" w:eastAsia="宋体" w:cs="Times New Roman"/>
          <w:b/>
          <w:color w:val="auto"/>
          <w:kern w:val="2"/>
          <w:sz w:val="21"/>
          <w:szCs w:val="20"/>
          <w:lang w:val="en-US" w:eastAsia="zh-CN" w:bidi="ar-SA"/>
        </w:rPr>
        <w:fldChar w:fldCharType="end"/>
      </w:r>
      <w:r>
        <w:rPr>
          <w:rFonts w:ascii="Times New Roman" w:hAnsi="Times New Roman" w:eastAsia="宋体" w:cs="Times New Roman"/>
          <w:b/>
          <w:color w:val="auto"/>
          <w:kern w:val="2"/>
          <w:sz w:val="21"/>
          <w:szCs w:val="20"/>
          <w:lang w:val="en-US" w:eastAsia="zh-CN" w:bidi="ar-SA"/>
        </w:rPr>
        <w:t xml:space="preserve"> </w:t>
      </w:r>
      <w:r>
        <w:rPr>
          <w:rFonts w:hint="eastAsia" w:ascii="Times New Roman" w:hAnsi="Times New Roman" w:eastAsia="宋体" w:cs="Times New Roman"/>
          <w:b/>
          <w:color w:val="auto"/>
          <w:kern w:val="2"/>
          <w:sz w:val="21"/>
          <w:szCs w:val="20"/>
          <w:lang w:val="en-US" w:eastAsia="zh-CN" w:bidi="ar-SA"/>
        </w:rPr>
        <w:t>施工操作平台立面布置图（单位：mm）</w:t>
      </w:r>
    </w:p>
    <w:p>
      <w:pPr>
        <w:ind w:firstLine="480"/>
        <w:rPr>
          <w:color w:val="auto"/>
        </w:rPr>
      </w:pPr>
      <w:r>
        <w:rPr>
          <w:rFonts w:hint="eastAsia"/>
          <w:color w:val="auto"/>
        </w:rPr>
        <w:t>（</w:t>
      </w:r>
      <w:r>
        <w:rPr>
          <w:color w:val="auto"/>
        </w:rPr>
        <w:t>3</w:t>
      </w:r>
      <w:r>
        <w:rPr>
          <w:rFonts w:hint="eastAsia"/>
          <w:color w:val="auto"/>
        </w:rPr>
        <w:t>）安装注意事项</w:t>
      </w:r>
    </w:p>
    <w:p>
      <w:pPr>
        <w:ind w:firstLine="480"/>
        <w:rPr>
          <w:rFonts w:hint="eastAsia"/>
          <w:color w:val="auto"/>
        </w:rPr>
      </w:pPr>
      <w:r>
        <w:rPr>
          <w:rFonts w:hint="eastAsia"/>
          <w:color w:val="auto"/>
        </w:rPr>
        <w:t>1）附墙架允许的最大水平倾角为±8度，安装作业时始终按下紧急停止按钮或关闭电源。</w:t>
      </w:r>
    </w:p>
    <w:p>
      <w:pPr>
        <w:ind w:firstLine="480"/>
        <w:rPr>
          <w:rFonts w:hint="eastAsia"/>
          <w:color w:val="auto"/>
        </w:rPr>
      </w:pPr>
      <w:r>
        <w:rPr>
          <w:rFonts w:hint="eastAsia"/>
          <w:color w:val="auto"/>
        </w:rPr>
        <w:t>2）专业安装作业人员在高处操作平台作业时，要时刻系挂安全带，并将安全带一端系挂在操作平台的安全稳固处，并满足高挂低用的安全使用原则。</w:t>
      </w:r>
    </w:p>
    <w:p>
      <w:pPr>
        <w:ind w:firstLine="480"/>
        <w:rPr>
          <w:rFonts w:hint="eastAsia"/>
          <w:color w:val="auto"/>
        </w:rPr>
      </w:pPr>
    </w:p>
    <w:p>
      <w:pPr>
        <w:ind w:firstLine="480"/>
        <w:rPr>
          <w:rFonts w:hint="eastAsia" w:ascii="宋体" w:hAnsi="宋体" w:cs="宋体"/>
          <w:color w:val="auto"/>
          <w:szCs w:val="24"/>
        </w:rPr>
      </w:pPr>
      <w:r>
        <w:rPr>
          <w:rFonts w:hint="eastAsia" w:ascii="宋体" w:hAnsi="宋体" w:cs="宋体"/>
          <w:color w:val="auto"/>
          <w:szCs w:val="24"/>
        </w:rPr>
        <w:t>a.根据</w:t>
      </w:r>
      <w:r>
        <w:rPr>
          <w:rFonts w:hint="eastAsia" w:ascii="宋体" w:hAnsi="宋体" w:cs="宋体"/>
          <w:color w:val="auto"/>
          <w:szCs w:val="24"/>
          <w:lang w:eastAsia="zh-CN"/>
        </w:rPr>
        <w:t>施工升降机</w:t>
      </w:r>
      <w:r>
        <w:rPr>
          <w:rFonts w:hint="eastAsia" w:ascii="宋体" w:hAnsi="宋体" w:cs="宋体"/>
          <w:color w:val="auto"/>
          <w:szCs w:val="24"/>
        </w:rPr>
        <w:t>定位图，附着标节中心与建筑物连接尺寸为</w:t>
      </w:r>
      <w:r>
        <w:rPr>
          <w:rFonts w:hint="eastAsia" w:ascii="宋体" w:hAnsi="宋体" w:cs="宋体"/>
          <w:color w:val="auto"/>
          <w:kern w:val="0"/>
          <w:szCs w:val="24"/>
          <w:lang w:val="en-US" w:eastAsia="zh-CN"/>
        </w:rPr>
        <w:t>3.198m~5.702</w:t>
      </w:r>
      <w:r>
        <w:rPr>
          <w:rFonts w:hint="eastAsia" w:ascii="宋体" w:hAnsi="宋体" w:cs="宋体"/>
          <w:color w:val="auto"/>
          <w:szCs w:val="24"/>
        </w:rPr>
        <w:t>m，</w:t>
      </w:r>
      <w:r>
        <w:rPr>
          <w:rFonts w:hint="eastAsia" w:ascii="宋体" w:hAnsi="宋体" w:cs="宋体"/>
          <w:color w:val="auto"/>
          <w:szCs w:val="24"/>
          <w:lang w:val="en-US" w:eastAsia="zh-CN"/>
        </w:rPr>
        <w:t>根据附着距离选择合适的</w:t>
      </w:r>
      <w:r>
        <w:rPr>
          <w:rFonts w:hint="eastAsia" w:ascii="宋体" w:hAnsi="宋体" w:cs="宋体"/>
          <w:color w:val="auto"/>
          <w:szCs w:val="24"/>
        </w:rPr>
        <w:t>附墙架</w:t>
      </w:r>
    </w:p>
    <w:p>
      <w:pPr>
        <w:ind w:firstLine="480"/>
        <w:rPr>
          <w:rFonts w:hint="eastAsia" w:ascii="宋体" w:hAnsi="宋体" w:cs="宋体"/>
          <w:color w:val="auto"/>
          <w:szCs w:val="24"/>
        </w:rPr>
      </w:pPr>
      <w:r>
        <w:drawing>
          <wp:inline distT="0" distB="0" distL="114300" distR="114300">
            <wp:extent cx="4403090" cy="2916555"/>
            <wp:effectExtent l="0" t="0" r="1270" b="952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65"/>
                    <a:stretch>
                      <a:fillRect/>
                    </a:stretch>
                  </pic:blipFill>
                  <pic:spPr>
                    <a:xfrm>
                      <a:off x="0" y="0"/>
                      <a:ext cx="4403090" cy="2916555"/>
                    </a:xfrm>
                    <a:prstGeom prst="rect">
                      <a:avLst/>
                    </a:prstGeom>
                    <a:noFill/>
                    <a:ln>
                      <a:noFill/>
                    </a:ln>
                  </pic:spPr>
                </pic:pic>
              </a:graphicData>
            </a:graphic>
          </wp:inline>
        </w:drawing>
      </w:r>
    </w:p>
    <w:p>
      <w:pPr>
        <w:pStyle w:val="61"/>
        <w:rPr>
          <w:color w:val="auto"/>
        </w:rPr>
      </w:pPr>
      <w:r>
        <w:rPr>
          <w:rFonts w:hint="eastAsia"/>
          <w:color w:val="auto"/>
        </w:rPr>
        <w:t>图4</w:t>
      </w:r>
      <w:r>
        <w:rPr>
          <w:color w:val="auto"/>
        </w:rPr>
        <w:t>.5-</w:t>
      </w:r>
      <w:r>
        <w:rPr>
          <w:rFonts w:hint="eastAsia"/>
          <w:color w:val="auto"/>
          <w:lang w:val="en-US" w:eastAsia="zh-CN"/>
        </w:rPr>
        <w:t>17</w:t>
      </w:r>
      <w:r>
        <w:rPr>
          <w:rFonts w:hint="eastAsia"/>
          <w:color w:val="auto"/>
        </w:rPr>
        <w:t>施工升降机附着平面示意图</w:t>
      </w:r>
    </w:p>
    <w:p>
      <w:pPr>
        <w:keepNext w:val="0"/>
        <w:keepLines w:val="0"/>
        <w:widowControl/>
        <w:suppressLineNumbers w:val="0"/>
        <w:spacing w:line="240" w:lineRule="auto"/>
        <w:ind w:firstLine="0" w:firstLineChars="0"/>
        <w:jc w:val="center"/>
        <w:rPr>
          <w:rFonts w:hint="eastAsia" w:ascii="宋体" w:hAnsi="宋体" w:eastAsia="宋体" w:cs="宋体"/>
          <w:color w:val="auto"/>
          <w:sz w:val="21"/>
          <w:szCs w:val="24"/>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INCLUDEPICTURE \d "C:\\Users\\Administrator\\AppData\\Roaming\\Tencent\\Users\\406205469\\QQ\\WinTemp\\RichOle\\VZ@_4MW891`9FMIM(6]56)J.png" \* MERGEFORMATINET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drawing>
          <wp:inline distT="0" distB="0" distL="114300" distR="114300">
            <wp:extent cx="2543175" cy="1389380"/>
            <wp:effectExtent l="0" t="0" r="1905" b="12700"/>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66"/>
                    <a:stretch>
                      <a:fillRect/>
                    </a:stretch>
                  </pic:blipFill>
                  <pic:spPr>
                    <a:xfrm>
                      <a:off x="0" y="0"/>
                      <a:ext cx="2543175" cy="1389380"/>
                    </a:xfrm>
                    <a:prstGeom prst="rect">
                      <a:avLst/>
                    </a:prstGeom>
                    <a:noFill/>
                    <a:ln>
                      <a:noFill/>
                    </a:ln>
                  </pic:spPr>
                </pic:pic>
              </a:graphicData>
            </a:graphic>
          </wp:inline>
        </w:drawing>
      </w:r>
      <w:r>
        <w:rPr>
          <w:rFonts w:hint="eastAsia" w:ascii="宋体" w:hAnsi="宋体" w:eastAsia="宋体" w:cs="宋体"/>
          <w:color w:val="auto"/>
          <w:kern w:val="0"/>
          <w:sz w:val="24"/>
          <w:szCs w:val="24"/>
          <w:lang w:val="en-US" w:eastAsia="zh-CN" w:bidi="ar"/>
        </w:rPr>
        <w:fldChar w:fldCharType="end"/>
      </w:r>
    </w:p>
    <w:p>
      <w:pPr>
        <w:spacing w:line="240" w:lineRule="exact"/>
        <w:ind w:firstLine="0" w:firstLineChars="0"/>
        <w:jc w:val="center"/>
        <w:rPr>
          <w:rFonts w:hint="eastAsia" w:ascii="宋体" w:hAnsi="宋体" w:eastAsia="宋体" w:cs="宋体"/>
          <w:bCs/>
          <w:color w:val="auto"/>
          <w:sz w:val="21"/>
          <w:szCs w:val="24"/>
        </w:rPr>
      </w:pPr>
      <w:r>
        <w:rPr>
          <w:rFonts w:hint="eastAsia" w:ascii="宋体" w:hAnsi="宋体" w:eastAsia="宋体" w:cs="宋体"/>
          <w:bCs/>
          <w:color w:val="auto"/>
          <w:sz w:val="21"/>
          <w:szCs w:val="24"/>
        </w:rPr>
        <w:t>图</w:t>
      </w:r>
      <w:r>
        <w:rPr>
          <w:rFonts w:hint="eastAsia" w:ascii="宋体" w:hAnsi="宋体" w:eastAsia="宋体" w:cs="宋体"/>
          <w:bCs/>
          <w:color w:val="auto"/>
          <w:sz w:val="21"/>
          <w:szCs w:val="24"/>
          <w:lang w:val="en-US" w:eastAsia="zh-CN"/>
        </w:rPr>
        <w:t>3.6－1　3000－3600附着装置</w:t>
      </w:r>
      <w:r>
        <w:rPr>
          <w:rFonts w:hint="eastAsia" w:ascii="宋体" w:hAnsi="宋体" w:eastAsia="宋体" w:cs="宋体"/>
          <w:bCs/>
          <w:color w:val="auto"/>
          <w:sz w:val="21"/>
          <w:szCs w:val="24"/>
        </w:rPr>
        <w:t>布置</w:t>
      </w:r>
      <w:r>
        <w:rPr>
          <w:rFonts w:hint="eastAsia" w:ascii="宋体" w:hAnsi="宋体" w:eastAsia="宋体" w:cs="宋体"/>
          <w:bCs/>
          <w:color w:val="auto"/>
          <w:sz w:val="21"/>
          <w:szCs w:val="24"/>
          <w:lang w:eastAsia="zh-CN"/>
        </w:rPr>
        <w:t>示意</w:t>
      </w:r>
      <w:r>
        <w:rPr>
          <w:rFonts w:hint="eastAsia" w:ascii="宋体" w:hAnsi="宋体" w:eastAsia="宋体" w:cs="宋体"/>
          <w:bCs/>
          <w:color w:val="auto"/>
          <w:sz w:val="21"/>
          <w:szCs w:val="24"/>
        </w:rPr>
        <w:t>图</w:t>
      </w:r>
    </w:p>
    <w:p>
      <w:pPr>
        <w:spacing w:line="240" w:lineRule="exact"/>
        <w:ind w:firstLine="0" w:firstLineChars="0"/>
        <w:jc w:val="center"/>
        <w:rPr>
          <w:rFonts w:hint="eastAsia" w:ascii="宋体" w:hAnsi="宋体" w:eastAsia="宋体" w:cs="宋体"/>
          <w:bCs/>
          <w:color w:val="auto"/>
          <w:sz w:val="21"/>
          <w:szCs w:val="24"/>
          <w:lang w:eastAsia="zh-CN"/>
        </w:rPr>
      </w:pPr>
    </w:p>
    <w:p>
      <w:pPr>
        <w:keepNext w:val="0"/>
        <w:keepLines w:val="0"/>
        <w:widowControl/>
        <w:suppressLineNumbers w:val="0"/>
        <w:spacing w:line="240" w:lineRule="auto"/>
        <w:ind w:firstLine="0" w:firstLineChars="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INCLUDEPICTURE \d "C:\\Users\\Administrator\\AppData\\Roaming\\Tencent\\Users\\406205469\\QQ\\WinTemp\\RichOle\\V175V]VO{)G%K6UMS5)PWQ3.png" \* MERGEFORMATINET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drawing>
          <wp:inline distT="0" distB="0" distL="114300" distR="114300">
            <wp:extent cx="4392930" cy="2188845"/>
            <wp:effectExtent l="0" t="0" r="11430" b="5715"/>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67"/>
                    <a:stretch>
                      <a:fillRect/>
                    </a:stretch>
                  </pic:blipFill>
                  <pic:spPr>
                    <a:xfrm>
                      <a:off x="0" y="0"/>
                      <a:ext cx="4392930" cy="2188845"/>
                    </a:xfrm>
                    <a:prstGeom prst="rect">
                      <a:avLst/>
                    </a:prstGeom>
                    <a:noFill/>
                    <a:ln>
                      <a:noFill/>
                    </a:ln>
                  </pic:spPr>
                </pic:pic>
              </a:graphicData>
            </a:graphic>
          </wp:inline>
        </w:drawing>
      </w:r>
      <w:r>
        <w:rPr>
          <w:rFonts w:hint="eastAsia" w:ascii="宋体" w:hAnsi="宋体" w:eastAsia="宋体" w:cs="宋体"/>
          <w:color w:val="auto"/>
          <w:kern w:val="0"/>
          <w:sz w:val="24"/>
          <w:szCs w:val="24"/>
          <w:lang w:val="en-US" w:eastAsia="zh-CN" w:bidi="ar"/>
        </w:rPr>
        <w:fldChar w:fldCharType="end"/>
      </w:r>
    </w:p>
    <w:p>
      <w:pPr>
        <w:widowControl/>
        <w:spacing w:line="400" w:lineRule="exact"/>
        <w:ind w:firstLine="480" w:firstLineChars="200"/>
        <w:rPr>
          <w:rFonts w:hint="eastAsia" w:ascii="宋体" w:hAnsi="宋体" w:eastAsia="宋体" w:cs="宋体"/>
          <w:color w:val="auto"/>
          <w:kern w:val="0"/>
          <w:sz w:val="24"/>
          <w:szCs w:val="24"/>
          <w:lang w:eastAsia="zh-CN"/>
        </w:rPr>
      </w:pPr>
    </w:p>
    <w:p>
      <w:pPr>
        <w:spacing w:line="240" w:lineRule="exact"/>
        <w:ind w:firstLine="0" w:firstLineChars="0"/>
        <w:jc w:val="center"/>
        <w:rPr>
          <w:rFonts w:hint="eastAsia" w:ascii="宋体" w:hAnsi="宋体" w:eastAsia="宋体" w:cs="宋体"/>
          <w:bCs/>
          <w:color w:val="auto"/>
          <w:sz w:val="21"/>
          <w:szCs w:val="24"/>
        </w:rPr>
      </w:pPr>
      <w:r>
        <w:rPr>
          <w:rFonts w:hint="eastAsia" w:ascii="宋体" w:hAnsi="宋体" w:eastAsia="宋体" w:cs="宋体"/>
          <w:bCs/>
          <w:color w:val="auto"/>
          <w:sz w:val="21"/>
          <w:szCs w:val="24"/>
        </w:rPr>
        <w:t>图</w:t>
      </w:r>
      <w:r>
        <w:rPr>
          <w:rFonts w:hint="eastAsia" w:ascii="宋体" w:hAnsi="宋体" w:eastAsia="宋体" w:cs="宋体"/>
          <w:bCs/>
          <w:color w:val="auto"/>
          <w:sz w:val="21"/>
          <w:szCs w:val="24"/>
          <w:lang w:val="en-US" w:eastAsia="zh-CN"/>
        </w:rPr>
        <w:t>3.6－2　3800－4400附着装置</w:t>
      </w:r>
      <w:r>
        <w:rPr>
          <w:rFonts w:hint="eastAsia" w:ascii="宋体" w:hAnsi="宋体" w:eastAsia="宋体" w:cs="宋体"/>
          <w:bCs/>
          <w:color w:val="auto"/>
          <w:sz w:val="21"/>
          <w:szCs w:val="24"/>
        </w:rPr>
        <w:t>布置</w:t>
      </w:r>
      <w:r>
        <w:rPr>
          <w:rFonts w:hint="eastAsia" w:ascii="宋体" w:hAnsi="宋体" w:eastAsia="宋体" w:cs="宋体"/>
          <w:bCs/>
          <w:color w:val="auto"/>
          <w:sz w:val="21"/>
          <w:szCs w:val="24"/>
          <w:lang w:eastAsia="zh-CN"/>
        </w:rPr>
        <w:t>示意</w:t>
      </w:r>
      <w:r>
        <w:rPr>
          <w:rFonts w:hint="eastAsia" w:ascii="宋体" w:hAnsi="宋体" w:eastAsia="宋体" w:cs="宋体"/>
          <w:bCs/>
          <w:color w:val="auto"/>
          <w:sz w:val="21"/>
          <w:szCs w:val="24"/>
        </w:rPr>
        <w:t>图</w:t>
      </w:r>
    </w:p>
    <w:p>
      <w:pPr>
        <w:spacing w:line="240" w:lineRule="exact"/>
        <w:ind w:firstLine="0" w:firstLineChars="0"/>
        <w:jc w:val="center"/>
        <w:rPr>
          <w:rFonts w:hint="eastAsia" w:ascii="宋体" w:hAnsi="宋体" w:eastAsia="宋体" w:cs="宋体"/>
          <w:bCs/>
          <w:color w:val="auto"/>
          <w:sz w:val="21"/>
          <w:szCs w:val="24"/>
          <w:lang w:eastAsia="zh-CN"/>
        </w:rPr>
      </w:pPr>
    </w:p>
    <w:p>
      <w:pPr>
        <w:keepNext w:val="0"/>
        <w:keepLines w:val="0"/>
        <w:widowControl/>
        <w:suppressLineNumbers w:val="0"/>
        <w:spacing w:line="240" w:lineRule="auto"/>
        <w:ind w:firstLine="0" w:firstLineChars="0"/>
        <w:jc w:val="center"/>
        <w:rPr>
          <w:rFonts w:hint="eastAsia" w:ascii="宋体" w:hAnsi="宋体" w:eastAsia="宋体" w:cs="宋体"/>
          <w:color w:val="auto"/>
          <w:sz w:val="21"/>
          <w:szCs w:val="24"/>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INCLUDEPICTURE \d "C:\\Users\\Administrator\\AppData\\Roaming\\Tencent\\Users\\387702944\\QQ\\WinTemp\\RichOle\\(FM%K3W2[J$UG]7845V9W9K.png" \* MERGEFORMATINET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drawing>
          <wp:inline distT="0" distB="0" distL="114300" distR="114300">
            <wp:extent cx="4133850" cy="2005965"/>
            <wp:effectExtent l="0" t="0" r="11430" b="5715"/>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68"/>
                    <a:stretch>
                      <a:fillRect/>
                    </a:stretch>
                  </pic:blipFill>
                  <pic:spPr>
                    <a:xfrm>
                      <a:off x="0" y="0"/>
                      <a:ext cx="4133850" cy="2005965"/>
                    </a:xfrm>
                    <a:prstGeom prst="rect">
                      <a:avLst/>
                    </a:prstGeom>
                    <a:noFill/>
                    <a:ln>
                      <a:noFill/>
                    </a:ln>
                  </pic:spPr>
                </pic:pic>
              </a:graphicData>
            </a:graphic>
          </wp:inline>
        </w:drawing>
      </w:r>
      <w:r>
        <w:rPr>
          <w:rFonts w:hint="eastAsia" w:ascii="宋体" w:hAnsi="宋体" w:eastAsia="宋体" w:cs="宋体"/>
          <w:color w:val="auto"/>
          <w:kern w:val="0"/>
          <w:sz w:val="24"/>
          <w:szCs w:val="24"/>
          <w:lang w:val="en-US" w:eastAsia="zh-CN" w:bidi="ar"/>
        </w:rPr>
        <w:fldChar w:fldCharType="end"/>
      </w:r>
    </w:p>
    <w:p>
      <w:pPr>
        <w:spacing w:line="240" w:lineRule="exact"/>
        <w:ind w:firstLine="0" w:firstLineChars="0"/>
        <w:jc w:val="center"/>
        <w:rPr>
          <w:rFonts w:hint="eastAsia" w:ascii="宋体" w:hAnsi="宋体" w:eastAsia="宋体" w:cs="宋体"/>
          <w:bCs/>
          <w:color w:val="auto"/>
          <w:sz w:val="21"/>
          <w:szCs w:val="24"/>
        </w:rPr>
      </w:pPr>
      <w:r>
        <w:rPr>
          <w:rFonts w:hint="eastAsia" w:ascii="宋体" w:hAnsi="宋体" w:eastAsia="宋体" w:cs="宋体"/>
          <w:bCs/>
          <w:color w:val="auto"/>
          <w:sz w:val="21"/>
          <w:szCs w:val="24"/>
        </w:rPr>
        <w:t>图</w:t>
      </w:r>
      <w:r>
        <w:rPr>
          <w:rFonts w:hint="eastAsia" w:ascii="宋体" w:hAnsi="宋体" w:eastAsia="宋体" w:cs="宋体"/>
          <w:bCs/>
          <w:color w:val="auto"/>
          <w:sz w:val="21"/>
          <w:szCs w:val="24"/>
          <w:lang w:val="en-US" w:eastAsia="zh-CN"/>
        </w:rPr>
        <w:t>3.6－3　4300－4900附着装置</w:t>
      </w:r>
      <w:r>
        <w:rPr>
          <w:rFonts w:hint="eastAsia" w:ascii="宋体" w:hAnsi="宋体" w:eastAsia="宋体" w:cs="宋体"/>
          <w:bCs/>
          <w:color w:val="auto"/>
          <w:sz w:val="21"/>
          <w:szCs w:val="24"/>
        </w:rPr>
        <w:t>布置</w:t>
      </w:r>
      <w:r>
        <w:rPr>
          <w:rFonts w:hint="eastAsia" w:ascii="宋体" w:hAnsi="宋体" w:eastAsia="宋体" w:cs="宋体"/>
          <w:bCs/>
          <w:color w:val="auto"/>
          <w:sz w:val="21"/>
          <w:szCs w:val="24"/>
          <w:lang w:eastAsia="zh-CN"/>
        </w:rPr>
        <w:t>示意</w:t>
      </w:r>
      <w:r>
        <w:rPr>
          <w:rFonts w:hint="eastAsia" w:ascii="宋体" w:hAnsi="宋体" w:eastAsia="宋体" w:cs="宋体"/>
          <w:bCs/>
          <w:color w:val="auto"/>
          <w:sz w:val="21"/>
          <w:szCs w:val="24"/>
        </w:rPr>
        <w:t>图</w:t>
      </w:r>
    </w:p>
    <w:p>
      <w:pPr>
        <w:widowControl/>
        <w:spacing w:line="360" w:lineRule="auto"/>
        <w:ind w:firstLine="0" w:firstLineChars="0"/>
        <w:jc w:val="center"/>
        <w:rPr>
          <w:rFonts w:hint="eastAsia" w:ascii="宋体" w:hAnsi="宋体" w:eastAsia="宋体" w:cs="宋体"/>
          <w:color w:val="auto"/>
          <w:sz w:val="21"/>
          <w:szCs w:val="24"/>
        </w:rPr>
      </w:pPr>
    </w:p>
    <w:p>
      <w:pPr>
        <w:keepNext w:val="0"/>
        <w:keepLines w:val="0"/>
        <w:widowControl/>
        <w:suppressLineNumbers w:val="0"/>
        <w:spacing w:line="240" w:lineRule="auto"/>
        <w:ind w:firstLine="0" w:firstLineChars="0"/>
        <w:jc w:val="center"/>
        <w:rPr>
          <w:rFonts w:hint="eastAsia" w:ascii="宋体" w:hAnsi="宋体" w:eastAsia="宋体" w:cs="宋体"/>
          <w:color w:val="auto"/>
          <w:sz w:val="21"/>
          <w:szCs w:val="24"/>
          <w:lang w:eastAsia="zh-CN"/>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INCLUDEPICTURE \d "C:\\Users\\Administrator\\AppData\\Roaming\\Tencent\\Users\\406205469\\QQ\\WinTemp\\RichOle\\~B7U9FXQ67W~@0(ODVP3{I0.png" \* MERGEFORMATINET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drawing>
          <wp:inline distT="0" distB="0" distL="114300" distR="114300">
            <wp:extent cx="4417695" cy="1943100"/>
            <wp:effectExtent l="0" t="0" r="1905" b="7620"/>
            <wp:docPr id="1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56"/>
                    <pic:cNvPicPr>
                      <a:picLocks noChangeAspect="1"/>
                    </pic:cNvPicPr>
                  </pic:nvPicPr>
                  <pic:blipFill>
                    <a:blip r:embed="rId69"/>
                    <a:stretch>
                      <a:fillRect/>
                    </a:stretch>
                  </pic:blipFill>
                  <pic:spPr>
                    <a:xfrm>
                      <a:off x="0" y="0"/>
                      <a:ext cx="4417695" cy="1943100"/>
                    </a:xfrm>
                    <a:prstGeom prst="rect">
                      <a:avLst/>
                    </a:prstGeom>
                    <a:noFill/>
                    <a:ln>
                      <a:noFill/>
                    </a:ln>
                  </pic:spPr>
                </pic:pic>
              </a:graphicData>
            </a:graphic>
          </wp:inline>
        </w:drawing>
      </w:r>
      <w:r>
        <w:rPr>
          <w:rFonts w:hint="eastAsia" w:ascii="宋体" w:hAnsi="宋体" w:eastAsia="宋体" w:cs="宋体"/>
          <w:color w:val="auto"/>
          <w:kern w:val="0"/>
          <w:sz w:val="24"/>
          <w:szCs w:val="24"/>
          <w:lang w:val="en-US" w:eastAsia="zh-CN" w:bidi="ar"/>
        </w:rPr>
        <w:fldChar w:fldCharType="end"/>
      </w:r>
    </w:p>
    <w:p>
      <w:pPr>
        <w:spacing w:line="240" w:lineRule="exact"/>
        <w:ind w:firstLine="0" w:firstLineChars="0"/>
        <w:jc w:val="center"/>
        <w:rPr>
          <w:rFonts w:hint="eastAsia" w:ascii="宋体" w:hAnsi="宋体" w:eastAsia="宋体" w:cs="宋体"/>
          <w:bCs/>
          <w:color w:val="auto"/>
          <w:sz w:val="21"/>
          <w:szCs w:val="24"/>
        </w:rPr>
      </w:pPr>
      <w:r>
        <w:rPr>
          <w:rFonts w:hint="eastAsia" w:ascii="宋体" w:hAnsi="宋体" w:eastAsia="宋体" w:cs="宋体"/>
          <w:bCs/>
          <w:color w:val="auto"/>
          <w:sz w:val="21"/>
          <w:szCs w:val="24"/>
        </w:rPr>
        <w:t>图</w:t>
      </w:r>
      <w:r>
        <w:rPr>
          <w:rFonts w:hint="eastAsia" w:ascii="宋体" w:hAnsi="宋体" w:eastAsia="宋体" w:cs="宋体"/>
          <w:bCs/>
          <w:color w:val="auto"/>
          <w:sz w:val="21"/>
          <w:szCs w:val="24"/>
          <w:lang w:val="en-US" w:eastAsia="zh-CN"/>
        </w:rPr>
        <w:t>3.6－4　4600－5200附着装置</w:t>
      </w:r>
      <w:r>
        <w:rPr>
          <w:rFonts w:hint="eastAsia" w:ascii="宋体" w:hAnsi="宋体" w:eastAsia="宋体" w:cs="宋体"/>
          <w:bCs/>
          <w:color w:val="auto"/>
          <w:sz w:val="21"/>
          <w:szCs w:val="24"/>
        </w:rPr>
        <w:t>布置</w:t>
      </w:r>
      <w:r>
        <w:rPr>
          <w:rFonts w:hint="eastAsia" w:ascii="宋体" w:hAnsi="宋体" w:eastAsia="宋体" w:cs="宋体"/>
          <w:bCs/>
          <w:color w:val="auto"/>
          <w:sz w:val="21"/>
          <w:szCs w:val="24"/>
          <w:lang w:eastAsia="zh-CN"/>
        </w:rPr>
        <w:t>示意</w:t>
      </w:r>
      <w:r>
        <w:rPr>
          <w:rFonts w:hint="eastAsia" w:ascii="宋体" w:hAnsi="宋体" w:eastAsia="宋体" w:cs="宋体"/>
          <w:bCs/>
          <w:color w:val="auto"/>
          <w:sz w:val="21"/>
          <w:szCs w:val="24"/>
        </w:rPr>
        <w:t>图</w:t>
      </w:r>
    </w:p>
    <w:p>
      <w:pPr>
        <w:spacing w:line="240" w:lineRule="exact"/>
        <w:ind w:firstLine="0" w:firstLineChars="0"/>
        <w:jc w:val="center"/>
        <w:rPr>
          <w:rFonts w:hint="eastAsia" w:ascii="宋体" w:hAnsi="宋体" w:eastAsia="宋体" w:cs="宋体"/>
          <w:bCs/>
          <w:color w:val="auto"/>
          <w:sz w:val="21"/>
          <w:szCs w:val="24"/>
        </w:rPr>
      </w:pPr>
    </w:p>
    <w:p>
      <w:pPr>
        <w:keepNext w:val="0"/>
        <w:keepLines w:val="0"/>
        <w:widowControl/>
        <w:suppressLineNumbers w:val="0"/>
        <w:spacing w:line="240" w:lineRule="auto"/>
        <w:ind w:firstLine="0" w:firstLineChars="0"/>
        <w:jc w:val="center"/>
        <w:rPr>
          <w:rFonts w:hint="eastAsia" w:ascii="宋体" w:hAnsi="宋体" w:eastAsia="宋体" w:cs="宋体"/>
          <w:color w:val="auto"/>
          <w:sz w:val="21"/>
          <w:szCs w:val="24"/>
          <w:lang w:eastAsia="zh-CN"/>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INCLUDEPICTURE \d "C:\\Users\\Administrator\\AppData\\Roaming\\Tencent\\Users\\406205469\\QQ\\WinTemp\\RichOle\\{3`_P4OX22R7{]I$`%$1B`J.png" \* MERGEFORMATINET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drawing>
          <wp:inline distT="0" distB="0" distL="114300" distR="114300">
            <wp:extent cx="4234180" cy="2026285"/>
            <wp:effectExtent l="0" t="0" r="2540" b="635"/>
            <wp:docPr id="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56"/>
                    <pic:cNvPicPr>
                      <a:picLocks noChangeAspect="1"/>
                    </pic:cNvPicPr>
                  </pic:nvPicPr>
                  <pic:blipFill>
                    <a:blip r:embed="rId70"/>
                    <a:stretch>
                      <a:fillRect/>
                    </a:stretch>
                  </pic:blipFill>
                  <pic:spPr>
                    <a:xfrm>
                      <a:off x="0" y="0"/>
                      <a:ext cx="4234180" cy="2026285"/>
                    </a:xfrm>
                    <a:prstGeom prst="rect">
                      <a:avLst/>
                    </a:prstGeom>
                    <a:noFill/>
                    <a:ln>
                      <a:noFill/>
                    </a:ln>
                  </pic:spPr>
                </pic:pic>
              </a:graphicData>
            </a:graphic>
          </wp:inline>
        </w:drawing>
      </w:r>
      <w:r>
        <w:rPr>
          <w:rFonts w:hint="eastAsia" w:ascii="宋体" w:hAnsi="宋体" w:eastAsia="宋体" w:cs="宋体"/>
          <w:color w:val="auto"/>
          <w:kern w:val="0"/>
          <w:sz w:val="24"/>
          <w:szCs w:val="24"/>
          <w:lang w:val="en-US" w:eastAsia="zh-CN" w:bidi="ar"/>
        </w:rPr>
        <w:fldChar w:fldCharType="end"/>
      </w:r>
    </w:p>
    <w:p>
      <w:pPr>
        <w:spacing w:line="240" w:lineRule="exact"/>
        <w:ind w:firstLine="0" w:firstLineChars="0"/>
        <w:jc w:val="center"/>
        <w:rPr>
          <w:rFonts w:hint="eastAsia" w:ascii="宋体" w:hAnsi="宋体" w:eastAsia="宋体" w:cs="宋体"/>
          <w:bCs/>
          <w:color w:val="auto"/>
          <w:sz w:val="21"/>
          <w:szCs w:val="24"/>
        </w:rPr>
      </w:pPr>
      <w:r>
        <w:rPr>
          <w:rFonts w:hint="eastAsia" w:ascii="宋体" w:hAnsi="宋体" w:eastAsia="宋体" w:cs="宋体"/>
          <w:bCs/>
          <w:color w:val="auto"/>
          <w:sz w:val="21"/>
          <w:szCs w:val="24"/>
        </w:rPr>
        <w:t>图</w:t>
      </w:r>
      <w:r>
        <w:rPr>
          <w:rFonts w:hint="eastAsia" w:ascii="宋体" w:hAnsi="宋体" w:eastAsia="宋体" w:cs="宋体"/>
          <w:bCs/>
          <w:color w:val="auto"/>
          <w:sz w:val="21"/>
          <w:szCs w:val="24"/>
          <w:lang w:val="en-US" w:eastAsia="zh-CN"/>
        </w:rPr>
        <w:t>3.6－5　5400－6000附着装置</w:t>
      </w:r>
      <w:r>
        <w:rPr>
          <w:rFonts w:hint="eastAsia" w:ascii="宋体" w:hAnsi="宋体" w:eastAsia="宋体" w:cs="宋体"/>
          <w:bCs/>
          <w:color w:val="auto"/>
          <w:sz w:val="21"/>
          <w:szCs w:val="24"/>
        </w:rPr>
        <w:t>布置</w:t>
      </w:r>
      <w:r>
        <w:rPr>
          <w:rFonts w:hint="eastAsia" w:ascii="宋体" w:hAnsi="宋体" w:eastAsia="宋体" w:cs="宋体"/>
          <w:bCs/>
          <w:color w:val="auto"/>
          <w:sz w:val="21"/>
          <w:szCs w:val="24"/>
          <w:lang w:eastAsia="zh-CN"/>
        </w:rPr>
        <w:t>示意</w:t>
      </w:r>
      <w:r>
        <w:rPr>
          <w:rFonts w:hint="eastAsia" w:ascii="宋体" w:hAnsi="宋体" w:eastAsia="宋体" w:cs="宋体"/>
          <w:bCs/>
          <w:color w:val="auto"/>
          <w:sz w:val="21"/>
          <w:szCs w:val="24"/>
        </w:rPr>
        <w:t>图</w:t>
      </w:r>
    </w:p>
    <w:p>
      <w:pPr>
        <w:pStyle w:val="61"/>
        <w:rPr>
          <w:color w:val="auto"/>
        </w:rPr>
      </w:pPr>
    </w:p>
    <w:p>
      <w:pPr>
        <w:pStyle w:val="61"/>
        <w:rPr>
          <w:color w:val="auto"/>
        </w:rPr>
      </w:pPr>
    </w:p>
    <w:p>
      <w:pPr>
        <w:pStyle w:val="61"/>
        <w:rPr>
          <w:color w:val="auto"/>
        </w:rPr>
      </w:pPr>
    </w:p>
    <w:p>
      <w:pPr>
        <w:pStyle w:val="61"/>
        <w:rPr>
          <w:color w:val="auto"/>
        </w:rPr>
      </w:pPr>
      <w:r>
        <w:rPr>
          <w:color w:val="auto"/>
        </w:rPr>
        <w:drawing>
          <wp:inline distT="0" distB="0" distL="114300" distR="114300">
            <wp:extent cx="3703320" cy="3808095"/>
            <wp:effectExtent l="0" t="0" r="0" b="190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30"/>
                    <a:stretch>
                      <a:fillRect/>
                    </a:stretch>
                  </pic:blipFill>
                  <pic:spPr>
                    <a:xfrm>
                      <a:off x="0" y="0"/>
                      <a:ext cx="3703320" cy="3808095"/>
                    </a:xfrm>
                    <a:prstGeom prst="rect">
                      <a:avLst/>
                    </a:prstGeom>
                    <a:noFill/>
                    <a:ln>
                      <a:noFill/>
                    </a:ln>
                  </pic:spPr>
                </pic:pic>
              </a:graphicData>
            </a:graphic>
          </wp:inline>
        </w:drawing>
      </w:r>
    </w:p>
    <w:p>
      <w:pPr>
        <w:pStyle w:val="61"/>
        <w:rPr>
          <w:rFonts w:hint="default"/>
          <w:color w:val="auto"/>
          <w:lang w:val="en-US" w:eastAsia="zh-CN"/>
        </w:rPr>
      </w:pPr>
      <w:r>
        <w:rPr>
          <w:color w:val="auto"/>
        </w:rPr>
        <w:drawing>
          <wp:inline distT="0" distB="0" distL="114300" distR="114300">
            <wp:extent cx="1884045" cy="4150995"/>
            <wp:effectExtent l="0" t="0" r="5715" b="952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1"/>
                    <a:stretch>
                      <a:fillRect/>
                    </a:stretch>
                  </pic:blipFill>
                  <pic:spPr>
                    <a:xfrm>
                      <a:off x="0" y="0"/>
                      <a:ext cx="1884045" cy="4150995"/>
                    </a:xfrm>
                    <a:prstGeom prst="rect">
                      <a:avLst/>
                    </a:prstGeom>
                    <a:noFill/>
                    <a:ln>
                      <a:noFill/>
                    </a:ln>
                  </pic:spPr>
                </pic:pic>
              </a:graphicData>
            </a:graphic>
          </wp:inline>
        </w:drawing>
      </w:r>
      <w:r>
        <w:rPr>
          <w:color w:val="auto"/>
        </w:rPr>
        <w:drawing>
          <wp:inline distT="0" distB="0" distL="114300" distR="114300">
            <wp:extent cx="1812290" cy="4373880"/>
            <wp:effectExtent l="0" t="0" r="1270" b="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32"/>
                    <a:stretch>
                      <a:fillRect/>
                    </a:stretch>
                  </pic:blipFill>
                  <pic:spPr>
                    <a:xfrm>
                      <a:off x="0" y="0"/>
                      <a:ext cx="1812290" cy="4373880"/>
                    </a:xfrm>
                    <a:prstGeom prst="rect">
                      <a:avLst/>
                    </a:prstGeom>
                    <a:noFill/>
                    <a:ln>
                      <a:noFill/>
                    </a:ln>
                  </pic:spPr>
                </pic:pic>
              </a:graphicData>
            </a:graphic>
          </wp:inline>
        </w:drawing>
      </w:r>
    </w:p>
    <w:p>
      <w:pPr>
        <w:pStyle w:val="61"/>
        <w:rPr>
          <w:color w:val="auto"/>
        </w:rPr>
      </w:pPr>
    </w:p>
    <w:p>
      <w:pPr>
        <w:pStyle w:val="61"/>
        <w:rPr>
          <w:color w:val="auto"/>
        </w:rPr>
      </w:pPr>
      <w:r>
        <w:rPr>
          <w:rFonts w:hint="eastAsia"/>
          <w:color w:val="auto"/>
        </w:rPr>
        <w:t>图4</w:t>
      </w:r>
      <w:r>
        <w:rPr>
          <w:color w:val="auto"/>
        </w:rPr>
        <w:t>.5-</w:t>
      </w:r>
      <w:r>
        <w:rPr>
          <w:rFonts w:hint="eastAsia"/>
          <w:color w:val="auto"/>
          <w:lang w:val="en-US" w:eastAsia="zh-CN"/>
        </w:rPr>
        <w:t>24</w:t>
      </w:r>
      <w:r>
        <w:rPr>
          <w:rFonts w:hint="eastAsia"/>
          <w:color w:val="auto"/>
        </w:rPr>
        <w:t>施工升降机附着立面示意图</w:t>
      </w:r>
    </w:p>
    <w:p>
      <w:pPr>
        <w:pStyle w:val="14"/>
        <w:ind w:firstLine="240"/>
        <w:rPr>
          <w:rFonts w:ascii="宋体" w:hAnsi="宋体" w:cs="宋体"/>
          <w:color w:val="auto"/>
        </w:rPr>
      </w:pPr>
      <w:r>
        <w:rPr>
          <w:rFonts w:hint="eastAsia" w:ascii="宋体" w:hAnsi="宋体" w:cs="宋体"/>
          <w:color w:val="auto"/>
        </w:rPr>
        <w:t>施升降机附着：</w:t>
      </w:r>
    </w:p>
    <w:p>
      <w:pPr>
        <w:pStyle w:val="61"/>
        <w:rPr>
          <w:rFonts w:hint="eastAsia" w:cs="宋体"/>
          <w:color w:val="auto"/>
        </w:rPr>
      </w:pPr>
      <w:r>
        <w:rPr>
          <w:rFonts w:hint="eastAsia"/>
          <w:color w:val="auto"/>
        </w:rPr>
        <w:t>表4</w:t>
      </w:r>
      <w:r>
        <w:rPr>
          <w:color w:val="auto"/>
        </w:rPr>
        <w:t xml:space="preserve">.5- </w:t>
      </w:r>
      <w:r>
        <w:rPr>
          <w:rFonts w:hint="eastAsia"/>
          <w:color w:val="auto"/>
          <w:lang w:val="en-US" w:eastAsia="zh-CN"/>
        </w:rPr>
        <w:t>2</w:t>
      </w:r>
      <w:r>
        <w:rPr>
          <w:color w:val="auto"/>
        </w:rPr>
        <w:t xml:space="preserve">  </w:t>
      </w:r>
      <w:r>
        <w:rPr>
          <w:rFonts w:hint="eastAsia"/>
          <w:color w:val="auto"/>
          <w:lang w:val="en-US" w:eastAsia="zh-CN"/>
        </w:rPr>
        <w:t>三台</w:t>
      </w:r>
      <w:r>
        <w:rPr>
          <w:rFonts w:hint="eastAsia"/>
          <w:color w:val="auto"/>
        </w:rPr>
        <w:t>升降机附着明细表</w:t>
      </w:r>
    </w:p>
    <w:tbl>
      <w:tblPr>
        <w:tblStyle w:val="6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2126"/>
        <w:gridCol w:w="2410"/>
        <w:gridCol w:w="2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附墙编号</w:t>
            </w:r>
          </w:p>
        </w:tc>
        <w:tc>
          <w:tcPr>
            <w:tcW w:w="2126" w:type="dxa"/>
            <w:vAlign w:val="center"/>
          </w:tcPr>
          <w:p>
            <w:pPr>
              <w:pStyle w:val="63"/>
              <w:rPr>
                <w:color w:val="auto"/>
                <w:kern w:val="0"/>
              </w:rPr>
            </w:pPr>
            <w:r>
              <w:rPr>
                <w:rFonts w:hint="eastAsia"/>
                <w:color w:val="auto"/>
                <w:kern w:val="0"/>
              </w:rPr>
              <w:t>附着安装高度（m)</w:t>
            </w:r>
          </w:p>
        </w:tc>
        <w:tc>
          <w:tcPr>
            <w:tcW w:w="2410" w:type="dxa"/>
            <w:vAlign w:val="center"/>
          </w:tcPr>
          <w:p>
            <w:pPr>
              <w:pStyle w:val="63"/>
              <w:rPr>
                <w:color w:val="auto"/>
                <w:kern w:val="0"/>
              </w:rPr>
            </w:pPr>
            <w:r>
              <w:rPr>
                <w:rFonts w:hint="eastAsia"/>
                <w:color w:val="auto"/>
                <w:kern w:val="0"/>
              </w:rPr>
              <w:t>与上道附着的高度（m)</w:t>
            </w:r>
          </w:p>
        </w:tc>
        <w:tc>
          <w:tcPr>
            <w:tcW w:w="2479" w:type="dxa"/>
            <w:vAlign w:val="center"/>
          </w:tcPr>
          <w:p>
            <w:pPr>
              <w:pStyle w:val="63"/>
              <w:rPr>
                <w:color w:val="auto"/>
                <w:kern w:val="0"/>
              </w:rPr>
            </w:pPr>
            <w:r>
              <w:rPr>
                <w:rFonts w:hint="eastAsia"/>
                <w:color w:val="auto"/>
                <w:kern w:val="0"/>
              </w:rPr>
              <w:t>附着距中心的距离（m)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3.151</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3.151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3.492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2</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9.151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3.763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3</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15.151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3.834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4</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21.151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3.904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5</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4.4</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25.551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3.956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6</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5.1</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30.651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7</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36.651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8</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5.5</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42.151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4.153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9</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6.5</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48.651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4.383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10</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54.651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11</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60.651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4.807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12</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66.651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5.019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13</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6.573</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73.224</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5.252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14</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5.727</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78.951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5.454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15</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84.951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5.666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16</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7</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91.951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5.702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17</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6</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97.951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4.851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18</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5</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102.951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4.025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dxa"/>
            <w:vAlign w:val="center"/>
          </w:tcPr>
          <w:p>
            <w:pPr>
              <w:pStyle w:val="63"/>
              <w:rPr>
                <w:color w:val="auto"/>
                <w:kern w:val="0"/>
              </w:rPr>
            </w:pPr>
            <w:r>
              <w:rPr>
                <w:rFonts w:hint="eastAsia"/>
                <w:color w:val="auto"/>
                <w:kern w:val="0"/>
              </w:rPr>
              <w:t>19</w:t>
            </w:r>
          </w:p>
        </w:tc>
        <w:tc>
          <w:tcPr>
            <w:tcW w:w="2126"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5</w:t>
            </w:r>
          </w:p>
        </w:tc>
        <w:tc>
          <w:tcPr>
            <w:tcW w:w="2410" w:type="dxa"/>
            <w:vAlign w:val="bottom"/>
          </w:tcPr>
          <w:p>
            <w:pPr>
              <w:keepNext w:val="0"/>
              <w:keepLines w:val="0"/>
              <w:widowControl/>
              <w:suppressLineNumbers w:val="0"/>
              <w:ind w:firstLine="440" w:firstLineChars="200"/>
              <w:jc w:val="right"/>
              <w:textAlignment w:val="bottom"/>
              <w:rPr>
                <w:color w:val="auto"/>
                <w:kern w:val="0"/>
              </w:rPr>
            </w:pPr>
            <w:r>
              <w:rPr>
                <w:rFonts w:hint="eastAsia" w:ascii="等线" w:hAnsi="等线" w:eastAsia="等线" w:cs="等线"/>
                <w:i w:val="0"/>
                <w:iCs w:val="0"/>
                <w:color w:val="auto"/>
                <w:kern w:val="0"/>
                <w:sz w:val="22"/>
                <w:szCs w:val="22"/>
                <w:u w:val="none"/>
                <w:lang w:val="en-US" w:eastAsia="zh-CN" w:bidi="ar"/>
              </w:rPr>
              <w:t>107.951</w:t>
            </w:r>
          </w:p>
        </w:tc>
        <w:tc>
          <w:tcPr>
            <w:tcW w:w="2479" w:type="dxa"/>
            <w:vAlign w:val="center"/>
          </w:tcPr>
          <w:p>
            <w:pPr>
              <w:pStyle w:val="63"/>
              <w:rPr>
                <w:rFonts w:hint="default" w:eastAsia="宋体"/>
                <w:color w:val="auto"/>
                <w:kern w:val="0"/>
                <w:lang w:val="en-US" w:eastAsia="zh-CN"/>
              </w:rPr>
            </w:pPr>
            <w:r>
              <w:rPr>
                <w:rFonts w:hint="eastAsia"/>
                <w:color w:val="auto"/>
                <w:kern w:val="0"/>
                <w:lang w:val="en-US" w:eastAsia="zh-CN"/>
              </w:rPr>
              <w:t>3.198</w:t>
            </w:r>
          </w:p>
        </w:tc>
      </w:tr>
    </w:tbl>
    <w:p>
      <w:pPr>
        <w:ind w:firstLine="480"/>
        <w:rPr>
          <w:rFonts w:ascii="宋体" w:hAnsi="宋体" w:cs="宋体"/>
          <w:color w:val="auto"/>
          <w:szCs w:val="24"/>
        </w:rPr>
      </w:pPr>
      <w:r>
        <w:rPr>
          <w:rFonts w:hint="eastAsia" w:ascii="宋体" w:hAnsi="宋体" w:cs="宋体"/>
          <w:color w:val="auto"/>
          <w:szCs w:val="24"/>
        </w:rPr>
        <w:t>b.把施工升降机单笼开到设计的附着位置表第一道附着位置区，按附墙架架设要求安装好附墙架。</w:t>
      </w:r>
    </w:p>
    <w:p>
      <w:pPr>
        <w:ind w:firstLine="480"/>
        <w:rPr>
          <w:rFonts w:ascii="宋体" w:hAnsi="宋体" w:cs="宋体"/>
          <w:color w:val="auto"/>
          <w:szCs w:val="24"/>
        </w:rPr>
      </w:pPr>
      <w:r>
        <w:rPr>
          <w:rFonts w:hint="eastAsia" w:ascii="宋体" w:hAnsi="宋体" w:cs="宋体"/>
          <w:color w:val="auto"/>
          <w:szCs w:val="24"/>
        </w:rPr>
        <w:t xml:space="preserve">c.先将附墙架的臂用四个M16螺栓固定在标准节上下框架角钢上（臂必须对称放置），先不必将螺栓拧得太紧，方便调整位置。 </w:t>
      </w:r>
    </w:p>
    <w:p>
      <w:pPr>
        <w:ind w:firstLine="480"/>
        <w:rPr>
          <w:rFonts w:ascii="宋体" w:hAnsi="宋体" w:cs="宋体"/>
          <w:color w:val="auto"/>
          <w:szCs w:val="24"/>
        </w:rPr>
      </w:pPr>
      <w:r>
        <w:rPr>
          <w:rFonts w:hint="eastAsia" w:ascii="宋体" w:hAnsi="宋体" w:cs="宋体"/>
          <w:color w:val="auto"/>
          <w:szCs w:val="24"/>
        </w:rPr>
        <w:t xml:space="preserve">d.将附墙架用M24螺栓安装座固定在建筑物上。 </w:t>
      </w:r>
    </w:p>
    <w:p>
      <w:pPr>
        <w:ind w:firstLine="480"/>
        <w:rPr>
          <w:rFonts w:ascii="宋体" w:hAnsi="宋体" w:cs="宋体"/>
          <w:color w:val="auto"/>
          <w:szCs w:val="24"/>
        </w:rPr>
      </w:pPr>
      <w:r>
        <w:rPr>
          <w:rFonts w:hint="eastAsia" w:ascii="宋体" w:hAnsi="宋体" w:cs="宋体"/>
          <w:color w:val="auto"/>
          <w:szCs w:val="24"/>
        </w:rPr>
        <w:t xml:space="preserve">e.将主架和臂用M24×80螺栓连接在一起。 </w:t>
      </w:r>
    </w:p>
    <w:p>
      <w:pPr>
        <w:ind w:firstLine="480"/>
        <w:rPr>
          <w:rFonts w:ascii="宋体" w:hAnsi="宋体" w:cs="宋体"/>
          <w:color w:val="auto"/>
          <w:szCs w:val="24"/>
        </w:rPr>
      </w:pPr>
      <w:r>
        <w:rPr>
          <w:rFonts w:hint="eastAsia" w:ascii="宋体" w:hAnsi="宋体" w:cs="宋体"/>
          <w:color w:val="auto"/>
          <w:szCs w:val="24"/>
        </w:rPr>
        <w:t xml:space="preserve">f.将连接架与主架用φ20连接销连接在一起。 </w:t>
      </w:r>
    </w:p>
    <w:p>
      <w:pPr>
        <w:ind w:firstLine="480"/>
        <w:rPr>
          <w:rFonts w:ascii="宋体" w:hAnsi="宋体" w:cs="宋体"/>
          <w:color w:val="auto"/>
          <w:szCs w:val="24"/>
        </w:rPr>
      </w:pPr>
      <w:r>
        <w:rPr>
          <w:rFonts w:hint="eastAsia" w:ascii="宋体" w:hAnsi="宋体" w:cs="宋体"/>
          <w:color w:val="auto"/>
          <w:szCs w:val="24"/>
        </w:rPr>
        <w:t xml:space="preserve">g.将支撑管和安装座用M24×80螺栓连接在一起，并将支撑管与连接架紧扣连接。 </w:t>
      </w:r>
    </w:p>
    <w:p>
      <w:pPr>
        <w:ind w:firstLine="480"/>
        <w:rPr>
          <w:rFonts w:hint="default" w:ascii="宋体" w:hAnsi="宋体" w:cs="宋体"/>
          <w:color w:val="auto"/>
          <w:szCs w:val="24"/>
          <w:lang w:val="en-GB"/>
        </w:rPr>
      </w:pPr>
      <w:r>
        <w:rPr>
          <w:rFonts w:hint="eastAsia" w:ascii="宋体" w:hAnsi="宋体" w:cs="宋体"/>
          <w:color w:val="auto"/>
          <w:szCs w:val="24"/>
        </w:rPr>
        <w:t xml:space="preserve">h.在安装座和连接架间安装斜支撑管，用φ20销子连接。 </w:t>
      </w:r>
    </w:p>
    <w:p>
      <w:pPr>
        <w:ind w:firstLine="480"/>
        <w:rPr>
          <w:rFonts w:ascii="宋体" w:hAnsi="宋体" w:cs="宋体"/>
          <w:color w:val="auto"/>
          <w:szCs w:val="24"/>
        </w:rPr>
      </w:pPr>
      <w:r>
        <w:rPr>
          <w:rFonts w:hint="eastAsia" w:ascii="宋体" w:hAnsi="宋体" w:cs="宋体"/>
          <w:color w:val="auto"/>
          <w:szCs w:val="24"/>
        </w:rPr>
        <w:t xml:space="preserve">i.校正导轨架垂直度和附墙架水平度，附墙架之水平倾角最大正负8度。 </w:t>
      </w:r>
    </w:p>
    <w:p>
      <w:pPr>
        <w:ind w:firstLine="480"/>
        <w:rPr>
          <w:rFonts w:ascii="宋体" w:hAnsi="宋体" w:cs="宋体"/>
          <w:color w:val="auto"/>
          <w:szCs w:val="24"/>
        </w:rPr>
      </w:pPr>
      <w:r>
        <w:rPr>
          <w:rFonts w:hint="eastAsia" w:ascii="宋体" w:hAnsi="宋体" w:cs="宋体"/>
          <w:color w:val="auto"/>
          <w:szCs w:val="24"/>
        </w:rPr>
        <w:t>j.校正完毕后，旋紧所有联接螺栓。然后，慢慢启动升降机，确保吊笼不与附墙架相碰。</w:t>
      </w:r>
    </w:p>
    <w:p>
      <w:pPr>
        <w:ind w:firstLine="480"/>
        <w:rPr>
          <w:color w:val="auto"/>
        </w:rPr>
      </w:pPr>
      <w:r>
        <w:rPr>
          <w:rFonts w:hint="eastAsia" w:ascii="宋体" w:hAnsi="宋体" w:cs="宋体"/>
          <w:color w:val="auto"/>
          <w:szCs w:val="24"/>
        </w:rPr>
        <w:t>k.第二道及以上的附墙架安装方法与第一道相同：预埋螺杆根据梁的厚度变化选用M24x300(8.8级)。</w:t>
      </w:r>
    </w:p>
    <w:p>
      <w:pPr>
        <w:widowControl w:val="0"/>
        <w:numPr>
          <w:ilvl w:val="3"/>
          <w:numId w:val="1"/>
        </w:numPr>
        <w:spacing w:line="360" w:lineRule="auto"/>
        <w:ind w:firstLine="0" w:firstLineChars="0"/>
        <w:jc w:val="both"/>
        <w:outlineLvl w:val="3"/>
        <w:rPr>
          <w:rFonts w:ascii="Times New Roman" w:hAnsi="Times New Roman" w:eastAsia="宋体" w:cs="Times New Roman"/>
          <w:b/>
          <w:color w:val="auto"/>
          <w:kern w:val="2"/>
          <w:sz w:val="24"/>
          <w:szCs w:val="21"/>
          <w:lang w:val="en-US" w:eastAsia="zh-CN" w:bidi="ar-SA"/>
        </w:rPr>
      </w:pPr>
      <w:r>
        <w:rPr>
          <w:rFonts w:hint="eastAsia" w:ascii="Times New Roman" w:hAnsi="Times New Roman" w:eastAsia="宋体" w:cs="Times New Roman"/>
          <w:b/>
          <w:color w:val="auto"/>
          <w:kern w:val="2"/>
          <w:sz w:val="24"/>
          <w:szCs w:val="21"/>
          <w:lang w:val="en-US" w:eastAsia="zh-CN" w:bidi="ar-SA"/>
        </w:rPr>
        <w:t>电缆导向装置安装</w:t>
      </w:r>
    </w:p>
    <w:p>
      <w:pPr>
        <w:ind w:firstLine="480"/>
        <w:rPr>
          <w:color w:val="auto"/>
        </w:rPr>
      </w:pPr>
      <w:r>
        <w:rPr>
          <w:rFonts w:hint="eastAsia"/>
          <w:color w:val="auto"/>
        </w:rPr>
        <w:t>滑触线为带电的绝缘导轨，沿导轨架全高度与导轨架连接，安装在吊笼上的导电头始终与带电导轨连接，从而实现了吊笼的上下运行。</w:t>
      </w:r>
    </w:p>
    <w:p>
      <w:pPr>
        <w:ind w:firstLine="480"/>
        <w:rPr>
          <w:color w:val="auto"/>
        </w:rPr>
      </w:pPr>
      <w:r>
        <w:rPr>
          <w:rFonts w:hint="eastAsia"/>
          <w:color w:val="auto"/>
        </w:rPr>
        <w:t>专业安装作业人员在地面上将每节滑触线与导轨架连接成整体，跟随着导轨架的接高而加高。</w:t>
      </w:r>
    </w:p>
    <w:p>
      <w:pPr>
        <w:ind w:firstLine="480"/>
        <w:rPr>
          <w:color w:val="auto"/>
        </w:rPr>
      </w:pPr>
      <w:r>
        <w:rPr>
          <w:rFonts w:hint="eastAsia"/>
          <w:color w:val="auto"/>
        </w:rPr>
        <w:t>（1）滑触线固定件的安装</w:t>
      </w:r>
    </w:p>
    <w:p>
      <w:pPr>
        <w:ind w:firstLine="480"/>
        <w:rPr>
          <w:color w:val="auto"/>
        </w:rPr>
      </w:pPr>
      <w:r>
        <w:rPr>
          <w:rFonts w:hint="eastAsia"/>
          <w:color w:val="auto"/>
        </w:rPr>
        <w:t>专业安装作业人员在第1、2节标准节及第2、3节标准节连接处各安装一个滑触线固定件，安装应确保居中、水平。</w:t>
      </w:r>
    </w:p>
    <w:p>
      <w:pPr>
        <w:ind w:firstLine="480"/>
        <w:rPr>
          <w:color w:val="auto"/>
        </w:rPr>
      </w:pPr>
      <w:r>
        <w:rPr>
          <w:rFonts w:hint="eastAsia"/>
          <w:color w:val="auto"/>
        </w:rPr>
        <w:t>（2）防坠装置安装</w:t>
      </w:r>
    </w:p>
    <w:p>
      <w:pPr>
        <w:ind w:firstLine="480"/>
        <w:rPr>
          <w:color w:val="auto"/>
        </w:rPr>
      </w:pPr>
      <w:r>
        <w:rPr>
          <w:rFonts w:hint="eastAsia"/>
          <w:color w:val="auto"/>
        </w:rPr>
        <w:t>专业安装作业人员采用防坠装置的带钩螺栓固定在第一个标准节中间角钢中间位置，调节螺杆，使螺杆上的托架与固定板的距离30-50mm，把防坠滑触线槽置于托架上，再将进线滑触线置于防坠滑触线槽上端（应先套上进线滑触线与防坠滑触线槽之间的塑料接头）固定好（1、2）及（2、3）标准节滑触线内固定件。</w:t>
      </w:r>
    </w:p>
    <w:p>
      <w:pPr>
        <w:ind w:firstLine="480"/>
        <w:rPr>
          <w:color w:val="auto"/>
        </w:rPr>
      </w:pPr>
      <w:r>
        <w:rPr>
          <w:rFonts w:hint="eastAsia"/>
          <w:color w:val="auto"/>
        </w:rPr>
        <w:t>（3）总电源的连接</w:t>
      </w:r>
    </w:p>
    <w:p>
      <w:pPr>
        <w:ind w:firstLine="480"/>
        <w:rPr>
          <w:color w:val="auto"/>
        </w:rPr>
      </w:pPr>
      <w:r>
        <w:rPr>
          <w:rFonts w:hint="eastAsia"/>
          <w:color w:val="auto"/>
        </w:rPr>
        <w:t>专业安装作业人员松开调节螺杆，取下防坠滑触线槽，依照进线滑触线（A/B/C/N/PE）标志将电缆线鼻与进线铝排连接好，电缆线要在滑触线外侧，并与动力配电柜对应端子连接。将防坠滑触线恢复托架上，调节螺杆，使防坠滑触线槽顶住进线滑触线锁紧调节螺杆底部的螺母，最后再把电缆线的另一端与配电箱接通。</w:t>
      </w:r>
    </w:p>
    <w:p>
      <w:pPr>
        <w:ind w:firstLine="480"/>
        <w:rPr>
          <w:color w:val="auto"/>
        </w:rPr>
      </w:pPr>
      <w:r>
        <w:rPr>
          <w:rFonts w:hint="eastAsia"/>
          <w:color w:val="auto"/>
        </w:rPr>
        <w:t>（4）集电器的安装</w:t>
      </w:r>
    </w:p>
    <w:p>
      <w:pPr>
        <w:ind w:firstLine="480"/>
        <w:rPr>
          <w:color w:val="auto"/>
        </w:rPr>
      </w:pPr>
      <w:r>
        <w:rPr>
          <w:rFonts w:hint="eastAsia"/>
          <w:color w:val="auto"/>
        </w:rPr>
        <w:t>检查各集电器内置碳刷等配件是否完整且安装到位、检查各碳刷弹簧压力是否均衡正常。确认无误后，将集电器分别套入左右两个滑线槽内，将导向器固定件固定在传动小车的安全钩上。通过调整集电器导向器上的螺母，调整好集电器导向器与集电器的相对位置，使集电器导向器前端安装区位于集电器伸出滑触线部分的中间位置。集电器导向器横向端安装区位于集电器中间，安装完成后应使集电器留有上下、左右摆动的空间，以保证集电器运动时的通畅性。</w:t>
      </w:r>
    </w:p>
    <w:p>
      <w:pPr>
        <w:ind w:firstLine="480"/>
        <w:rPr>
          <w:color w:val="auto"/>
        </w:rPr>
      </w:pPr>
      <w:r>
        <w:rPr>
          <w:rFonts w:hint="eastAsia"/>
          <w:color w:val="auto"/>
        </w:rPr>
        <w:t>（5）集电器接线</w:t>
      </w:r>
    </w:p>
    <w:p>
      <w:pPr>
        <w:ind w:firstLine="480"/>
        <w:rPr>
          <w:color w:val="auto"/>
        </w:rPr>
      </w:pPr>
      <w:r>
        <w:rPr>
          <w:rFonts w:hint="eastAsia"/>
          <w:color w:val="auto"/>
        </w:rPr>
        <w:t>专业安装作业人员打开接线盒，依照红、黄、绿对应A、B、C三相，蓝色为零线、黄绿双色线为地线的标识将集电器的端子与吊笼内的极限开关或配电柜接线端连接。</w:t>
      </w:r>
    </w:p>
    <w:p>
      <w:pPr>
        <w:ind w:firstLine="480"/>
        <w:rPr>
          <w:color w:val="auto"/>
        </w:rPr>
      </w:pPr>
      <w:r>
        <w:rPr>
          <w:rFonts w:hint="eastAsia"/>
          <w:color w:val="auto"/>
        </w:rPr>
        <w:t>（6）调试</w:t>
      </w:r>
    </w:p>
    <w:p>
      <w:pPr>
        <w:ind w:firstLine="480"/>
        <w:rPr>
          <w:color w:val="auto"/>
        </w:rPr>
      </w:pPr>
      <w:r>
        <w:rPr>
          <w:rFonts w:hint="eastAsia"/>
          <w:color w:val="auto"/>
        </w:rPr>
        <w:t>通电前专业安装作业人员最后再仔细检查一遍各线路连接是否正确，确认无误后，调试人员进入操作岗位，其他人员撤离现场或进入安全地区。</w:t>
      </w:r>
    </w:p>
    <w:p>
      <w:pPr>
        <w:ind w:firstLine="480"/>
        <w:rPr>
          <w:rFonts w:hint="eastAsia"/>
          <w:color w:val="auto"/>
        </w:rPr>
      </w:pPr>
      <w:r>
        <w:rPr>
          <w:rFonts w:hint="eastAsia"/>
          <w:color w:val="auto"/>
        </w:rPr>
        <w:t>接通电源后，调试人员不急于开动施工电梯，观察静态通电是否正常，检查相序是否正确，然后启动施工电梯，检查吊笼运行是否正常，上下运行几趟，应特别注意集电器导向器及导向器固定件与周边构件等有无碰擦，若发现下述情况，应立即纠正：</w:t>
      </w:r>
    </w:p>
    <w:p>
      <w:pPr>
        <w:ind w:firstLine="480"/>
        <w:rPr>
          <w:rFonts w:hint="eastAsia"/>
          <w:color w:val="auto"/>
        </w:rPr>
      </w:pPr>
      <w:r>
        <w:rPr>
          <w:color w:val="auto"/>
        </w:rPr>
        <w:t>1</w:t>
      </w:r>
      <w:r>
        <w:rPr>
          <w:rFonts w:hint="eastAsia"/>
          <w:color w:val="auto"/>
        </w:rPr>
        <w:t>）滑触线有较大异动，应调整滑触线或修正集电器导向器。</w:t>
      </w:r>
    </w:p>
    <w:p>
      <w:pPr>
        <w:ind w:firstLine="480"/>
        <w:rPr>
          <w:rFonts w:hint="eastAsia"/>
          <w:color w:val="auto"/>
        </w:rPr>
      </w:pPr>
      <w:r>
        <w:rPr>
          <w:rFonts w:hint="eastAsia"/>
          <w:color w:val="auto"/>
        </w:rPr>
        <w:t>2）集电器运行时有异常声响，应检查滑触线连接点是否平坦。</w:t>
      </w:r>
    </w:p>
    <w:p>
      <w:pPr>
        <w:ind w:firstLine="480"/>
        <w:rPr>
          <w:color w:val="auto"/>
        </w:rPr>
      </w:pPr>
      <w:r>
        <w:rPr>
          <w:rFonts w:hint="eastAsia"/>
          <w:color w:val="auto"/>
        </w:rPr>
        <w:t>（</w:t>
      </w:r>
      <w:r>
        <w:rPr>
          <w:color w:val="auto"/>
        </w:rPr>
        <w:t>7</w:t>
      </w:r>
      <w:r>
        <w:rPr>
          <w:rFonts w:hint="eastAsia"/>
          <w:color w:val="auto"/>
        </w:rPr>
        <w:t>）续接滑触线前的准备</w:t>
      </w:r>
    </w:p>
    <w:p>
      <w:pPr>
        <w:ind w:firstLine="480"/>
        <w:rPr>
          <w:rFonts w:hint="eastAsia"/>
          <w:color w:val="auto"/>
        </w:rPr>
      </w:pPr>
      <w:r>
        <w:rPr>
          <w:rFonts w:hint="eastAsia"/>
          <w:color w:val="auto"/>
        </w:rPr>
        <w:t>以上各步骤完成后，通电并将左右吊笼提升到一定位置（以安装人员能够得着安装第2节滑线高度为宜）先使左右吊笼的高度一致，再断开总电源。</w:t>
      </w:r>
    </w:p>
    <w:p>
      <w:pPr>
        <w:ind w:firstLine="480"/>
        <w:rPr>
          <w:color w:val="auto"/>
        </w:rPr>
      </w:pPr>
      <w:r>
        <w:rPr>
          <w:rFonts w:hint="eastAsia"/>
          <w:color w:val="auto"/>
        </w:rPr>
        <w:t>确认两滑线导电体无电（断开总电源），方可进行下一步操作。</w:t>
      </w:r>
    </w:p>
    <w:p>
      <w:pPr>
        <w:ind w:firstLine="480"/>
        <w:rPr>
          <w:color w:val="auto"/>
        </w:rPr>
      </w:pPr>
      <w:r>
        <w:rPr>
          <w:rFonts w:hint="eastAsia"/>
          <w:color w:val="auto"/>
        </w:rPr>
        <w:t>（8）向上续接第2节滑触线</w:t>
      </w:r>
    </w:p>
    <w:p>
      <w:pPr>
        <w:ind w:firstLine="480"/>
        <w:rPr>
          <w:color w:val="auto"/>
        </w:rPr>
      </w:pPr>
      <w:r>
        <w:rPr>
          <w:rFonts w:hint="eastAsia"/>
          <w:color w:val="auto"/>
        </w:rPr>
        <w:t>专业安装作业人员在两吊笼顶部铺放一块合适的厚木板便于操作，专业安装作业人员作业前将安全带固定连接在标准节架上。在3、4及4、5标准节的横档上分别先固定好两个滑触线固定件，固定时保证滑触线固定件居中、水平。</w:t>
      </w:r>
    </w:p>
    <w:p>
      <w:pPr>
        <w:ind w:firstLine="480"/>
        <w:rPr>
          <w:color w:val="auto"/>
        </w:rPr>
      </w:pPr>
      <w:r>
        <w:rPr>
          <w:rFonts w:hint="eastAsia"/>
          <w:color w:val="auto"/>
        </w:rPr>
        <w:t>专业安装作业人员将一根对应滑触线放入滑触线固定件的槽型架框内，将滑触线的一端与已经安装好的滑触线对插，再将另一根滑触线放入滑触线固定件的槽型架框内，将滑触线的一端与已经安装好的滑触线对插。两根滑触线都插好后，要求两根滑触线平行，与前一根已装好滑触线保持竖直，确认无误后，最后再将内滑触线固定件安装上，锁紧滑触线固定件上的螺母。</w:t>
      </w:r>
    </w:p>
    <w:p>
      <w:pPr>
        <w:ind w:firstLine="480"/>
        <w:rPr>
          <w:color w:val="auto"/>
        </w:rPr>
      </w:pPr>
      <w:r>
        <w:rPr>
          <w:rFonts w:hint="eastAsia"/>
          <w:color w:val="auto"/>
        </w:rPr>
        <w:t>（9）向上续接更高的滑触线</w:t>
      </w:r>
    </w:p>
    <w:p>
      <w:pPr>
        <w:ind w:firstLine="480"/>
        <w:rPr>
          <w:color w:val="auto"/>
        </w:rPr>
      </w:pPr>
      <w:r>
        <w:rPr>
          <w:rFonts w:hint="eastAsia"/>
          <w:color w:val="auto"/>
        </w:rPr>
        <w:t>再往上接时，应先打开总电源，将左右吊笼同步升高同样高度后，再断开总电源，重复以上步骤即可。</w:t>
      </w:r>
    </w:p>
    <w:p>
      <w:pPr>
        <w:ind w:firstLine="480"/>
        <w:rPr>
          <w:color w:val="auto"/>
        </w:rPr>
      </w:pPr>
      <w:r>
        <w:rPr>
          <w:rFonts w:hint="eastAsia"/>
          <w:color w:val="auto"/>
        </w:rPr>
        <w:t>（1</w:t>
      </w:r>
      <w:r>
        <w:rPr>
          <w:color w:val="auto"/>
        </w:rPr>
        <w:t>0</w:t>
      </w:r>
      <w:r>
        <w:rPr>
          <w:rFonts w:hint="eastAsia"/>
          <w:color w:val="auto"/>
        </w:rPr>
        <w:t>）防水盖的安装</w:t>
      </w:r>
    </w:p>
    <w:p>
      <w:pPr>
        <w:ind w:firstLine="480"/>
        <w:rPr>
          <w:color w:val="auto"/>
        </w:rPr>
      </w:pPr>
      <w:r>
        <w:rPr>
          <w:rFonts w:hint="eastAsia"/>
          <w:color w:val="auto"/>
        </w:rPr>
        <w:t>全部滑触线安装完成后，应将防水盖套盖在滑触线最顶端。</w:t>
      </w:r>
    </w:p>
    <w:p>
      <w:pPr>
        <w:pStyle w:val="447"/>
        <w:rPr>
          <w:color w:val="0000FF"/>
        </w:rPr>
      </w:pPr>
      <w:bookmarkStart w:id="167" w:name="_Hlk78292973"/>
      <w:r>
        <w:rPr>
          <w:color w:val="0000FF"/>
        </w:rPr>
        <w:drawing>
          <wp:inline distT="0" distB="0" distL="114300" distR="114300">
            <wp:extent cx="2628265" cy="3024505"/>
            <wp:effectExtent l="0" t="0" r="8255" b="8255"/>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71"/>
                    <a:srcRect b="14395"/>
                    <a:stretch>
                      <a:fillRect/>
                    </a:stretch>
                  </pic:blipFill>
                  <pic:spPr>
                    <a:xfrm>
                      <a:off x="0" y="0"/>
                      <a:ext cx="2628265" cy="3024505"/>
                    </a:xfrm>
                    <a:prstGeom prst="rect">
                      <a:avLst/>
                    </a:prstGeom>
                    <a:noFill/>
                    <a:ln>
                      <a:noFill/>
                    </a:ln>
                  </pic:spPr>
                </pic:pic>
              </a:graphicData>
            </a:graphic>
          </wp:inline>
        </w:drawing>
      </w:r>
      <w:bookmarkEnd w:id="167"/>
      <w:r>
        <w:rPr>
          <w:color w:val="0000FF"/>
        </w:rPr>
        <w:t xml:space="preserve"> </w:t>
      </w:r>
      <w:r>
        <w:rPr>
          <w:color w:val="0000FF"/>
        </w:rPr>
        <w:drawing>
          <wp:inline distT="0" distB="0" distL="114300" distR="114300">
            <wp:extent cx="2261235" cy="3024505"/>
            <wp:effectExtent l="0" t="0" r="9525" b="8255"/>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72"/>
                    <a:stretch>
                      <a:fillRect/>
                    </a:stretch>
                  </pic:blipFill>
                  <pic:spPr>
                    <a:xfrm>
                      <a:off x="0" y="0"/>
                      <a:ext cx="2261235" cy="3024505"/>
                    </a:xfrm>
                    <a:prstGeom prst="rect">
                      <a:avLst/>
                    </a:prstGeom>
                    <a:noFill/>
                    <a:ln>
                      <a:noFill/>
                    </a:ln>
                  </pic:spPr>
                </pic:pic>
              </a:graphicData>
            </a:graphic>
          </wp:inline>
        </w:drawing>
      </w:r>
    </w:p>
    <w:p>
      <w:pPr>
        <w:widowControl w:val="0"/>
        <w:spacing w:line="240" w:lineRule="auto"/>
        <w:ind w:firstLine="0" w:firstLineChars="0"/>
        <w:jc w:val="center"/>
        <w:rPr>
          <w:rFonts w:hint="eastAsia" w:ascii="Times New Roman" w:hAnsi="Times New Roman" w:eastAsia="宋体" w:cs="Times New Roman"/>
          <w:b/>
          <w:color w:val="0000FF"/>
          <w:kern w:val="2"/>
          <w:sz w:val="21"/>
          <w:szCs w:val="20"/>
          <w:lang w:val="en-US" w:eastAsia="zh-CN" w:bidi="ar-SA"/>
        </w:rPr>
      </w:pPr>
      <w:r>
        <w:rPr>
          <w:rFonts w:hint="eastAsia" w:ascii="Times New Roman" w:hAnsi="Times New Roman" w:eastAsia="宋体" w:cs="Times New Roman"/>
          <w:b/>
          <w:color w:val="0000FF"/>
          <w:kern w:val="2"/>
          <w:sz w:val="21"/>
          <w:szCs w:val="20"/>
          <w:lang w:val="en-US" w:eastAsia="zh-CN" w:bidi="ar-SA"/>
        </w:rPr>
        <w:t xml:space="preserve">图 </w:t>
      </w:r>
      <w:r>
        <w:rPr>
          <w:rFonts w:ascii="Times New Roman" w:hAnsi="Times New Roman" w:eastAsia="宋体" w:cs="Times New Roman"/>
          <w:b/>
          <w:color w:val="0000FF"/>
          <w:kern w:val="2"/>
          <w:sz w:val="21"/>
          <w:szCs w:val="20"/>
          <w:lang w:val="en-US" w:eastAsia="zh-CN" w:bidi="ar-SA"/>
        </w:rPr>
        <w:fldChar w:fldCharType="begin"/>
      </w:r>
      <w:r>
        <w:rPr>
          <w:rFonts w:ascii="Times New Roman" w:hAnsi="Times New Roman" w:eastAsia="宋体" w:cs="Times New Roman"/>
          <w:b/>
          <w:color w:val="0000FF"/>
          <w:kern w:val="2"/>
          <w:sz w:val="21"/>
          <w:szCs w:val="20"/>
          <w:lang w:val="en-US" w:eastAsia="zh-CN" w:bidi="ar-SA"/>
        </w:rPr>
        <w:instrText xml:space="preserve"> </w:instrText>
      </w:r>
      <w:r>
        <w:rPr>
          <w:rFonts w:hint="eastAsia" w:ascii="Times New Roman" w:hAnsi="Times New Roman" w:eastAsia="宋体" w:cs="Times New Roman"/>
          <w:b/>
          <w:color w:val="0000FF"/>
          <w:kern w:val="2"/>
          <w:sz w:val="21"/>
          <w:szCs w:val="20"/>
          <w:lang w:val="en-US" w:eastAsia="zh-CN" w:bidi="ar-SA"/>
        </w:rPr>
        <w:instrText xml:space="preserve">STYLEREF 2 \s</w:instrText>
      </w:r>
      <w:r>
        <w:rPr>
          <w:rFonts w:ascii="Times New Roman" w:hAnsi="Times New Roman" w:eastAsia="宋体" w:cs="Times New Roman"/>
          <w:b/>
          <w:color w:val="0000FF"/>
          <w:kern w:val="2"/>
          <w:sz w:val="21"/>
          <w:szCs w:val="20"/>
          <w:lang w:val="en-US" w:eastAsia="zh-CN" w:bidi="ar-SA"/>
        </w:rPr>
        <w:instrText xml:space="preserve"> </w:instrText>
      </w:r>
      <w:r>
        <w:rPr>
          <w:rFonts w:ascii="Times New Roman" w:hAnsi="Times New Roman" w:eastAsia="宋体" w:cs="Times New Roman"/>
          <w:b/>
          <w:color w:val="0000FF"/>
          <w:kern w:val="2"/>
          <w:sz w:val="21"/>
          <w:szCs w:val="20"/>
          <w:lang w:val="en-US" w:eastAsia="zh-CN" w:bidi="ar-SA"/>
        </w:rPr>
        <w:fldChar w:fldCharType="separate"/>
      </w:r>
      <w:r>
        <w:rPr>
          <w:rFonts w:ascii="Times New Roman" w:hAnsi="Times New Roman" w:eastAsia="宋体" w:cs="Times New Roman"/>
          <w:b/>
          <w:color w:val="0000FF"/>
          <w:kern w:val="2"/>
          <w:sz w:val="21"/>
          <w:szCs w:val="20"/>
          <w:lang w:val="en-US" w:eastAsia="zh-CN" w:bidi="ar-SA"/>
        </w:rPr>
        <w:t>4.5</w:t>
      </w:r>
      <w:r>
        <w:rPr>
          <w:rFonts w:ascii="Times New Roman" w:hAnsi="Times New Roman" w:eastAsia="宋体" w:cs="Times New Roman"/>
          <w:b/>
          <w:color w:val="0000FF"/>
          <w:kern w:val="2"/>
          <w:sz w:val="21"/>
          <w:szCs w:val="20"/>
          <w:lang w:val="en-US" w:eastAsia="zh-CN" w:bidi="ar-SA"/>
        </w:rPr>
        <w:fldChar w:fldCharType="end"/>
      </w:r>
      <w:r>
        <w:rPr>
          <w:rFonts w:ascii="Times New Roman" w:hAnsi="Times New Roman" w:eastAsia="宋体" w:cs="Times New Roman"/>
          <w:b/>
          <w:color w:val="0000FF"/>
          <w:kern w:val="2"/>
          <w:sz w:val="21"/>
          <w:szCs w:val="20"/>
          <w:lang w:val="en-US" w:eastAsia="zh-CN" w:bidi="ar-SA"/>
        </w:rPr>
        <w:noBreakHyphen/>
      </w:r>
      <w:r>
        <w:rPr>
          <w:rFonts w:hint="eastAsia" w:ascii="Times New Roman" w:hAnsi="Times New Roman" w:eastAsia="宋体" w:cs="Times New Roman"/>
          <w:b/>
          <w:color w:val="0000FF"/>
          <w:kern w:val="2"/>
          <w:sz w:val="21"/>
          <w:szCs w:val="20"/>
          <w:lang w:val="en-US" w:eastAsia="zh-CN" w:bidi="ar-SA"/>
        </w:rPr>
        <w:t>25</w:t>
      </w:r>
      <w:r>
        <w:rPr>
          <w:rFonts w:ascii="Times New Roman" w:hAnsi="Times New Roman" w:eastAsia="宋体" w:cs="Times New Roman"/>
          <w:b/>
          <w:color w:val="0000FF"/>
          <w:kern w:val="2"/>
          <w:sz w:val="21"/>
          <w:szCs w:val="20"/>
          <w:lang w:val="en-US" w:eastAsia="zh-CN" w:bidi="ar-SA"/>
        </w:rPr>
        <w:t xml:space="preserve"> </w:t>
      </w:r>
      <w:r>
        <w:rPr>
          <w:rFonts w:hint="eastAsia" w:ascii="Times New Roman" w:hAnsi="Times New Roman" w:eastAsia="宋体" w:cs="Times New Roman"/>
          <w:b/>
          <w:color w:val="0000FF"/>
          <w:kern w:val="2"/>
          <w:sz w:val="21"/>
          <w:szCs w:val="20"/>
          <w:lang w:val="en-US" w:eastAsia="zh-CN" w:bidi="ar-SA"/>
        </w:rPr>
        <w:t>滑触线安装示意图</w:t>
      </w:r>
    </w:p>
    <w:p>
      <w:pPr>
        <w:ind w:firstLine="480"/>
        <w:outlineLvl w:val="3"/>
        <w:rPr>
          <w:color w:val="0000FF"/>
        </w:rPr>
      </w:pPr>
      <w:bookmarkStart w:id="168" w:name="_Toc28147"/>
      <w:bookmarkStart w:id="169" w:name="_Toc23969"/>
      <w:bookmarkStart w:id="170" w:name="_Toc30973"/>
      <w:bookmarkStart w:id="171" w:name="_Toc30679"/>
      <w:r>
        <w:rPr>
          <w:rFonts w:hint="eastAsia" w:ascii="Times New Roman" w:eastAsia="宋体"/>
          <w:color w:val="0000FF"/>
          <w:lang w:val="en-US" w:eastAsia="zh-CN"/>
        </w:rPr>
        <w:t>4.5.</w:t>
      </w:r>
      <w:r>
        <w:rPr>
          <w:rFonts w:hint="eastAsia"/>
          <w:color w:val="0000FF"/>
          <w:lang w:val="en-US" w:eastAsia="zh-CN"/>
        </w:rPr>
        <w:t>1.11</w:t>
      </w:r>
      <w:r>
        <w:rPr>
          <w:rFonts w:hint="eastAsia" w:ascii="Times New Roman" w:eastAsia="宋体"/>
          <w:color w:val="0000FF"/>
          <w:lang w:val="en-US" w:eastAsia="zh-CN"/>
        </w:rPr>
        <w:t xml:space="preserve"> </w:t>
      </w:r>
      <w:r>
        <w:rPr>
          <w:rFonts w:hint="eastAsia"/>
          <w:color w:val="0000FF"/>
        </w:rPr>
        <w:t>层门安装说明</w:t>
      </w:r>
      <w:bookmarkEnd w:id="168"/>
      <w:bookmarkEnd w:id="169"/>
      <w:bookmarkEnd w:id="170"/>
      <w:bookmarkEnd w:id="171"/>
    </w:p>
    <w:p>
      <w:pPr>
        <w:ind w:firstLine="480"/>
        <w:rPr>
          <w:color w:val="0000FF"/>
        </w:rPr>
      </w:pPr>
      <w:r>
        <w:rPr>
          <w:rFonts w:hint="eastAsia"/>
          <w:color w:val="0000FF"/>
        </w:rPr>
        <w:t xml:space="preserve">1、在各停层站上应安装层门； </w:t>
      </w:r>
    </w:p>
    <w:p>
      <w:pPr>
        <w:ind w:firstLine="480"/>
        <w:rPr>
          <w:color w:val="0000FF"/>
        </w:rPr>
      </w:pPr>
      <w:r>
        <w:rPr>
          <w:rFonts w:hint="eastAsia"/>
          <w:color w:val="0000FF"/>
        </w:rPr>
        <w:t xml:space="preserve">2、层门应装备可以人工打开的自锁装置，只有在吊笼底板离某一登机平台的垂直距离在±0.15m以内时，该平台的层门方可打开；层门锁止装置应安装牢固，紧固件应有防松装置； </w:t>
      </w:r>
    </w:p>
    <w:p>
      <w:pPr>
        <w:ind w:firstLine="480"/>
        <w:rPr>
          <w:color w:val="0000FF"/>
        </w:rPr>
      </w:pPr>
      <w:r>
        <w:rPr>
          <w:rFonts w:hint="eastAsia"/>
          <w:color w:val="0000FF"/>
        </w:rPr>
        <w:t xml:space="preserve">3、装载和卸载时，吊笼门与登机平台边缘的水平距离不应大于50mm；正常工况下，关闭的吊笼门与层门间的水平距离不应大于150mm； </w:t>
      </w:r>
    </w:p>
    <w:p>
      <w:pPr>
        <w:ind w:firstLine="480"/>
        <w:rPr>
          <w:color w:val="0000FF"/>
        </w:rPr>
      </w:pPr>
      <w:r>
        <w:rPr>
          <w:rFonts w:hint="eastAsia"/>
          <w:color w:val="0000FF"/>
        </w:rPr>
        <w:t>4、如果需要还可配置机电联锁装置，试运行吊笼至各停层站，确认机电联锁开关工作正常。</w:t>
      </w:r>
    </w:p>
    <w:p>
      <w:pPr>
        <w:ind w:firstLine="480"/>
        <w:outlineLvl w:val="2"/>
      </w:pPr>
      <w:bookmarkStart w:id="172" w:name="_Toc19773"/>
      <w:bookmarkStart w:id="173" w:name="_Toc20603863"/>
      <w:bookmarkStart w:id="174" w:name="_Toc3023"/>
      <w:bookmarkStart w:id="175" w:name="_Toc18238"/>
      <w:bookmarkStart w:id="176" w:name="_Toc7417"/>
      <w:bookmarkStart w:id="177" w:name="_Toc10217"/>
      <w:r>
        <w:rPr>
          <w:rFonts w:hint="eastAsia"/>
          <w:lang w:val="en-US" w:eastAsia="zh-CN"/>
        </w:rPr>
        <w:t>4.5.2</w:t>
      </w:r>
      <w:r>
        <w:rPr>
          <w:rFonts w:hint="eastAsia"/>
        </w:rPr>
        <w:t>调试</w:t>
      </w:r>
      <w:bookmarkEnd w:id="172"/>
      <w:bookmarkEnd w:id="173"/>
      <w:bookmarkEnd w:id="174"/>
      <w:bookmarkEnd w:id="175"/>
      <w:bookmarkEnd w:id="176"/>
      <w:bookmarkEnd w:id="177"/>
    </w:p>
    <w:p>
      <w:pPr>
        <w:ind w:firstLine="480"/>
        <w:rPr>
          <w:rFonts w:ascii="宋体" w:hAnsi="宋体" w:cs="宋体"/>
          <w:szCs w:val="24"/>
        </w:rPr>
      </w:pPr>
      <w:r>
        <w:rPr>
          <w:rFonts w:ascii="宋体" w:hAnsi="宋体" w:cs="宋体"/>
          <w:szCs w:val="24"/>
        </w:rPr>
        <w:t>1</w:t>
      </w:r>
      <w:r>
        <w:rPr>
          <w:rFonts w:hint="eastAsia" w:ascii="宋体" w:hAnsi="宋体" w:cs="宋体"/>
          <w:szCs w:val="24"/>
        </w:rPr>
        <w:t>、检查各部连接是否可靠。</w:t>
      </w:r>
    </w:p>
    <w:p>
      <w:pPr>
        <w:ind w:firstLine="480"/>
        <w:rPr>
          <w:rFonts w:ascii="宋体" w:hAnsi="宋体" w:cs="宋体"/>
          <w:szCs w:val="24"/>
        </w:rPr>
      </w:pPr>
      <w:r>
        <w:rPr>
          <w:rFonts w:ascii="宋体" w:hAnsi="宋体" w:cs="宋体"/>
          <w:szCs w:val="24"/>
        </w:rPr>
        <w:t>2</w:t>
      </w:r>
      <w:r>
        <w:rPr>
          <w:rFonts w:hint="eastAsia" w:ascii="宋体" w:hAnsi="宋体" w:cs="宋体"/>
          <w:szCs w:val="24"/>
        </w:rPr>
        <w:t>、导轮与齿条的间隙调试：用塞尺检查所有导轮与齿条背面的间隙，要求间隙为0.5mm，否则应调试导轮偏心套，以调整导轮与齿条的间隙，然后紧固导轮螺栓。</w:t>
      </w:r>
    </w:p>
    <w:p>
      <w:pPr>
        <w:ind w:firstLine="480"/>
        <w:rPr>
          <w:rFonts w:ascii="宋体" w:hAnsi="宋体" w:cs="宋体"/>
          <w:szCs w:val="24"/>
        </w:rPr>
      </w:pPr>
      <w:r>
        <w:rPr>
          <w:rFonts w:ascii="宋体" w:hAnsi="宋体" w:cs="宋体"/>
          <w:szCs w:val="24"/>
        </w:rPr>
        <w:t>3</w:t>
      </w:r>
      <w:r>
        <w:rPr>
          <w:rFonts w:hint="eastAsia" w:ascii="宋体" w:hAnsi="宋体" w:cs="宋体"/>
          <w:szCs w:val="24"/>
        </w:rPr>
        <w:t>、导轮间隙是否合符运行要求。</w:t>
      </w:r>
    </w:p>
    <w:p>
      <w:pPr>
        <w:ind w:firstLine="439" w:firstLineChars="183"/>
        <w:rPr>
          <w:rFonts w:ascii="宋体" w:hAnsi="宋体" w:cs="宋体"/>
          <w:szCs w:val="24"/>
        </w:rPr>
      </w:pPr>
      <w:r>
        <w:rPr>
          <w:rFonts w:ascii="宋体" w:hAnsi="宋体" w:cs="宋体"/>
          <w:szCs w:val="24"/>
        </w:rPr>
        <w:t>4</w:t>
      </w:r>
      <w:r>
        <w:rPr>
          <w:rFonts w:hint="eastAsia" w:ascii="宋体" w:hAnsi="宋体" w:cs="宋体"/>
          <w:szCs w:val="24"/>
        </w:rPr>
        <w:t>、限速器齿距是否合符运行条件，无异常。</w:t>
      </w:r>
    </w:p>
    <w:p>
      <w:pPr>
        <w:ind w:firstLine="480"/>
        <w:outlineLvl w:val="2"/>
        <w:rPr>
          <w:rFonts w:hint="eastAsia"/>
          <w:lang w:val="en-US" w:eastAsia="zh-CN"/>
        </w:rPr>
      </w:pPr>
      <w:bookmarkStart w:id="178" w:name="_Toc3558"/>
      <w:bookmarkStart w:id="179" w:name="_Toc20603864"/>
      <w:bookmarkStart w:id="180" w:name="_Toc9700"/>
      <w:bookmarkStart w:id="181" w:name="_Toc31985"/>
      <w:bookmarkStart w:id="182" w:name="_Toc8"/>
      <w:bookmarkStart w:id="183" w:name="_Toc18397"/>
      <w:r>
        <w:rPr>
          <w:rFonts w:hint="eastAsia"/>
          <w:lang w:val="en-US" w:eastAsia="zh-CN"/>
        </w:rPr>
        <w:t>4.5.3安全限位安装及试运行</w:t>
      </w:r>
      <w:bookmarkEnd w:id="178"/>
      <w:bookmarkEnd w:id="179"/>
      <w:bookmarkEnd w:id="180"/>
      <w:bookmarkEnd w:id="181"/>
      <w:bookmarkEnd w:id="182"/>
      <w:bookmarkEnd w:id="183"/>
    </w:p>
    <w:p>
      <w:pPr>
        <w:pStyle w:val="58"/>
        <w:numPr>
          <w:ilvl w:val="0"/>
          <w:numId w:val="10"/>
        </w:numPr>
        <w:ind w:left="0" w:firstLine="420" w:firstLineChars="0"/>
      </w:pPr>
      <w:r>
        <w:rPr>
          <w:rFonts w:hint="eastAsia"/>
        </w:rPr>
        <w:t>导轨架、附墙架按规定要求，安全逐节提升至施工楼层所需高度。</w:t>
      </w:r>
    </w:p>
    <w:p>
      <w:pPr>
        <w:pStyle w:val="58"/>
        <w:numPr>
          <w:ilvl w:val="0"/>
          <w:numId w:val="10"/>
        </w:numPr>
        <w:ind w:left="0" w:firstLine="420" w:firstLineChars="0"/>
      </w:pPr>
      <w:r>
        <w:rPr>
          <w:rFonts w:hint="eastAsia"/>
        </w:rPr>
        <w:t>在吊笼底部安装好下限位碰铁，使其在操作失效情况下能自动切断电源。</w:t>
      </w:r>
    </w:p>
    <w:p>
      <w:pPr>
        <w:pStyle w:val="58"/>
        <w:numPr>
          <w:ilvl w:val="0"/>
          <w:numId w:val="10"/>
        </w:numPr>
        <w:ind w:left="0" w:firstLine="420" w:firstLineChars="0"/>
      </w:pPr>
      <w:r>
        <w:rPr>
          <w:rFonts w:hint="eastAsia"/>
        </w:rPr>
        <w:t>在所需导轨架高度上安装防冲顶装置，防止意外发生，同时必须保证上限位开关和极限开关同时有效。</w:t>
      </w:r>
    </w:p>
    <w:p>
      <w:pPr>
        <w:pStyle w:val="58"/>
        <w:numPr>
          <w:ilvl w:val="0"/>
          <w:numId w:val="10"/>
        </w:numPr>
        <w:ind w:left="0" w:firstLine="420" w:firstLineChars="0"/>
      </w:pPr>
      <w:r>
        <w:rPr>
          <w:rFonts w:hint="eastAsia"/>
        </w:rPr>
        <w:t>安装好各门限位、外笼门及吊笼的机械联锁装置，并确保所有装置工作可靠。</w:t>
      </w:r>
    </w:p>
    <w:p>
      <w:pPr>
        <w:pStyle w:val="58"/>
        <w:numPr>
          <w:ilvl w:val="0"/>
          <w:numId w:val="10"/>
        </w:numPr>
        <w:ind w:left="0" w:firstLine="420" w:firstLineChars="0"/>
      </w:pPr>
      <w:r>
        <w:rPr>
          <w:rFonts w:hint="eastAsia"/>
        </w:rPr>
        <w:t>复查升降机的所有性能是否符合试运行要求，并且按使用说明书批示各润滑部位进行润滑。</w:t>
      </w:r>
    </w:p>
    <w:p>
      <w:pPr>
        <w:pStyle w:val="58"/>
        <w:numPr>
          <w:ilvl w:val="0"/>
          <w:numId w:val="10"/>
        </w:numPr>
        <w:ind w:left="0" w:firstLine="420" w:firstLineChars="0"/>
        <w:rPr>
          <w:sz w:val="28"/>
          <w:szCs w:val="28"/>
        </w:rPr>
      </w:pPr>
      <w:r>
        <w:rPr>
          <w:rFonts w:hint="eastAsia"/>
        </w:rPr>
        <w:t>在吊笼顶部用上操作盒进行试运行，并逐层检查附墙联接是否可靠，电缆装置是否运行正常，上、下限位控制是否可靠，合理消除所有不安全隐患。</w:t>
      </w:r>
    </w:p>
    <w:p>
      <w:pPr>
        <w:ind w:firstLine="480"/>
      </w:pPr>
      <w:bookmarkStart w:id="184" w:name="_Toc3942"/>
      <w:bookmarkStart w:id="185" w:name="_Toc22150"/>
      <w:bookmarkStart w:id="186" w:name="_Toc30994"/>
      <w:bookmarkStart w:id="187" w:name="_Toc4076"/>
      <w:bookmarkStart w:id="188" w:name="_Toc17702"/>
      <w:bookmarkStart w:id="189" w:name="_Toc6514"/>
      <w:bookmarkStart w:id="190" w:name="_Toc20603880"/>
      <w:bookmarkStart w:id="191" w:name="_Toc20603866"/>
      <w:r>
        <w:rPr>
          <w:rFonts w:hint="eastAsia"/>
        </w:rPr>
        <w:t>（5）坠落试验</w:t>
      </w:r>
      <w:bookmarkEnd w:id="184"/>
      <w:bookmarkEnd w:id="185"/>
      <w:bookmarkEnd w:id="186"/>
      <w:bookmarkEnd w:id="187"/>
      <w:bookmarkEnd w:id="188"/>
      <w:bookmarkEnd w:id="189"/>
    </w:p>
    <w:p>
      <w:pPr>
        <w:ind w:firstLine="480"/>
        <w:rPr>
          <w:rFonts w:ascii="宋体" w:hAnsi="宋体" w:cs="宋体"/>
          <w:szCs w:val="24"/>
        </w:rPr>
      </w:pPr>
      <w:r>
        <w:rPr>
          <w:rFonts w:hint="eastAsia" w:ascii="宋体" w:hAnsi="宋体" w:cs="宋体"/>
          <w:szCs w:val="24"/>
        </w:rPr>
        <w:t xml:space="preserve">凡新安装的升降机,都应进行吊笼额定载荷的坠落试验，以后至少每三个月进行一次坠落试验或按当地有关规定定期进行。坠落试验时，吊笼内不得载人，确认升降机各个部件无故障时方可进行： </w:t>
      </w:r>
    </w:p>
    <w:p>
      <w:pPr>
        <w:ind w:firstLine="480"/>
        <w:rPr>
          <w:rFonts w:ascii="宋体" w:hAnsi="宋体" w:cs="宋体"/>
          <w:szCs w:val="24"/>
        </w:rPr>
      </w:pPr>
      <w:r>
        <w:rPr>
          <w:rFonts w:hint="eastAsia" w:ascii="宋体" w:hAnsi="宋体" w:cs="宋体"/>
          <w:szCs w:val="24"/>
        </w:rPr>
        <w:t xml:space="preserve">根据中国国家标准，安全器在出厂一年后（按标牌或试验报告上的日期）必须送厂检测（包括一年内未曾使用过），经检验合格后，方可继续使用。安全器的寿命为五年。 </w:t>
      </w:r>
    </w:p>
    <w:p>
      <w:pPr>
        <w:ind w:firstLine="480"/>
        <w:outlineLvl w:val="2"/>
      </w:pPr>
      <w:bookmarkStart w:id="192" w:name="_Toc20359"/>
      <w:r>
        <w:rPr>
          <w:rFonts w:hint="eastAsia"/>
          <w:lang w:val="en-US" w:eastAsia="zh-CN"/>
        </w:rPr>
        <w:t xml:space="preserve">4.5.4 </w:t>
      </w:r>
      <w:r>
        <w:rPr>
          <w:rFonts w:hint="eastAsia"/>
        </w:rPr>
        <w:t>坠落试验方法</w:t>
      </w:r>
      <w:bookmarkEnd w:id="192"/>
      <w:r>
        <w:rPr>
          <w:rFonts w:hint="eastAsia"/>
        </w:rPr>
        <w:t xml:space="preserve"> </w:t>
      </w:r>
    </w:p>
    <w:p>
      <w:pPr>
        <w:pStyle w:val="58"/>
        <w:numPr>
          <w:ilvl w:val="0"/>
          <w:numId w:val="11"/>
        </w:numPr>
        <w:ind w:left="0" w:firstLine="480"/>
        <w:rPr>
          <w:rFonts w:ascii="宋体" w:hAnsi="宋体" w:cs="宋体"/>
        </w:rPr>
      </w:pPr>
      <w:r>
        <w:rPr>
          <w:rFonts w:hint="eastAsia" w:ascii="宋体" w:hAnsi="宋体" w:cs="宋体"/>
          <w:szCs w:val="24"/>
        </w:rPr>
        <w:t xml:space="preserve">将吊笼内装载额定重量； </w:t>
      </w:r>
    </w:p>
    <w:p>
      <w:pPr>
        <w:pStyle w:val="58"/>
        <w:numPr>
          <w:ilvl w:val="0"/>
          <w:numId w:val="11"/>
        </w:numPr>
        <w:ind w:left="0" w:firstLine="480"/>
        <w:rPr>
          <w:rFonts w:ascii="宋体" w:hAnsi="宋体" w:cs="宋体"/>
          <w:szCs w:val="24"/>
        </w:rPr>
      </w:pPr>
      <w:r>
        <w:rPr>
          <w:rFonts w:hint="eastAsia" w:ascii="宋体" w:hAnsi="宋体" w:cs="宋体"/>
          <w:szCs w:val="24"/>
        </w:rPr>
        <w:t xml:space="preserve">切断主电源，将坠落试验按钮盒接入电控箱内接线端子上，并锁紧； </w:t>
      </w:r>
    </w:p>
    <w:p>
      <w:pPr>
        <w:pStyle w:val="58"/>
        <w:numPr>
          <w:ilvl w:val="0"/>
          <w:numId w:val="11"/>
        </w:numPr>
        <w:ind w:left="0" w:firstLine="480"/>
        <w:rPr>
          <w:rFonts w:ascii="宋体" w:hAnsi="宋体" w:cs="宋体"/>
          <w:szCs w:val="24"/>
        </w:rPr>
      </w:pPr>
      <w:r>
        <w:rPr>
          <w:rFonts w:hint="eastAsia" w:ascii="宋体" w:hAnsi="宋体" w:cs="宋体"/>
          <w:szCs w:val="24"/>
        </w:rPr>
        <w:t>将坠落试验按钮盒通过门放到地面，要确保坠落试验时，电缆不会被卡住，并关闭所有门；</w:t>
      </w:r>
    </w:p>
    <w:p>
      <w:pPr>
        <w:ind w:firstLine="482"/>
        <w:rPr>
          <w:rFonts w:ascii="宋体" w:hAnsi="宋体" w:cs="宋体"/>
          <w:b/>
          <w:bCs/>
          <w:szCs w:val="24"/>
        </w:rPr>
      </w:pPr>
      <w:r>
        <w:rPr>
          <w:rFonts w:hint="eastAsia" w:ascii="宋体" w:hAnsi="宋体" w:cs="宋体"/>
          <w:b/>
          <w:bCs/>
          <w:szCs w:val="24"/>
        </w:rPr>
        <w:t>特别注意：坠落试验过程中，吊笼内严禁有人；</w:t>
      </w:r>
    </w:p>
    <w:p>
      <w:pPr>
        <w:pStyle w:val="58"/>
        <w:numPr>
          <w:ilvl w:val="0"/>
          <w:numId w:val="11"/>
        </w:numPr>
        <w:ind w:left="0" w:firstLine="480"/>
        <w:rPr>
          <w:rFonts w:ascii="宋体" w:hAnsi="宋体" w:cs="宋体"/>
          <w:szCs w:val="24"/>
        </w:rPr>
      </w:pPr>
      <w:r>
        <w:rPr>
          <w:rFonts w:hint="eastAsia" w:ascii="宋体" w:hAnsi="宋体" w:cs="宋体"/>
          <w:szCs w:val="24"/>
        </w:rPr>
        <w:t xml:space="preserve">合上总电源开关； </w:t>
      </w:r>
    </w:p>
    <w:p>
      <w:pPr>
        <w:pStyle w:val="58"/>
        <w:numPr>
          <w:ilvl w:val="0"/>
          <w:numId w:val="11"/>
        </w:numPr>
        <w:ind w:left="0" w:firstLine="480"/>
        <w:rPr>
          <w:rFonts w:ascii="宋体" w:hAnsi="宋体" w:cs="宋体"/>
          <w:szCs w:val="24"/>
        </w:rPr>
      </w:pPr>
      <w:r>
        <w:rPr>
          <w:rFonts w:hint="eastAsia" w:ascii="宋体" w:hAnsi="宋体" w:cs="宋体"/>
          <w:szCs w:val="24"/>
        </w:rPr>
        <w:t xml:space="preserve">按“坠落按钮盒”上的“上行”按钮，使吊升高到距地面约10米左右； </w:t>
      </w:r>
    </w:p>
    <w:p>
      <w:pPr>
        <w:pStyle w:val="58"/>
        <w:numPr>
          <w:ilvl w:val="0"/>
          <w:numId w:val="11"/>
        </w:numPr>
        <w:ind w:left="0" w:firstLine="480"/>
        <w:rPr>
          <w:rFonts w:ascii="宋体" w:hAnsi="宋体" w:cs="宋体"/>
          <w:szCs w:val="24"/>
        </w:rPr>
      </w:pPr>
      <w:r>
        <w:rPr>
          <w:rFonts w:hint="eastAsia" w:ascii="宋体" w:hAnsi="宋体" w:cs="宋体"/>
          <w:szCs w:val="24"/>
        </w:rPr>
        <w:t xml:space="preserve">按“坠落”按钮不要松开，吊笼将自由下落，正常情况下时吊笼制动距离为下表规定范围。表中防坠安全器制动距离数据出自中华人民共和国国家标准《吊笼有垂直导向的人货两用施工升降机》GB/26557-2011。 </w:t>
      </w:r>
    </w:p>
    <w:p>
      <w:pPr>
        <w:pStyle w:val="61"/>
      </w:pPr>
      <w:r>
        <w:rPr>
          <w:rFonts w:hint="eastAsia"/>
        </w:rPr>
        <w:drawing>
          <wp:inline distT="0" distB="0" distL="114300" distR="114300">
            <wp:extent cx="5483860" cy="1207770"/>
            <wp:effectExtent l="0" t="0" r="2540" b="11430"/>
            <wp:docPr id="1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8"/>
                    <pic:cNvPicPr>
                      <a:picLocks noChangeAspect="1"/>
                    </pic:cNvPicPr>
                  </pic:nvPicPr>
                  <pic:blipFill>
                    <a:blip r:embed="rId73"/>
                    <a:stretch>
                      <a:fillRect/>
                    </a:stretch>
                  </pic:blipFill>
                  <pic:spPr>
                    <a:xfrm>
                      <a:off x="0" y="0"/>
                      <a:ext cx="5483860" cy="1207770"/>
                    </a:xfrm>
                    <a:prstGeom prst="rect">
                      <a:avLst/>
                    </a:prstGeom>
                    <a:noFill/>
                    <a:ln>
                      <a:noFill/>
                    </a:ln>
                  </pic:spPr>
                </pic:pic>
              </a:graphicData>
            </a:graphic>
          </wp:inline>
        </w:drawing>
      </w:r>
    </w:p>
    <w:p>
      <w:pPr>
        <w:ind w:firstLine="482"/>
        <w:rPr>
          <w:rFonts w:ascii="宋体" w:hAnsi="宋体" w:cs="宋体"/>
          <w:b/>
          <w:bCs/>
          <w:szCs w:val="24"/>
        </w:rPr>
      </w:pPr>
      <w:r>
        <w:rPr>
          <w:rFonts w:hint="eastAsia" w:ascii="宋体" w:hAnsi="宋体" w:cs="宋体"/>
          <w:b/>
          <w:bCs/>
          <w:szCs w:val="24"/>
        </w:rPr>
        <w:t>（制动距离应从听见“哐啷” 声音后算起，安全器使吊笼制动的同时能通过机电联锁切断电源。） ；</w:t>
      </w:r>
    </w:p>
    <w:p>
      <w:pPr>
        <w:ind w:firstLine="480"/>
        <w:rPr>
          <w:rFonts w:ascii="宋体" w:hAnsi="宋体" w:cs="宋体"/>
          <w:szCs w:val="24"/>
        </w:rPr>
      </w:pPr>
      <w:r>
        <w:rPr>
          <w:rFonts w:hint="eastAsia" w:ascii="宋体" w:hAnsi="宋体" w:cs="宋体"/>
          <w:szCs w:val="24"/>
        </w:rPr>
        <w:t xml:space="preserve">7、同时应检查 </w:t>
      </w:r>
    </w:p>
    <w:p>
      <w:pPr>
        <w:ind w:firstLine="480"/>
        <w:rPr>
          <w:rFonts w:ascii="宋体" w:hAnsi="宋体" w:cs="宋体"/>
          <w:szCs w:val="24"/>
        </w:rPr>
      </w:pPr>
      <w:r>
        <w:rPr>
          <w:rFonts w:hint="eastAsia" w:ascii="宋体" w:hAnsi="宋体" w:cs="宋体"/>
          <w:szCs w:val="24"/>
        </w:rPr>
        <w:t xml:space="preserve">a、结构及连接有无损坏及永久变形； </w:t>
      </w:r>
    </w:p>
    <w:p>
      <w:pPr>
        <w:ind w:firstLine="480"/>
        <w:rPr>
          <w:rFonts w:ascii="宋体" w:hAnsi="宋体" w:cs="宋体"/>
        </w:rPr>
      </w:pPr>
      <w:r>
        <w:rPr>
          <w:rFonts w:hint="eastAsia" w:ascii="宋体" w:hAnsi="宋体" w:cs="宋体"/>
          <w:szCs w:val="24"/>
        </w:rPr>
        <w:t>b、吊笼底板在各个方向的水平度偏差值改变值应符合GB26557-2011要求；</w:t>
      </w:r>
      <w:r>
        <w:rPr>
          <w:rFonts w:hint="eastAsia" w:ascii="宋体" w:hAnsi="宋体" w:cs="宋体"/>
          <w:color w:val="000000"/>
        </w:rPr>
        <w:t xml:space="preserve"> </w:t>
      </w:r>
    </w:p>
    <w:p>
      <w:pPr>
        <w:ind w:firstLine="482"/>
        <w:rPr>
          <w:rFonts w:ascii="宋体" w:hAnsi="宋体" w:cs="宋体"/>
          <w:b/>
          <w:bCs/>
          <w:szCs w:val="24"/>
        </w:rPr>
      </w:pPr>
      <w:r>
        <w:rPr>
          <w:rFonts w:hint="eastAsia" w:ascii="宋体" w:hAnsi="宋体" w:cs="宋体"/>
          <w:b/>
          <w:bCs/>
          <w:szCs w:val="24"/>
        </w:rPr>
        <w:t>注意：如果吊笼自由下落距地面 3m 左右仍未停止时，应立即松开按钮使吊笼制动，然后点动“坠落”按钮，使吊笼缓缓落至地面，查清原因。</w:t>
      </w:r>
    </w:p>
    <w:p>
      <w:pPr>
        <w:ind w:firstLine="482"/>
        <w:rPr>
          <w:rFonts w:ascii="宋体" w:hAnsi="宋体" w:cs="宋体"/>
          <w:b/>
          <w:bCs/>
          <w:szCs w:val="24"/>
        </w:rPr>
      </w:pPr>
      <w:r>
        <w:rPr>
          <w:rFonts w:hint="eastAsia" w:ascii="宋体" w:hAnsi="宋体" w:cs="宋体"/>
          <w:b/>
          <w:bCs/>
          <w:szCs w:val="24"/>
        </w:rPr>
        <w:t>每次点动吊笼下滑距离不可超过 0.2m 否则安全器将再次动作。</w:t>
      </w:r>
    </w:p>
    <w:bookmarkEnd w:id="190"/>
    <w:p>
      <w:pPr>
        <w:ind w:firstLine="439" w:firstLineChars="183"/>
      </w:pPr>
      <w:r>
        <w:t>8</w:t>
      </w:r>
      <w:r>
        <w:rPr>
          <w:rFonts w:hint="eastAsia"/>
        </w:rPr>
        <w:t>、防坠器检查日期</w:t>
      </w:r>
    </w:p>
    <w:p>
      <w:pPr>
        <w:ind w:firstLine="480"/>
      </w:pPr>
      <w:r>
        <w:rPr>
          <w:rFonts w:hint="eastAsia"/>
        </w:rPr>
        <w:t>a.有效使用年限为  年  月  日至  年  月  日。</w:t>
      </w:r>
    </w:p>
    <w:p>
      <w:pPr>
        <w:ind w:firstLine="480"/>
      </w:pPr>
      <w:r>
        <w:rPr>
          <w:rFonts w:hint="eastAsia"/>
        </w:rPr>
        <w:t>b.下次检定时间为  年  月  日</w:t>
      </w:r>
    </w:p>
    <w:p>
      <w:pPr>
        <w:ind w:firstLine="480"/>
      </w:pPr>
      <w:r>
        <w:rPr>
          <w:rFonts w:hint="eastAsia"/>
        </w:rPr>
        <w:t>c.检测内容</w:t>
      </w:r>
    </w:p>
    <w:tbl>
      <w:tblPr>
        <w:tblStyle w:val="6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2781"/>
        <w:gridCol w:w="2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9" w:type="pct"/>
            <w:vAlign w:val="center"/>
          </w:tcPr>
          <w:p>
            <w:pPr>
              <w:pStyle w:val="63"/>
              <w:rPr>
                <w:kern w:val="0"/>
              </w:rPr>
            </w:pPr>
            <w:r>
              <w:rPr>
                <w:rFonts w:hint="eastAsia"/>
                <w:kern w:val="0"/>
              </w:rPr>
              <w:t>1</w:t>
            </w:r>
          </w:p>
        </w:tc>
        <w:tc>
          <w:tcPr>
            <w:tcW w:w="1631" w:type="pct"/>
            <w:vAlign w:val="center"/>
          </w:tcPr>
          <w:p>
            <w:pPr>
              <w:pStyle w:val="63"/>
              <w:rPr>
                <w:kern w:val="0"/>
              </w:rPr>
            </w:pPr>
            <w:r>
              <w:rPr>
                <w:rFonts w:hint="eastAsia"/>
                <w:kern w:val="0"/>
              </w:rPr>
              <w:t>强度</w:t>
            </w:r>
          </w:p>
        </w:tc>
        <w:tc>
          <w:tcPr>
            <w:tcW w:w="1739" w:type="pct"/>
            <w:vAlign w:val="center"/>
          </w:tcPr>
          <w:p>
            <w:pPr>
              <w:pStyle w:val="63"/>
              <w:rPr>
                <w:kern w:val="0"/>
              </w:rPr>
            </w:pPr>
            <w:r>
              <w:rPr>
                <w:rFonts w:hint="eastAsia"/>
                <w:kern w:val="0"/>
              </w:rPr>
              <w:t>壳体和齿轮等无裂纹等损伤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9" w:type="pct"/>
            <w:vAlign w:val="center"/>
          </w:tcPr>
          <w:p>
            <w:pPr>
              <w:pStyle w:val="63"/>
              <w:rPr>
                <w:kern w:val="0"/>
              </w:rPr>
            </w:pPr>
            <w:r>
              <w:rPr>
                <w:rFonts w:hint="eastAsia"/>
                <w:kern w:val="0"/>
              </w:rPr>
              <w:t>2</w:t>
            </w:r>
          </w:p>
        </w:tc>
        <w:tc>
          <w:tcPr>
            <w:tcW w:w="1631" w:type="pct"/>
            <w:vAlign w:val="center"/>
          </w:tcPr>
          <w:p>
            <w:pPr>
              <w:pStyle w:val="63"/>
              <w:rPr>
                <w:kern w:val="0"/>
              </w:rPr>
            </w:pPr>
            <w:r>
              <w:rPr>
                <w:rFonts w:hint="eastAsia"/>
                <w:kern w:val="0"/>
              </w:rPr>
              <w:t>齿轮转动</w:t>
            </w:r>
          </w:p>
        </w:tc>
        <w:tc>
          <w:tcPr>
            <w:tcW w:w="1739" w:type="pct"/>
            <w:vAlign w:val="center"/>
          </w:tcPr>
          <w:p>
            <w:pPr>
              <w:pStyle w:val="63"/>
              <w:rPr>
                <w:kern w:val="0"/>
              </w:rPr>
            </w:pPr>
            <w:r>
              <w:rPr>
                <w:rFonts w:hint="eastAsia"/>
                <w:kern w:val="0"/>
              </w:rPr>
              <w:t>灵活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9" w:type="pct"/>
            <w:vAlign w:val="center"/>
          </w:tcPr>
          <w:p>
            <w:pPr>
              <w:pStyle w:val="63"/>
              <w:rPr>
                <w:kern w:val="0"/>
              </w:rPr>
            </w:pPr>
            <w:r>
              <w:rPr>
                <w:rFonts w:hint="eastAsia"/>
                <w:kern w:val="0"/>
              </w:rPr>
              <w:t>3</w:t>
            </w:r>
          </w:p>
        </w:tc>
        <w:tc>
          <w:tcPr>
            <w:tcW w:w="1631" w:type="pct"/>
            <w:vAlign w:val="center"/>
          </w:tcPr>
          <w:p>
            <w:pPr>
              <w:pStyle w:val="63"/>
              <w:rPr>
                <w:kern w:val="0"/>
              </w:rPr>
            </w:pPr>
            <w:r>
              <w:rPr>
                <w:rFonts w:hint="eastAsia"/>
                <w:kern w:val="0"/>
              </w:rPr>
              <w:t>安全开关</w:t>
            </w:r>
          </w:p>
        </w:tc>
        <w:tc>
          <w:tcPr>
            <w:tcW w:w="1739" w:type="pct"/>
            <w:vAlign w:val="center"/>
          </w:tcPr>
          <w:p>
            <w:pPr>
              <w:pStyle w:val="63"/>
              <w:rPr>
                <w:kern w:val="0"/>
              </w:rPr>
            </w:pPr>
            <w:r>
              <w:rPr>
                <w:rFonts w:hint="eastAsia"/>
                <w:kern w:val="0"/>
              </w:rPr>
              <w:t>切断控制线路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9" w:type="pct"/>
            <w:vAlign w:val="center"/>
          </w:tcPr>
          <w:p>
            <w:pPr>
              <w:pStyle w:val="63"/>
              <w:rPr>
                <w:kern w:val="0"/>
              </w:rPr>
            </w:pPr>
            <w:r>
              <w:rPr>
                <w:rFonts w:hint="eastAsia"/>
                <w:kern w:val="0"/>
              </w:rPr>
              <w:t>4</w:t>
            </w:r>
          </w:p>
        </w:tc>
        <w:tc>
          <w:tcPr>
            <w:tcW w:w="1631" w:type="pct"/>
            <w:vAlign w:val="center"/>
          </w:tcPr>
          <w:p>
            <w:pPr>
              <w:pStyle w:val="63"/>
              <w:rPr>
                <w:kern w:val="0"/>
              </w:rPr>
            </w:pPr>
            <w:r>
              <w:rPr>
                <w:rFonts w:hint="eastAsia"/>
                <w:kern w:val="0"/>
              </w:rPr>
              <w:t>动作速度</w:t>
            </w:r>
          </w:p>
        </w:tc>
        <w:tc>
          <w:tcPr>
            <w:tcW w:w="1739" w:type="pct"/>
            <w:vAlign w:val="center"/>
          </w:tcPr>
          <w:p>
            <w:pPr>
              <w:pStyle w:val="63"/>
              <w:rPr>
                <w:kern w:val="0"/>
              </w:rPr>
            </w:pPr>
            <w:r>
              <w:rPr>
                <w:rFonts w:hint="eastAsia"/>
                <w:kern w:val="0"/>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9" w:type="pct"/>
            <w:vAlign w:val="center"/>
          </w:tcPr>
          <w:p>
            <w:pPr>
              <w:pStyle w:val="63"/>
              <w:rPr>
                <w:kern w:val="0"/>
              </w:rPr>
            </w:pPr>
            <w:r>
              <w:rPr>
                <w:rFonts w:hint="eastAsia"/>
                <w:kern w:val="0"/>
              </w:rPr>
              <w:t>5</w:t>
            </w:r>
          </w:p>
        </w:tc>
        <w:tc>
          <w:tcPr>
            <w:tcW w:w="1631" w:type="pct"/>
            <w:vAlign w:val="center"/>
          </w:tcPr>
          <w:p>
            <w:pPr>
              <w:pStyle w:val="63"/>
              <w:rPr>
                <w:kern w:val="0"/>
              </w:rPr>
            </w:pPr>
            <w:r>
              <w:rPr>
                <w:rFonts w:hint="eastAsia"/>
                <w:kern w:val="0"/>
              </w:rPr>
              <w:t>超载制动试验</w:t>
            </w:r>
          </w:p>
        </w:tc>
        <w:tc>
          <w:tcPr>
            <w:tcW w:w="1739" w:type="pct"/>
            <w:vAlign w:val="center"/>
          </w:tcPr>
          <w:p>
            <w:pPr>
              <w:pStyle w:val="63"/>
              <w:rPr>
                <w:kern w:val="0"/>
              </w:rPr>
            </w:pPr>
            <w:r>
              <w:rPr>
                <w:rFonts w:hint="eastAsia"/>
                <w:kern w:val="0"/>
              </w:rPr>
              <w:t>制动距离符合GB/T34025-2017标准</w:t>
            </w:r>
          </w:p>
        </w:tc>
      </w:tr>
      <w:bookmarkEnd w:id="146"/>
      <w:bookmarkEnd w:id="191"/>
    </w:tbl>
    <w:p>
      <w:pPr>
        <w:pStyle w:val="5"/>
        <w:numPr>
          <w:ilvl w:val="2"/>
          <w:numId w:val="0"/>
        </w:numPr>
        <w:spacing w:before="156" w:after="156"/>
        <w:ind w:leftChars="0"/>
      </w:pPr>
      <w:bookmarkStart w:id="193" w:name="_Toc121759996"/>
      <w:r>
        <w:rPr>
          <w:rFonts w:hint="eastAsia"/>
          <w:lang w:val="en-US" w:eastAsia="zh-CN"/>
        </w:rPr>
        <w:t>4.5.5</w:t>
      </w:r>
      <w:r>
        <w:rPr>
          <w:rFonts w:hint="eastAsia"/>
        </w:rPr>
        <w:t>设备拆除</w:t>
      </w:r>
      <w:bookmarkEnd w:id="193"/>
    </w:p>
    <w:p>
      <w:pPr>
        <w:ind w:firstLine="480"/>
        <w:rPr>
          <w:szCs w:val="24"/>
        </w:rPr>
      </w:pPr>
      <w:r>
        <w:rPr>
          <w:rFonts w:hint="eastAsia"/>
          <w:szCs w:val="24"/>
        </w:rPr>
        <w:t>在主塔施工完成，斜拉索施工完成后拆卸施工升降机，使用25t吨汽车吊拆除施工升降机。将拆除后的施工升降机部件至于桥面上。</w:t>
      </w:r>
    </w:p>
    <w:p>
      <w:pPr>
        <w:ind w:firstLine="480"/>
        <w:rPr>
          <w:szCs w:val="24"/>
        </w:rPr>
      </w:pPr>
      <w:bookmarkStart w:id="194" w:name="_Toc27195"/>
      <w:bookmarkStart w:id="195" w:name="_Toc6396"/>
      <w:bookmarkStart w:id="196" w:name="_Toc20804"/>
      <w:bookmarkStart w:id="197" w:name="_Toc22383"/>
      <w:bookmarkStart w:id="198" w:name="_Toc22253"/>
      <w:bookmarkStart w:id="199" w:name="_Toc14200"/>
      <w:r>
        <w:rPr>
          <w:rFonts w:hint="eastAsia"/>
          <w:szCs w:val="24"/>
        </w:rPr>
        <w:t>（1）拆卸前的准备</w:t>
      </w:r>
      <w:bookmarkEnd w:id="194"/>
      <w:bookmarkEnd w:id="195"/>
      <w:bookmarkEnd w:id="196"/>
      <w:bookmarkEnd w:id="197"/>
      <w:bookmarkEnd w:id="198"/>
      <w:bookmarkEnd w:id="199"/>
    </w:p>
    <w:p>
      <w:pPr>
        <w:pStyle w:val="58"/>
        <w:numPr>
          <w:ilvl w:val="0"/>
          <w:numId w:val="12"/>
        </w:numPr>
        <w:ind w:left="0" w:firstLine="420" w:firstLineChars="0"/>
        <w:rPr>
          <w:szCs w:val="24"/>
        </w:rPr>
      </w:pPr>
      <w:r>
        <w:rPr>
          <w:rFonts w:hint="eastAsia"/>
          <w:szCs w:val="24"/>
        </w:rPr>
        <w:t xml:space="preserve">拆卸作业人员除按照前述提到的安装前的准备中相关要求准备外还需要注意： </w:t>
      </w:r>
    </w:p>
    <w:p>
      <w:pPr>
        <w:pStyle w:val="58"/>
        <w:numPr>
          <w:ilvl w:val="0"/>
          <w:numId w:val="12"/>
        </w:numPr>
        <w:ind w:left="0" w:firstLine="420" w:firstLineChars="0"/>
        <w:rPr>
          <w:szCs w:val="24"/>
        </w:rPr>
      </w:pPr>
      <w:r>
        <w:rPr>
          <w:rFonts w:hint="eastAsia"/>
          <w:szCs w:val="24"/>
        </w:rPr>
        <w:t xml:space="preserve">设备拆卸前必须在相关单位办理拆卸告知。 </w:t>
      </w:r>
    </w:p>
    <w:p>
      <w:pPr>
        <w:pStyle w:val="58"/>
        <w:numPr>
          <w:ilvl w:val="0"/>
          <w:numId w:val="12"/>
        </w:numPr>
        <w:ind w:left="0" w:firstLine="420" w:firstLineChars="0"/>
        <w:rPr>
          <w:szCs w:val="24"/>
        </w:rPr>
      </w:pPr>
      <w:r>
        <w:rPr>
          <w:rFonts w:hint="eastAsia"/>
          <w:szCs w:val="24"/>
        </w:rPr>
        <w:t xml:space="preserve">拆卸前必须进行一次升降机的坠落试验。 </w:t>
      </w:r>
    </w:p>
    <w:p>
      <w:pPr>
        <w:ind w:firstLine="480"/>
        <w:rPr>
          <w:szCs w:val="24"/>
        </w:rPr>
      </w:pPr>
      <w:bookmarkStart w:id="200" w:name="_Toc14250"/>
      <w:bookmarkStart w:id="201" w:name="_Toc13390"/>
      <w:bookmarkStart w:id="202" w:name="_Toc21088"/>
      <w:bookmarkStart w:id="203" w:name="_Toc26535"/>
      <w:bookmarkStart w:id="204" w:name="_Toc5142"/>
      <w:bookmarkStart w:id="205" w:name="_Toc26047"/>
      <w:r>
        <w:rPr>
          <w:rFonts w:hint="eastAsia"/>
          <w:szCs w:val="24"/>
        </w:rPr>
        <w:t>（2）拆卸的安全要求</w:t>
      </w:r>
      <w:bookmarkEnd w:id="200"/>
      <w:bookmarkEnd w:id="201"/>
      <w:bookmarkEnd w:id="202"/>
      <w:bookmarkEnd w:id="203"/>
      <w:bookmarkEnd w:id="204"/>
      <w:bookmarkEnd w:id="205"/>
    </w:p>
    <w:p>
      <w:pPr>
        <w:pStyle w:val="58"/>
        <w:numPr>
          <w:ilvl w:val="1"/>
          <w:numId w:val="13"/>
        </w:numPr>
        <w:ind w:left="0" w:firstLine="480"/>
        <w:rPr>
          <w:szCs w:val="24"/>
        </w:rPr>
      </w:pPr>
      <w:r>
        <w:rPr>
          <w:rFonts w:hint="eastAsia"/>
          <w:szCs w:val="24"/>
        </w:rPr>
        <w:t xml:space="preserve">拆卸人员必需经过培训，并具有相关操作资格证。 </w:t>
      </w:r>
    </w:p>
    <w:p>
      <w:pPr>
        <w:pStyle w:val="58"/>
        <w:numPr>
          <w:ilvl w:val="1"/>
          <w:numId w:val="13"/>
        </w:numPr>
        <w:ind w:left="0" w:firstLine="480"/>
        <w:rPr>
          <w:szCs w:val="24"/>
        </w:rPr>
      </w:pPr>
      <w:r>
        <w:rPr>
          <w:rFonts w:hint="eastAsia"/>
          <w:szCs w:val="24"/>
        </w:rPr>
        <w:t xml:space="preserve">拆卸场地应清理干净，并有标志杆围起来，禁止非工作人员入内。 </w:t>
      </w:r>
    </w:p>
    <w:p>
      <w:pPr>
        <w:pStyle w:val="58"/>
        <w:numPr>
          <w:ilvl w:val="1"/>
          <w:numId w:val="13"/>
        </w:numPr>
        <w:ind w:left="0" w:firstLine="480"/>
        <w:rPr>
          <w:szCs w:val="24"/>
        </w:rPr>
      </w:pPr>
      <w:r>
        <w:rPr>
          <w:rFonts w:hint="eastAsia"/>
          <w:szCs w:val="24"/>
        </w:rPr>
        <w:t xml:space="preserve">防止拆卸地点上方掉落物体，必要时加安全网。 </w:t>
      </w:r>
    </w:p>
    <w:p>
      <w:pPr>
        <w:pStyle w:val="58"/>
        <w:numPr>
          <w:ilvl w:val="1"/>
          <w:numId w:val="13"/>
        </w:numPr>
        <w:ind w:left="0" w:firstLine="480"/>
        <w:rPr>
          <w:szCs w:val="24"/>
        </w:rPr>
      </w:pPr>
      <w:r>
        <w:rPr>
          <w:rFonts w:hint="eastAsia"/>
          <w:szCs w:val="24"/>
        </w:rPr>
        <w:t xml:space="preserve">拆卸过来程中必须有专人负责统一指挥。 </w:t>
      </w:r>
    </w:p>
    <w:p>
      <w:pPr>
        <w:pStyle w:val="58"/>
        <w:numPr>
          <w:ilvl w:val="1"/>
          <w:numId w:val="13"/>
        </w:numPr>
        <w:ind w:left="0" w:firstLine="480"/>
        <w:rPr>
          <w:szCs w:val="24"/>
        </w:rPr>
      </w:pPr>
      <w:r>
        <w:rPr>
          <w:rFonts w:hint="eastAsia"/>
          <w:szCs w:val="24"/>
        </w:rPr>
        <w:t xml:space="preserve">拆卸作业人应按高空作业安全要求，包括必须戴安全帽、系安全带、穿防滑鞋等，不要穿过宽松的衣服，应穿工作服，以免被卷入运行中的部件中，发生安全事故。 </w:t>
      </w:r>
    </w:p>
    <w:p>
      <w:pPr>
        <w:pStyle w:val="58"/>
        <w:numPr>
          <w:ilvl w:val="1"/>
          <w:numId w:val="13"/>
        </w:numPr>
        <w:ind w:left="0" w:firstLine="480"/>
        <w:rPr>
          <w:szCs w:val="24"/>
        </w:rPr>
      </w:pPr>
      <w:r>
        <w:rPr>
          <w:rFonts w:hint="eastAsia"/>
          <w:szCs w:val="24"/>
        </w:rPr>
        <w:t xml:space="preserve">雷雨天、雪天或风速超过13m/s的恶劣天气下不能进行拆卸作业。 </w:t>
      </w:r>
    </w:p>
    <w:p>
      <w:pPr>
        <w:pStyle w:val="58"/>
        <w:numPr>
          <w:ilvl w:val="1"/>
          <w:numId w:val="13"/>
        </w:numPr>
        <w:ind w:left="0" w:firstLine="480"/>
        <w:rPr>
          <w:szCs w:val="24"/>
        </w:rPr>
      </w:pPr>
      <w:r>
        <w:rPr>
          <w:rFonts w:hint="eastAsia"/>
          <w:szCs w:val="24"/>
        </w:rPr>
        <w:t xml:space="preserve">严禁夜间或酒后进行拆卸作业。 </w:t>
      </w:r>
    </w:p>
    <w:p>
      <w:pPr>
        <w:pStyle w:val="58"/>
        <w:numPr>
          <w:ilvl w:val="1"/>
          <w:numId w:val="13"/>
        </w:numPr>
        <w:ind w:left="0" w:firstLine="480"/>
        <w:rPr>
          <w:szCs w:val="24"/>
        </w:rPr>
      </w:pPr>
      <w:r>
        <w:rPr>
          <w:rFonts w:hint="eastAsia"/>
          <w:szCs w:val="24"/>
        </w:rPr>
        <w:t xml:space="preserve">拆卸前，检查升降机保护接地装置，确保接地电阻≤4Ω。 </w:t>
      </w:r>
    </w:p>
    <w:p>
      <w:pPr>
        <w:pStyle w:val="58"/>
        <w:numPr>
          <w:ilvl w:val="1"/>
          <w:numId w:val="13"/>
        </w:numPr>
        <w:ind w:left="0" w:firstLine="480"/>
        <w:rPr>
          <w:szCs w:val="24"/>
        </w:rPr>
      </w:pPr>
      <w:r>
        <w:rPr>
          <w:rFonts w:hint="eastAsia"/>
          <w:szCs w:val="24"/>
        </w:rPr>
        <w:t xml:space="preserve">吊笼启动前应先进行全面检查，确保升降机运行通道无障碍，消除所有不安全隐患。 </w:t>
      </w:r>
    </w:p>
    <w:p>
      <w:pPr>
        <w:pStyle w:val="58"/>
        <w:numPr>
          <w:ilvl w:val="1"/>
          <w:numId w:val="13"/>
        </w:numPr>
        <w:ind w:left="0" w:firstLine="480"/>
        <w:rPr>
          <w:szCs w:val="24"/>
        </w:rPr>
      </w:pPr>
      <w:r>
        <w:rPr>
          <w:rFonts w:hint="eastAsia"/>
          <w:szCs w:val="24"/>
        </w:rPr>
        <w:t xml:space="preserve">拆卸人员及物品不得倚靠在围栏上。 </w:t>
      </w:r>
    </w:p>
    <w:p>
      <w:pPr>
        <w:pStyle w:val="58"/>
        <w:numPr>
          <w:ilvl w:val="1"/>
          <w:numId w:val="13"/>
        </w:numPr>
        <w:ind w:left="0" w:firstLine="480"/>
        <w:rPr>
          <w:szCs w:val="24"/>
        </w:rPr>
      </w:pPr>
      <w:r>
        <w:rPr>
          <w:rFonts w:hint="eastAsia"/>
          <w:szCs w:val="24"/>
        </w:rPr>
        <w:t xml:space="preserve">吊笼顶上的零部件必须放置平稳，不得露出安全围栏外。 </w:t>
      </w:r>
    </w:p>
    <w:p>
      <w:pPr>
        <w:pStyle w:val="58"/>
        <w:numPr>
          <w:ilvl w:val="1"/>
          <w:numId w:val="13"/>
        </w:numPr>
        <w:ind w:left="0" w:firstLine="480"/>
        <w:rPr>
          <w:szCs w:val="24"/>
        </w:rPr>
      </w:pPr>
      <w:r>
        <w:rPr>
          <w:rFonts w:hint="eastAsia"/>
          <w:szCs w:val="24"/>
        </w:rPr>
        <w:t xml:space="preserve">升降机运行时，人员的头，手绝不能伸出安全围栏外。 </w:t>
      </w:r>
    </w:p>
    <w:p>
      <w:pPr>
        <w:pStyle w:val="58"/>
        <w:numPr>
          <w:ilvl w:val="1"/>
          <w:numId w:val="13"/>
        </w:numPr>
        <w:ind w:left="0" w:firstLine="480"/>
        <w:rPr>
          <w:szCs w:val="24"/>
        </w:rPr>
      </w:pPr>
      <w:r>
        <w:rPr>
          <w:rFonts w:hint="eastAsia"/>
          <w:szCs w:val="24"/>
        </w:rPr>
        <w:t xml:space="preserve">拆卸运行时，绝对不允许超过额定拆卸载重量。 </w:t>
      </w:r>
    </w:p>
    <w:p>
      <w:pPr>
        <w:pStyle w:val="58"/>
        <w:numPr>
          <w:ilvl w:val="1"/>
          <w:numId w:val="13"/>
        </w:numPr>
        <w:ind w:left="0" w:firstLine="480"/>
        <w:rPr>
          <w:szCs w:val="24"/>
        </w:rPr>
      </w:pPr>
      <w:r>
        <w:rPr>
          <w:rFonts w:hint="eastAsia"/>
          <w:szCs w:val="24"/>
        </w:rPr>
        <w:t xml:space="preserve">拆卸过程中，必须在笼顶操作，不允许笼内操作。 </w:t>
      </w:r>
    </w:p>
    <w:p>
      <w:pPr>
        <w:pStyle w:val="58"/>
        <w:numPr>
          <w:ilvl w:val="1"/>
          <w:numId w:val="13"/>
        </w:numPr>
        <w:ind w:left="0" w:firstLine="480"/>
        <w:rPr>
          <w:szCs w:val="24"/>
        </w:rPr>
      </w:pPr>
      <w:r>
        <w:rPr>
          <w:rFonts w:hint="eastAsia"/>
          <w:szCs w:val="24"/>
        </w:rPr>
        <w:t xml:space="preserve">如果有人在导轨架上或附墙架上工作时，绝对不允许开动升降机，当吊笼运行时严禁进入外笼内。 </w:t>
      </w:r>
    </w:p>
    <w:p>
      <w:pPr>
        <w:pStyle w:val="58"/>
        <w:numPr>
          <w:ilvl w:val="1"/>
          <w:numId w:val="13"/>
        </w:numPr>
        <w:ind w:left="0" w:firstLine="480"/>
        <w:rPr>
          <w:szCs w:val="24"/>
        </w:rPr>
      </w:pPr>
      <w:r>
        <w:rPr>
          <w:rFonts w:hint="eastAsia"/>
          <w:szCs w:val="24"/>
        </w:rPr>
        <w:t xml:space="preserve">利用吊杆进行拆卸时，不允许超载，吊杆只可用来安装和拆卸升降机的零部件，不得用于其他用途。 </w:t>
      </w:r>
    </w:p>
    <w:p>
      <w:pPr>
        <w:pStyle w:val="58"/>
        <w:numPr>
          <w:ilvl w:val="1"/>
          <w:numId w:val="13"/>
        </w:numPr>
        <w:ind w:left="0" w:firstLine="480"/>
        <w:rPr>
          <w:szCs w:val="24"/>
        </w:rPr>
      </w:pPr>
      <w:r>
        <w:rPr>
          <w:rFonts w:hint="eastAsia"/>
          <w:szCs w:val="24"/>
        </w:rPr>
        <w:t xml:space="preserve">吊杆上有悬挂物时，不得开动吊笼。 </w:t>
      </w:r>
    </w:p>
    <w:p>
      <w:pPr>
        <w:pStyle w:val="58"/>
        <w:numPr>
          <w:ilvl w:val="1"/>
          <w:numId w:val="13"/>
        </w:numPr>
        <w:ind w:left="0" w:firstLine="480"/>
        <w:rPr>
          <w:szCs w:val="24"/>
        </w:rPr>
      </w:pPr>
      <w:r>
        <w:rPr>
          <w:rFonts w:hint="eastAsia"/>
          <w:szCs w:val="24"/>
        </w:rPr>
        <w:t xml:space="preserve">拆卸前必须进行一次安全器坠落试验。 </w:t>
      </w:r>
    </w:p>
    <w:p>
      <w:pPr>
        <w:ind w:firstLine="480"/>
        <w:rPr>
          <w:szCs w:val="24"/>
        </w:rPr>
      </w:pPr>
      <w:bookmarkStart w:id="206" w:name="_Toc435"/>
      <w:bookmarkStart w:id="207" w:name="_Toc29048"/>
      <w:bookmarkStart w:id="208" w:name="_Toc16544"/>
      <w:bookmarkStart w:id="209" w:name="_Toc5884"/>
      <w:bookmarkStart w:id="210" w:name="_Toc19479"/>
      <w:bookmarkStart w:id="211" w:name="_Toc22322"/>
      <w:r>
        <w:rPr>
          <w:rFonts w:hint="eastAsia"/>
          <w:szCs w:val="24"/>
        </w:rPr>
        <w:t>（3）电缆导向装置的拆卸</w:t>
      </w:r>
      <w:bookmarkEnd w:id="206"/>
      <w:bookmarkEnd w:id="207"/>
      <w:bookmarkEnd w:id="208"/>
      <w:bookmarkEnd w:id="209"/>
      <w:bookmarkEnd w:id="210"/>
      <w:bookmarkEnd w:id="211"/>
    </w:p>
    <w:p>
      <w:pPr>
        <w:pStyle w:val="58"/>
        <w:numPr>
          <w:ilvl w:val="1"/>
          <w:numId w:val="14"/>
        </w:numPr>
        <w:ind w:left="0" w:firstLine="420" w:firstLineChars="0"/>
        <w:rPr>
          <w:szCs w:val="24"/>
        </w:rPr>
      </w:pPr>
      <w:r>
        <w:rPr>
          <w:rFonts w:hint="eastAsia"/>
          <w:szCs w:val="24"/>
        </w:rPr>
        <w:t xml:space="preserve">拆下所有电缆保护架。 </w:t>
      </w:r>
    </w:p>
    <w:p>
      <w:pPr>
        <w:pStyle w:val="58"/>
        <w:numPr>
          <w:ilvl w:val="1"/>
          <w:numId w:val="14"/>
        </w:numPr>
        <w:ind w:left="0" w:firstLine="420" w:firstLineChars="0"/>
        <w:rPr>
          <w:szCs w:val="24"/>
        </w:rPr>
      </w:pPr>
      <w:r>
        <w:rPr>
          <w:rFonts w:hint="eastAsia"/>
          <w:szCs w:val="24"/>
        </w:rPr>
        <w:t>将吊笼开到笼底，拆下电缆小车。</w:t>
      </w:r>
    </w:p>
    <w:p>
      <w:pPr>
        <w:ind w:firstLine="480"/>
        <w:rPr>
          <w:szCs w:val="24"/>
        </w:rPr>
      </w:pPr>
      <w:bookmarkStart w:id="212" w:name="_Toc5788"/>
      <w:bookmarkStart w:id="213" w:name="_Toc32224"/>
      <w:bookmarkStart w:id="214" w:name="_Toc47"/>
      <w:bookmarkStart w:id="215" w:name="_Toc29045"/>
      <w:bookmarkStart w:id="216" w:name="_Toc9398"/>
      <w:bookmarkStart w:id="217" w:name="_Toc1594"/>
      <w:r>
        <w:rPr>
          <w:rFonts w:hint="eastAsia"/>
          <w:szCs w:val="24"/>
        </w:rPr>
        <w:t>（4）导轨架及附墙架的拆卸</w:t>
      </w:r>
      <w:bookmarkEnd w:id="212"/>
      <w:bookmarkEnd w:id="213"/>
      <w:bookmarkEnd w:id="214"/>
      <w:bookmarkEnd w:id="215"/>
      <w:bookmarkEnd w:id="216"/>
      <w:bookmarkEnd w:id="217"/>
    </w:p>
    <w:p>
      <w:pPr>
        <w:pStyle w:val="58"/>
        <w:numPr>
          <w:ilvl w:val="1"/>
          <w:numId w:val="15"/>
        </w:numPr>
        <w:ind w:left="0" w:firstLine="420" w:firstLineChars="0"/>
        <w:rPr>
          <w:szCs w:val="24"/>
        </w:rPr>
      </w:pPr>
      <w:r>
        <w:rPr>
          <w:rFonts w:hint="eastAsia"/>
          <w:szCs w:val="24"/>
        </w:rPr>
        <w:t xml:space="preserve">先将吊杆安装在吊笼顶的吊杆孔内。 </w:t>
      </w:r>
    </w:p>
    <w:p>
      <w:pPr>
        <w:pStyle w:val="58"/>
        <w:numPr>
          <w:ilvl w:val="1"/>
          <w:numId w:val="15"/>
        </w:numPr>
        <w:ind w:left="0" w:firstLine="420" w:firstLineChars="0"/>
        <w:rPr>
          <w:szCs w:val="24"/>
        </w:rPr>
      </w:pPr>
      <w:r>
        <w:rPr>
          <w:rFonts w:hint="eastAsia"/>
          <w:szCs w:val="24"/>
        </w:rPr>
        <w:t xml:space="preserve">利用吊杆将标准节逐节提起，从上往下逐节拆卸导轨架及附墙架，直至中间挑线架处。 </w:t>
      </w:r>
    </w:p>
    <w:p>
      <w:pPr>
        <w:pStyle w:val="58"/>
        <w:numPr>
          <w:ilvl w:val="1"/>
          <w:numId w:val="15"/>
        </w:numPr>
        <w:ind w:left="0" w:firstLine="420" w:firstLineChars="0"/>
        <w:rPr>
          <w:szCs w:val="24"/>
        </w:rPr>
      </w:pPr>
      <w:r>
        <w:rPr>
          <w:rFonts w:hint="eastAsia"/>
          <w:szCs w:val="24"/>
        </w:rPr>
        <w:t xml:space="preserve">拆卸中间挑线架。 </w:t>
      </w:r>
    </w:p>
    <w:p>
      <w:pPr>
        <w:pStyle w:val="58"/>
        <w:numPr>
          <w:ilvl w:val="1"/>
          <w:numId w:val="15"/>
        </w:numPr>
        <w:ind w:left="0" w:firstLine="420" w:firstLineChars="0"/>
        <w:rPr>
          <w:szCs w:val="24"/>
        </w:rPr>
      </w:pPr>
      <w:r>
        <w:rPr>
          <w:rFonts w:hint="eastAsia"/>
          <w:szCs w:val="24"/>
        </w:rPr>
        <w:t xml:space="preserve">按上述方式拆卸其余导轨架、附墙架，直至仅剩3~4节标准节。 </w:t>
      </w:r>
    </w:p>
    <w:p>
      <w:pPr>
        <w:pStyle w:val="58"/>
        <w:numPr>
          <w:ilvl w:val="1"/>
          <w:numId w:val="15"/>
        </w:numPr>
        <w:ind w:left="0" w:firstLine="420" w:firstLineChars="0"/>
        <w:rPr>
          <w:szCs w:val="24"/>
        </w:rPr>
      </w:pPr>
      <w:r>
        <w:rPr>
          <w:rFonts w:hint="eastAsia"/>
          <w:szCs w:val="24"/>
        </w:rPr>
        <w:t xml:space="preserve">拆卸现场如有起重设备配合，可先拆下最顶部一道附墙，再用起重设备将顶部标准节吊住，每4~6节标准节为一体拆掉。 </w:t>
      </w:r>
    </w:p>
    <w:p>
      <w:pPr>
        <w:ind w:firstLine="480"/>
        <w:rPr>
          <w:szCs w:val="24"/>
        </w:rPr>
      </w:pPr>
      <w:r>
        <w:rPr>
          <w:rFonts w:hint="eastAsia"/>
          <w:szCs w:val="24"/>
        </w:rPr>
        <w:t>（5）拆卸导轨架及附墙架时需注意的问题：</w:t>
      </w:r>
      <w:r>
        <w:rPr>
          <w:rFonts w:hint="eastAsia"/>
          <w:color w:val="000000"/>
          <w:szCs w:val="24"/>
        </w:rPr>
        <w:t xml:space="preserve"> </w:t>
      </w:r>
    </w:p>
    <w:p>
      <w:pPr>
        <w:pStyle w:val="58"/>
        <w:numPr>
          <w:ilvl w:val="1"/>
          <w:numId w:val="16"/>
        </w:numPr>
        <w:ind w:left="0" w:firstLine="420" w:firstLineChars="0"/>
        <w:rPr>
          <w:szCs w:val="24"/>
        </w:rPr>
      </w:pPr>
      <w:r>
        <w:rPr>
          <w:rFonts w:hint="eastAsia"/>
          <w:szCs w:val="24"/>
        </w:rPr>
        <w:t xml:space="preserve">在拆除上限位碰铁和上极限限位碰铁后，每次将吊笼开至接近导轨架顶上时，要减慢速度，注意不能让吊笼超出导轨架。 </w:t>
      </w:r>
    </w:p>
    <w:p>
      <w:pPr>
        <w:pStyle w:val="58"/>
        <w:numPr>
          <w:ilvl w:val="1"/>
          <w:numId w:val="16"/>
        </w:numPr>
        <w:ind w:left="0" w:firstLine="420" w:firstLineChars="0"/>
        <w:rPr>
          <w:szCs w:val="24"/>
        </w:rPr>
      </w:pPr>
      <w:r>
        <w:rPr>
          <w:rFonts w:hint="eastAsia"/>
          <w:szCs w:val="24"/>
        </w:rPr>
        <w:t xml:space="preserve">拆卸时，每次用吊车吊起的标准节不超过6节。 </w:t>
      </w:r>
    </w:p>
    <w:p>
      <w:pPr>
        <w:pStyle w:val="58"/>
        <w:numPr>
          <w:ilvl w:val="1"/>
          <w:numId w:val="16"/>
        </w:numPr>
        <w:ind w:left="0" w:firstLine="420" w:firstLineChars="0"/>
        <w:rPr>
          <w:szCs w:val="24"/>
        </w:rPr>
      </w:pPr>
      <w:r>
        <w:rPr>
          <w:rFonts w:hint="eastAsia"/>
          <w:szCs w:val="24"/>
        </w:rPr>
        <w:t xml:space="preserve">从吊笼上平面到最顶部未拆下的附墙的距离不得大于9m。 </w:t>
      </w:r>
    </w:p>
    <w:p>
      <w:pPr>
        <w:pStyle w:val="58"/>
        <w:numPr>
          <w:ilvl w:val="1"/>
          <w:numId w:val="16"/>
        </w:numPr>
        <w:ind w:left="0" w:firstLine="420" w:firstLineChars="0"/>
        <w:rPr>
          <w:szCs w:val="24"/>
        </w:rPr>
      </w:pPr>
      <w:r>
        <w:rPr>
          <w:rFonts w:hint="eastAsia"/>
          <w:szCs w:val="24"/>
        </w:rPr>
        <w:t xml:space="preserve">拆卸时的载重量不得大于该升降机额定拆卸载重量。 </w:t>
      </w:r>
    </w:p>
    <w:p>
      <w:pPr>
        <w:pStyle w:val="58"/>
        <w:numPr>
          <w:ilvl w:val="1"/>
          <w:numId w:val="16"/>
        </w:numPr>
        <w:ind w:left="0" w:firstLine="420" w:firstLineChars="0"/>
        <w:rPr>
          <w:szCs w:val="24"/>
        </w:rPr>
      </w:pPr>
      <w:r>
        <w:rPr>
          <w:rFonts w:hint="eastAsia"/>
          <w:szCs w:val="24"/>
        </w:rPr>
        <w:t xml:space="preserve">拆卸时必须随时注意电缆，防止电缆挂在别的零部件上而拉断电缆。 </w:t>
      </w:r>
    </w:p>
    <w:p>
      <w:pPr>
        <w:ind w:firstLine="480"/>
        <w:rPr>
          <w:szCs w:val="24"/>
        </w:rPr>
      </w:pPr>
      <w:bookmarkStart w:id="218" w:name="_Toc26678"/>
      <w:bookmarkStart w:id="219" w:name="_Toc20517"/>
      <w:bookmarkStart w:id="220" w:name="_Toc4083"/>
      <w:bookmarkStart w:id="221" w:name="_Toc6743"/>
      <w:bookmarkStart w:id="222" w:name="_Toc21509"/>
      <w:bookmarkStart w:id="223" w:name="_Toc18435"/>
      <w:r>
        <w:rPr>
          <w:rFonts w:hint="eastAsia"/>
          <w:szCs w:val="24"/>
        </w:rPr>
        <w:t>（6）传动小车及吊笼的拆卸</w:t>
      </w:r>
      <w:bookmarkEnd w:id="218"/>
      <w:bookmarkEnd w:id="219"/>
      <w:bookmarkEnd w:id="220"/>
      <w:bookmarkEnd w:id="221"/>
      <w:bookmarkEnd w:id="222"/>
      <w:bookmarkEnd w:id="223"/>
    </w:p>
    <w:p>
      <w:pPr>
        <w:pStyle w:val="58"/>
        <w:numPr>
          <w:ilvl w:val="1"/>
          <w:numId w:val="17"/>
        </w:numPr>
        <w:ind w:left="0" w:firstLine="420" w:firstLineChars="0"/>
        <w:rPr>
          <w:szCs w:val="24"/>
        </w:rPr>
      </w:pPr>
      <w:r>
        <w:rPr>
          <w:rFonts w:hint="eastAsia"/>
          <w:szCs w:val="24"/>
        </w:rPr>
        <w:t xml:space="preserve">将吊笼开到最底部，切断总电源，并拆卸随行电缆。 </w:t>
      </w:r>
    </w:p>
    <w:p>
      <w:pPr>
        <w:pStyle w:val="58"/>
        <w:numPr>
          <w:ilvl w:val="1"/>
          <w:numId w:val="17"/>
        </w:numPr>
        <w:ind w:left="0" w:firstLine="420" w:firstLineChars="0"/>
        <w:rPr>
          <w:szCs w:val="24"/>
        </w:rPr>
      </w:pPr>
      <w:r>
        <w:rPr>
          <w:rFonts w:hint="eastAsia"/>
          <w:szCs w:val="24"/>
        </w:rPr>
        <w:t xml:space="preserve">拆卸传动小车与吊笼连接的传感销；并松开电机制动器。 </w:t>
      </w:r>
    </w:p>
    <w:p>
      <w:pPr>
        <w:pStyle w:val="58"/>
        <w:numPr>
          <w:ilvl w:val="1"/>
          <w:numId w:val="17"/>
        </w:numPr>
        <w:ind w:left="0" w:firstLine="420" w:firstLineChars="0"/>
        <w:rPr>
          <w:szCs w:val="24"/>
        </w:rPr>
      </w:pPr>
      <w:r>
        <w:rPr>
          <w:rFonts w:hint="eastAsia"/>
          <w:szCs w:val="24"/>
        </w:rPr>
        <w:t xml:space="preserve">用起重设备分别将传动小车和吊笼吊出。 </w:t>
      </w:r>
    </w:p>
    <w:p>
      <w:pPr>
        <w:pStyle w:val="58"/>
        <w:numPr>
          <w:ilvl w:val="1"/>
          <w:numId w:val="17"/>
        </w:numPr>
        <w:ind w:left="0" w:firstLine="420" w:firstLineChars="0"/>
        <w:rPr>
          <w:szCs w:val="24"/>
        </w:rPr>
      </w:pPr>
      <w:r>
        <w:rPr>
          <w:rFonts w:hint="eastAsia"/>
          <w:szCs w:val="24"/>
        </w:rPr>
        <w:t xml:space="preserve">拆卸其余标准节。 </w:t>
      </w:r>
    </w:p>
    <w:p>
      <w:pPr>
        <w:ind w:firstLine="480"/>
        <w:rPr>
          <w:szCs w:val="24"/>
        </w:rPr>
      </w:pPr>
      <w:bookmarkStart w:id="224" w:name="_Toc32366"/>
      <w:bookmarkStart w:id="225" w:name="_Toc25137"/>
      <w:bookmarkStart w:id="226" w:name="_Toc5032"/>
      <w:bookmarkStart w:id="227" w:name="_Toc10712"/>
      <w:bookmarkStart w:id="228" w:name="_Toc18358"/>
      <w:r>
        <w:rPr>
          <w:rFonts w:hint="eastAsia"/>
          <w:szCs w:val="24"/>
        </w:rPr>
        <w:t>（7）外笼的拆卸</w:t>
      </w:r>
      <w:bookmarkEnd w:id="224"/>
      <w:bookmarkEnd w:id="225"/>
      <w:bookmarkEnd w:id="226"/>
      <w:bookmarkEnd w:id="227"/>
      <w:bookmarkEnd w:id="228"/>
    </w:p>
    <w:p>
      <w:pPr>
        <w:pStyle w:val="58"/>
        <w:numPr>
          <w:ilvl w:val="1"/>
          <w:numId w:val="18"/>
        </w:numPr>
        <w:ind w:left="0" w:firstLine="420" w:firstLineChars="0"/>
        <w:rPr>
          <w:szCs w:val="24"/>
        </w:rPr>
      </w:pPr>
      <w:r>
        <w:rPr>
          <w:rFonts w:hint="eastAsia"/>
          <w:szCs w:val="24"/>
        </w:rPr>
        <w:t xml:space="preserve">拆卸所有外笼围栏和外笼附件。 </w:t>
      </w:r>
    </w:p>
    <w:p>
      <w:pPr>
        <w:pStyle w:val="58"/>
        <w:numPr>
          <w:ilvl w:val="1"/>
          <w:numId w:val="18"/>
        </w:numPr>
        <w:ind w:left="0" w:firstLine="420" w:firstLineChars="0"/>
        <w:rPr>
          <w:szCs w:val="24"/>
        </w:rPr>
      </w:pPr>
      <w:r>
        <w:rPr>
          <w:rFonts w:hint="eastAsia"/>
          <w:szCs w:val="24"/>
        </w:rPr>
        <w:t xml:space="preserve">拆卸底盘。 </w:t>
      </w:r>
    </w:p>
    <w:p>
      <w:pPr>
        <w:pStyle w:val="58"/>
        <w:numPr>
          <w:ilvl w:val="1"/>
          <w:numId w:val="18"/>
        </w:numPr>
        <w:ind w:left="0" w:firstLine="420" w:firstLineChars="0"/>
        <w:rPr>
          <w:szCs w:val="24"/>
        </w:rPr>
      </w:pPr>
      <w:r>
        <w:rPr>
          <w:rFonts w:hint="eastAsia"/>
          <w:szCs w:val="24"/>
        </w:rPr>
        <w:t>如有钢筋混凝土基础板和预埋基础座，则根据现场情况可考虑拆除或不拆除。</w:t>
      </w:r>
    </w:p>
    <w:p>
      <w:pPr>
        <w:ind w:firstLine="480"/>
        <w:rPr>
          <w:szCs w:val="24"/>
        </w:rPr>
      </w:pPr>
      <w:bookmarkStart w:id="229" w:name="_Toc583"/>
      <w:bookmarkStart w:id="230" w:name="_Toc14771"/>
      <w:bookmarkStart w:id="231" w:name="_Toc22986"/>
      <w:bookmarkStart w:id="232" w:name="_Toc13325"/>
      <w:bookmarkStart w:id="233" w:name="_Toc20424"/>
      <w:bookmarkStart w:id="234" w:name="_Toc20230"/>
      <w:r>
        <w:rPr>
          <w:rFonts w:hint="eastAsia"/>
          <w:szCs w:val="24"/>
        </w:rPr>
        <w:t>（8）清理现场</w:t>
      </w:r>
      <w:bookmarkEnd w:id="229"/>
      <w:bookmarkEnd w:id="230"/>
      <w:bookmarkEnd w:id="231"/>
      <w:bookmarkEnd w:id="232"/>
      <w:bookmarkEnd w:id="233"/>
      <w:bookmarkEnd w:id="234"/>
    </w:p>
    <w:p>
      <w:pPr>
        <w:ind w:firstLine="480"/>
        <w:rPr>
          <w:color w:val="000000" w:themeColor="text1"/>
          <w:szCs w:val="24"/>
          <w14:textFill>
            <w14:solidFill>
              <w14:schemeClr w14:val="tx1"/>
            </w14:solidFill>
          </w14:textFill>
        </w:rPr>
      </w:pPr>
      <w:r>
        <w:rPr>
          <w:rFonts w:hint="eastAsia"/>
          <w:szCs w:val="24"/>
        </w:rPr>
        <w:t>拆卸完毕后，应当清理现场，将各零部件分类，整齐放置；清除安全隐患。对于需要维修保养的零部件，在入库前要做好维修保养工作</w:t>
      </w:r>
    </w:p>
    <w:p>
      <w:pPr>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按照设备拆除工艺先后顺序详细描述安拆过程和步骤，并附每个主要部件的吊装站位示意图等。</w:t>
      </w:r>
    </w:p>
    <w:p>
      <w:pPr>
        <w:pStyle w:val="4"/>
        <w:spacing w:before="156" w:after="156"/>
        <w:rPr>
          <w:color w:val="000000" w:themeColor="text1"/>
          <w14:textFill>
            <w14:solidFill>
              <w14:schemeClr w14:val="tx1"/>
            </w14:solidFill>
          </w14:textFill>
        </w:rPr>
      </w:pPr>
      <w:bookmarkStart w:id="235" w:name="_Toc25750"/>
      <w:bookmarkStart w:id="236" w:name="_Toc22766"/>
      <w:bookmarkStart w:id="237" w:name="_Toc28343"/>
      <w:bookmarkStart w:id="238" w:name="_Toc2929"/>
      <w:bookmarkStart w:id="239" w:name="_Toc40778441"/>
      <w:bookmarkStart w:id="240" w:name="_Toc55223366"/>
      <w:bookmarkStart w:id="241" w:name="_Toc121759997"/>
      <w:bookmarkStart w:id="242" w:name="_Toc18439"/>
      <w:r>
        <w:rPr>
          <w:rFonts w:hint="eastAsia"/>
          <w:color w:val="000000" w:themeColor="text1"/>
          <w14:textFill>
            <w14:solidFill>
              <w14:schemeClr w14:val="tx1"/>
            </w14:solidFill>
          </w14:textFill>
        </w:rPr>
        <w:t>检查</w:t>
      </w:r>
      <w:bookmarkEnd w:id="235"/>
      <w:bookmarkEnd w:id="236"/>
      <w:bookmarkEnd w:id="237"/>
      <w:bookmarkEnd w:id="238"/>
      <w:r>
        <w:rPr>
          <w:rFonts w:hint="eastAsia"/>
          <w:color w:val="000000" w:themeColor="text1"/>
          <w14:textFill>
            <w14:solidFill>
              <w14:schemeClr w14:val="tx1"/>
            </w14:solidFill>
          </w14:textFill>
        </w:rPr>
        <w:t>要求</w:t>
      </w:r>
      <w:bookmarkEnd w:id="239"/>
      <w:bookmarkEnd w:id="240"/>
      <w:bookmarkEnd w:id="241"/>
      <w:bookmarkEnd w:id="242"/>
    </w:p>
    <w:p>
      <w:pPr>
        <w:ind w:firstLine="480"/>
      </w:pPr>
      <w:bookmarkStart w:id="243" w:name="_Toc40778442"/>
      <w:r>
        <w:rPr>
          <w:rFonts w:hint="eastAsia"/>
        </w:rPr>
        <w:t>（1）施工升降机基础需满足施工图中的各项要求，且必须符合湖南长沙有关的安全法规。</w:t>
      </w:r>
    </w:p>
    <w:p>
      <w:pPr>
        <w:ind w:firstLine="480"/>
      </w:pPr>
      <w:r>
        <w:rPr>
          <w:rFonts w:hint="eastAsia"/>
        </w:rPr>
        <w:t>（2）基础所能承受的荷载不小于P（2倍的总自重）。</w:t>
      </w:r>
    </w:p>
    <w:p>
      <w:pPr>
        <w:ind w:firstLine="480"/>
      </w:pPr>
      <w:r>
        <w:rPr>
          <w:rFonts w:hint="eastAsia"/>
        </w:rPr>
        <w:t>（3）基础排水良好（本项目升降机基础在镂空钢平台上，排水满足要求）。</w:t>
      </w:r>
    </w:p>
    <w:p>
      <w:pPr>
        <w:ind w:firstLine="480"/>
      </w:pPr>
      <w:r>
        <w:rPr>
          <w:rFonts w:hint="eastAsia"/>
        </w:rPr>
        <w:t>（4）基础需坚实可靠，不允许为浮动基础。</w:t>
      </w:r>
    </w:p>
    <w:p>
      <w:pPr>
        <w:ind w:firstLine="480"/>
      </w:pPr>
      <w:r>
        <w:rPr>
          <w:rFonts w:hint="eastAsia"/>
        </w:rPr>
        <w:t>（5）要求型钢基础表面平整，且平面度≤1</w:t>
      </w:r>
      <w:r>
        <w:t>/1000</w:t>
      </w:r>
      <w:r>
        <w:rPr>
          <w:rFonts w:hint="eastAsia"/>
        </w:rPr>
        <w:t>。</w:t>
      </w:r>
    </w:p>
    <w:p>
      <w:pPr>
        <w:ind w:firstLine="480"/>
      </w:pPr>
      <w:r>
        <w:rPr>
          <w:rFonts w:hint="eastAsia"/>
        </w:rPr>
        <w:t>（6）要求型钢焊缝高度不小于5mm，且焊缝无气孔、漏焊、热裂缝等焊接缺陷。</w:t>
      </w:r>
    </w:p>
    <w:p>
      <w:pPr>
        <w:ind w:firstLine="480"/>
        <w:rPr>
          <w:color w:val="000000" w:themeColor="text1"/>
          <w:shd w:val="clear" w:color="auto" w:fill="FFFFFF" w:themeFill="background1"/>
          <w14:textFill>
            <w14:solidFill>
              <w14:schemeClr w14:val="tx1"/>
            </w14:solidFill>
          </w14:textFill>
        </w:rPr>
      </w:pPr>
      <w:r>
        <w:rPr>
          <w:rFonts w:hint="eastAsia"/>
        </w:rPr>
        <w:t>（5）升降机平台基础安装完成以后，由项目部质检人员，通知专业监理共同签字验收，验收合格后，进入下道工序。</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44" w:name="_Toc24330"/>
    </w:p>
    <w:p>
      <w:pPr>
        <w:pStyle w:val="3"/>
        <w:spacing w:before="156" w:after="156"/>
        <w:rPr>
          <w:color w:val="000000" w:themeColor="text1"/>
          <w14:textFill>
            <w14:solidFill>
              <w14:schemeClr w14:val="tx1"/>
            </w14:solidFill>
          </w14:textFill>
        </w:rPr>
      </w:pPr>
      <w:bookmarkStart w:id="245" w:name="_Toc55223367"/>
      <w:bookmarkStart w:id="246" w:name="_Toc121759998"/>
      <w:r>
        <w:rPr>
          <w:rFonts w:hint="eastAsia"/>
          <w:color w:val="000000" w:themeColor="text1"/>
          <w14:textFill>
            <w14:solidFill>
              <w14:schemeClr w14:val="tx1"/>
            </w14:solidFill>
          </w14:textFill>
        </w:rPr>
        <w:t>质量管理措施</w:t>
      </w:r>
      <w:bookmarkEnd w:id="245"/>
      <w:bookmarkEnd w:id="246"/>
    </w:p>
    <w:p>
      <w:pPr>
        <w:pStyle w:val="4"/>
        <w:spacing w:before="156" w:after="156"/>
        <w:rPr>
          <w:color w:val="000000" w:themeColor="text1"/>
          <w14:textFill>
            <w14:solidFill>
              <w14:schemeClr w14:val="tx1"/>
            </w14:solidFill>
          </w14:textFill>
        </w:rPr>
      </w:pPr>
      <w:bookmarkStart w:id="247" w:name="_Toc55223368"/>
      <w:bookmarkStart w:id="248" w:name="_Toc121759999"/>
      <w:r>
        <w:rPr>
          <w:rFonts w:hint="eastAsia"/>
          <w:color w:val="000000" w:themeColor="text1"/>
          <w14:textFill>
            <w14:solidFill>
              <w14:schemeClr w14:val="tx1"/>
            </w14:solidFill>
          </w14:textFill>
        </w:rPr>
        <w:t>质量管理组织机构</w:t>
      </w:r>
      <w:bookmarkEnd w:id="247"/>
      <w:bookmarkEnd w:id="248"/>
    </w:p>
    <w:p>
      <w:pPr>
        <w:ind w:firstLine="480"/>
      </w:pPr>
      <w:r>
        <w:rPr>
          <w:rFonts w:hint="eastAsia"/>
        </w:rPr>
        <w:t>项目部成立以项目经理为组长，项目总工程师、项目副经理、质检部长等相关部门负责人参与组成的质量管理领导小组，对工程质量负全面领导责任，负责全面质量管理工作，协作队伍负责人、主管工程师具体落实，质量管理组织机构人员组成见表5</w:t>
      </w:r>
      <w:r>
        <w:t>.1-1</w:t>
      </w:r>
      <w:r>
        <w:rPr>
          <w:rFonts w:hint="eastAsia"/>
        </w:rPr>
        <w:t>，质量管理组织机构见图5</w:t>
      </w:r>
      <w:r>
        <w:t>.1-1</w:t>
      </w:r>
      <w:r>
        <w:rPr>
          <w:rFonts w:hint="eastAsia"/>
        </w:rPr>
        <w:t>。</w:t>
      </w:r>
    </w:p>
    <w:p>
      <w:pPr>
        <w:pStyle w:val="61"/>
        <w:ind w:firstLine="480"/>
      </w:pPr>
      <w:r>
        <w:rPr>
          <w:rFonts w:hint="eastAsia"/>
        </w:rPr>
        <w:t>表</w:t>
      </w:r>
      <w:r>
        <w:t xml:space="preserve">5.1-1 </w:t>
      </w:r>
      <w:r>
        <w:rPr>
          <w:rFonts w:hint="eastAsia"/>
        </w:rPr>
        <w:t>项目质量管理组织机构人员组成</w:t>
      </w:r>
    </w:p>
    <w:tbl>
      <w:tblPr>
        <w:tblStyle w:val="6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052"/>
        <w:gridCol w:w="1379"/>
        <w:gridCol w:w="809"/>
        <w:gridCol w:w="1949"/>
        <w:gridCol w:w="13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02" w:type="dxa"/>
            <w:vAlign w:val="center"/>
          </w:tcPr>
          <w:p>
            <w:pPr>
              <w:pStyle w:val="63"/>
              <w:rPr>
                <w:kern w:val="0"/>
              </w:rPr>
            </w:pPr>
            <w:r>
              <w:rPr>
                <w:rFonts w:hint="eastAsia"/>
                <w:kern w:val="0"/>
              </w:rPr>
              <w:t>序号</w:t>
            </w:r>
          </w:p>
        </w:tc>
        <w:tc>
          <w:tcPr>
            <w:tcW w:w="2052" w:type="dxa"/>
            <w:vAlign w:val="center"/>
          </w:tcPr>
          <w:p>
            <w:pPr>
              <w:pStyle w:val="63"/>
              <w:rPr>
                <w:kern w:val="0"/>
              </w:rPr>
            </w:pPr>
            <w:r>
              <w:rPr>
                <w:rFonts w:hint="eastAsia"/>
                <w:kern w:val="0"/>
              </w:rPr>
              <w:t>职务</w:t>
            </w:r>
          </w:p>
        </w:tc>
        <w:tc>
          <w:tcPr>
            <w:tcW w:w="1379" w:type="dxa"/>
            <w:vAlign w:val="center"/>
          </w:tcPr>
          <w:p>
            <w:pPr>
              <w:pStyle w:val="63"/>
              <w:rPr>
                <w:kern w:val="0"/>
              </w:rPr>
            </w:pPr>
            <w:r>
              <w:rPr>
                <w:rFonts w:hint="eastAsia"/>
                <w:kern w:val="0"/>
              </w:rPr>
              <w:t>姓名</w:t>
            </w:r>
          </w:p>
        </w:tc>
        <w:tc>
          <w:tcPr>
            <w:tcW w:w="809" w:type="dxa"/>
            <w:vAlign w:val="center"/>
          </w:tcPr>
          <w:p>
            <w:pPr>
              <w:pStyle w:val="63"/>
              <w:rPr>
                <w:kern w:val="0"/>
              </w:rPr>
            </w:pPr>
            <w:r>
              <w:rPr>
                <w:rFonts w:hint="eastAsia"/>
                <w:kern w:val="0"/>
              </w:rPr>
              <w:t>序号</w:t>
            </w:r>
          </w:p>
        </w:tc>
        <w:tc>
          <w:tcPr>
            <w:tcW w:w="1949" w:type="dxa"/>
            <w:vAlign w:val="center"/>
          </w:tcPr>
          <w:p>
            <w:pPr>
              <w:pStyle w:val="63"/>
              <w:rPr>
                <w:kern w:val="0"/>
              </w:rPr>
            </w:pPr>
            <w:r>
              <w:rPr>
                <w:rFonts w:hint="eastAsia"/>
                <w:kern w:val="0"/>
              </w:rPr>
              <w:t>职务</w:t>
            </w:r>
          </w:p>
        </w:tc>
        <w:tc>
          <w:tcPr>
            <w:tcW w:w="1379" w:type="dxa"/>
            <w:vAlign w:val="center"/>
          </w:tcPr>
          <w:p>
            <w:pPr>
              <w:pStyle w:val="63"/>
              <w:rPr>
                <w:kern w:val="0"/>
              </w:rPr>
            </w:pPr>
            <w:r>
              <w:rPr>
                <w:rFonts w:hint="eastAsia"/>
                <w:kern w:val="0"/>
              </w:rPr>
              <w:t>姓名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Style w:val="63"/>
              <w:rPr>
                <w:kern w:val="0"/>
              </w:rPr>
            </w:pPr>
            <w:r>
              <w:rPr>
                <w:rFonts w:hint="eastAsia"/>
                <w:kern w:val="0"/>
              </w:rPr>
              <w:t>1</w:t>
            </w:r>
          </w:p>
        </w:tc>
        <w:tc>
          <w:tcPr>
            <w:tcW w:w="2052" w:type="dxa"/>
            <w:vAlign w:val="center"/>
          </w:tcPr>
          <w:p>
            <w:pPr>
              <w:pStyle w:val="63"/>
              <w:rPr>
                <w:kern w:val="0"/>
              </w:rPr>
            </w:pPr>
            <w:r>
              <w:rPr>
                <w:rFonts w:hint="eastAsia"/>
                <w:kern w:val="0"/>
              </w:rPr>
              <w:t>项目经理</w:t>
            </w:r>
          </w:p>
        </w:tc>
        <w:tc>
          <w:tcPr>
            <w:tcW w:w="1379" w:type="dxa"/>
            <w:vAlign w:val="center"/>
          </w:tcPr>
          <w:p>
            <w:pPr>
              <w:pStyle w:val="63"/>
              <w:rPr>
                <w:kern w:val="0"/>
              </w:rPr>
            </w:pPr>
          </w:p>
        </w:tc>
        <w:tc>
          <w:tcPr>
            <w:tcW w:w="809" w:type="dxa"/>
            <w:vAlign w:val="center"/>
          </w:tcPr>
          <w:p>
            <w:pPr>
              <w:pStyle w:val="63"/>
              <w:rPr>
                <w:kern w:val="0"/>
              </w:rPr>
            </w:pPr>
            <w:r>
              <w:rPr>
                <w:rFonts w:hint="eastAsia"/>
                <w:kern w:val="0"/>
              </w:rPr>
              <w:t>8</w:t>
            </w:r>
          </w:p>
        </w:tc>
        <w:tc>
          <w:tcPr>
            <w:tcW w:w="1949" w:type="dxa"/>
            <w:vAlign w:val="center"/>
          </w:tcPr>
          <w:p>
            <w:pPr>
              <w:pStyle w:val="63"/>
              <w:rPr>
                <w:kern w:val="0"/>
              </w:rPr>
            </w:pPr>
            <w:r>
              <w:rPr>
                <w:rFonts w:hint="eastAsia"/>
                <w:kern w:val="0"/>
              </w:rPr>
              <w:t>质检部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Style w:val="63"/>
              <w:rPr>
                <w:kern w:val="0"/>
              </w:rPr>
            </w:pPr>
            <w:r>
              <w:rPr>
                <w:rFonts w:hint="eastAsia"/>
                <w:kern w:val="0"/>
              </w:rPr>
              <w:t>2</w:t>
            </w:r>
          </w:p>
        </w:tc>
        <w:tc>
          <w:tcPr>
            <w:tcW w:w="2052" w:type="dxa"/>
            <w:vAlign w:val="center"/>
          </w:tcPr>
          <w:p>
            <w:pPr>
              <w:pStyle w:val="63"/>
              <w:rPr>
                <w:kern w:val="0"/>
              </w:rPr>
            </w:pPr>
            <w:r>
              <w:rPr>
                <w:rFonts w:hint="eastAsia"/>
                <w:kern w:val="0"/>
              </w:rPr>
              <w:t>项目副总工</w:t>
            </w:r>
          </w:p>
        </w:tc>
        <w:tc>
          <w:tcPr>
            <w:tcW w:w="1379" w:type="dxa"/>
            <w:vAlign w:val="center"/>
          </w:tcPr>
          <w:p>
            <w:pPr>
              <w:pStyle w:val="63"/>
              <w:rPr>
                <w:kern w:val="0"/>
              </w:rPr>
            </w:pPr>
          </w:p>
        </w:tc>
        <w:tc>
          <w:tcPr>
            <w:tcW w:w="809" w:type="dxa"/>
            <w:vAlign w:val="center"/>
          </w:tcPr>
          <w:p>
            <w:pPr>
              <w:pStyle w:val="63"/>
              <w:rPr>
                <w:kern w:val="0"/>
              </w:rPr>
            </w:pPr>
            <w:r>
              <w:rPr>
                <w:rFonts w:hint="eastAsia"/>
                <w:kern w:val="0"/>
              </w:rPr>
              <w:t>9</w:t>
            </w:r>
          </w:p>
        </w:tc>
        <w:tc>
          <w:tcPr>
            <w:tcW w:w="1949" w:type="dxa"/>
            <w:vAlign w:val="center"/>
          </w:tcPr>
          <w:p>
            <w:pPr>
              <w:pStyle w:val="63"/>
              <w:rPr>
                <w:kern w:val="0"/>
              </w:rPr>
            </w:pPr>
            <w:r>
              <w:rPr>
                <w:rFonts w:hint="eastAsia"/>
                <w:kern w:val="0"/>
              </w:rPr>
              <w:t>工程管理部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Style w:val="63"/>
              <w:rPr>
                <w:kern w:val="0"/>
              </w:rPr>
            </w:pPr>
            <w:r>
              <w:rPr>
                <w:rFonts w:hint="eastAsia"/>
                <w:kern w:val="0"/>
              </w:rPr>
              <w:t>3</w:t>
            </w:r>
          </w:p>
        </w:tc>
        <w:tc>
          <w:tcPr>
            <w:tcW w:w="2052" w:type="dxa"/>
            <w:vAlign w:val="center"/>
          </w:tcPr>
          <w:p>
            <w:pPr>
              <w:pStyle w:val="63"/>
              <w:rPr>
                <w:kern w:val="0"/>
              </w:rPr>
            </w:pPr>
            <w:r>
              <w:rPr>
                <w:rFonts w:hint="eastAsia"/>
                <w:kern w:val="0"/>
              </w:rPr>
              <w:t>项目副经理</w:t>
            </w:r>
          </w:p>
        </w:tc>
        <w:tc>
          <w:tcPr>
            <w:tcW w:w="1379" w:type="dxa"/>
            <w:vAlign w:val="center"/>
          </w:tcPr>
          <w:p>
            <w:pPr>
              <w:pStyle w:val="63"/>
              <w:rPr>
                <w:kern w:val="0"/>
              </w:rPr>
            </w:pPr>
          </w:p>
        </w:tc>
        <w:tc>
          <w:tcPr>
            <w:tcW w:w="809" w:type="dxa"/>
            <w:vAlign w:val="center"/>
          </w:tcPr>
          <w:p>
            <w:pPr>
              <w:pStyle w:val="63"/>
              <w:rPr>
                <w:kern w:val="0"/>
              </w:rPr>
            </w:pPr>
            <w:r>
              <w:rPr>
                <w:rFonts w:hint="eastAsia"/>
                <w:kern w:val="0"/>
              </w:rPr>
              <w:t>1</w:t>
            </w:r>
            <w:r>
              <w:rPr>
                <w:kern w:val="0"/>
              </w:rPr>
              <w:t>0</w:t>
            </w:r>
          </w:p>
        </w:tc>
        <w:tc>
          <w:tcPr>
            <w:tcW w:w="1949" w:type="dxa"/>
            <w:vAlign w:val="center"/>
          </w:tcPr>
          <w:p>
            <w:pPr>
              <w:pStyle w:val="63"/>
              <w:rPr>
                <w:kern w:val="0"/>
              </w:rPr>
            </w:pPr>
            <w:r>
              <w:rPr>
                <w:rFonts w:hint="eastAsia"/>
                <w:kern w:val="0"/>
              </w:rPr>
              <w:t>设备管理部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Style w:val="63"/>
              <w:rPr>
                <w:kern w:val="0"/>
              </w:rPr>
            </w:pPr>
            <w:r>
              <w:rPr>
                <w:rFonts w:hint="eastAsia"/>
                <w:kern w:val="0"/>
              </w:rPr>
              <w:t>4</w:t>
            </w:r>
          </w:p>
        </w:tc>
        <w:tc>
          <w:tcPr>
            <w:tcW w:w="2052" w:type="dxa"/>
            <w:vAlign w:val="center"/>
          </w:tcPr>
          <w:p>
            <w:pPr>
              <w:pStyle w:val="63"/>
              <w:rPr>
                <w:kern w:val="0"/>
              </w:rPr>
            </w:pPr>
            <w:r>
              <w:rPr>
                <w:rFonts w:hint="eastAsia"/>
                <w:kern w:val="0"/>
              </w:rPr>
              <w:t>项目副经理</w:t>
            </w:r>
          </w:p>
        </w:tc>
        <w:tc>
          <w:tcPr>
            <w:tcW w:w="1379" w:type="dxa"/>
            <w:vAlign w:val="center"/>
          </w:tcPr>
          <w:p>
            <w:pPr>
              <w:pStyle w:val="63"/>
              <w:rPr>
                <w:kern w:val="0"/>
              </w:rPr>
            </w:pPr>
          </w:p>
        </w:tc>
        <w:tc>
          <w:tcPr>
            <w:tcW w:w="809" w:type="dxa"/>
            <w:vAlign w:val="center"/>
          </w:tcPr>
          <w:p>
            <w:pPr>
              <w:pStyle w:val="63"/>
              <w:rPr>
                <w:kern w:val="0"/>
              </w:rPr>
            </w:pPr>
            <w:r>
              <w:rPr>
                <w:rFonts w:hint="eastAsia"/>
                <w:kern w:val="0"/>
              </w:rPr>
              <w:t>1</w:t>
            </w:r>
            <w:r>
              <w:rPr>
                <w:kern w:val="0"/>
              </w:rPr>
              <w:t>1</w:t>
            </w:r>
          </w:p>
        </w:tc>
        <w:tc>
          <w:tcPr>
            <w:tcW w:w="1949" w:type="dxa"/>
            <w:vAlign w:val="center"/>
          </w:tcPr>
          <w:p>
            <w:pPr>
              <w:pStyle w:val="63"/>
              <w:rPr>
                <w:kern w:val="0"/>
              </w:rPr>
            </w:pPr>
            <w:r>
              <w:rPr>
                <w:rFonts w:hint="eastAsia"/>
                <w:kern w:val="0"/>
              </w:rPr>
              <w:t>物资管理部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Style w:val="63"/>
              <w:rPr>
                <w:kern w:val="0"/>
              </w:rPr>
            </w:pPr>
            <w:r>
              <w:rPr>
                <w:rFonts w:hint="eastAsia"/>
                <w:kern w:val="0"/>
              </w:rPr>
              <w:t>5</w:t>
            </w:r>
          </w:p>
        </w:tc>
        <w:tc>
          <w:tcPr>
            <w:tcW w:w="2052" w:type="dxa"/>
            <w:vAlign w:val="center"/>
          </w:tcPr>
          <w:p>
            <w:pPr>
              <w:pStyle w:val="63"/>
              <w:rPr>
                <w:kern w:val="0"/>
              </w:rPr>
            </w:pPr>
            <w:r>
              <w:rPr>
                <w:rFonts w:hint="eastAsia"/>
                <w:kern w:val="0"/>
              </w:rPr>
              <w:t>安全部</w:t>
            </w:r>
          </w:p>
        </w:tc>
        <w:tc>
          <w:tcPr>
            <w:tcW w:w="1379" w:type="dxa"/>
            <w:vAlign w:val="center"/>
          </w:tcPr>
          <w:p>
            <w:pPr>
              <w:pStyle w:val="63"/>
              <w:rPr>
                <w:kern w:val="0"/>
              </w:rPr>
            </w:pPr>
          </w:p>
        </w:tc>
        <w:tc>
          <w:tcPr>
            <w:tcW w:w="809" w:type="dxa"/>
            <w:vAlign w:val="center"/>
          </w:tcPr>
          <w:p>
            <w:pPr>
              <w:pStyle w:val="63"/>
              <w:rPr>
                <w:kern w:val="0"/>
              </w:rPr>
            </w:pPr>
            <w:r>
              <w:rPr>
                <w:rFonts w:hint="eastAsia"/>
                <w:kern w:val="0"/>
              </w:rPr>
              <w:t>1</w:t>
            </w:r>
            <w:r>
              <w:rPr>
                <w:kern w:val="0"/>
              </w:rPr>
              <w:t>2</w:t>
            </w:r>
          </w:p>
        </w:tc>
        <w:tc>
          <w:tcPr>
            <w:tcW w:w="1949" w:type="dxa"/>
            <w:vAlign w:val="center"/>
          </w:tcPr>
          <w:p>
            <w:pPr>
              <w:pStyle w:val="63"/>
              <w:rPr>
                <w:kern w:val="0"/>
              </w:rPr>
            </w:pPr>
            <w:r>
              <w:rPr>
                <w:rFonts w:hint="eastAsia"/>
                <w:kern w:val="0"/>
              </w:rPr>
              <w:t>商务管理部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Style w:val="63"/>
              <w:rPr>
                <w:kern w:val="0"/>
              </w:rPr>
            </w:pPr>
            <w:r>
              <w:rPr>
                <w:rFonts w:hint="eastAsia"/>
                <w:kern w:val="0"/>
              </w:rPr>
              <w:t>6</w:t>
            </w:r>
          </w:p>
        </w:tc>
        <w:tc>
          <w:tcPr>
            <w:tcW w:w="2052" w:type="dxa"/>
            <w:vAlign w:val="center"/>
          </w:tcPr>
          <w:p>
            <w:pPr>
              <w:pStyle w:val="63"/>
              <w:rPr>
                <w:kern w:val="0"/>
              </w:rPr>
            </w:pPr>
            <w:r>
              <w:rPr>
                <w:rFonts w:hint="eastAsia"/>
                <w:kern w:val="0"/>
              </w:rPr>
              <w:t>试验室</w:t>
            </w:r>
          </w:p>
        </w:tc>
        <w:tc>
          <w:tcPr>
            <w:tcW w:w="1379" w:type="dxa"/>
            <w:vAlign w:val="center"/>
          </w:tcPr>
          <w:p>
            <w:pPr>
              <w:pStyle w:val="63"/>
              <w:rPr>
                <w:kern w:val="0"/>
              </w:rPr>
            </w:pPr>
          </w:p>
        </w:tc>
        <w:tc>
          <w:tcPr>
            <w:tcW w:w="809" w:type="dxa"/>
            <w:vAlign w:val="center"/>
          </w:tcPr>
          <w:p>
            <w:pPr>
              <w:pStyle w:val="63"/>
              <w:rPr>
                <w:kern w:val="0"/>
              </w:rPr>
            </w:pPr>
            <w:r>
              <w:rPr>
                <w:rFonts w:hint="eastAsia"/>
                <w:kern w:val="0"/>
              </w:rPr>
              <w:t>1</w:t>
            </w:r>
            <w:r>
              <w:rPr>
                <w:kern w:val="0"/>
              </w:rPr>
              <w:t>3</w:t>
            </w:r>
          </w:p>
        </w:tc>
        <w:tc>
          <w:tcPr>
            <w:tcW w:w="1949" w:type="dxa"/>
            <w:vAlign w:val="center"/>
          </w:tcPr>
          <w:p>
            <w:pPr>
              <w:pStyle w:val="63"/>
              <w:rPr>
                <w:kern w:val="0"/>
              </w:rPr>
            </w:pPr>
            <w:r>
              <w:rPr>
                <w:rFonts w:hint="eastAsia"/>
                <w:kern w:val="0"/>
              </w:rPr>
              <w:t>财务部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Style w:val="63"/>
              <w:rPr>
                <w:kern w:val="0"/>
              </w:rPr>
            </w:pPr>
            <w:r>
              <w:rPr>
                <w:rFonts w:hint="eastAsia"/>
                <w:kern w:val="0"/>
              </w:rPr>
              <w:t>7</w:t>
            </w:r>
          </w:p>
        </w:tc>
        <w:tc>
          <w:tcPr>
            <w:tcW w:w="2052" w:type="dxa"/>
            <w:vAlign w:val="center"/>
          </w:tcPr>
          <w:p>
            <w:pPr>
              <w:pStyle w:val="63"/>
              <w:rPr>
                <w:kern w:val="0"/>
              </w:rPr>
            </w:pPr>
            <w:r>
              <w:rPr>
                <w:rFonts w:hint="eastAsia"/>
                <w:kern w:val="0"/>
              </w:rPr>
              <w:t>测量室</w:t>
            </w:r>
          </w:p>
        </w:tc>
        <w:tc>
          <w:tcPr>
            <w:tcW w:w="1379" w:type="dxa"/>
            <w:vAlign w:val="center"/>
          </w:tcPr>
          <w:p>
            <w:pPr>
              <w:pStyle w:val="63"/>
              <w:rPr>
                <w:kern w:val="0"/>
              </w:rPr>
            </w:pPr>
          </w:p>
        </w:tc>
        <w:tc>
          <w:tcPr>
            <w:tcW w:w="809" w:type="dxa"/>
            <w:vAlign w:val="center"/>
          </w:tcPr>
          <w:p>
            <w:pPr>
              <w:pStyle w:val="63"/>
              <w:rPr>
                <w:kern w:val="0"/>
              </w:rPr>
            </w:pPr>
            <w:r>
              <w:rPr>
                <w:rFonts w:hint="eastAsia"/>
                <w:kern w:val="0"/>
              </w:rPr>
              <w:t>1</w:t>
            </w:r>
            <w:r>
              <w:rPr>
                <w:kern w:val="0"/>
              </w:rPr>
              <w:t>4</w:t>
            </w:r>
          </w:p>
        </w:tc>
        <w:tc>
          <w:tcPr>
            <w:tcW w:w="1949" w:type="dxa"/>
            <w:vAlign w:val="center"/>
          </w:tcPr>
          <w:p>
            <w:pPr>
              <w:pStyle w:val="63"/>
              <w:rPr>
                <w:kern w:val="0"/>
              </w:rPr>
            </w:pPr>
            <w:r>
              <w:rPr>
                <w:rFonts w:hint="eastAsia"/>
                <w:kern w:val="0"/>
              </w:rPr>
              <w:t>综合管理部</w:t>
            </w:r>
          </w:p>
        </w:tc>
        <w:tc>
          <w:tcPr>
            <w:tcW w:w="1379" w:type="dxa"/>
            <w:vAlign w:val="center"/>
          </w:tcPr>
          <w:p>
            <w:pPr>
              <w:pStyle w:val="63"/>
              <w:rPr>
                <w:kern w:val="0"/>
              </w:rPr>
            </w:pPr>
          </w:p>
        </w:tc>
      </w:tr>
    </w:tbl>
    <w:p>
      <w:pPr>
        <w:pStyle w:val="61"/>
      </w:pPr>
      <w:r>
        <w:object>
          <v:shape id="_x0000_i1026" o:spt="75" type="#_x0000_t75" style="height:303.45pt;width:414.85pt;" o:ole="t" filled="f" o:preferrelative="t" stroked="f" coordsize="21600,21600">
            <v:path/>
            <v:fill on="f" focussize="0,0"/>
            <v:stroke on="f" joinstyle="miter"/>
            <v:imagedata r:id="rId75" o:title=""/>
            <o:lock v:ext="edit" aspectratio="t"/>
            <w10:wrap type="none"/>
            <w10:anchorlock/>
          </v:shape>
          <o:OLEObject Type="Embed" ProgID="Visio.Drawing.15" ShapeID="_x0000_i1026" DrawAspect="Content" ObjectID="_1468075726" r:id="rId74">
            <o:LockedField>false</o:LockedField>
          </o:OLEObject>
        </w:object>
      </w:r>
      <w:r>
        <w:rPr>
          <w:rFonts w:hint="eastAsia"/>
        </w:rPr>
        <w:t>图</w:t>
      </w:r>
      <w:r>
        <w:t xml:space="preserve">5.1-1 </w:t>
      </w:r>
      <w:r>
        <w:rPr>
          <w:rFonts w:hint="eastAsia"/>
        </w:rPr>
        <w:t>项目质量管理组织机构图</w:t>
      </w:r>
    </w:p>
    <w:p>
      <w:pPr>
        <w:keepNext/>
        <w:keepLines/>
        <w:ind w:left="200" w:firstLine="0" w:firstLineChars="0"/>
        <w:jc w:val="left"/>
        <w:outlineLvl w:val="1"/>
        <w:rPr>
          <w:b/>
          <w:bCs/>
          <w:sz w:val="28"/>
          <w:szCs w:val="32"/>
        </w:rPr>
      </w:pPr>
      <w:bookmarkStart w:id="249" w:name="_Toc18721"/>
      <w:bookmarkStart w:id="250" w:name="_Toc121760000"/>
      <w:bookmarkStart w:id="251" w:name="_Toc28468"/>
      <w:r>
        <w:rPr>
          <w:rFonts w:hint="eastAsia"/>
          <w:b/>
          <w:bCs/>
          <w:sz w:val="28"/>
          <w:szCs w:val="32"/>
        </w:rPr>
        <w:t xml:space="preserve">5.2 </w:t>
      </w:r>
      <w:bookmarkStart w:id="252" w:name="_Toc92550427"/>
      <w:r>
        <w:rPr>
          <w:rFonts w:hint="eastAsia"/>
          <w:b/>
          <w:bCs/>
          <w:sz w:val="28"/>
          <w:szCs w:val="32"/>
        </w:rPr>
        <w:t>质量保证体系</w:t>
      </w:r>
      <w:bookmarkEnd w:id="249"/>
      <w:bookmarkEnd w:id="250"/>
      <w:bookmarkEnd w:id="251"/>
      <w:bookmarkEnd w:id="252"/>
    </w:p>
    <w:p>
      <w:pPr>
        <w:ind w:firstLine="480"/>
      </w:pPr>
      <w:r>
        <w:rPr>
          <w:rFonts w:hint="eastAsia"/>
        </w:rPr>
        <w:t>项目质量管理体系横向到边、纵向到底，对施工过程施行全面质量管理，建立完善的质量管理机构，健全质量管理制度和质量控制程序。质量保证体系见下图。</w:t>
      </w:r>
    </w:p>
    <w:p>
      <w:pPr>
        <w:ind w:firstLine="0" w:firstLineChars="0"/>
      </w:pPr>
      <w:r>
        <w:drawing>
          <wp:inline distT="0" distB="0" distL="0" distR="0">
            <wp:extent cx="5264785" cy="52647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5264785" cy="5264785"/>
                    </a:xfrm>
                    <a:prstGeom prst="rect">
                      <a:avLst/>
                    </a:prstGeom>
                    <a:noFill/>
                    <a:ln>
                      <a:noFill/>
                    </a:ln>
                  </pic:spPr>
                </pic:pic>
              </a:graphicData>
            </a:graphic>
          </wp:inline>
        </w:drawing>
      </w:r>
    </w:p>
    <w:p>
      <w:pPr>
        <w:pStyle w:val="61"/>
        <w:ind w:firstLine="480"/>
      </w:pPr>
      <w:r>
        <w:t xml:space="preserve">图 </w:t>
      </w:r>
      <w:r>
        <w:rPr>
          <w:rFonts w:hint="eastAsia"/>
        </w:rPr>
        <w:t>5.2-1</w:t>
      </w:r>
      <w:r>
        <w:t xml:space="preserve">  </w:t>
      </w:r>
      <w:r>
        <w:rPr>
          <w:rFonts w:hint="eastAsia"/>
        </w:rPr>
        <w:t>质量保证体系图</w:t>
      </w:r>
    </w:p>
    <w:p>
      <w:pPr>
        <w:keepNext/>
        <w:keepLines/>
        <w:ind w:left="200" w:firstLine="0" w:firstLineChars="0"/>
        <w:jc w:val="left"/>
        <w:outlineLvl w:val="1"/>
        <w:rPr>
          <w:b/>
          <w:bCs/>
          <w:sz w:val="28"/>
          <w:szCs w:val="32"/>
        </w:rPr>
      </w:pPr>
      <w:bookmarkStart w:id="253" w:name="_Toc367"/>
      <w:bookmarkStart w:id="254" w:name="_Toc18334"/>
      <w:bookmarkStart w:id="255" w:name="_Toc121760001"/>
      <w:r>
        <w:rPr>
          <w:rFonts w:hint="eastAsia"/>
          <w:b/>
          <w:bCs/>
          <w:sz w:val="28"/>
          <w:szCs w:val="32"/>
        </w:rPr>
        <w:t xml:space="preserve">5.3 </w:t>
      </w:r>
      <w:bookmarkStart w:id="256" w:name="_Toc92550428"/>
      <w:r>
        <w:rPr>
          <w:rFonts w:hint="eastAsia"/>
          <w:b/>
          <w:bCs/>
          <w:sz w:val="28"/>
          <w:szCs w:val="32"/>
        </w:rPr>
        <w:t>质量保证措施</w:t>
      </w:r>
      <w:bookmarkEnd w:id="253"/>
      <w:bookmarkEnd w:id="254"/>
      <w:bookmarkEnd w:id="255"/>
      <w:bookmarkEnd w:id="256"/>
    </w:p>
    <w:p>
      <w:pPr>
        <w:keepNext/>
        <w:keepLines/>
        <w:ind w:left="200" w:firstLine="0" w:firstLineChars="0"/>
        <w:jc w:val="left"/>
        <w:outlineLvl w:val="2"/>
        <w:rPr>
          <w:b/>
          <w:bCs/>
          <w:szCs w:val="32"/>
        </w:rPr>
      </w:pPr>
      <w:bookmarkStart w:id="257" w:name="_Toc58781260"/>
      <w:bookmarkStart w:id="258" w:name="_Toc10146"/>
      <w:bookmarkStart w:id="259" w:name="_Toc55851885"/>
      <w:bookmarkStart w:id="260" w:name="_Toc121760002"/>
      <w:r>
        <w:rPr>
          <w:rFonts w:hint="eastAsia"/>
          <w:b/>
          <w:bCs/>
          <w:szCs w:val="32"/>
        </w:rPr>
        <w:t>5.3.1原材料质量控制措施</w:t>
      </w:r>
      <w:bookmarkEnd w:id="257"/>
      <w:bookmarkEnd w:id="258"/>
      <w:bookmarkEnd w:id="259"/>
      <w:bookmarkEnd w:id="260"/>
    </w:p>
    <w:p>
      <w:pPr>
        <w:numPr>
          <w:ilvl w:val="0"/>
          <w:numId w:val="19"/>
        </w:numPr>
        <w:ind w:left="0" w:firstLine="420" w:firstLineChars="0"/>
      </w:pPr>
      <w:r>
        <w:rPr>
          <w:rFonts w:hint="eastAsia"/>
        </w:rPr>
        <w:t>施工原材料要优先选用知名品牌厂家供应，依托公司平台采购, 采购符合现行国家标准的相关材料，做好材料进货的检验和标识工作。</w:t>
      </w:r>
    </w:p>
    <w:p>
      <w:pPr>
        <w:numPr>
          <w:ilvl w:val="0"/>
          <w:numId w:val="19"/>
        </w:numPr>
        <w:ind w:left="0" w:firstLine="420" w:firstLineChars="0"/>
      </w:pPr>
      <w:r>
        <w:rPr>
          <w:rFonts w:hint="eastAsia"/>
        </w:rPr>
        <w:t>钢材、钢筋、型钢、钢管、焊材、水泥、砂石等原材料进场后，及时进行组织验收，检查产品合格证、质量保证书、包装、规格、外观质量等，验收合格后方可使用。</w:t>
      </w:r>
    </w:p>
    <w:p>
      <w:pPr>
        <w:numPr>
          <w:ilvl w:val="0"/>
          <w:numId w:val="19"/>
        </w:numPr>
        <w:ind w:left="0" w:firstLine="420" w:firstLineChars="0"/>
      </w:pPr>
      <w:r>
        <w:rPr>
          <w:rFonts w:hint="eastAsia"/>
        </w:rPr>
        <w:t>按规范要求对不同的钢种、等级、牌号、规格及生产厂家分批抽取试样进行力学性能检验，检验合格后方可使用。</w:t>
      </w:r>
    </w:p>
    <w:p>
      <w:pPr>
        <w:numPr>
          <w:ilvl w:val="0"/>
          <w:numId w:val="19"/>
        </w:numPr>
        <w:ind w:left="0" w:firstLine="420" w:firstLineChars="0"/>
      </w:pPr>
      <w:r>
        <w:rPr>
          <w:rFonts w:hint="eastAsia"/>
        </w:rPr>
        <w:t>混凝土原材料进场后按规范要求的批次及时见证取样送检，检验合格后方可使用。</w:t>
      </w:r>
    </w:p>
    <w:p>
      <w:pPr>
        <w:numPr>
          <w:ilvl w:val="0"/>
          <w:numId w:val="19"/>
        </w:numPr>
        <w:ind w:left="0" w:firstLine="420" w:firstLineChars="0"/>
      </w:pPr>
      <w:r>
        <w:rPr>
          <w:rFonts w:hint="eastAsia"/>
        </w:rPr>
        <w:t>对于周转使用的材料要对其规格、截面尺寸、平整度、接头质量等关键部位进行检查，检查满足要求后方可使用。对表面有严重锈蚀、有麻坑、裂纹并削弱截面的钢材禁止使用。</w:t>
      </w:r>
    </w:p>
    <w:p>
      <w:pPr>
        <w:numPr>
          <w:ilvl w:val="0"/>
          <w:numId w:val="19"/>
        </w:numPr>
        <w:ind w:left="0" w:firstLine="420" w:firstLineChars="0"/>
      </w:pPr>
      <w:r>
        <w:rPr>
          <w:rFonts w:hint="eastAsia"/>
        </w:rPr>
        <w:t>钢筋原材运输要进行覆盖，避免淋雨锈蚀；进场后在加工场内按不同品种、规格存放，除设立标识牌外，还要对未检、待检、已检的钢筋端部用不同颜色标识区分，防止混用。</w:t>
      </w:r>
    </w:p>
    <w:p>
      <w:pPr>
        <w:numPr>
          <w:ilvl w:val="0"/>
          <w:numId w:val="19"/>
        </w:numPr>
        <w:ind w:left="0" w:firstLine="420" w:firstLineChars="0"/>
      </w:pPr>
      <w:r>
        <w:rPr>
          <w:rFonts w:hint="eastAsia"/>
        </w:rPr>
        <w:t>钢筋原材堆放时下方进行支垫</w:t>
      </w:r>
      <w:r>
        <w:t>(</w:t>
      </w:r>
      <w:r>
        <w:rPr>
          <w:rFonts w:hint="eastAsia"/>
        </w:rPr>
        <w:t>高度不得小于2</w:t>
      </w:r>
      <w:r>
        <w:t>0</w:t>
      </w:r>
      <w:r>
        <w:rPr>
          <w:rFonts w:hint="eastAsia"/>
        </w:rPr>
        <w:t>cm</w:t>
      </w:r>
      <w:r>
        <w:t>)</w:t>
      </w:r>
      <w:r>
        <w:rPr>
          <w:rFonts w:hint="eastAsia"/>
        </w:rPr>
        <w:t>，露天时进行覆盖，控制堆存层数不得超限，层与层之间用槽钢分隔，防止挤压、吊装变形。</w:t>
      </w:r>
    </w:p>
    <w:p>
      <w:pPr>
        <w:numPr>
          <w:ilvl w:val="0"/>
          <w:numId w:val="19"/>
        </w:numPr>
        <w:ind w:left="0" w:firstLine="420" w:firstLineChars="0"/>
      </w:pPr>
      <w:r>
        <w:rPr>
          <w:rFonts w:hint="eastAsia"/>
        </w:rPr>
        <w:t>经检验合格的原材料按品种、规格、出厂日期分别存放整齐，并进行标识，防止混用。钢材堆放时，要进行支垫，离地高度不小于20cm。水泥存放时间不宜超过3个月。</w:t>
      </w:r>
    </w:p>
    <w:p>
      <w:pPr>
        <w:numPr>
          <w:ilvl w:val="0"/>
          <w:numId w:val="19"/>
        </w:numPr>
        <w:ind w:left="0" w:firstLine="420" w:firstLineChars="0"/>
      </w:pPr>
      <w:r>
        <w:rPr>
          <w:rFonts w:hint="eastAsia"/>
        </w:rPr>
        <w:t>钢结构构件采用平板车运输时，用垫木进行支垫，并设置支挡进行固定。</w:t>
      </w:r>
    </w:p>
    <w:p>
      <w:pPr>
        <w:keepNext/>
        <w:keepLines/>
        <w:ind w:left="200" w:firstLine="0" w:firstLineChars="0"/>
        <w:jc w:val="left"/>
        <w:outlineLvl w:val="2"/>
        <w:rPr>
          <w:rFonts w:hint="eastAsia"/>
          <w:b/>
          <w:bCs/>
          <w:szCs w:val="32"/>
        </w:rPr>
      </w:pPr>
      <w:bookmarkStart w:id="261" w:name="_Toc13160"/>
      <w:bookmarkStart w:id="262" w:name="_Toc55851886"/>
      <w:bookmarkStart w:id="263" w:name="_Toc58781261"/>
      <w:bookmarkStart w:id="264" w:name="_Toc121760003"/>
      <w:r>
        <w:rPr>
          <w:rFonts w:hint="eastAsia"/>
          <w:b/>
          <w:bCs/>
          <w:szCs w:val="32"/>
        </w:rPr>
        <w:t>5.3.2过程质量控制措施</w:t>
      </w:r>
      <w:bookmarkEnd w:id="261"/>
      <w:bookmarkEnd w:id="262"/>
      <w:bookmarkEnd w:id="263"/>
      <w:bookmarkEnd w:id="264"/>
    </w:p>
    <w:p>
      <w:pPr>
        <w:ind w:firstLine="480"/>
      </w:pPr>
      <w:r>
        <w:rPr>
          <w:rFonts w:hint="eastAsia"/>
        </w:rPr>
        <w:t>5</w:t>
      </w:r>
      <w:r>
        <w:t>.3.2.1</w:t>
      </w:r>
      <w:r>
        <w:rPr>
          <w:rFonts w:hint="eastAsia"/>
        </w:rPr>
        <w:t>升降机基础施工质量保证措施</w:t>
      </w:r>
    </w:p>
    <w:p>
      <w:pPr>
        <w:ind w:firstLine="480"/>
      </w:pPr>
      <w:r>
        <w:rPr>
          <w:rFonts w:hint="eastAsia"/>
        </w:rPr>
        <w:t>（1）测量人员利用全站仪在施工平台顶部准确放样出型钢基础的平面位置以及安装标高。</w:t>
      </w:r>
    </w:p>
    <w:p>
      <w:pPr>
        <w:ind w:firstLine="480"/>
      </w:pPr>
      <w:r>
        <w:rPr>
          <w:rFonts w:hint="eastAsia"/>
        </w:rPr>
        <w:t>（2）型钢基础材料由专人进行质量验收并签字确认合格，按规格分类存放、标识。</w:t>
      </w:r>
    </w:p>
    <w:p>
      <w:pPr>
        <w:ind w:firstLine="480"/>
      </w:pPr>
      <w:r>
        <w:rPr>
          <w:rFonts w:hint="eastAsia"/>
        </w:rPr>
        <w:t>（3）严格按照设计图纸要求，加工型钢基础，确保加劲板尺寸、安装位置、间距以及焊接质量满足设计要求。</w:t>
      </w:r>
    </w:p>
    <w:p>
      <w:pPr>
        <w:ind w:firstLine="480"/>
      </w:pPr>
      <w:r>
        <w:rPr>
          <w:rFonts w:hint="eastAsia"/>
        </w:rPr>
        <w:t>5</w:t>
      </w:r>
      <w:r>
        <w:t>.3.2.2</w:t>
      </w:r>
      <w:r>
        <w:rPr>
          <w:rFonts w:hint="eastAsia"/>
        </w:rPr>
        <w:t>附墙安装质量保证措施</w:t>
      </w:r>
    </w:p>
    <w:p>
      <w:pPr>
        <w:ind w:firstLine="480"/>
      </w:pPr>
      <w:r>
        <w:rPr>
          <w:rFonts w:hint="eastAsia"/>
        </w:rPr>
        <w:t>（1）严格按照施工方案及附墙设计图纸进行施工与验收。</w:t>
      </w:r>
    </w:p>
    <w:p>
      <w:pPr>
        <w:ind w:firstLine="480"/>
      </w:pPr>
      <w:r>
        <w:rPr>
          <w:rFonts w:hint="eastAsia"/>
        </w:rPr>
        <w:t>（2）塔柱混凝土浇筑前，测量人员要用全站仪对附墙预埋件位置及时复测，确保预埋件位置及标高设置准确，满足安装精度要求；同时要安排专人检查各类预埋件的预埋尺寸及预埋角度是否满足要求。</w:t>
      </w:r>
    </w:p>
    <w:p>
      <w:pPr>
        <w:ind w:firstLine="480"/>
      </w:pPr>
      <w:r>
        <w:rPr>
          <w:rFonts w:hint="eastAsia"/>
        </w:rPr>
        <w:t>（3）附墙所用的材料由专人进行质量验收并签字确认合格，按规格分类存放、标识，避免混用。</w:t>
      </w:r>
    </w:p>
    <w:p>
      <w:pPr>
        <w:ind w:firstLine="480"/>
      </w:pPr>
      <w:r>
        <w:rPr>
          <w:rFonts w:hint="eastAsia"/>
        </w:rPr>
        <w:t>5</w:t>
      </w:r>
      <w:r>
        <w:t>.3.2.3</w:t>
      </w:r>
      <w:r>
        <w:rPr>
          <w:rFonts w:hint="eastAsia"/>
        </w:rPr>
        <w:t>升降机构件安装质量保证措施</w:t>
      </w:r>
    </w:p>
    <w:p>
      <w:pPr>
        <w:ind w:firstLine="480"/>
      </w:pPr>
      <w:r>
        <w:rPr>
          <w:rFonts w:hint="eastAsia"/>
        </w:rPr>
        <w:t>（1）导轨架的每次接长后，测量人员需利用全站仪检测导轨架的安装角度，并及时进行调整。</w:t>
      </w:r>
    </w:p>
    <w:p>
      <w:pPr>
        <w:ind w:firstLine="480"/>
      </w:pPr>
      <w:r>
        <w:rPr>
          <w:rFonts w:hint="eastAsia"/>
        </w:rPr>
        <w:t>（2）导轨架接长安装后，作业人员需及时安装好上下节段的连接螺栓，并用扭力扳手检测力矩是否到位。</w:t>
      </w:r>
    </w:p>
    <w:p>
      <w:pPr>
        <w:ind w:firstLine="480"/>
        <w:rPr>
          <w:color w:val="000000" w:themeColor="text1"/>
          <w14:textFill>
            <w14:solidFill>
              <w14:schemeClr w14:val="tx1"/>
            </w14:solidFill>
          </w14:textFill>
        </w:rPr>
      </w:pPr>
      <w:r>
        <w:rPr>
          <w:rFonts w:hint="eastAsia"/>
        </w:rPr>
        <w:t>（3）导轨架的附墙件安装后，要及时拧紧所有的连接螺母，并安装好全部的开口销。</w:t>
      </w:r>
      <w:r>
        <w:rPr>
          <w:rFonts w:hint="eastAsia"/>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p>
    <w:bookmarkEnd w:id="243"/>
    <w:bookmarkEnd w:id="244"/>
    <w:p>
      <w:pPr>
        <w:pStyle w:val="3"/>
        <w:spacing w:before="156" w:after="156"/>
        <w:rPr>
          <w:color w:val="000000" w:themeColor="text1"/>
          <w14:textFill>
            <w14:solidFill>
              <w14:schemeClr w14:val="tx1"/>
            </w14:solidFill>
          </w14:textFill>
        </w:rPr>
      </w:pPr>
      <w:bookmarkStart w:id="265" w:name="_Toc55223371"/>
      <w:bookmarkStart w:id="266" w:name="_Toc121760004"/>
      <w:r>
        <w:rPr>
          <w:rFonts w:hint="eastAsia"/>
          <w:color w:val="000000" w:themeColor="text1"/>
          <w14:textFill>
            <w14:solidFill>
              <w14:schemeClr w14:val="tx1"/>
            </w14:solidFill>
          </w14:textFill>
        </w:rPr>
        <w:t>危源辨识及安全保证措施</w:t>
      </w:r>
      <w:bookmarkEnd w:id="265"/>
      <w:bookmarkEnd w:id="266"/>
    </w:p>
    <w:p>
      <w:pPr>
        <w:pStyle w:val="4"/>
        <w:spacing w:before="156" w:after="156"/>
        <w:rPr>
          <w:color w:val="000000" w:themeColor="text1"/>
          <w14:textFill>
            <w14:solidFill>
              <w14:schemeClr w14:val="tx1"/>
            </w14:solidFill>
          </w14:textFill>
        </w:rPr>
      </w:pPr>
      <w:bookmarkStart w:id="267" w:name="_Toc55223372"/>
      <w:bookmarkStart w:id="268" w:name="_Toc121760005"/>
      <w:r>
        <w:rPr>
          <w:rFonts w:hint="eastAsia"/>
          <w:color w:val="000000" w:themeColor="text1"/>
          <w14:textFill>
            <w14:solidFill>
              <w14:schemeClr w14:val="tx1"/>
            </w14:solidFill>
          </w14:textFill>
        </w:rPr>
        <w:t>危险源辨识及分析</w:t>
      </w:r>
      <w:bookmarkEnd w:id="267"/>
      <w:bookmarkEnd w:id="268"/>
      <w:bookmarkStart w:id="269" w:name="_Toc903"/>
      <w:bookmarkStart w:id="270" w:name="_Toc1775"/>
    </w:p>
    <w:p>
      <w:pPr>
        <w:pStyle w:val="5"/>
      </w:pPr>
      <w:r>
        <w:rPr>
          <w:rFonts w:hint="eastAsia"/>
        </w:rPr>
        <w:t xml:space="preserve"> </w:t>
      </w:r>
      <w:bookmarkStart w:id="271" w:name="_Toc121760006"/>
      <w:r>
        <w:rPr>
          <w:rFonts w:hint="eastAsia"/>
        </w:rPr>
        <w:t>LEC辨识方法简介</w:t>
      </w:r>
      <w:bookmarkEnd w:id="271"/>
    </w:p>
    <w:p>
      <w:pPr>
        <w:ind w:firstLine="480"/>
      </w:pPr>
      <w:r>
        <w:rPr>
          <w:rFonts w:hint="eastAsia"/>
        </w:rPr>
        <w:t>本项目施工风险评估采用“LEC风险法”，其考虑的危险因素有三个：发生事故或危险事件的可能性，危险作业出现频率和事故的后果。主要是评估人员根据实际经验，对评估对象的现状情况进行分析，然后根据公式计算其危险性分数值，再按经验将危险性分数值划分危险程度等级表。</w:t>
      </w:r>
    </w:p>
    <w:p>
      <w:pPr>
        <w:ind w:firstLine="480"/>
      </w:pPr>
      <w:r>
        <w:rPr>
          <w:rFonts w:hint="eastAsia"/>
        </w:rPr>
        <w:t>“LEC风险法”事故风险大小计算公式为：D=L×E×C</w:t>
      </w:r>
    </w:p>
    <w:p>
      <w:pPr>
        <w:ind w:firstLine="480"/>
      </w:pPr>
      <w:r>
        <w:rPr>
          <w:rFonts w:hint="eastAsia"/>
        </w:rPr>
        <w:t>式中：D——事故风险大小</w:t>
      </w:r>
    </w:p>
    <w:p>
      <w:pPr>
        <w:ind w:firstLine="480"/>
      </w:pPr>
      <w:r>
        <w:rPr>
          <w:rFonts w:hint="eastAsia"/>
        </w:rPr>
        <w:t>L——事故发生的可能性</w:t>
      </w:r>
    </w:p>
    <w:p>
      <w:pPr>
        <w:ind w:firstLine="480"/>
      </w:pPr>
      <w:r>
        <w:rPr>
          <w:rFonts w:hint="eastAsia"/>
        </w:rPr>
        <w:t>E——暴露于风险环境的频率</w:t>
      </w:r>
    </w:p>
    <w:p>
      <w:pPr>
        <w:ind w:firstLine="480"/>
      </w:pPr>
      <w:r>
        <w:rPr>
          <w:rFonts w:hint="eastAsia"/>
        </w:rPr>
        <w:t>C——发生事故的可能后果</w:t>
      </w:r>
    </w:p>
    <w:p>
      <w:pPr>
        <w:ind w:firstLine="480"/>
      </w:pPr>
      <w:r>
        <w:rPr>
          <w:rFonts w:hint="eastAsia"/>
        </w:rPr>
        <w:t>（1）发生事故的可能性（L）</w:t>
      </w:r>
    </w:p>
    <w:p>
      <w:pPr>
        <w:ind w:firstLine="480"/>
      </w:pPr>
      <w:r>
        <w:rPr>
          <w:rFonts w:hint="eastAsia"/>
        </w:rPr>
        <w:t>事故发生的可能性L定性表达了事故发生的概率。必然发生的事故的概率为1，规定对应的分值为10；实际上不可能事故发生的情况对应的分值为0.5；以此为基础确定其取值范围见</w:t>
      </w:r>
      <w:r>
        <w:rPr>
          <w:rFonts w:hint="eastAsia"/>
          <w:b/>
          <w:bCs/>
        </w:rPr>
        <w:t>表6</w:t>
      </w:r>
      <w:r>
        <w:rPr>
          <w:b/>
          <w:bCs/>
        </w:rPr>
        <w:t>.1.1-1.</w:t>
      </w:r>
    </w:p>
    <w:p>
      <w:pPr>
        <w:pStyle w:val="89"/>
        <w:spacing w:before="156"/>
      </w:pPr>
      <w:r>
        <w:rPr>
          <w:rFonts w:hint="eastAsia"/>
        </w:rPr>
        <w:t>表6</w:t>
      </w:r>
      <w:r>
        <w:t xml:space="preserve">.1.1-1  </w:t>
      </w:r>
      <w:r>
        <w:rPr>
          <w:rFonts w:hint="eastAsia"/>
        </w:rPr>
        <w:t>事故发生可能性（L）</w:t>
      </w:r>
    </w:p>
    <w:tbl>
      <w:tblPr>
        <w:tblStyle w:val="181"/>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268"/>
        <w:gridCol w:w="4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2"/>
              <w:rPr>
                <w:rFonts w:cs="Times New Roman"/>
                <w:b/>
                <w:bCs/>
                <w:kern w:val="0"/>
              </w:rPr>
            </w:pPr>
            <w:r>
              <w:rPr>
                <w:rFonts w:cs="Times New Roman"/>
                <w:b/>
                <w:bCs/>
                <w:kern w:val="0"/>
              </w:rPr>
              <w:t>序号</w:t>
            </w:r>
          </w:p>
        </w:tc>
        <w:tc>
          <w:tcPr>
            <w:tcW w:w="2268" w:type="dxa"/>
            <w:shd w:val="clear" w:color="auto" w:fill="auto"/>
            <w:vAlign w:val="center"/>
          </w:tcPr>
          <w:p>
            <w:pPr>
              <w:pStyle w:val="95"/>
              <w:ind w:firstLine="482"/>
              <w:rPr>
                <w:rFonts w:cs="Times New Roman"/>
                <w:b/>
                <w:bCs/>
                <w:kern w:val="0"/>
              </w:rPr>
            </w:pPr>
            <w:r>
              <w:rPr>
                <w:rFonts w:cs="Times New Roman"/>
                <w:b/>
                <w:bCs/>
                <w:kern w:val="0"/>
              </w:rPr>
              <w:t>分数值</w:t>
            </w:r>
          </w:p>
        </w:tc>
        <w:tc>
          <w:tcPr>
            <w:tcW w:w="4535" w:type="dxa"/>
            <w:shd w:val="clear" w:color="auto" w:fill="auto"/>
            <w:vAlign w:val="center"/>
          </w:tcPr>
          <w:p>
            <w:pPr>
              <w:pStyle w:val="95"/>
              <w:ind w:firstLine="482"/>
              <w:rPr>
                <w:rFonts w:cs="Times New Roman"/>
                <w:b/>
                <w:bCs/>
                <w:kern w:val="0"/>
              </w:rPr>
            </w:pPr>
            <w:r>
              <w:rPr>
                <w:rFonts w:cs="Times New Roman"/>
                <w:b/>
                <w:bCs/>
                <w:kern w:val="0"/>
              </w:rPr>
              <w:t>事故发生的可能性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1</w:t>
            </w:r>
          </w:p>
        </w:tc>
        <w:tc>
          <w:tcPr>
            <w:tcW w:w="2268" w:type="dxa"/>
            <w:shd w:val="clear" w:color="auto" w:fill="auto"/>
            <w:vAlign w:val="center"/>
          </w:tcPr>
          <w:p>
            <w:pPr>
              <w:pStyle w:val="95"/>
              <w:ind w:firstLine="480"/>
              <w:rPr>
                <w:rFonts w:cs="Times New Roman"/>
                <w:b/>
                <w:bCs/>
                <w:kern w:val="0"/>
              </w:rPr>
            </w:pPr>
            <w:r>
              <w:rPr>
                <w:rFonts w:cs="Times New Roman"/>
                <w:kern w:val="0"/>
              </w:rPr>
              <w:t>10</w:t>
            </w:r>
          </w:p>
        </w:tc>
        <w:tc>
          <w:tcPr>
            <w:tcW w:w="4535" w:type="dxa"/>
            <w:shd w:val="clear" w:color="auto" w:fill="auto"/>
            <w:vAlign w:val="center"/>
          </w:tcPr>
          <w:p>
            <w:pPr>
              <w:pStyle w:val="95"/>
              <w:ind w:firstLine="480"/>
              <w:rPr>
                <w:rFonts w:cs="Times New Roman"/>
                <w:b/>
                <w:bCs/>
                <w:kern w:val="0"/>
              </w:rPr>
            </w:pPr>
            <w:r>
              <w:rPr>
                <w:rFonts w:cs="Times New Roman"/>
                <w:kern w:val="0"/>
              </w:rPr>
              <w:t>完全可以预料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2</w:t>
            </w:r>
          </w:p>
        </w:tc>
        <w:tc>
          <w:tcPr>
            <w:tcW w:w="2268" w:type="dxa"/>
            <w:shd w:val="clear" w:color="auto" w:fill="auto"/>
            <w:vAlign w:val="center"/>
          </w:tcPr>
          <w:p>
            <w:pPr>
              <w:pStyle w:val="95"/>
              <w:ind w:firstLine="480"/>
              <w:rPr>
                <w:rFonts w:cs="Times New Roman"/>
                <w:b/>
                <w:bCs/>
                <w:kern w:val="0"/>
              </w:rPr>
            </w:pPr>
            <w:r>
              <w:rPr>
                <w:rFonts w:cs="Times New Roman"/>
                <w:kern w:val="0"/>
              </w:rPr>
              <w:t>6</w:t>
            </w:r>
          </w:p>
        </w:tc>
        <w:tc>
          <w:tcPr>
            <w:tcW w:w="4535" w:type="dxa"/>
            <w:shd w:val="clear" w:color="auto" w:fill="auto"/>
            <w:vAlign w:val="center"/>
          </w:tcPr>
          <w:p>
            <w:pPr>
              <w:pStyle w:val="95"/>
              <w:ind w:firstLine="480"/>
              <w:rPr>
                <w:rFonts w:cs="Times New Roman"/>
                <w:b/>
                <w:bCs/>
                <w:kern w:val="0"/>
              </w:rPr>
            </w:pPr>
            <w:r>
              <w:rPr>
                <w:rFonts w:cs="Times New Roman"/>
                <w:kern w:val="0"/>
              </w:rPr>
              <w:t>相当可能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3</w:t>
            </w:r>
          </w:p>
        </w:tc>
        <w:tc>
          <w:tcPr>
            <w:tcW w:w="2268" w:type="dxa"/>
            <w:shd w:val="clear" w:color="auto" w:fill="auto"/>
            <w:vAlign w:val="center"/>
          </w:tcPr>
          <w:p>
            <w:pPr>
              <w:pStyle w:val="95"/>
              <w:ind w:firstLine="480"/>
              <w:rPr>
                <w:rFonts w:cs="Times New Roman"/>
                <w:b/>
                <w:bCs/>
                <w:kern w:val="0"/>
              </w:rPr>
            </w:pPr>
            <w:r>
              <w:rPr>
                <w:rFonts w:cs="Times New Roman"/>
                <w:kern w:val="0"/>
              </w:rPr>
              <w:t>3</w:t>
            </w:r>
          </w:p>
        </w:tc>
        <w:tc>
          <w:tcPr>
            <w:tcW w:w="4535" w:type="dxa"/>
            <w:shd w:val="clear" w:color="auto" w:fill="auto"/>
            <w:vAlign w:val="center"/>
          </w:tcPr>
          <w:p>
            <w:pPr>
              <w:pStyle w:val="95"/>
              <w:ind w:firstLine="480"/>
              <w:rPr>
                <w:rFonts w:cs="Times New Roman"/>
                <w:b/>
                <w:bCs/>
                <w:kern w:val="0"/>
              </w:rPr>
            </w:pPr>
            <w:r>
              <w:rPr>
                <w:rFonts w:cs="Times New Roman"/>
                <w:kern w:val="0"/>
              </w:rPr>
              <w:t>可能，但不经常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4</w:t>
            </w:r>
          </w:p>
        </w:tc>
        <w:tc>
          <w:tcPr>
            <w:tcW w:w="2268" w:type="dxa"/>
            <w:shd w:val="clear" w:color="auto" w:fill="auto"/>
            <w:vAlign w:val="center"/>
          </w:tcPr>
          <w:p>
            <w:pPr>
              <w:pStyle w:val="95"/>
              <w:ind w:firstLine="480"/>
              <w:rPr>
                <w:rFonts w:cs="Times New Roman"/>
                <w:b/>
                <w:bCs/>
                <w:kern w:val="0"/>
              </w:rPr>
            </w:pPr>
            <w:r>
              <w:rPr>
                <w:rFonts w:cs="Times New Roman"/>
                <w:kern w:val="0"/>
              </w:rPr>
              <w:t>1</w:t>
            </w:r>
          </w:p>
        </w:tc>
        <w:tc>
          <w:tcPr>
            <w:tcW w:w="4535" w:type="dxa"/>
            <w:shd w:val="clear" w:color="auto" w:fill="auto"/>
            <w:vAlign w:val="center"/>
          </w:tcPr>
          <w:p>
            <w:pPr>
              <w:pStyle w:val="95"/>
              <w:ind w:firstLine="480"/>
              <w:rPr>
                <w:rFonts w:cs="Times New Roman"/>
                <w:b/>
                <w:bCs/>
                <w:kern w:val="0"/>
              </w:rPr>
            </w:pPr>
            <w:r>
              <w:rPr>
                <w:rFonts w:cs="Times New Roman"/>
                <w:kern w:val="0"/>
              </w:rPr>
              <w:t>可能性小，完全意外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5</w:t>
            </w:r>
          </w:p>
        </w:tc>
        <w:tc>
          <w:tcPr>
            <w:tcW w:w="2268" w:type="dxa"/>
            <w:shd w:val="clear" w:color="auto" w:fill="auto"/>
            <w:vAlign w:val="center"/>
          </w:tcPr>
          <w:p>
            <w:pPr>
              <w:pStyle w:val="95"/>
              <w:ind w:firstLine="480"/>
              <w:rPr>
                <w:rFonts w:cs="Times New Roman"/>
                <w:b/>
                <w:bCs/>
                <w:kern w:val="0"/>
              </w:rPr>
            </w:pPr>
            <w:r>
              <w:rPr>
                <w:rFonts w:cs="Times New Roman"/>
                <w:kern w:val="0"/>
              </w:rPr>
              <w:t>0.5</w:t>
            </w:r>
          </w:p>
        </w:tc>
        <w:tc>
          <w:tcPr>
            <w:tcW w:w="4535" w:type="dxa"/>
            <w:shd w:val="clear" w:color="auto" w:fill="auto"/>
            <w:vAlign w:val="center"/>
          </w:tcPr>
          <w:p>
            <w:pPr>
              <w:pStyle w:val="95"/>
              <w:ind w:firstLine="480"/>
              <w:rPr>
                <w:rFonts w:cs="Times New Roman"/>
                <w:b/>
                <w:bCs/>
                <w:kern w:val="0"/>
              </w:rPr>
            </w:pPr>
            <w:r>
              <w:rPr>
                <w:rFonts w:cs="Times New Roman"/>
                <w:kern w:val="0"/>
              </w:rPr>
              <w:t>很不可能，可以设想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6</w:t>
            </w:r>
          </w:p>
        </w:tc>
        <w:tc>
          <w:tcPr>
            <w:tcW w:w="2268" w:type="dxa"/>
            <w:shd w:val="clear" w:color="auto" w:fill="auto"/>
            <w:vAlign w:val="center"/>
          </w:tcPr>
          <w:p>
            <w:pPr>
              <w:pStyle w:val="95"/>
              <w:ind w:firstLine="480"/>
              <w:rPr>
                <w:rFonts w:cs="Times New Roman"/>
                <w:b/>
                <w:bCs/>
                <w:kern w:val="0"/>
              </w:rPr>
            </w:pPr>
            <w:r>
              <w:rPr>
                <w:rFonts w:cs="Times New Roman"/>
                <w:kern w:val="0"/>
              </w:rPr>
              <w:t>0.2</w:t>
            </w:r>
          </w:p>
        </w:tc>
        <w:tc>
          <w:tcPr>
            <w:tcW w:w="4535" w:type="dxa"/>
            <w:shd w:val="clear" w:color="auto" w:fill="auto"/>
            <w:vAlign w:val="center"/>
          </w:tcPr>
          <w:p>
            <w:pPr>
              <w:pStyle w:val="95"/>
              <w:ind w:firstLine="480"/>
              <w:rPr>
                <w:rFonts w:cs="Times New Roman"/>
                <w:b/>
                <w:bCs/>
                <w:kern w:val="0"/>
              </w:rPr>
            </w:pPr>
            <w:r>
              <w:rPr>
                <w:rFonts w:cs="Times New Roman"/>
                <w:kern w:val="0"/>
              </w:rPr>
              <w:t>极不可能</w:t>
            </w:r>
          </w:p>
        </w:tc>
      </w:tr>
    </w:tbl>
    <w:p>
      <w:pPr>
        <w:ind w:firstLine="480"/>
      </w:pPr>
      <w:r>
        <w:rPr>
          <w:rFonts w:hint="eastAsia"/>
        </w:rPr>
        <w:t>（2）暴露于危险环境的频繁程度（E）</w:t>
      </w:r>
    </w:p>
    <w:p>
      <w:pPr>
        <w:ind w:firstLine="480"/>
      </w:pPr>
      <w:r>
        <w:rPr>
          <w:rFonts w:hint="eastAsia"/>
        </w:rPr>
        <w:t>人员出现在危险环境中的时间越多，则危险性越大规定连续出现在危险环境的情况分数值定为10，而非常罕见地出现在危险环境中分数值定为0.5，将介于两者之间的各种情况规定若干个中间值，见</w:t>
      </w:r>
      <w:r>
        <w:rPr>
          <w:rFonts w:hint="eastAsia"/>
          <w:b/>
          <w:bCs/>
        </w:rPr>
        <w:t>表6</w:t>
      </w:r>
      <w:r>
        <w:rPr>
          <w:b/>
          <w:bCs/>
        </w:rPr>
        <w:t>.1.1-2</w:t>
      </w:r>
      <w:r>
        <w:rPr>
          <w:rFonts w:hint="eastAsia"/>
        </w:rPr>
        <w:t>。</w:t>
      </w:r>
    </w:p>
    <w:p>
      <w:pPr>
        <w:pStyle w:val="89"/>
        <w:spacing w:before="156"/>
        <w:sectPr>
          <w:pgSz w:w="11906" w:h="16838"/>
          <w:pgMar w:top="1440" w:right="1800" w:bottom="1440" w:left="1800" w:header="851" w:footer="992" w:gutter="0"/>
          <w:cols w:space="425" w:num="1"/>
          <w:docGrid w:type="lines" w:linePitch="312" w:charSpace="0"/>
        </w:sectPr>
      </w:pPr>
    </w:p>
    <w:p>
      <w:pPr>
        <w:pStyle w:val="89"/>
        <w:spacing w:before="156"/>
      </w:pPr>
      <w:r>
        <w:rPr>
          <w:rFonts w:hint="eastAsia"/>
        </w:rPr>
        <w:t>表6.1.1-</w:t>
      </w:r>
      <w:r>
        <w:t xml:space="preserve">2 </w:t>
      </w:r>
      <w:r>
        <w:rPr>
          <w:rFonts w:hint="eastAsia"/>
        </w:rPr>
        <w:t>人员暴露时间（E）</w:t>
      </w:r>
    </w:p>
    <w:tbl>
      <w:tblPr>
        <w:tblStyle w:val="181"/>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268"/>
        <w:gridCol w:w="4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01" w:type="dxa"/>
            <w:shd w:val="clear" w:color="auto" w:fill="auto"/>
            <w:vAlign w:val="center"/>
          </w:tcPr>
          <w:p>
            <w:pPr>
              <w:pStyle w:val="95"/>
              <w:ind w:firstLine="482"/>
              <w:rPr>
                <w:rFonts w:cs="Times New Roman"/>
                <w:b/>
                <w:bCs/>
                <w:kern w:val="0"/>
              </w:rPr>
            </w:pPr>
            <w:r>
              <w:rPr>
                <w:rFonts w:cs="Times New Roman"/>
                <w:b/>
                <w:bCs/>
                <w:kern w:val="0"/>
              </w:rPr>
              <w:t>序号</w:t>
            </w:r>
          </w:p>
        </w:tc>
        <w:tc>
          <w:tcPr>
            <w:tcW w:w="2268" w:type="dxa"/>
            <w:shd w:val="clear" w:color="auto" w:fill="auto"/>
            <w:vAlign w:val="center"/>
          </w:tcPr>
          <w:p>
            <w:pPr>
              <w:pStyle w:val="95"/>
              <w:ind w:firstLine="482"/>
              <w:rPr>
                <w:rFonts w:cs="Times New Roman"/>
                <w:b/>
                <w:bCs/>
                <w:kern w:val="0"/>
              </w:rPr>
            </w:pPr>
            <w:r>
              <w:rPr>
                <w:rFonts w:cs="Times New Roman"/>
                <w:b/>
                <w:bCs/>
                <w:kern w:val="0"/>
              </w:rPr>
              <w:t>分数值</w:t>
            </w:r>
          </w:p>
        </w:tc>
        <w:tc>
          <w:tcPr>
            <w:tcW w:w="4535" w:type="dxa"/>
            <w:shd w:val="clear" w:color="auto" w:fill="auto"/>
            <w:vAlign w:val="center"/>
          </w:tcPr>
          <w:p>
            <w:pPr>
              <w:pStyle w:val="95"/>
              <w:ind w:firstLine="482"/>
              <w:rPr>
                <w:rFonts w:cs="Times New Roman"/>
                <w:b/>
                <w:bCs/>
                <w:kern w:val="0"/>
              </w:rPr>
            </w:pPr>
            <w:r>
              <w:rPr>
                <w:rFonts w:cs="Times New Roman"/>
                <w:b/>
                <w:bCs/>
                <w:kern w:val="0"/>
              </w:rPr>
              <w:t>暴露于危险环境的频繁程度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1</w:t>
            </w:r>
          </w:p>
        </w:tc>
        <w:tc>
          <w:tcPr>
            <w:tcW w:w="2268" w:type="dxa"/>
            <w:shd w:val="clear" w:color="auto" w:fill="auto"/>
            <w:vAlign w:val="center"/>
          </w:tcPr>
          <w:p>
            <w:pPr>
              <w:pStyle w:val="95"/>
              <w:ind w:firstLine="480"/>
              <w:rPr>
                <w:rFonts w:cs="Times New Roman"/>
                <w:b/>
                <w:bCs/>
                <w:kern w:val="0"/>
              </w:rPr>
            </w:pPr>
            <w:r>
              <w:rPr>
                <w:rFonts w:cs="Times New Roman"/>
                <w:kern w:val="0"/>
              </w:rPr>
              <w:t>10</w:t>
            </w:r>
          </w:p>
        </w:tc>
        <w:tc>
          <w:tcPr>
            <w:tcW w:w="4535" w:type="dxa"/>
            <w:shd w:val="clear" w:color="auto" w:fill="auto"/>
            <w:vAlign w:val="center"/>
          </w:tcPr>
          <w:p>
            <w:pPr>
              <w:pStyle w:val="95"/>
              <w:ind w:firstLine="480"/>
              <w:rPr>
                <w:rFonts w:cs="Times New Roman"/>
                <w:b/>
                <w:bCs/>
                <w:kern w:val="0"/>
              </w:rPr>
            </w:pPr>
            <w:r>
              <w:rPr>
                <w:rFonts w:cs="Times New Roman"/>
                <w:kern w:val="0"/>
              </w:rPr>
              <w:t>在连续时间内（作业时段必须持续暴露）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2</w:t>
            </w:r>
          </w:p>
        </w:tc>
        <w:tc>
          <w:tcPr>
            <w:tcW w:w="2268" w:type="dxa"/>
            <w:shd w:val="clear" w:color="auto" w:fill="auto"/>
            <w:vAlign w:val="center"/>
          </w:tcPr>
          <w:p>
            <w:pPr>
              <w:pStyle w:val="95"/>
              <w:ind w:firstLine="480"/>
              <w:rPr>
                <w:rFonts w:cs="Times New Roman"/>
                <w:b/>
                <w:bCs/>
                <w:kern w:val="0"/>
              </w:rPr>
            </w:pPr>
            <w:r>
              <w:rPr>
                <w:rFonts w:cs="Times New Roman"/>
                <w:kern w:val="0"/>
              </w:rPr>
              <w:t>6</w:t>
            </w:r>
          </w:p>
        </w:tc>
        <w:tc>
          <w:tcPr>
            <w:tcW w:w="4535" w:type="dxa"/>
            <w:shd w:val="clear" w:color="auto" w:fill="auto"/>
            <w:vAlign w:val="center"/>
          </w:tcPr>
          <w:p>
            <w:pPr>
              <w:pStyle w:val="95"/>
              <w:ind w:firstLine="480"/>
              <w:rPr>
                <w:rFonts w:cs="Times New Roman"/>
                <w:b/>
                <w:bCs/>
                <w:kern w:val="0"/>
              </w:rPr>
            </w:pPr>
            <w:r>
              <w:rPr>
                <w:rFonts w:cs="Times New Roman"/>
                <w:kern w:val="0"/>
              </w:rPr>
              <w:t>仅每天在工作时间内（必须经常暴露）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3</w:t>
            </w:r>
          </w:p>
        </w:tc>
        <w:tc>
          <w:tcPr>
            <w:tcW w:w="2268" w:type="dxa"/>
            <w:shd w:val="clear" w:color="auto" w:fill="auto"/>
            <w:vAlign w:val="center"/>
          </w:tcPr>
          <w:p>
            <w:pPr>
              <w:pStyle w:val="95"/>
              <w:ind w:firstLine="480"/>
              <w:rPr>
                <w:rFonts w:cs="Times New Roman"/>
                <w:b/>
                <w:bCs/>
                <w:kern w:val="0"/>
              </w:rPr>
            </w:pPr>
            <w:r>
              <w:rPr>
                <w:rFonts w:cs="Times New Roman"/>
                <w:kern w:val="0"/>
              </w:rPr>
              <w:t>3</w:t>
            </w:r>
          </w:p>
        </w:tc>
        <w:tc>
          <w:tcPr>
            <w:tcW w:w="4535" w:type="dxa"/>
            <w:shd w:val="clear" w:color="auto" w:fill="auto"/>
            <w:vAlign w:val="center"/>
          </w:tcPr>
          <w:p>
            <w:pPr>
              <w:pStyle w:val="95"/>
              <w:ind w:firstLine="480"/>
              <w:rPr>
                <w:rFonts w:cs="Times New Roman"/>
                <w:b/>
                <w:bCs/>
                <w:kern w:val="0"/>
              </w:rPr>
            </w:pPr>
            <w:r>
              <w:rPr>
                <w:rFonts w:cs="Times New Roman"/>
                <w:kern w:val="0"/>
              </w:rPr>
              <w:t>仅每周一次或偶然（可能经常暴露）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4</w:t>
            </w:r>
          </w:p>
        </w:tc>
        <w:tc>
          <w:tcPr>
            <w:tcW w:w="2268" w:type="dxa"/>
            <w:shd w:val="clear" w:color="auto" w:fill="auto"/>
            <w:vAlign w:val="center"/>
          </w:tcPr>
          <w:p>
            <w:pPr>
              <w:pStyle w:val="95"/>
              <w:ind w:firstLine="480"/>
              <w:rPr>
                <w:rFonts w:cs="Times New Roman"/>
                <w:b/>
                <w:bCs/>
                <w:kern w:val="0"/>
              </w:rPr>
            </w:pPr>
            <w:r>
              <w:rPr>
                <w:rFonts w:cs="Times New Roman"/>
                <w:kern w:val="0"/>
              </w:rPr>
              <w:t>2</w:t>
            </w:r>
          </w:p>
        </w:tc>
        <w:tc>
          <w:tcPr>
            <w:tcW w:w="4535" w:type="dxa"/>
            <w:shd w:val="clear" w:color="auto" w:fill="auto"/>
            <w:vAlign w:val="center"/>
          </w:tcPr>
          <w:p>
            <w:pPr>
              <w:pStyle w:val="95"/>
              <w:ind w:firstLine="480"/>
              <w:rPr>
                <w:rFonts w:cs="Times New Roman"/>
                <w:b/>
                <w:bCs/>
                <w:kern w:val="0"/>
              </w:rPr>
            </w:pPr>
            <w:r>
              <w:rPr>
                <w:rFonts w:cs="Times New Roman"/>
                <w:kern w:val="0"/>
              </w:rPr>
              <w:t>仅每月一次（偶尔暴露）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5</w:t>
            </w:r>
          </w:p>
        </w:tc>
        <w:tc>
          <w:tcPr>
            <w:tcW w:w="2268" w:type="dxa"/>
            <w:shd w:val="clear" w:color="auto" w:fill="auto"/>
            <w:vAlign w:val="center"/>
          </w:tcPr>
          <w:p>
            <w:pPr>
              <w:pStyle w:val="95"/>
              <w:ind w:firstLine="480"/>
              <w:rPr>
                <w:rFonts w:cs="Times New Roman"/>
                <w:b/>
                <w:bCs/>
                <w:kern w:val="0"/>
              </w:rPr>
            </w:pPr>
            <w:r>
              <w:rPr>
                <w:rFonts w:cs="Times New Roman"/>
                <w:kern w:val="0"/>
              </w:rPr>
              <w:t>1</w:t>
            </w:r>
          </w:p>
        </w:tc>
        <w:tc>
          <w:tcPr>
            <w:tcW w:w="4535" w:type="dxa"/>
            <w:shd w:val="clear" w:color="auto" w:fill="auto"/>
            <w:vAlign w:val="center"/>
          </w:tcPr>
          <w:p>
            <w:pPr>
              <w:pStyle w:val="95"/>
              <w:ind w:firstLine="480"/>
              <w:rPr>
                <w:rFonts w:cs="Times New Roman"/>
                <w:b/>
                <w:bCs/>
                <w:kern w:val="0"/>
              </w:rPr>
            </w:pPr>
            <w:r>
              <w:rPr>
                <w:rFonts w:cs="Times New Roman"/>
                <w:kern w:val="0"/>
              </w:rPr>
              <w:t>仅每年几次（可能会偶尔暴露）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auto"/>
            <w:vAlign w:val="center"/>
          </w:tcPr>
          <w:p>
            <w:pPr>
              <w:pStyle w:val="95"/>
              <w:ind w:firstLine="480"/>
              <w:rPr>
                <w:rFonts w:cs="Times New Roman"/>
                <w:b/>
                <w:bCs/>
                <w:kern w:val="0"/>
              </w:rPr>
            </w:pPr>
            <w:r>
              <w:rPr>
                <w:rFonts w:cs="Times New Roman"/>
                <w:kern w:val="0"/>
              </w:rPr>
              <w:t>6</w:t>
            </w:r>
          </w:p>
        </w:tc>
        <w:tc>
          <w:tcPr>
            <w:tcW w:w="2268" w:type="dxa"/>
            <w:shd w:val="clear" w:color="auto" w:fill="auto"/>
            <w:vAlign w:val="center"/>
          </w:tcPr>
          <w:p>
            <w:pPr>
              <w:pStyle w:val="95"/>
              <w:ind w:firstLine="480"/>
              <w:rPr>
                <w:rFonts w:cs="Times New Roman"/>
                <w:b/>
                <w:bCs/>
                <w:kern w:val="0"/>
              </w:rPr>
            </w:pPr>
            <w:r>
              <w:rPr>
                <w:rFonts w:cs="Times New Roman"/>
                <w:kern w:val="0"/>
              </w:rPr>
              <w:t>0.5</w:t>
            </w:r>
          </w:p>
        </w:tc>
        <w:tc>
          <w:tcPr>
            <w:tcW w:w="4535" w:type="dxa"/>
            <w:shd w:val="clear" w:color="auto" w:fill="auto"/>
            <w:vAlign w:val="center"/>
          </w:tcPr>
          <w:p>
            <w:pPr>
              <w:pStyle w:val="95"/>
              <w:ind w:firstLine="480"/>
              <w:rPr>
                <w:rFonts w:cs="Times New Roman"/>
                <w:b/>
                <w:bCs/>
                <w:kern w:val="0"/>
              </w:rPr>
            </w:pPr>
            <w:r>
              <w:rPr>
                <w:rFonts w:cs="Times New Roman"/>
                <w:kern w:val="0"/>
              </w:rPr>
              <w:t>几乎没有（几乎不暴露）</w:t>
            </w:r>
          </w:p>
        </w:tc>
      </w:tr>
    </w:tbl>
    <w:p>
      <w:pPr>
        <w:ind w:firstLine="480"/>
      </w:pPr>
      <w:r>
        <w:rPr>
          <w:rFonts w:hint="eastAsia"/>
        </w:rPr>
        <w:t>（3）发生事故造成的后果（C）</w:t>
      </w:r>
    </w:p>
    <w:p>
      <w:pPr>
        <w:ind w:firstLine="480"/>
      </w:pPr>
      <w:r>
        <w:rPr>
          <w:rFonts w:hint="eastAsia"/>
        </w:rPr>
        <w:t>事故造成的人身伤害与财产损失变化范围很大，具体分数值对应如下</w:t>
      </w:r>
      <w:r>
        <w:rPr>
          <w:rFonts w:hint="eastAsia"/>
          <w:b/>
          <w:bCs/>
        </w:rPr>
        <w:t>表6</w:t>
      </w:r>
      <w:r>
        <w:rPr>
          <w:b/>
          <w:bCs/>
        </w:rPr>
        <w:t>.1.1-3</w:t>
      </w:r>
      <w:r>
        <w:rPr>
          <w:rFonts w:hint="eastAsia"/>
        </w:rPr>
        <w:t>。当发生事故可能产生的后果中经济损失和人员伤亡均存在时，应按就高原则取值。</w:t>
      </w:r>
    </w:p>
    <w:p>
      <w:pPr>
        <w:pStyle w:val="89"/>
        <w:spacing w:before="156"/>
      </w:pPr>
      <w:r>
        <w:rPr>
          <w:rFonts w:hint="eastAsia"/>
        </w:rPr>
        <w:t>表6.1.1-</w:t>
      </w:r>
      <w:r>
        <w:t xml:space="preserve">3 </w:t>
      </w:r>
      <w:r>
        <w:rPr>
          <w:rFonts w:hint="eastAsia"/>
        </w:rPr>
        <w:t>事故后果严重程度（C）</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5"/>
        <w:gridCol w:w="1523"/>
        <w:gridCol w:w="3403"/>
        <w:gridCol w:w="21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55" w:type="dxa"/>
            <w:vAlign w:val="center"/>
          </w:tcPr>
          <w:p>
            <w:pPr>
              <w:pStyle w:val="95"/>
              <w:ind w:firstLine="482"/>
              <w:rPr>
                <w:b/>
                <w:bCs/>
                <w:kern w:val="0"/>
                <w:sz w:val="20"/>
              </w:rPr>
            </w:pPr>
            <w:r>
              <w:rPr>
                <w:rFonts w:hint="eastAsia"/>
                <w:b/>
                <w:bCs/>
                <w:kern w:val="0"/>
                <w:sz w:val="20"/>
              </w:rPr>
              <w:t>序号</w:t>
            </w:r>
          </w:p>
        </w:tc>
        <w:tc>
          <w:tcPr>
            <w:tcW w:w="1523" w:type="dxa"/>
            <w:vAlign w:val="center"/>
          </w:tcPr>
          <w:p>
            <w:pPr>
              <w:pStyle w:val="95"/>
              <w:ind w:firstLine="482"/>
              <w:rPr>
                <w:b/>
                <w:bCs/>
                <w:kern w:val="0"/>
                <w:sz w:val="20"/>
              </w:rPr>
            </w:pPr>
            <w:r>
              <w:rPr>
                <w:rFonts w:hint="eastAsia"/>
                <w:b/>
                <w:bCs/>
                <w:kern w:val="0"/>
                <w:sz w:val="20"/>
              </w:rPr>
              <w:t>分数值</w:t>
            </w:r>
          </w:p>
        </w:tc>
        <w:tc>
          <w:tcPr>
            <w:tcW w:w="3403" w:type="dxa"/>
          </w:tcPr>
          <w:p>
            <w:pPr>
              <w:pStyle w:val="95"/>
              <w:ind w:firstLine="482"/>
              <w:rPr>
                <w:b/>
                <w:bCs/>
                <w:kern w:val="0"/>
                <w:sz w:val="20"/>
              </w:rPr>
            </w:pPr>
            <w:r>
              <w:rPr>
                <w:rFonts w:hint="eastAsia"/>
                <w:b/>
                <w:bCs/>
                <w:kern w:val="0"/>
                <w:sz w:val="20"/>
              </w:rPr>
              <w:t>伤亡人数</w:t>
            </w:r>
          </w:p>
        </w:tc>
        <w:tc>
          <w:tcPr>
            <w:tcW w:w="2195" w:type="dxa"/>
          </w:tcPr>
          <w:p>
            <w:pPr>
              <w:pStyle w:val="95"/>
              <w:ind w:firstLine="482"/>
              <w:rPr>
                <w:b/>
                <w:bCs/>
                <w:kern w:val="0"/>
                <w:sz w:val="20"/>
              </w:rPr>
            </w:pPr>
            <w:r>
              <w:rPr>
                <w:rFonts w:hint="eastAsia"/>
                <w:b/>
                <w:bCs/>
                <w:kern w:val="0"/>
                <w:sz w:val="20"/>
              </w:rPr>
              <w:t>经济损失（万元）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Align w:val="center"/>
          </w:tcPr>
          <w:p>
            <w:pPr>
              <w:pStyle w:val="95"/>
              <w:ind w:firstLine="480"/>
              <w:rPr>
                <w:b/>
                <w:bCs/>
                <w:kern w:val="0"/>
                <w:sz w:val="20"/>
              </w:rPr>
            </w:pPr>
            <w:r>
              <w:rPr>
                <w:rFonts w:hint="eastAsia"/>
                <w:kern w:val="0"/>
                <w:sz w:val="20"/>
              </w:rPr>
              <w:t>1</w:t>
            </w:r>
          </w:p>
        </w:tc>
        <w:tc>
          <w:tcPr>
            <w:tcW w:w="1523" w:type="dxa"/>
            <w:vAlign w:val="center"/>
          </w:tcPr>
          <w:p>
            <w:pPr>
              <w:pStyle w:val="95"/>
              <w:ind w:firstLine="480"/>
              <w:rPr>
                <w:b/>
                <w:bCs/>
                <w:kern w:val="0"/>
                <w:sz w:val="20"/>
              </w:rPr>
            </w:pPr>
            <w:r>
              <w:rPr>
                <w:rFonts w:hint="eastAsia"/>
                <w:kern w:val="0"/>
                <w:sz w:val="20"/>
              </w:rPr>
              <w:t>1</w:t>
            </w:r>
            <w:r>
              <w:rPr>
                <w:kern w:val="0"/>
                <w:sz w:val="20"/>
              </w:rPr>
              <w:t>00</w:t>
            </w:r>
          </w:p>
        </w:tc>
        <w:tc>
          <w:tcPr>
            <w:tcW w:w="3403" w:type="dxa"/>
          </w:tcPr>
          <w:p>
            <w:pPr>
              <w:pStyle w:val="95"/>
              <w:ind w:firstLine="480"/>
              <w:rPr>
                <w:b/>
                <w:bCs/>
                <w:kern w:val="0"/>
                <w:sz w:val="20"/>
              </w:rPr>
            </w:pPr>
            <w:r>
              <w:rPr>
                <w:rFonts w:hint="eastAsia"/>
                <w:kern w:val="0"/>
                <w:sz w:val="20"/>
              </w:rPr>
              <w:t>大灾难，死亡10人以上</w:t>
            </w:r>
          </w:p>
        </w:tc>
        <w:tc>
          <w:tcPr>
            <w:tcW w:w="2195" w:type="dxa"/>
          </w:tcPr>
          <w:p>
            <w:pPr>
              <w:pStyle w:val="95"/>
              <w:ind w:firstLine="480"/>
              <w:rPr>
                <w:b/>
                <w:bCs/>
                <w:kern w:val="0"/>
                <w:sz w:val="20"/>
              </w:rPr>
            </w:pPr>
            <w:r>
              <w:rPr>
                <w:rFonts w:hint="eastAsia"/>
                <w:kern w:val="0"/>
                <w:sz w:val="20"/>
              </w:rPr>
              <w:t>≥5000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Align w:val="center"/>
          </w:tcPr>
          <w:p>
            <w:pPr>
              <w:pStyle w:val="95"/>
              <w:ind w:firstLine="480"/>
              <w:rPr>
                <w:b/>
                <w:bCs/>
                <w:kern w:val="0"/>
                <w:sz w:val="20"/>
              </w:rPr>
            </w:pPr>
            <w:r>
              <w:rPr>
                <w:rFonts w:hint="eastAsia"/>
                <w:kern w:val="0"/>
                <w:sz w:val="20"/>
              </w:rPr>
              <w:t>2</w:t>
            </w:r>
          </w:p>
        </w:tc>
        <w:tc>
          <w:tcPr>
            <w:tcW w:w="1523" w:type="dxa"/>
            <w:vAlign w:val="center"/>
          </w:tcPr>
          <w:p>
            <w:pPr>
              <w:pStyle w:val="95"/>
              <w:ind w:firstLine="480"/>
              <w:rPr>
                <w:b/>
                <w:bCs/>
                <w:kern w:val="0"/>
                <w:sz w:val="20"/>
              </w:rPr>
            </w:pPr>
            <w:r>
              <w:rPr>
                <w:rFonts w:hint="eastAsia"/>
                <w:kern w:val="0"/>
                <w:sz w:val="20"/>
              </w:rPr>
              <w:t>4</w:t>
            </w:r>
            <w:r>
              <w:rPr>
                <w:kern w:val="0"/>
                <w:sz w:val="20"/>
              </w:rPr>
              <w:t>0</w:t>
            </w:r>
          </w:p>
        </w:tc>
        <w:tc>
          <w:tcPr>
            <w:tcW w:w="3403" w:type="dxa"/>
          </w:tcPr>
          <w:p>
            <w:pPr>
              <w:pStyle w:val="95"/>
              <w:ind w:firstLine="480"/>
              <w:rPr>
                <w:b/>
                <w:bCs/>
                <w:kern w:val="0"/>
                <w:sz w:val="20"/>
              </w:rPr>
            </w:pPr>
            <w:r>
              <w:rPr>
                <w:rFonts w:hint="eastAsia"/>
                <w:kern w:val="0"/>
                <w:sz w:val="20"/>
              </w:rPr>
              <w:t>灾难，死亡3～9人</w:t>
            </w:r>
          </w:p>
        </w:tc>
        <w:tc>
          <w:tcPr>
            <w:tcW w:w="2195" w:type="dxa"/>
          </w:tcPr>
          <w:p>
            <w:pPr>
              <w:pStyle w:val="95"/>
              <w:ind w:firstLine="480"/>
              <w:rPr>
                <w:b/>
                <w:bCs/>
                <w:kern w:val="0"/>
                <w:sz w:val="20"/>
              </w:rPr>
            </w:pPr>
            <w:r>
              <w:rPr>
                <w:rFonts w:hint="eastAsia"/>
                <w:kern w:val="0"/>
                <w:sz w:val="20"/>
              </w:rPr>
              <w:t>1000～5000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Align w:val="center"/>
          </w:tcPr>
          <w:p>
            <w:pPr>
              <w:pStyle w:val="95"/>
              <w:ind w:firstLine="480"/>
              <w:rPr>
                <w:b/>
                <w:bCs/>
                <w:kern w:val="0"/>
                <w:sz w:val="20"/>
              </w:rPr>
            </w:pPr>
            <w:r>
              <w:rPr>
                <w:rFonts w:hint="eastAsia"/>
                <w:kern w:val="0"/>
                <w:sz w:val="20"/>
              </w:rPr>
              <w:t>3</w:t>
            </w:r>
          </w:p>
        </w:tc>
        <w:tc>
          <w:tcPr>
            <w:tcW w:w="1523" w:type="dxa"/>
            <w:vAlign w:val="center"/>
          </w:tcPr>
          <w:p>
            <w:pPr>
              <w:pStyle w:val="95"/>
              <w:ind w:firstLine="480"/>
              <w:rPr>
                <w:b/>
                <w:bCs/>
                <w:kern w:val="0"/>
                <w:sz w:val="20"/>
              </w:rPr>
            </w:pPr>
            <w:r>
              <w:rPr>
                <w:rFonts w:hint="eastAsia"/>
                <w:kern w:val="0"/>
                <w:sz w:val="20"/>
              </w:rPr>
              <w:t>1</w:t>
            </w:r>
            <w:r>
              <w:rPr>
                <w:kern w:val="0"/>
                <w:sz w:val="20"/>
              </w:rPr>
              <w:t>5</w:t>
            </w:r>
          </w:p>
        </w:tc>
        <w:tc>
          <w:tcPr>
            <w:tcW w:w="3403" w:type="dxa"/>
          </w:tcPr>
          <w:p>
            <w:pPr>
              <w:pStyle w:val="95"/>
              <w:ind w:firstLine="480"/>
              <w:rPr>
                <w:b/>
                <w:bCs/>
                <w:kern w:val="0"/>
                <w:sz w:val="20"/>
              </w:rPr>
            </w:pPr>
            <w:r>
              <w:rPr>
                <w:rFonts w:hint="eastAsia"/>
                <w:kern w:val="0"/>
                <w:sz w:val="20"/>
              </w:rPr>
              <w:t>非常严重，死亡1～2人</w:t>
            </w:r>
          </w:p>
        </w:tc>
        <w:tc>
          <w:tcPr>
            <w:tcW w:w="2195" w:type="dxa"/>
          </w:tcPr>
          <w:p>
            <w:pPr>
              <w:pStyle w:val="95"/>
              <w:ind w:firstLine="480"/>
              <w:rPr>
                <w:b/>
                <w:bCs/>
                <w:kern w:val="0"/>
                <w:sz w:val="20"/>
              </w:rPr>
            </w:pPr>
            <w:r>
              <w:rPr>
                <w:rFonts w:hint="eastAsia"/>
                <w:kern w:val="0"/>
                <w:sz w:val="20"/>
              </w:rPr>
              <w:t>100～1000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Align w:val="center"/>
          </w:tcPr>
          <w:p>
            <w:pPr>
              <w:pStyle w:val="95"/>
              <w:ind w:firstLine="480"/>
              <w:rPr>
                <w:b/>
                <w:bCs/>
                <w:kern w:val="0"/>
                <w:sz w:val="20"/>
              </w:rPr>
            </w:pPr>
            <w:r>
              <w:rPr>
                <w:rFonts w:hint="eastAsia"/>
                <w:kern w:val="0"/>
                <w:sz w:val="20"/>
              </w:rPr>
              <w:t>4</w:t>
            </w:r>
          </w:p>
        </w:tc>
        <w:tc>
          <w:tcPr>
            <w:tcW w:w="1523" w:type="dxa"/>
            <w:vAlign w:val="center"/>
          </w:tcPr>
          <w:p>
            <w:pPr>
              <w:pStyle w:val="95"/>
              <w:ind w:firstLine="480"/>
              <w:rPr>
                <w:b/>
                <w:bCs/>
                <w:kern w:val="0"/>
                <w:sz w:val="20"/>
              </w:rPr>
            </w:pPr>
            <w:r>
              <w:rPr>
                <w:rFonts w:hint="eastAsia"/>
                <w:kern w:val="0"/>
                <w:sz w:val="20"/>
              </w:rPr>
              <w:t>7</w:t>
            </w:r>
          </w:p>
        </w:tc>
        <w:tc>
          <w:tcPr>
            <w:tcW w:w="3403" w:type="dxa"/>
          </w:tcPr>
          <w:p>
            <w:pPr>
              <w:pStyle w:val="95"/>
              <w:ind w:firstLine="480"/>
              <w:rPr>
                <w:b/>
                <w:bCs/>
                <w:kern w:val="0"/>
                <w:sz w:val="20"/>
              </w:rPr>
            </w:pPr>
            <w:r>
              <w:rPr>
                <w:rFonts w:hint="eastAsia"/>
                <w:kern w:val="0"/>
                <w:sz w:val="20"/>
              </w:rPr>
              <w:t>多人中毒或重伤</w:t>
            </w:r>
          </w:p>
        </w:tc>
        <w:tc>
          <w:tcPr>
            <w:tcW w:w="2195" w:type="dxa"/>
          </w:tcPr>
          <w:p>
            <w:pPr>
              <w:pStyle w:val="95"/>
              <w:ind w:firstLine="480"/>
              <w:rPr>
                <w:b/>
                <w:bCs/>
                <w:kern w:val="0"/>
                <w:sz w:val="20"/>
              </w:rPr>
            </w:pPr>
            <w:r>
              <w:rPr>
                <w:rFonts w:hint="eastAsia"/>
                <w:kern w:val="0"/>
                <w:sz w:val="20"/>
              </w:rPr>
              <w:t xml:space="preserve">50～100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Align w:val="center"/>
          </w:tcPr>
          <w:p>
            <w:pPr>
              <w:pStyle w:val="95"/>
              <w:ind w:firstLine="480"/>
              <w:rPr>
                <w:b/>
                <w:bCs/>
                <w:kern w:val="0"/>
                <w:sz w:val="20"/>
              </w:rPr>
            </w:pPr>
            <w:r>
              <w:rPr>
                <w:rFonts w:hint="eastAsia"/>
                <w:kern w:val="0"/>
                <w:sz w:val="20"/>
              </w:rPr>
              <w:t>5</w:t>
            </w:r>
          </w:p>
        </w:tc>
        <w:tc>
          <w:tcPr>
            <w:tcW w:w="1523" w:type="dxa"/>
            <w:vAlign w:val="center"/>
          </w:tcPr>
          <w:p>
            <w:pPr>
              <w:pStyle w:val="95"/>
              <w:ind w:firstLine="480"/>
              <w:rPr>
                <w:b/>
                <w:bCs/>
                <w:kern w:val="0"/>
                <w:sz w:val="20"/>
              </w:rPr>
            </w:pPr>
            <w:r>
              <w:rPr>
                <w:rFonts w:hint="eastAsia"/>
                <w:kern w:val="0"/>
                <w:sz w:val="20"/>
              </w:rPr>
              <w:t>3</w:t>
            </w:r>
          </w:p>
        </w:tc>
        <w:tc>
          <w:tcPr>
            <w:tcW w:w="3403" w:type="dxa"/>
          </w:tcPr>
          <w:p>
            <w:pPr>
              <w:pStyle w:val="95"/>
              <w:ind w:firstLine="480"/>
              <w:rPr>
                <w:b/>
                <w:bCs/>
                <w:kern w:val="0"/>
                <w:sz w:val="20"/>
              </w:rPr>
            </w:pPr>
            <w:r>
              <w:rPr>
                <w:rFonts w:hint="eastAsia"/>
                <w:kern w:val="0"/>
                <w:sz w:val="20"/>
              </w:rPr>
              <w:t>至少1人致残</w:t>
            </w:r>
          </w:p>
        </w:tc>
        <w:tc>
          <w:tcPr>
            <w:tcW w:w="2195" w:type="dxa"/>
          </w:tcPr>
          <w:p>
            <w:pPr>
              <w:pStyle w:val="95"/>
              <w:ind w:firstLine="480"/>
              <w:rPr>
                <w:b/>
                <w:bCs/>
                <w:kern w:val="0"/>
                <w:sz w:val="20"/>
              </w:rPr>
            </w:pPr>
            <w:r>
              <w:rPr>
                <w:rFonts w:hint="eastAsia"/>
                <w:kern w:val="0"/>
                <w:sz w:val="20"/>
              </w:rP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dxa"/>
            <w:vAlign w:val="center"/>
          </w:tcPr>
          <w:p>
            <w:pPr>
              <w:pStyle w:val="95"/>
              <w:ind w:firstLine="480"/>
              <w:rPr>
                <w:b/>
                <w:bCs/>
                <w:kern w:val="0"/>
                <w:sz w:val="20"/>
              </w:rPr>
            </w:pPr>
            <w:r>
              <w:rPr>
                <w:rFonts w:hint="eastAsia"/>
                <w:kern w:val="0"/>
                <w:sz w:val="20"/>
              </w:rPr>
              <w:t>6</w:t>
            </w:r>
          </w:p>
        </w:tc>
        <w:tc>
          <w:tcPr>
            <w:tcW w:w="1523" w:type="dxa"/>
            <w:vAlign w:val="center"/>
          </w:tcPr>
          <w:p>
            <w:pPr>
              <w:pStyle w:val="95"/>
              <w:ind w:firstLine="480"/>
              <w:rPr>
                <w:b/>
                <w:bCs/>
                <w:kern w:val="0"/>
                <w:sz w:val="20"/>
              </w:rPr>
            </w:pPr>
            <w:r>
              <w:rPr>
                <w:rFonts w:hint="eastAsia"/>
                <w:kern w:val="0"/>
                <w:sz w:val="20"/>
              </w:rPr>
              <w:t>1</w:t>
            </w:r>
          </w:p>
        </w:tc>
        <w:tc>
          <w:tcPr>
            <w:tcW w:w="3403" w:type="dxa"/>
          </w:tcPr>
          <w:p>
            <w:pPr>
              <w:pStyle w:val="95"/>
              <w:ind w:firstLine="480"/>
              <w:rPr>
                <w:b/>
                <w:bCs/>
                <w:kern w:val="0"/>
                <w:sz w:val="20"/>
              </w:rPr>
            </w:pPr>
            <w:r>
              <w:rPr>
                <w:rFonts w:hint="eastAsia"/>
                <w:kern w:val="0"/>
                <w:sz w:val="20"/>
              </w:rPr>
              <w:t>轻伤</w:t>
            </w:r>
          </w:p>
        </w:tc>
        <w:tc>
          <w:tcPr>
            <w:tcW w:w="2195" w:type="dxa"/>
          </w:tcPr>
          <w:p>
            <w:pPr>
              <w:pStyle w:val="95"/>
              <w:ind w:firstLine="480"/>
              <w:rPr>
                <w:b/>
                <w:bCs/>
                <w:kern w:val="0"/>
                <w:sz w:val="20"/>
              </w:rPr>
            </w:pPr>
            <w:r>
              <w:rPr>
                <w:rFonts w:hint="eastAsia"/>
                <w:kern w:val="0"/>
                <w:sz w:val="20"/>
              </w:rPr>
              <w:t>1～10</w:t>
            </w:r>
          </w:p>
        </w:tc>
      </w:tr>
    </w:tbl>
    <w:p>
      <w:pPr>
        <w:ind w:firstLine="480"/>
      </w:pPr>
      <w:r>
        <w:rPr>
          <w:rFonts w:hint="eastAsia"/>
        </w:rPr>
        <w:t>（4）风险值（D）</w:t>
      </w:r>
    </w:p>
    <w:p>
      <w:pPr>
        <w:ind w:firstLine="480"/>
      </w:pPr>
      <w:r>
        <w:t>根据公式</w:t>
      </w:r>
      <w:r>
        <w:rPr>
          <w:rFonts w:hint="eastAsia"/>
        </w:rPr>
        <w:t>D=L×E×C</w:t>
      </w:r>
      <w:r>
        <w:t>，求出风险值D。风险值D值在</w:t>
      </w:r>
      <w:r>
        <w:rPr>
          <w:rFonts w:hint="eastAsia"/>
        </w:rPr>
        <w:t>70</w:t>
      </w:r>
      <w:r>
        <w:t>以下时为</w:t>
      </w:r>
      <w:r>
        <w:rPr>
          <w:rFonts w:hint="eastAsia"/>
        </w:rPr>
        <w:t>Ⅰ</w:t>
      </w:r>
      <w:r>
        <w:t>级风险；在70~160之间为</w:t>
      </w:r>
      <w:r>
        <w:rPr>
          <w:rFonts w:hint="eastAsia"/>
        </w:rPr>
        <w:t>Ⅱ</w:t>
      </w:r>
      <w:r>
        <w:t>级风险；在160~320之间为</w:t>
      </w:r>
      <w:r>
        <w:rPr>
          <w:rFonts w:hint="eastAsia"/>
        </w:rPr>
        <w:t>Ⅲ</w:t>
      </w:r>
      <w:r>
        <w:t>级风险；D值大于320时为</w:t>
      </w:r>
      <w:r>
        <w:rPr>
          <w:rFonts w:hint="eastAsia"/>
        </w:rPr>
        <w:t>Ⅳ</w:t>
      </w:r>
      <w:r>
        <w:t>级风险。风险等级划分见</w:t>
      </w:r>
      <w:r>
        <w:rPr>
          <w:rFonts w:hint="eastAsia"/>
          <w:b/>
          <w:bCs/>
        </w:rPr>
        <w:t>表6</w:t>
      </w:r>
      <w:r>
        <w:rPr>
          <w:b/>
          <w:bCs/>
        </w:rPr>
        <w:t>.1.1-4</w:t>
      </w:r>
      <w:r>
        <w:fldChar w:fldCharType="begin"/>
      </w:r>
      <w:r>
        <w:instrText xml:space="preserve"> REF _Ref59526525 \h  \* MERGEFORMAT </w:instrText>
      </w:r>
      <w:r>
        <w:fldChar w:fldCharType="end"/>
      </w:r>
      <w:r>
        <w:rPr>
          <w:rFonts w:hint="eastAsia"/>
        </w:rPr>
        <w:t>。</w:t>
      </w:r>
    </w:p>
    <w:p>
      <w:pPr>
        <w:pStyle w:val="89"/>
        <w:spacing w:before="156"/>
      </w:pPr>
      <w:r>
        <w:t>表</w:t>
      </w:r>
      <w:r>
        <w:rPr>
          <w:rFonts w:hint="eastAsia"/>
        </w:rPr>
        <w:t>6</w:t>
      </w:r>
      <w:r>
        <w:t xml:space="preserve">.1.1-4  </w:t>
      </w:r>
      <w:r>
        <w:rPr>
          <w:rFonts w:hint="eastAsia"/>
        </w:rPr>
        <w:t>LEC法评估结果分级</w:t>
      </w:r>
    </w:p>
    <w:tbl>
      <w:tblPr>
        <w:tblStyle w:val="4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268"/>
        <w:gridCol w:w="45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1" w:type="dxa"/>
            <w:vAlign w:val="center"/>
          </w:tcPr>
          <w:p>
            <w:pPr>
              <w:pStyle w:val="95"/>
              <w:ind w:firstLine="482"/>
              <w:rPr>
                <w:rFonts w:cs="Times New Roman"/>
                <w:b/>
                <w:bCs/>
                <w:kern w:val="0"/>
                <w:sz w:val="20"/>
                <w:szCs w:val="21"/>
              </w:rPr>
            </w:pPr>
            <w:r>
              <w:rPr>
                <w:rFonts w:cs="Times New Roman"/>
                <w:b/>
                <w:bCs/>
                <w:kern w:val="0"/>
                <w:sz w:val="20"/>
                <w:szCs w:val="21"/>
              </w:rPr>
              <w:t>风险等级</w:t>
            </w:r>
          </w:p>
        </w:tc>
        <w:tc>
          <w:tcPr>
            <w:tcW w:w="2268" w:type="dxa"/>
            <w:vAlign w:val="center"/>
          </w:tcPr>
          <w:p>
            <w:pPr>
              <w:pStyle w:val="95"/>
              <w:ind w:firstLine="482"/>
              <w:rPr>
                <w:rFonts w:cs="Times New Roman"/>
                <w:b/>
                <w:bCs/>
                <w:kern w:val="0"/>
                <w:sz w:val="20"/>
                <w:szCs w:val="21"/>
              </w:rPr>
            </w:pPr>
            <w:r>
              <w:rPr>
                <w:rFonts w:cs="Times New Roman"/>
                <w:b/>
                <w:bCs/>
                <w:kern w:val="0"/>
                <w:sz w:val="20"/>
                <w:szCs w:val="21"/>
              </w:rPr>
              <w:t>D值</w:t>
            </w:r>
          </w:p>
        </w:tc>
        <w:tc>
          <w:tcPr>
            <w:tcW w:w="4535" w:type="dxa"/>
            <w:vAlign w:val="center"/>
          </w:tcPr>
          <w:p>
            <w:pPr>
              <w:pStyle w:val="95"/>
              <w:ind w:firstLine="482"/>
              <w:rPr>
                <w:rFonts w:cs="Times New Roman"/>
                <w:b/>
                <w:bCs/>
                <w:kern w:val="0"/>
                <w:sz w:val="20"/>
                <w:szCs w:val="21"/>
              </w:rPr>
            </w:pPr>
            <w:r>
              <w:rPr>
                <w:rFonts w:cs="Times New Roman"/>
                <w:b/>
                <w:bCs/>
                <w:kern w:val="0"/>
                <w:sz w:val="20"/>
                <w:szCs w:val="21"/>
              </w:rPr>
              <w:t>危险程度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pPr>
              <w:pStyle w:val="95"/>
              <w:ind w:firstLine="480"/>
              <w:rPr>
                <w:rFonts w:cs="Times New Roman"/>
                <w:b/>
                <w:bCs/>
                <w:kern w:val="2"/>
                <w:sz w:val="20"/>
                <w:szCs w:val="21"/>
              </w:rPr>
            </w:pPr>
            <w:r>
              <w:rPr>
                <w:rFonts w:cs="Times New Roman"/>
                <w:kern w:val="2"/>
                <w:sz w:val="20"/>
                <w:szCs w:val="21"/>
              </w:rPr>
              <w:t>Ⅳ</w:t>
            </w:r>
          </w:p>
        </w:tc>
        <w:tc>
          <w:tcPr>
            <w:tcW w:w="2268" w:type="dxa"/>
            <w:vAlign w:val="center"/>
          </w:tcPr>
          <w:p>
            <w:pPr>
              <w:pStyle w:val="95"/>
              <w:ind w:firstLine="480"/>
              <w:rPr>
                <w:rFonts w:cs="Times New Roman"/>
                <w:b/>
                <w:bCs/>
                <w:kern w:val="0"/>
                <w:sz w:val="20"/>
                <w:szCs w:val="21"/>
              </w:rPr>
            </w:pPr>
            <w:r>
              <w:rPr>
                <w:rFonts w:cs="Times New Roman"/>
                <w:kern w:val="0"/>
                <w:sz w:val="20"/>
                <w:szCs w:val="21"/>
              </w:rPr>
              <w:t>＞320</w:t>
            </w:r>
          </w:p>
        </w:tc>
        <w:tc>
          <w:tcPr>
            <w:tcW w:w="4535" w:type="dxa"/>
            <w:vAlign w:val="center"/>
          </w:tcPr>
          <w:p>
            <w:pPr>
              <w:pStyle w:val="95"/>
              <w:ind w:firstLine="480"/>
              <w:rPr>
                <w:rFonts w:cs="Times New Roman"/>
                <w:b/>
                <w:bCs/>
                <w:kern w:val="0"/>
                <w:sz w:val="20"/>
                <w:szCs w:val="21"/>
              </w:rPr>
            </w:pPr>
            <w:r>
              <w:rPr>
                <w:rFonts w:cs="Times New Roman"/>
                <w:kern w:val="0"/>
                <w:sz w:val="20"/>
                <w:szCs w:val="21"/>
              </w:rPr>
              <w:t>重大风险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pPr>
              <w:pStyle w:val="95"/>
              <w:ind w:firstLine="480"/>
              <w:rPr>
                <w:rFonts w:cs="Times New Roman"/>
                <w:b/>
                <w:bCs/>
                <w:kern w:val="2"/>
                <w:sz w:val="20"/>
                <w:szCs w:val="21"/>
              </w:rPr>
            </w:pPr>
            <w:r>
              <w:rPr>
                <w:rFonts w:cs="Times New Roman"/>
                <w:kern w:val="2"/>
                <w:sz w:val="20"/>
                <w:szCs w:val="21"/>
              </w:rPr>
              <w:t>Ⅲ</w:t>
            </w:r>
          </w:p>
        </w:tc>
        <w:tc>
          <w:tcPr>
            <w:tcW w:w="2268" w:type="dxa"/>
            <w:vAlign w:val="center"/>
          </w:tcPr>
          <w:p>
            <w:pPr>
              <w:pStyle w:val="95"/>
              <w:ind w:firstLine="480"/>
              <w:rPr>
                <w:rFonts w:cs="Times New Roman"/>
                <w:b/>
                <w:bCs/>
                <w:kern w:val="0"/>
                <w:sz w:val="20"/>
                <w:szCs w:val="21"/>
              </w:rPr>
            </w:pPr>
            <w:r>
              <w:rPr>
                <w:rFonts w:cs="Times New Roman"/>
                <w:kern w:val="0"/>
                <w:sz w:val="20"/>
                <w:szCs w:val="21"/>
              </w:rPr>
              <w:t>160&lt;D≤320</w:t>
            </w:r>
          </w:p>
        </w:tc>
        <w:tc>
          <w:tcPr>
            <w:tcW w:w="4535" w:type="dxa"/>
            <w:vAlign w:val="center"/>
          </w:tcPr>
          <w:p>
            <w:pPr>
              <w:pStyle w:val="95"/>
              <w:ind w:firstLine="480"/>
              <w:rPr>
                <w:rFonts w:cs="Times New Roman"/>
                <w:b/>
                <w:bCs/>
                <w:kern w:val="0"/>
                <w:sz w:val="20"/>
                <w:szCs w:val="21"/>
              </w:rPr>
            </w:pPr>
            <w:r>
              <w:rPr>
                <w:rFonts w:cs="Times New Roman"/>
                <w:kern w:val="0"/>
                <w:sz w:val="20"/>
                <w:szCs w:val="21"/>
              </w:rPr>
              <w:t>较大风险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pPr>
              <w:pStyle w:val="95"/>
              <w:ind w:firstLine="480"/>
              <w:rPr>
                <w:rFonts w:cs="Times New Roman"/>
                <w:b/>
                <w:bCs/>
                <w:kern w:val="2"/>
                <w:sz w:val="20"/>
                <w:szCs w:val="21"/>
              </w:rPr>
            </w:pPr>
            <w:r>
              <w:rPr>
                <w:rFonts w:cs="Times New Roman"/>
                <w:kern w:val="2"/>
                <w:sz w:val="20"/>
                <w:szCs w:val="21"/>
              </w:rPr>
              <w:t>Ⅱ</w:t>
            </w:r>
          </w:p>
        </w:tc>
        <w:tc>
          <w:tcPr>
            <w:tcW w:w="2268" w:type="dxa"/>
            <w:vAlign w:val="center"/>
          </w:tcPr>
          <w:p>
            <w:pPr>
              <w:pStyle w:val="95"/>
              <w:ind w:firstLine="480"/>
              <w:rPr>
                <w:rFonts w:cs="Times New Roman"/>
                <w:b/>
                <w:bCs/>
                <w:kern w:val="0"/>
                <w:sz w:val="20"/>
                <w:szCs w:val="21"/>
              </w:rPr>
            </w:pPr>
            <w:r>
              <w:rPr>
                <w:rFonts w:cs="Times New Roman"/>
                <w:kern w:val="0"/>
                <w:sz w:val="20"/>
                <w:szCs w:val="21"/>
              </w:rPr>
              <w:t>70&lt;D≤160</w:t>
            </w:r>
          </w:p>
        </w:tc>
        <w:tc>
          <w:tcPr>
            <w:tcW w:w="4535" w:type="dxa"/>
            <w:vAlign w:val="center"/>
          </w:tcPr>
          <w:p>
            <w:pPr>
              <w:pStyle w:val="95"/>
              <w:ind w:firstLine="480"/>
              <w:rPr>
                <w:rFonts w:cs="Times New Roman"/>
                <w:b/>
                <w:bCs/>
                <w:kern w:val="0"/>
                <w:sz w:val="20"/>
                <w:szCs w:val="21"/>
              </w:rPr>
            </w:pPr>
            <w:r>
              <w:rPr>
                <w:rFonts w:cs="Times New Roman"/>
                <w:kern w:val="0"/>
                <w:sz w:val="20"/>
                <w:szCs w:val="21"/>
              </w:rPr>
              <w:t>一般风险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pPr>
              <w:pStyle w:val="95"/>
              <w:ind w:firstLine="480"/>
              <w:rPr>
                <w:rFonts w:cs="Times New Roman"/>
                <w:b/>
                <w:bCs/>
                <w:kern w:val="2"/>
                <w:sz w:val="20"/>
                <w:szCs w:val="21"/>
              </w:rPr>
            </w:pPr>
            <w:r>
              <w:rPr>
                <w:rFonts w:cs="Times New Roman"/>
                <w:kern w:val="2"/>
                <w:sz w:val="20"/>
                <w:szCs w:val="21"/>
              </w:rPr>
              <w:t>Ⅰ</w:t>
            </w:r>
          </w:p>
        </w:tc>
        <w:tc>
          <w:tcPr>
            <w:tcW w:w="2268" w:type="dxa"/>
            <w:vAlign w:val="center"/>
          </w:tcPr>
          <w:p>
            <w:pPr>
              <w:pStyle w:val="95"/>
              <w:ind w:firstLine="480"/>
              <w:rPr>
                <w:rFonts w:cs="Times New Roman"/>
                <w:b/>
                <w:bCs/>
                <w:kern w:val="0"/>
                <w:sz w:val="20"/>
                <w:szCs w:val="21"/>
              </w:rPr>
            </w:pPr>
            <w:r>
              <w:rPr>
                <w:rFonts w:cs="Times New Roman"/>
                <w:kern w:val="0"/>
                <w:sz w:val="20"/>
                <w:szCs w:val="21"/>
              </w:rPr>
              <w:t>＜70</w:t>
            </w:r>
          </w:p>
        </w:tc>
        <w:tc>
          <w:tcPr>
            <w:tcW w:w="4535" w:type="dxa"/>
            <w:vAlign w:val="center"/>
          </w:tcPr>
          <w:p>
            <w:pPr>
              <w:pStyle w:val="95"/>
              <w:ind w:firstLine="480"/>
              <w:rPr>
                <w:rFonts w:cs="Times New Roman"/>
                <w:b/>
                <w:bCs/>
                <w:kern w:val="0"/>
                <w:sz w:val="20"/>
                <w:szCs w:val="21"/>
              </w:rPr>
            </w:pPr>
            <w:r>
              <w:rPr>
                <w:rFonts w:cs="Times New Roman"/>
                <w:kern w:val="0"/>
                <w:sz w:val="20"/>
                <w:szCs w:val="21"/>
              </w:rPr>
              <w:t>较小风险</w:t>
            </w:r>
          </w:p>
        </w:tc>
      </w:tr>
    </w:tbl>
    <w:p>
      <w:pPr>
        <w:ind w:firstLine="480"/>
      </w:pPr>
      <w:r>
        <w:rPr>
          <w:rFonts w:hint="eastAsia"/>
        </w:rPr>
        <w:t>（5）处置措施</w:t>
      </w:r>
    </w:p>
    <w:p>
      <w:pPr>
        <w:ind w:firstLine="480"/>
      </w:pPr>
      <w:r>
        <w:t>Ⅰ级：较小风险，发生风险事件概率、危害程度均为小，或者风险事件概率为中、危害程度为小，或者风险事件概率为小、危害程度为中；由班组管控；</w:t>
      </w:r>
    </w:p>
    <w:p>
      <w:pPr>
        <w:ind w:firstLine="480"/>
      </w:pPr>
      <w:r>
        <w:t>Ⅱ级：一般危险，发生风险事件概率、危害程度均为中，或者风险事件概率为大、危害程度为小，或者风险事件概 率为小、危害程度为大；由项目部管控；</w:t>
      </w:r>
    </w:p>
    <w:p>
      <w:pPr>
        <w:ind w:firstLine="480"/>
      </w:pPr>
      <w:r>
        <w:t>Ⅲ级：较大风险，发生风险事件概率为大、危害程度为中，或危害程度为大、发生风险事件概率为中；由分子公司组织项目部共同管控，分子公司重点监督检查；</w:t>
      </w:r>
    </w:p>
    <w:p>
      <w:pPr>
        <w:ind w:firstLine="480"/>
      </w:pPr>
      <w:r>
        <w:t>Ⅳ级：重大风险，发生风险事件概率、危害程度均为大；由公司组织分子公司、项目部共同管控，公司重点监督检查。</w:t>
      </w:r>
    </w:p>
    <w:p>
      <w:pPr>
        <w:pStyle w:val="5"/>
      </w:pPr>
      <w:bookmarkStart w:id="272" w:name="_Toc108095474"/>
      <w:bookmarkStart w:id="273" w:name="_Toc121760007"/>
      <w:r>
        <w:rPr>
          <w:rFonts w:hint="eastAsia"/>
        </w:rPr>
        <w:t>风</w:t>
      </w:r>
      <w:r>
        <w:t>险有害因素</w:t>
      </w:r>
      <w:r>
        <w:rPr>
          <w:rFonts w:hint="eastAsia"/>
        </w:rPr>
        <w:t>辨识及评价</w:t>
      </w:r>
      <w:bookmarkEnd w:id="272"/>
      <w:bookmarkEnd w:id="273"/>
    </w:p>
    <w:p>
      <w:pPr>
        <w:ind w:firstLine="480"/>
      </w:pPr>
      <w:r>
        <w:rPr>
          <w:rFonts w:hint="eastAsia"/>
        </w:rPr>
        <w:t>风</w:t>
      </w:r>
      <w:r>
        <w:t>险有害因素</w:t>
      </w:r>
      <w:r>
        <w:rPr>
          <w:rFonts w:hint="eastAsia"/>
        </w:rPr>
        <w:t>辨识及评价见</w:t>
      </w:r>
      <w:r>
        <w:rPr>
          <w:rFonts w:hint="eastAsia"/>
          <w:b/>
          <w:bCs/>
        </w:rPr>
        <w:t>表</w:t>
      </w:r>
      <w:r>
        <w:rPr>
          <w:b/>
          <w:bCs/>
        </w:rPr>
        <w:t>6</w:t>
      </w:r>
      <w:r>
        <w:rPr>
          <w:rFonts w:hint="eastAsia"/>
          <w:b/>
          <w:bCs/>
        </w:rPr>
        <w:t>.1</w:t>
      </w:r>
      <w:r>
        <w:rPr>
          <w:b/>
          <w:bCs/>
        </w:rPr>
        <w:t>.2</w:t>
      </w:r>
      <w:r>
        <w:rPr>
          <w:rFonts w:hint="eastAsia"/>
          <w:b/>
          <w:bCs/>
        </w:rPr>
        <w:t>-1</w:t>
      </w:r>
      <w:r>
        <w:rPr>
          <w:rFonts w:hint="eastAsia"/>
        </w:rPr>
        <w:t>。</w:t>
      </w:r>
    </w:p>
    <w:p>
      <w:pPr>
        <w:pStyle w:val="5"/>
        <w:spacing w:before="156" w:after="156"/>
      </w:pPr>
      <w:bookmarkStart w:id="274" w:name="_Toc108095475"/>
      <w:bookmarkStart w:id="275" w:name="_Toc121760008"/>
      <w:r>
        <w:rPr>
          <w:rFonts w:hint="eastAsia"/>
        </w:rPr>
        <w:t>风险分析结论</w:t>
      </w:r>
      <w:bookmarkEnd w:id="274"/>
      <w:bookmarkEnd w:id="275"/>
    </w:p>
    <w:p>
      <w:pPr>
        <w:ind w:firstLine="480"/>
        <w:rPr>
          <w:szCs w:val="24"/>
        </w:rPr>
      </w:pPr>
      <w:r>
        <w:t>对</w:t>
      </w:r>
      <w:r>
        <w:rPr>
          <w:rFonts w:hint="eastAsia"/>
        </w:rPr>
        <w:t>施工升降机安拆</w:t>
      </w:r>
      <w:r>
        <w:t>过程中存在的危险有害因素进行辨识，辨识出</w:t>
      </w:r>
      <w:r>
        <w:rPr>
          <w:rFonts w:hint="eastAsia"/>
        </w:rPr>
        <w:t>风</w:t>
      </w:r>
      <w:r>
        <w:t>险有害因素94项，通过评价，得出危害级别为Ⅰ级（0&lt;D≤70）有</w:t>
      </w:r>
      <w:r>
        <w:rPr>
          <w:rFonts w:eastAsiaTheme="minorEastAsia"/>
        </w:rPr>
        <w:t>78</w:t>
      </w:r>
      <w:r>
        <w:t>项，为较小风险，由班组管控。Ⅱ级（70&lt;D≤160）的风险有16项，为一般危险，由项目部管控；Ⅲ级（160&lt;D≤320）的风险有0项，为较大风险，由分子公司组织项目部共同管控，分子公司重点监督检查。Ⅳ级（320&lt;D）的风险有0项，为重大风险，公司组织分子公司、项目部共同管控，公司重点监督检查。具体措施详见6.3</w:t>
      </w:r>
      <w:r>
        <w:rPr>
          <w:rFonts w:hint="eastAsia"/>
        </w:rPr>
        <w:t>章</w:t>
      </w:r>
      <w:r>
        <w:t>节。</w:t>
      </w:r>
    </w:p>
    <w:p>
      <w:pPr>
        <w:ind w:firstLine="480"/>
        <w:sectPr>
          <w:pgSz w:w="11906" w:h="16838"/>
          <w:pgMar w:top="1440" w:right="1800" w:bottom="1440" w:left="1800" w:header="851" w:footer="992" w:gutter="0"/>
          <w:cols w:space="425" w:num="1"/>
          <w:docGrid w:type="lines" w:linePitch="312" w:charSpace="0"/>
        </w:sectPr>
      </w:pPr>
    </w:p>
    <w:p>
      <w:pPr>
        <w:pStyle w:val="89"/>
        <w:spacing w:before="163"/>
      </w:pPr>
      <w:r>
        <w:rPr>
          <w:rFonts w:hint="eastAsia"/>
        </w:rPr>
        <w:t>表</w:t>
      </w:r>
      <w:r>
        <w:t>6</w:t>
      </w:r>
      <w:r>
        <w:rPr>
          <w:rFonts w:hint="eastAsia"/>
        </w:rPr>
        <w:t>.1</w:t>
      </w:r>
      <w:r>
        <w:t>.2</w:t>
      </w:r>
      <w:r>
        <w:rPr>
          <w:rFonts w:hint="eastAsia"/>
        </w:rPr>
        <w:t>-1危险因素分析、识别表</w:t>
      </w:r>
    </w:p>
    <w:tbl>
      <w:tblPr>
        <w:tblStyle w:val="18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990"/>
        <w:gridCol w:w="5142"/>
        <w:gridCol w:w="1494"/>
        <w:gridCol w:w="578"/>
        <w:gridCol w:w="607"/>
        <w:gridCol w:w="720"/>
        <w:gridCol w:w="723"/>
        <w:gridCol w:w="723"/>
        <w:gridCol w:w="729"/>
        <w:gridCol w:w="7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restart"/>
            <w:shd w:val="clear" w:color="auto" w:fill="auto"/>
            <w:noWrap/>
            <w:vAlign w:val="center"/>
          </w:tcPr>
          <w:p>
            <w:pPr>
              <w:widowControl/>
              <w:spacing w:line="240" w:lineRule="auto"/>
              <w:ind w:firstLine="0" w:firstLineChars="0"/>
              <w:jc w:val="center"/>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702" w:type="pct"/>
            <w:vMerge w:val="restar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活动内容</w:t>
            </w:r>
          </w:p>
        </w:tc>
        <w:tc>
          <w:tcPr>
            <w:tcW w:w="1814" w:type="pct"/>
            <w:vMerge w:val="restar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可能存在的隐患</w:t>
            </w:r>
          </w:p>
        </w:tc>
        <w:tc>
          <w:tcPr>
            <w:tcW w:w="527" w:type="pct"/>
            <w:vMerge w:val="restar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潜在事故类型</w:t>
            </w:r>
          </w:p>
        </w:tc>
        <w:tc>
          <w:tcPr>
            <w:tcW w:w="1439" w:type="pct"/>
            <w:gridSpan w:val="6"/>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危险、危害因素评价</w:t>
            </w:r>
          </w:p>
        </w:tc>
        <w:tc>
          <w:tcPr>
            <w:tcW w:w="255" w:type="pct"/>
            <w:vMerge w:val="restar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危害级别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1814"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527"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418" w:type="pct"/>
            <w:gridSpan w:val="2"/>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直接判断</w:t>
            </w:r>
          </w:p>
        </w:tc>
        <w:tc>
          <w:tcPr>
            <w:tcW w:w="1021" w:type="pct"/>
            <w:gridSpan w:val="4"/>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D=LEC</w:t>
            </w:r>
          </w:p>
        </w:tc>
        <w:tc>
          <w:tcPr>
            <w:tcW w:w="255"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1814"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527" w:type="pct"/>
            <w:vMerge w:val="continue"/>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非</w:t>
            </w: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L</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E</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C</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D</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施工准备</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作业人员进场未进行安全培训教育和风险告知；未对作业人员进行安全技术交底或交底不充分</w:t>
            </w:r>
          </w:p>
        </w:tc>
        <w:tc>
          <w:tcPr>
            <w:tcW w:w="52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物体打击、起重伤害、高处坠落、车辆伤害、触电等</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0.2</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40</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48</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作业人员未进行体检或带病作业</w:t>
            </w:r>
          </w:p>
        </w:tc>
        <w:tc>
          <w:tcPr>
            <w:tcW w:w="527"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作业人员未正确佩戴和使用安全防护用品</w:t>
            </w:r>
          </w:p>
        </w:tc>
        <w:tc>
          <w:tcPr>
            <w:tcW w:w="527"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特种作业人员未持证上岗或证件过期</w:t>
            </w:r>
          </w:p>
        </w:tc>
        <w:tc>
          <w:tcPr>
            <w:tcW w:w="527"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材料、设备不合格，存在缺陷</w:t>
            </w:r>
          </w:p>
        </w:tc>
        <w:tc>
          <w:tcPr>
            <w:tcW w:w="527"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气象跟踪不及时，恶劣天气施工</w:t>
            </w:r>
          </w:p>
        </w:tc>
        <w:tc>
          <w:tcPr>
            <w:tcW w:w="527"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辅助钢管附墙未安装或者安装不牢靠</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未设置附墙安拆时的施工操作平台</w:t>
            </w:r>
          </w:p>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或操作平台不牢靠</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eastAsia="等线"/>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施工升降机安装或拆卸队伍无资质证书</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或不符合要求，</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施工升降机基础安装施工</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型钢基础未按要求进行验算或计算取值不合理</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型钢基础未安装设计要求加工</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或未按照设计间距安装布置</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基础施工质量不合格</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安装作业前未对施工升降机基础</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（含隐蔽工程）进行检查验收。</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非</w:t>
            </w: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底架及标准节安装</w:t>
            </w: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底架固定不牢固、底架底部脱空、底架安装</w:t>
            </w:r>
          </w:p>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角度以及平面位置偏差较大</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标准节型号不对、标准节安装连接螺栓未拧紧到位</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或者螺栓数量不足</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标准节有可见裂纹、严重锈蚀、严重磨损、整体</w:t>
            </w:r>
          </w:p>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或局部变形</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当需安装导轨架加厚标准节时，没有确保普通标准节和加厚标准节的安装部位正确，存在用普通标准节替代加厚标准节现象。</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0.2</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40</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48</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导轨架与底座连接不牢固</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外笼安装</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外笼分片安装时，未加临时支撑，或支撑不牢靠</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外笼分片安装时，未及时将相邻其连成整体</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或连接不牢靠</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吊笼及其顶部围栏及传动机构安装</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吊笼导轮未准确卡入导轨内</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安装围栏时，作业人员未系挂安全带</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或者将安全带系挂在不稳固处</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吊笼顶部的耳板锈蚀、变形严重</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未使用配备的专用爬梯，或者爬梯未安装稳固</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吊笼安装时，倾斜导轨架发生倾覆</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吊杆安装</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吊杆对接偏位或者连接处不牢靠</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吊杆质量不合格</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电气设备和控制系统安装</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各类安全控制开关质量不合格</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hint="eastAsia" w:eastAsia="等线"/>
                <w:color w:val="000000"/>
                <w:kern w:val="0"/>
                <w:sz w:val="21"/>
              </w:rPr>
              <w:t>0</w:t>
            </w:r>
            <w:r>
              <w:rPr>
                <w:rFonts w:eastAsia="等线"/>
                <w:color w:val="000000"/>
                <w:kern w:val="0"/>
                <w:sz w:val="21"/>
              </w:rPr>
              <w:t>.5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部分安全控制开关或者控制系统漏安或者缺失</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hint="eastAsia" w:eastAsia="等线"/>
                <w:color w:val="000000"/>
                <w:kern w:val="0"/>
                <w:sz w:val="21"/>
              </w:rPr>
              <w:t>0</w:t>
            </w:r>
            <w:r>
              <w:rPr>
                <w:rFonts w:eastAsia="等线"/>
                <w:color w:val="000000"/>
                <w:kern w:val="0"/>
                <w:sz w:val="21"/>
              </w:rPr>
              <w:t>.5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施工升降机未安装超载保护装置。</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导轨架加高以及附墙架安装</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导轨架间连接不牢固</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附墙未按要求进行验算或计算取值不合理</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eastAsia="等线"/>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附墙架附着点处的结构承载力不满足</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施工升降机使用说明书的要求。</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施工升降机的附墙架形式、附着高度、垂直间距、附着点水平距离、附墙架与水平面之间的夹角、导轨架自由端高度和导轨架与主体结构间水平距离等不符合使用说明书的要求。</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施工升降机导轨架安装角度偏差不符合规定。</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接高导轨架标准节时，未按使用说明书的规定进行附墙连接。</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施工升降机、笼梯安装时未及时安装附墙杆</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附墙架安装作业时，未设置操作平台或平台不合理</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电缆导向装置安装</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滑触线质量不合格</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滑触线接头质量不合格、间隙过大</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滑触线接头及进线接头与标准节的斜撑相互干涉</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未及时安装防坠挂件</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9</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2"/>
                <w:szCs w:val="22"/>
              </w:rPr>
            </w:pPr>
            <w:r>
              <w:rPr>
                <w:rFonts w:hint="eastAsia" w:ascii="宋体" w:hAnsi="宋体" w:cs="宋体"/>
                <w:color w:val="000000"/>
                <w:kern w:val="0"/>
                <w:sz w:val="22"/>
                <w:szCs w:val="22"/>
              </w:rPr>
              <w:t>升降机运行作业</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施工升降机运行通道内有障碍物</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9</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2"/>
                <w:szCs w:val="22"/>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施工升降机额定载重量、额定乘员数标牌未置于吊笼醒目位置。</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2"/>
                <w:szCs w:val="22"/>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施工升降机作业范围内未设置明显的安全警示标志</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2"/>
                <w:szCs w:val="22"/>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lang w:eastAsia="zh-CN"/>
              </w:rPr>
              <w:t>施工升降机</w:t>
            </w:r>
            <w:r>
              <w:rPr>
                <w:rFonts w:hint="eastAsia" w:ascii="宋体" w:hAnsi="宋体" w:cs="宋体"/>
                <w:b/>
                <w:bCs/>
                <w:color w:val="000000"/>
                <w:kern w:val="0"/>
                <w:sz w:val="21"/>
              </w:rPr>
              <w:t>运行过程中脱离轨道</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2"/>
                <w:szCs w:val="22"/>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施工升降机地面通道上方未搭设防护棚（安全通道），或者安全通道长度不足。</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物体打击</w:t>
            </w:r>
          </w:p>
        </w:tc>
        <w:tc>
          <w:tcPr>
            <w:tcW w:w="20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施工升降机拆除准备工作</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未设置施工升降机专用堆放场地或者堆放超高</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拆卸过程中为准备专用工具和设备</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吊笼未拆除之前，有非拆卸作业人员在地面防护围栏内、施工升降机运行通道内、导轨架内以及附墙架上等区域活动。</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机械伤害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导轨架以及附墙架拆除</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待拆除节段与底下导轨架节段之间的连接未解除，进行拆除吊装作业</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拆除时，导轨架悬臂自由长度过长</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与基础相连的导轨架在最后一个附墙架拆除后，不能保持各方向的稳定性。</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坍塌</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当拆卸作业不能连续完成时，未根据拆卸状态采取相应的安全措施。</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机械伤害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9</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夜间进行施工升降机的拆卸作业。</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高处坠落</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临时用电</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配电箱配置不符合要求，固定不牢</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配电系统未按</w:t>
            </w:r>
            <w:r>
              <w:rPr>
                <w:color w:val="000000"/>
                <w:kern w:val="0"/>
                <w:sz w:val="21"/>
              </w:rPr>
              <w:t>“</w:t>
            </w:r>
            <w:r>
              <w:rPr>
                <w:rFonts w:hint="eastAsia" w:ascii="宋体" w:hAnsi="宋体" w:cs="宋体"/>
                <w:color w:val="000000"/>
                <w:kern w:val="0"/>
                <w:sz w:val="21"/>
              </w:rPr>
              <w:t>三级配电、二级防护</w:t>
            </w:r>
            <w:r>
              <w:rPr>
                <w:color w:val="000000"/>
                <w:kern w:val="0"/>
                <w:sz w:val="21"/>
              </w:rPr>
              <w:t>”</w:t>
            </w:r>
            <w:r>
              <w:rPr>
                <w:rFonts w:hint="eastAsia" w:ascii="宋体" w:hAnsi="宋体" w:cs="宋体"/>
                <w:color w:val="000000"/>
                <w:kern w:val="0"/>
                <w:sz w:val="21"/>
              </w:rPr>
              <w:t>进行设置</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hint="eastAsia"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用电设备未做到</w:t>
            </w:r>
            <w:r>
              <w:rPr>
                <w:color w:val="000000"/>
                <w:kern w:val="0"/>
                <w:sz w:val="21"/>
              </w:rPr>
              <w:t>“</w:t>
            </w:r>
            <w:r>
              <w:rPr>
                <w:rFonts w:hint="eastAsia" w:ascii="宋体" w:hAnsi="宋体" w:cs="宋体"/>
                <w:color w:val="000000"/>
                <w:kern w:val="0"/>
                <w:sz w:val="21"/>
              </w:rPr>
              <w:t>一机一闸一漏一箱</w:t>
            </w:r>
            <w:r>
              <w:rPr>
                <w:color w:val="000000"/>
                <w:kern w:val="0"/>
                <w:sz w:val="21"/>
              </w:rPr>
              <w:t>”</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非专业电工进行操作</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电路配置与用电设备功率不匹配；使用非标电缆线或电缆绝缘强度不够，线路老化或电缆线破损</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电缆线未按规范要求敷设或架起；随意拖拽电缆，物料随意压盖电缆；用电设备雨天未防雨遮盖，雨后未检查就使用</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起重作业</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起重作业无专人指挥</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起重吊装工索具选型有误、现场混用或连接不牢靠</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不同起重设备共同作业时，操作不协调</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10</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30</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塔吊上部未装测风仪，</w:t>
            </w:r>
            <w:r>
              <w:rPr>
                <w:color w:val="000000"/>
                <w:kern w:val="0"/>
                <w:sz w:val="21"/>
              </w:rPr>
              <w:t>6</w:t>
            </w:r>
            <w:r>
              <w:rPr>
                <w:rFonts w:hint="eastAsia" w:ascii="宋体" w:hAnsi="宋体" w:cs="宋体"/>
                <w:color w:val="000000"/>
                <w:kern w:val="0"/>
                <w:sz w:val="21"/>
              </w:rPr>
              <w:t>级以上风未停止作业</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10</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30</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未进行定期检查、维护、保养</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10</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30</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起重设备未检验或检验证书过期</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起重设备吊钩安全销损坏、吊钩限位器损坏、钢丝绳磨损或连接销轴松动</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起重指挥信号不明</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起重违章指挥</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起重违章操作</w:t>
            </w:r>
          </w:p>
        </w:tc>
        <w:tc>
          <w:tcPr>
            <w:tcW w:w="527"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b/>
                <w:bCs/>
                <w:color w:val="000000"/>
                <w:kern w:val="0"/>
                <w:sz w:val="21"/>
              </w:rPr>
            </w:pPr>
            <w:r>
              <w:rPr>
                <w:rFonts w:eastAsia="等线"/>
                <w:b/>
                <w:bCs/>
                <w:color w:val="000000"/>
                <w:kern w:val="0"/>
                <w:sz w:val="21"/>
              </w:rPr>
              <w:t>90</w:t>
            </w:r>
          </w:p>
        </w:tc>
        <w:tc>
          <w:tcPr>
            <w:tcW w:w="255" w:type="pct"/>
            <w:shd w:val="clear" w:color="auto" w:fill="auto"/>
            <w:vAlign w:val="center"/>
          </w:tcPr>
          <w:p>
            <w:pPr>
              <w:widowControl/>
              <w:spacing w:line="240" w:lineRule="auto"/>
              <w:ind w:firstLine="0" w:firstLineChars="0"/>
              <w:jc w:val="center"/>
              <w:rPr>
                <w:rFonts w:ascii="宋体" w:hAnsi="宋体" w:cs="宋体"/>
                <w:b/>
                <w:bCs/>
                <w:color w:val="000000"/>
                <w:kern w:val="0"/>
                <w:sz w:val="21"/>
              </w:rPr>
            </w:pPr>
            <w:r>
              <w:rPr>
                <w:rFonts w:hint="eastAsia" w:ascii="宋体" w:hAnsi="宋体" w:cs="宋体"/>
                <w:b/>
                <w:bCs/>
                <w:color w:val="000000"/>
                <w:kern w:val="0"/>
                <w:sz w:val="21"/>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起重吊装未设置警戒区，人员在起吊物、臂杆下方停留、作业</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起重伤害、物体打击</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吊物捆扎或连接不牢固；</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吊物未设置揽风绳固定；</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吊物重量不明或未进行试吊就直接吊装，起吊钢丝绳规格未经验算、超负荷起吊</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起吊前未对钢丝绳及连接部位和吊具进行检查</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10</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60</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大雨、雾、大雪及六级以上大风等恶劣天气</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进行吊装作业</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起吊构件未解除连接，便开始起吊</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未按规定要求安装安全监控系统</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单个主塔的两台塔吊吊装时相互之间的安全距离小于</w:t>
            </w:r>
            <w:r>
              <w:rPr>
                <w:color w:val="000000"/>
                <w:kern w:val="0"/>
                <w:sz w:val="21"/>
              </w:rPr>
              <w:t>2</w:t>
            </w:r>
            <w:r>
              <w:rPr>
                <w:rFonts w:hint="eastAsia" w:ascii="宋体" w:hAnsi="宋体" w:cs="宋体"/>
                <w:color w:val="000000"/>
                <w:kern w:val="0"/>
                <w:sz w:val="21"/>
              </w:rPr>
              <w:t>米</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起重伤害</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气割电焊作业</w:t>
            </w: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动火作业无审批手续</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火灾等</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氧气、乙炔气瓶混放或安全间距不足，固定不牢固；在气瓶附近吸烟或动火</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容器爆炸、火灾</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气瓶未安装防回火装置或装置失效；</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高温天气气瓶未遮盖</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容器爆炸</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气瓶阀门或压力表坏损</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容器爆炸、火灾</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气割割枪或软管坏损、漏气</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火灾</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电焊机使用前未检验或出现故障；未规范有效接地</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电焊机无二级保护或保护装置失效</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电焊机检修时未切断电源</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0.5</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雨天进行露天电焊作业，潮湿区域作业人员未置于干燥绝缘物体上焊接作业</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触电</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15</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45</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切割及焊接作业未设置挡火板</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火灾</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焊工和切割工没有佩戴耐火的防护手套</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灼烫</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54</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焊接时未使用带有滤光镜的头罩或手持面罩，</w:t>
            </w:r>
          </w:p>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或佩戴安全镜、护目镜或其它合适的眼镜</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灼烫</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54</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电焊、气割作业环境通风条件不良</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中毒、窒息</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7</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42</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 w:type="pct"/>
            <w:shd w:val="clear" w:color="auto" w:fill="auto"/>
            <w:noWrap/>
            <w:vAlign w:val="center"/>
          </w:tcPr>
          <w:p>
            <w:pPr>
              <w:pStyle w:val="58"/>
              <w:widowControl/>
              <w:numPr>
                <w:ilvl w:val="0"/>
                <w:numId w:val="20"/>
              </w:numPr>
              <w:spacing w:line="240" w:lineRule="auto"/>
              <w:ind w:firstLineChars="0"/>
              <w:jc w:val="center"/>
              <w:rPr>
                <w:color w:val="000000"/>
                <w:kern w:val="0"/>
                <w:sz w:val="22"/>
                <w:szCs w:val="22"/>
              </w:rPr>
            </w:pPr>
          </w:p>
        </w:tc>
        <w:tc>
          <w:tcPr>
            <w:tcW w:w="702" w:type="pct"/>
            <w:vMerge w:val="continue"/>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181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电焊、气割作业区域未设置警示标志，电焊、气割作业地点未配备灭火器</w:t>
            </w:r>
          </w:p>
        </w:tc>
        <w:tc>
          <w:tcPr>
            <w:tcW w:w="527"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火灾等</w:t>
            </w:r>
          </w:p>
        </w:tc>
        <w:tc>
          <w:tcPr>
            <w:tcW w:w="204"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是</w:t>
            </w:r>
          </w:p>
        </w:tc>
        <w:tc>
          <w:tcPr>
            <w:tcW w:w="214" w:type="pct"/>
            <w:shd w:val="clear" w:color="auto" w:fill="auto"/>
            <w:vAlign w:val="center"/>
          </w:tcPr>
          <w:p>
            <w:pPr>
              <w:widowControl/>
              <w:spacing w:line="240" w:lineRule="auto"/>
              <w:ind w:firstLine="0" w:firstLineChars="0"/>
              <w:jc w:val="center"/>
              <w:rPr>
                <w:rFonts w:ascii="宋体" w:hAnsi="宋体" w:cs="宋体"/>
                <w:color w:val="000000"/>
                <w:kern w:val="0"/>
                <w:sz w:val="21"/>
              </w:rPr>
            </w:pPr>
          </w:p>
        </w:tc>
        <w:tc>
          <w:tcPr>
            <w:tcW w:w="254"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6</w:t>
            </w:r>
          </w:p>
        </w:tc>
        <w:tc>
          <w:tcPr>
            <w:tcW w:w="255"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1</w:t>
            </w:r>
          </w:p>
        </w:tc>
        <w:tc>
          <w:tcPr>
            <w:tcW w:w="257" w:type="pct"/>
            <w:shd w:val="clear" w:color="auto" w:fill="auto"/>
            <w:vAlign w:val="center"/>
          </w:tcPr>
          <w:p>
            <w:pPr>
              <w:widowControl/>
              <w:spacing w:line="240" w:lineRule="auto"/>
              <w:ind w:firstLine="0" w:firstLineChars="0"/>
              <w:jc w:val="center"/>
              <w:rPr>
                <w:rFonts w:eastAsia="等线"/>
                <w:color w:val="000000"/>
                <w:kern w:val="0"/>
                <w:sz w:val="21"/>
              </w:rPr>
            </w:pPr>
            <w:r>
              <w:rPr>
                <w:rFonts w:eastAsia="等线"/>
                <w:color w:val="000000"/>
                <w:kern w:val="0"/>
                <w:sz w:val="21"/>
              </w:rPr>
              <w:t>36</w:t>
            </w:r>
          </w:p>
        </w:tc>
        <w:tc>
          <w:tcPr>
            <w:tcW w:w="255" w:type="pct"/>
            <w:shd w:val="clear" w:color="auto" w:fill="auto"/>
            <w:vAlign w:val="center"/>
          </w:tcPr>
          <w:p>
            <w:pPr>
              <w:widowControl/>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Ⅰ</w:t>
            </w:r>
          </w:p>
        </w:tc>
      </w:tr>
    </w:tbl>
    <w:p>
      <w:pPr>
        <w:ind w:firstLine="480"/>
      </w:pPr>
    </w:p>
    <w:p>
      <w:pPr>
        <w:ind w:firstLine="480"/>
      </w:pPr>
    </w:p>
    <w:p>
      <w:pPr>
        <w:ind w:firstLine="480"/>
        <w:sectPr>
          <w:headerReference r:id="rId21" w:type="default"/>
          <w:pgSz w:w="16838" w:h="11906" w:orient="landscape"/>
          <w:pgMar w:top="1800" w:right="1440" w:bottom="1800" w:left="1440" w:header="851" w:footer="992" w:gutter="0"/>
          <w:cols w:space="425" w:num="1"/>
          <w:docGrid w:type="lines" w:linePitch="326" w:charSpace="0"/>
        </w:sectPr>
      </w:pPr>
    </w:p>
    <w:p>
      <w:pPr>
        <w:pStyle w:val="4"/>
        <w:spacing w:before="156" w:after="156"/>
      </w:pPr>
      <w:bookmarkStart w:id="276" w:name="_Toc100221660"/>
      <w:bookmarkStart w:id="277" w:name="_Toc121760009"/>
      <w:bookmarkStart w:id="278" w:name="_Toc108095476"/>
      <w:r>
        <w:rPr>
          <w:rFonts w:hint="eastAsia"/>
        </w:rPr>
        <w:t>组织保障措施</w:t>
      </w:r>
      <w:bookmarkEnd w:id="276"/>
      <w:bookmarkEnd w:id="277"/>
      <w:bookmarkEnd w:id="278"/>
    </w:p>
    <w:p>
      <w:pPr>
        <w:pStyle w:val="5"/>
        <w:spacing w:before="156" w:after="156"/>
      </w:pPr>
      <w:bookmarkStart w:id="279" w:name="_Toc121760010"/>
      <w:bookmarkStart w:id="280" w:name="_Toc108095477"/>
      <w:bookmarkStart w:id="281" w:name="_Toc17047"/>
      <w:r>
        <w:rPr>
          <w:rFonts w:hint="eastAsia"/>
        </w:rPr>
        <w:t>安全管理组织机构</w:t>
      </w:r>
      <w:bookmarkEnd w:id="279"/>
      <w:bookmarkEnd w:id="280"/>
      <w:bookmarkEnd w:id="281"/>
    </w:p>
    <w:p>
      <w:pPr>
        <w:ind w:firstLine="480"/>
        <w:rPr>
          <w:shd w:val="clear" w:color="auto" w:fill="FFFFFF"/>
        </w:rPr>
      </w:pPr>
      <w:r>
        <w:rPr>
          <w:rFonts w:hint="eastAsia"/>
          <w:shd w:val="clear" w:color="auto" w:fill="FFFFFF"/>
        </w:rPr>
        <w:t>设置以项目经理为第一安全责任人的安全生产保障机构，建立由项目经理任组长、项目班子成员任副组长，由安全部牵头、项目部相关职能部门、各工区、班组负责人为成员的安全生产领导小组。安全生产领导小组的活动贯穿于项目管理、施工技术管理、施工现场管理的全过程。安全组织机构人员组成见表6.2-1，安全组织机构见图6.3-1所示。</w:t>
      </w:r>
    </w:p>
    <w:p>
      <w:pPr>
        <w:pStyle w:val="61"/>
        <w:ind w:firstLine="480"/>
        <w:rPr>
          <w:shd w:val="clear" w:color="auto" w:fill="FFFFFF"/>
        </w:rPr>
      </w:pPr>
      <w:r>
        <w:rPr>
          <w:rFonts w:hint="eastAsia"/>
          <w:shd w:val="clear" w:color="auto" w:fill="FFFFFF"/>
        </w:rPr>
        <w:t>表6.3-1 项目安全组织机构人员组成</w:t>
      </w:r>
    </w:p>
    <w:tbl>
      <w:tblPr>
        <w:tblStyle w:val="6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052"/>
        <w:gridCol w:w="1621"/>
        <w:gridCol w:w="707"/>
        <w:gridCol w:w="1809"/>
        <w:gridCol w:w="13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序号</w:t>
            </w:r>
          </w:p>
        </w:tc>
        <w:tc>
          <w:tcPr>
            <w:tcW w:w="2052" w:type="dxa"/>
            <w:vAlign w:val="center"/>
          </w:tcPr>
          <w:p>
            <w:pPr>
              <w:pStyle w:val="63"/>
              <w:rPr>
                <w:kern w:val="0"/>
              </w:rPr>
            </w:pPr>
            <w:r>
              <w:rPr>
                <w:rFonts w:hint="eastAsia"/>
                <w:kern w:val="0"/>
              </w:rPr>
              <w:t>职务</w:t>
            </w:r>
          </w:p>
        </w:tc>
        <w:tc>
          <w:tcPr>
            <w:tcW w:w="1621" w:type="dxa"/>
            <w:vAlign w:val="center"/>
          </w:tcPr>
          <w:p>
            <w:pPr>
              <w:pStyle w:val="63"/>
              <w:rPr>
                <w:kern w:val="0"/>
              </w:rPr>
            </w:pPr>
            <w:r>
              <w:rPr>
                <w:rFonts w:hint="eastAsia"/>
                <w:kern w:val="0"/>
              </w:rPr>
              <w:t>姓名</w:t>
            </w:r>
          </w:p>
        </w:tc>
        <w:tc>
          <w:tcPr>
            <w:tcW w:w="707" w:type="dxa"/>
            <w:vAlign w:val="center"/>
          </w:tcPr>
          <w:p>
            <w:pPr>
              <w:pStyle w:val="63"/>
              <w:rPr>
                <w:kern w:val="0"/>
              </w:rPr>
            </w:pPr>
            <w:r>
              <w:rPr>
                <w:rFonts w:hint="eastAsia"/>
                <w:kern w:val="0"/>
              </w:rPr>
              <w:t>序号</w:t>
            </w:r>
          </w:p>
        </w:tc>
        <w:tc>
          <w:tcPr>
            <w:tcW w:w="1809" w:type="dxa"/>
            <w:vAlign w:val="center"/>
          </w:tcPr>
          <w:p>
            <w:pPr>
              <w:pStyle w:val="63"/>
              <w:rPr>
                <w:kern w:val="0"/>
              </w:rPr>
            </w:pPr>
            <w:r>
              <w:rPr>
                <w:rFonts w:hint="eastAsia"/>
                <w:kern w:val="0"/>
              </w:rPr>
              <w:t>职务</w:t>
            </w:r>
          </w:p>
        </w:tc>
        <w:tc>
          <w:tcPr>
            <w:tcW w:w="1379" w:type="dxa"/>
            <w:vAlign w:val="center"/>
          </w:tcPr>
          <w:p>
            <w:pPr>
              <w:pStyle w:val="63"/>
              <w:rPr>
                <w:kern w:val="0"/>
              </w:rPr>
            </w:pPr>
            <w:r>
              <w:rPr>
                <w:rFonts w:hint="eastAsia"/>
                <w:kern w:val="0"/>
              </w:rPr>
              <w:t>姓名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1</w:t>
            </w:r>
          </w:p>
        </w:tc>
        <w:tc>
          <w:tcPr>
            <w:tcW w:w="2052" w:type="dxa"/>
            <w:vAlign w:val="center"/>
          </w:tcPr>
          <w:p>
            <w:pPr>
              <w:pStyle w:val="63"/>
              <w:rPr>
                <w:kern w:val="0"/>
              </w:rPr>
            </w:pPr>
            <w:r>
              <w:rPr>
                <w:rFonts w:hint="eastAsia"/>
                <w:kern w:val="0"/>
              </w:rPr>
              <w:t>项目经理</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9</w:t>
            </w:r>
          </w:p>
        </w:tc>
        <w:tc>
          <w:tcPr>
            <w:tcW w:w="1809" w:type="dxa"/>
            <w:vAlign w:val="center"/>
          </w:tcPr>
          <w:p>
            <w:pPr>
              <w:pStyle w:val="63"/>
              <w:rPr>
                <w:kern w:val="0"/>
              </w:rPr>
            </w:pPr>
            <w:r>
              <w:rPr>
                <w:rFonts w:hint="eastAsia"/>
                <w:kern w:val="0"/>
              </w:rPr>
              <w:t>测量室</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2</w:t>
            </w:r>
          </w:p>
        </w:tc>
        <w:tc>
          <w:tcPr>
            <w:tcW w:w="2052" w:type="dxa"/>
            <w:vAlign w:val="center"/>
          </w:tcPr>
          <w:p>
            <w:pPr>
              <w:pStyle w:val="63"/>
              <w:rPr>
                <w:kern w:val="0"/>
              </w:rPr>
            </w:pPr>
            <w:r>
              <w:rPr>
                <w:rFonts w:hint="eastAsia"/>
                <w:kern w:val="0"/>
              </w:rPr>
              <w:t>项目书记</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1</w:t>
            </w:r>
            <w:r>
              <w:rPr>
                <w:kern w:val="0"/>
              </w:rPr>
              <w:t>0</w:t>
            </w:r>
          </w:p>
        </w:tc>
        <w:tc>
          <w:tcPr>
            <w:tcW w:w="1809" w:type="dxa"/>
            <w:vAlign w:val="center"/>
          </w:tcPr>
          <w:p>
            <w:pPr>
              <w:pStyle w:val="63"/>
              <w:rPr>
                <w:kern w:val="0"/>
              </w:rPr>
            </w:pPr>
            <w:r>
              <w:rPr>
                <w:rFonts w:hint="eastAsia"/>
                <w:kern w:val="0"/>
              </w:rPr>
              <w:t>质检部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3</w:t>
            </w:r>
          </w:p>
        </w:tc>
        <w:tc>
          <w:tcPr>
            <w:tcW w:w="2052" w:type="dxa"/>
            <w:vAlign w:val="center"/>
          </w:tcPr>
          <w:p>
            <w:pPr>
              <w:pStyle w:val="63"/>
              <w:rPr>
                <w:kern w:val="0"/>
              </w:rPr>
            </w:pPr>
            <w:r>
              <w:rPr>
                <w:rFonts w:hint="eastAsia"/>
                <w:kern w:val="0"/>
              </w:rPr>
              <w:t>项目副总工</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1</w:t>
            </w:r>
            <w:r>
              <w:rPr>
                <w:kern w:val="0"/>
              </w:rPr>
              <w:t>1</w:t>
            </w:r>
          </w:p>
        </w:tc>
        <w:tc>
          <w:tcPr>
            <w:tcW w:w="1809" w:type="dxa"/>
            <w:vAlign w:val="center"/>
          </w:tcPr>
          <w:p>
            <w:pPr>
              <w:pStyle w:val="63"/>
              <w:rPr>
                <w:kern w:val="0"/>
              </w:rPr>
            </w:pPr>
            <w:r>
              <w:rPr>
                <w:rFonts w:hint="eastAsia"/>
                <w:kern w:val="0"/>
              </w:rPr>
              <w:t>工程管理部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4</w:t>
            </w:r>
          </w:p>
        </w:tc>
        <w:tc>
          <w:tcPr>
            <w:tcW w:w="2052" w:type="dxa"/>
            <w:vAlign w:val="center"/>
          </w:tcPr>
          <w:p>
            <w:pPr>
              <w:pStyle w:val="63"/>
              <w:rPr>
                <w:kern w:val="0"/>
              </w:rPr>
            </w:pPr>
            <w:r>
              <w:rPr>
                <w:rFonts w:hint="eastAsia"/>
                <w:kern w:val="0"/>
              </w:rPr>
              <w:t>安全总监</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1</w:t>
            </w:r>
            <w:r>
              <w:rPr>
                <w:kern w:val="0"/>
              </w:rPr>
              <w:t>2</w:t>
            </w:r>
          </w:p>
        </w:tc>
        <w:tc>
          <w:tcPr>
            <w:tcW w:w="1809" w:type="dxa"/>
            <w:vAlign w:val="center"/>
          </w:tcPr>
          <w:p>
            <w:pPr>
              <w:pStyle w:val="63"/>
              <w:rPr>
                <w:kern w:val="0"/>
              </w:rPr>
            </w:pPr>
            <w:r>
              <w:rPr>
                <w:rFonts w:hint="eastAsia"/>
                <w:kern w:val="0"/>
              </w:rPr>
              <w:t>设备管理部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5</w:t>
            </w:r>
          </w:p>
        </w:tc>
        <w:tc>
          <w:tcPr>
            <w:tcW w:w="2052" w:type="dxa"/>
            <w:vAlign w:val="center"/>
          </w:tcPr>
          <w:p>
            <w:pPr>
              <w:pStyle w:val="63"/>
              <w:rPr>
                <w:kern w:val="0"/>
              </w:rPr>
            </w:pPr>
            <w:r>
              <w:rPr>
                <w:rFonts w:hint="eastAsia"/>
                <w:kern w:val="0"/>
              </w:rPr>
              <w:t>项目副经理</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1</w:t>
            </w:r>
            <w:r>
              <w:rPr>
                <w:kern w:val="0"/>
              </w:rPr>
              <w:t>3</w:t>
            </w:r>
          </w:p>
        </w:tc>
        <w:tc>
          <w:tcPr>
            <w:tcW w:w="1809" w:type="dxa"/>
            <w:vAlign w:val="center"/>
          </w:tcPr>
          <w:p>
            <w:pPr>
              <w:pStyle w:val="63"/>
              <w:rPr>
                <w:kern w:val="0"/>
              </w:rPr>
            </w:pPr>
            <w:r>
              <w:rPr>
                <w:rFonts w:hint="eastAsia"/>
                <w:kern w:val="0"/>
              </w:rPr>
              <w:t>物资管理部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6</w:t>
            </w:r>
          </w:p>
        </w:tc>
        <w:tc>
          <w:tcPr>
            <w:tcW w:w="2052" w:type="dxa"/>
            <w:vAlign w:val="center"/>
          </w:tcPr>
          <w:p>
            <w:pPr>
              <w:pStyle w:val="63"/>
              <w:rPr>
                <w:kern w:val="0"/>
              </w:rPr>
            </w:pPr>
            <w:r>
              <w:rPr>
                <w:rFonts w:hint="eastAsia"/>
                <w:kern w:val="0"/>
              </w:rPr>
              <w:t>项目副经理</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1</w:t>
            </w:r>
            <w:r>
              <w:rPr>
                <w:kern w:val="0"/>
              </w:rPr>
              <w:t>4</w:t>
            </w:r>
          </w:p>
        </w:tc>
        <w:tc>
          <w:tcPr>
            <w:tcW w:w="1809" w:type="dxa"/>
            <w:vAlign w:val="center"/>
          </w:tcPr>
          <w:p>
            <w:pPr>
              <w:pStyle w:val="63"/>
              <w:rPr>
                <w:kern w:val="0"/>
              </w:rPr>
            </w:pPr>
            <w:r>
              <w:rPr>
                <w:rFonts w:hint="eastAsia"/>
                <w:kern w:val="0"/>
              </w:rPr>
              <w:t>商务管理部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7</w:t>
            </w:r>
          </w:p>
        </w:tc>
        <w:tc>
          <w:tcPr>
            <w:tcW w:w="2052" w:type="dxa"/>
            <w:vAlign w:val="center"/>
          </w:tcPr>
          <w:p>
            <w:pPr>
              <w:pStyle w:val="63"/>
              <w:rPr>
                <w:kern w:val="0"/>
              </w:rPr>
            </w:pPr>
            <w:r>
              <w:rPr>
                <w:rFonts w:hint="eastAsia"/>
                <w:kern w:val="0"/>
              </w:rPr>
              <w:t>安全部</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1</w:t>
            </w:r>
            <w:r>
              <w:rPr>
                <w:kern w:val="0"/>
              </w:rPr>
              <w:t>5</w:t>
            </w:r>
          </w:p>
        </w:tc>
        <w:tc>
          <w:tcPr>
            <w:tcW w:w="1809" w:type="dxa"/>
            <w:vAlign w:val="center"/>
          </w:tcPr>
          <w:p>
            <w:pPr>
              <w:pStyle w:val="63"/>
              <w:rPr>
                <w:kern w:val="0"/>
              </w:rPr>
            </w:pPr>
            <w:r>
              <w:rPr>
                <w:rFonts w:hint="eastAsia"/>
                <w:kern w:val="0"/>
              </w:rPr>
              <w:t>财务部</w:t>
            </w:r>
          </w:p>
        </w:tc>
        <w:tc>
          <w:tcPr>
            <w:tcW w:w="1379" w:type="dxa"/>
            <w:vAlign w:val="center"/>
          </w:tcPr>
          <w:p>
            <w:pPr>
              <w:pStyle w:val="63"/>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vAlign w:val="center"/>
          </w:tcPr>
          <w:p>
            <w:pPr>
              <w:pStyle w:val="63"/>
              <w:rPr>
                <w:kern w:val="0"/>
              </w:rPr>
            </w:pPr>
            <w:r>
              <w:rPr>
                <w:rFonts w:hint="eastAsia"/>
                <w:kern w:val="0"/>
              </w:rPr>
              <w:t>8</w:t>
            </w:r>
          </w:p>
        </w:tc>
        <w:tc>
          <w:tcPr>
            <w:tcW w:w="2052" w:type="dxa"/>
            <w:vAlign w:val="center"/>
          </w:tcPr>
          <w:p>
            <w:pPr>
              <w:pStyle w:val="63"/>
              <w:rPr>
                <w:kern w:val="0"/>
              </w:rPr>
            </w:pPr>
            <w:r>
              <w:rPr>
                <w:rFonts w:hint="eastAsia"/>
                <w:kern w:val="0"/>
              </w:rPr>
              <w:t>试验室</w:t>
            </w:r>
          </w:p>
        </w:tc>
        <w:tc>
          <w:tcPr>
            <w:tcW w:w="1621" w:type="dxa"/>
            <w:vAlign w:val="center"/>
          </w:tcPr>
          <w:p>
            <w:pPr>
              <w:pStyle w:val="63"/>
              <w:rPr>
                <w:kern w:val="0"/>
              </w:rPr>
            </w:pPr>
          </w:p>
        </w:tc>
        <w:tc>
          <w:tcPr>
            <w:tcW w:w="707" w:type="dxa"/>
            <w:vAlign w:val="center"/>
          </w:tcPr>
          <w:p>
            <w:pPr>
              <w:pStyle w:val="63"/>
              <w:rPr>
                <w:kern w:val="0"/>
              </w:rPr>
            </w:pPr>
            <w:r>
              <w:rPr>
                <w:rFonts w:hint="eastAsia"/>
                <w:kern w:val="0"/>
              </w:rPr>
              <w:t>1</w:t>
            </w:r>
            <w:r>
              <w:rPr>
                <w:kern w:val="0"/>
              </w:rPr>
              <w:t>6</w:t>
            </w:r>
          </w:p>
        </w:tc>
        <w:tc>
          <w:tcPr>
            <w:tcW w:w="1809" w:type="dxa"/>
            <w:vAlign w:val="center"/>
          </w:tcPr>
          <w:p>
            <w:pPr>
              <w:pStyle w:val="63"/>
              <w:rPr>
                <w:kern w:val="0"/>
              </w:rPr>
            </w:pPr>
            <w:r>
              <w:rPr>
                <w:rFonts w:hint="eastAsia"/>
                <w:kern w:val="0"/>
              </w:rPr>
              <w:t>综合管理部</w:t>
            </w:r>
          </w:p>
        </w:tc>
        <w:tc>
          <w:tcPr>
            <w:tcW w:w="1379" w:type="dxa"/>
            <w:vAlign w:val="center"/>
          </w:tcPr>
          <w:p>
            <w:pPr>
              <w:pStyle w:val="63"/>
              <w:rPr>
                <w:kern w:val="0"/>
              </w:rPr>
            </w:pPr>
          </w:p>
        </w:tc>
      </w:tr>
    </w:tbl>
    <w:p>
      <w:pPr>
        <w:pStyle w:val="61"/>
        <w:rPr>
          <w:color w:val="000000"/>
          <w:shd w:val="clear" w:color="auto" w:fill="FFFFFF"/>
        </w:rPr>
      </w:pPr>
      <w:r>
        <w:object>
          <v:shape id="_x0000_i1027" o:spt="75" type="#_x0000_t75" style="height:303.45pt;width:414.85pt;" o:ole="t" filled="f" o:preferrelative="t" stroked="f" coordsize="21600,21600">
            <v:path/>
            <v:fill on="f" focussize="0,0"/>
            <v:stroke on="f" joinstyle="miter"/>
            <v:imagedata r:id="rId78" o:title=""/>
            <o:lock v:ext="edit" aspectratio="t"/>
            <w10:wrap type="none"/>
            <w10:anchorlock/>
          </v:shape>
          <o:OLEObject Type="Embed" ProgID="Visio.Drawing.15" ShapeID="_x0000_i1027" DrawAspect="Content" ObjectID="_1468075727" r:id="rId77">
            <o:LockedField>false</o:LockedField>
          </o:OLEObject>
        </w:object>
      </w:r>
    </w:p>
    <w:p>
      <w:pPr>
        <w:pStyle w:val="61"/>
      </w:pPr>
      <w:r>
        <w:rPr>
          <w:rFonts w:hint="eastAsia"/>
        </w:rPr>
        <w:t>图 6.3-1  项目安全管理组织机构图</w:t>
      </w:r>
    </w:p>
    <w:p>
      <w:pPr>
        <w:ind w:firstLine="480"/>
      </w:pPr>
      <w:r>
        <w:rPr>
          <w:rFonts w:hint="eastAsia"/>
        </w:rPr>
        <w:t>（1）安全生产领导小组成员</w:t>
      </w:r>
    </w:p>
    <w:p>
      <w:pPr>
        <w:ind w:firstLine="480"/>
      </w:pPr>
      <w:r>
        <w:rPr>
          <w:rFonts w:hint="eastAsia"/>
        </w:rPr>
        <w:t>为加强项目部安全管理，增强全员安全意识，明确各岗位安全生产责任制，进一步加强项目的安全管理工作，防止和杜绝生产安全事故的发生，成立项目经理部安全生产领导小组，具体如下：</w:t>
      </w:r>
    </w:p>
    <w:p>
      <w:pPr>
        <w:ind w:firstLine="480"/>
      </w:pPr>
      <w:r>
        <w:rPr>
          <w:rFonts w:hint="eastAsia"/>
        </w:rPr>
        <w:t>组  长：项目经理 书记</w:t>
      </w:r>
    </w:p>
    <w:p>
      <w:pPr>
        <w:ind w:firstLine="480"/>
      </w:pPr>
      <w:r>
        <w:rPr>
          <w:rFonts w:hint="eastAsia"/>
        </w:rPr>
        <w:t xml:space="preserve">副组长：安全总监  生产副经理  总工程师  </w:t>
      </w:r>
    </w:p>
    <w:p>
      <w:pPr>
        <w:ind w:firstLine="480"/>
      </w:pPr>
      <w:r>
        <w:rPr>
          <w:rFonts w:hint="eastAsia"/>
        </w:rPr>
        <w:t>组  员：各部门负责人</w:t>
      </w:r>
    </w:p>
    <w:p>
      <w:pPr>
        <w:ind w:firstLine="480"/>
      </w:pPr>
      <w:r>
        <w:rPr>
          <w:rFonts w:hint="eastAsia"/>
        </w:rPr>
        <w:t>安全生产领导小组下设办公室，办公室设置在安全环保部，由安全环保部部长同志担任办公室主任，负责安全生产领导小组的日常工作组织、开展及协调。</w:t>
      </w:r>
    </w:p>
    <w:p>
      <w:pPr>
        <w:ind w:firstLine="480"/>
      </w:pPr>
      <w:r>
        <w:rPr>
          <w:rFonts w:hint="eastAsia"/>
        </w:rPr>
        <w:t>（2）项目部安全生产领导小组主要职责：</w:t>
      </w:r>
    </w:p>
    <w:p>
      <w:pPr>
        <w:ind w:firstLine="480"/>
      </w:pPr>
      <w:r>
        <w:rPr>
          <w:rFonts w:hint="eastAsia"/>
        </w:rPr>
        <w:t>①组织学习本工程相关的法规制度、标准规范、标准化及信息化成果、经验教训等。</w:t>
      </w:r>
    </w:p>
    <w:p>
      <w:pPr>
        <w:ind w:firstLine="480"/>
      </w:pPr>
      <w:r>
        <w:rPr>
          <w:rFonts w:hint="eastAsia"/>
        </w:rPr>
        <w:t>②建立健全本项目全员（含协作单位班组长）安全生产责任制，组织责任制考核。</w:t>
      </w:r>
    </w:p>
    <w:p>
      <w:pPr>
        <w:ind w:firstLine="480"/>
      </w:pPr>
      <w:r>
        <w:rPr>
          <w:rFonts w:hint="eastAsia"/>
        </w:rPr>
        <w:t>③制定本项目职业健康安全生产方针目标和控制指标，并对目标指标进行分解。</w:t>
      </w:r>
    </w:p>
    <w:p>
      <w:pPr>
        <w:ind w:firstLine="480"/>
      </w:pPr>
      <w:r>
        <w:rPr>
          <w:rFonts w:hint="eastAsia"/>
        </w:rPr>
        <w:t>④审定本项目职业健康安全生产工作计划（含方案编制、安全交底培训、安全风险管控、危险作业许可、隐患排查治理、应急演练等）及安全生产费用预算。</w:t>
      </w:r>
    </w:p>
    <w:p>
      <w:pPr>
        <w:ind w:firstLine="480"/>
      </w:pPr>
      <w:r>
        <w:rPr>
          <w:rFonts w:hint="eastAsia"/>
        </w:rPr>
        <w:t>⑤定期分析安全生产风险及事故隐患，研究部署安全生产风险管控及事故隐患治理措施。</w:t>
      </w:r>
    </w:p>
    <w:p>
      <w:pPr>
        <w:ind w:firstLine="480"/>
      </w:pPr>
      <w:r>
        <w:rPr>
          <w:rFonts w:hint="eastAsia"/>
        </w:rPr>
        <w:t>⑥审定本项目综合、专项应急预案和现场处置方案，组织应急演练。</w:t>
      </w:r>
    </w:p>
    <w:p>
      <w:pPr>
        <w:ind w:firstLine="480"/>
      </w:pPr>
      <w:r>
        <w:rPr>
          <w:rFonts w:hint="eastAsia"/>
        </w:rPr>
        <w:t>⑦对协作单位安全生产绩效进行考核奖惩，定期表彰奖励“知安全、行安全、奖安全”积分制管理先锋班组和个人。</w:t>
      </w:r>
    </w:p>
    <w:p>
      <w:pPr>
        <w:ind w:firstLine="480"/>
      </w:pPr>
      <w:r>
        <w:rPr>
          <w:rFonts w:hint="eastAsia"/>
        </w:rPr>
        <w:t>⑧按照“四不放过”原则，对职业健康安全生产隐患、突发事件相关责任人进行惩处。</w:t>
      </w:r>
    </w:p>
    <w:p>
      <w:pPr>
        <w:ind w:firstLine="480"/>
      </w:pPr>
      <w:r>
        <w:rPr>
          <w:rFonts w:hint="eastAsia"/>
        </w:rPr>
        <w:t>⑨其他职业健康安全生产职责。</w:t>
      </w:r>
    </w:p>
    <w:p>
      <w:pPr>
        <w:ind w:firstLine="480"/>
      </w:pPr>
      <w:r>
        <w:rPr>
          <w:rFonts w:hint="eastAsia"/>
        </w:rPr>
        <w:t>（</w:t>
      </w:r>
      <w:r>
        <w:t>3</w:t>
      </w:r>
      <w:r>
        <w:rPr>
          <w:rFonts w:hint="eastAsia"/>
        </w:rPr>
        <w:t>）项目部安全生产领导小组办公室主要职责：</w:t>
      </w:r>
    </w:p>
    <w:p>
      <w:pPr>
        <w:ind w:firstLine="480"/>
      </w:pPr>
      <w:r>
        <w:rPr>
          <w:rFonts w:hint="eastAsia"/>
        </w:rPr>
        <w:t>①组织安全生产领导小组会议。</w:t>
      </w:r>
    </w:p>
    <w:p>
      <w:pPr>
        <w:ind w:firstLine="480"/>
      </w:pPr>
      <w:r>
        <w:rPr>
          <w:rFonts w:hint="eastAsia"/>
        </w:rPr>
        <w:t>②组织落实安全生产领导小组的决策部署。</w:t>
      </w:r>
    </w:p>
    <w:p>
      <w:pPr>
        <w:pStyle w:val="5"/>
        <w:spacing w:before="156" w:after="156"/>
      </w:pPr>
      <w:bookmarkStart w:id="282" w:name="_Toc108095478"/>
      <w:bookmarkStart w:id="283" w:name="_Toc14579"/>
      <w:bookmarkStart w:id="284" w:name="_Toc121760011"/>
      <w:r>
        <w:rPr>
          <w:rFonts w:hint="eastAsia"/>
        </w:rPr>
        <w:t>安全生产职责</w:t>
      </w:r>
      <w:bookmarkEnd w:id="282"/>
      <w:bookmarkEnd w:id="283"/>
      <w:bookmarkEnd w:id="284"/>
    </w:p>
    <w:p>
      <w:pPr>
        <w:ind w:firstLine="480"/>
      </w:pPr>
      <w:r>
        <w:rPr>
          <w:rFonts w:hint="eastAsia"/>
        </w:rPr>
        <w:t>项目部严格落实安全生产责任制，各岗位或部门安全生产主要职责，参见本项目施工组织设计中安全生产职责内容以及参见《中交二航局五公司部门（岗位）安全生产责任制》。各岗位安全生产责任见</w:t>
      </w:r>
      <w:r>
        <w:rPr>
          <w:rFonts w:hint="eastAsia"/>
          <w:b/>
          <w:bCs/>
        </w:rPr>
        <w:t>表6</w:t>
      </w:r>
      <w:r>
        <w:rPr>
          <w:b/>
          <w:bCs/>
        </w:rPr>
        <w:t>.2.2-1</w:t>
      </w:r>
      <w:r>
        <w:t>.</w:t>
      </w:r>
    </w:p>
    <w:p>
      <w:pPr>
        <w:pStyle w:val="89"/>
        <w:spacing w:before="156"/>
      </w:pPr>
      <w:r>
        <w:rPr>
          <w:rFonts w:hint="eastAsia"/>
        </w:rPr>
        <w:t>表6</w:t>
      </w:r>
      <w:r>
        <w:t xml:space="preserve">.2.2-1  </w:t>
      </w:r>
      <w:r>
        <w:rPr>
          <w:rFonts w:hint="eastAsia"/>
        </w:rPr>
        <w:t>项目各岗位安全生产责任一览表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34" w:type="dxa"/>
            <w:shd w:val="clear" w:color="auto" w:fill="auto"/>
            <w:vAlign w:val="center"/>
          </w:tcPr>
          <w:p>
            <w:pPr>
              <w:spacing w:line="240" w:lineRule="auto"/>
              <w:ind w:firstLine="0" w:firstLineChars="0"/>
              <w:jc w:val="center"/>
              <w:rPr>
                <w:b/>
                <w:bCs/>
                <w:sz w:val="21"/>
              </w:rPr>
            </w:pPr>
            <w:r>
              <w:rPr>
                <w:b/>
                <w:bCs/>
                <w:sz w:val="21"/>
              </w:rPr>
              <w:t>岗  位</w:t>
            </w:r>
          </w:p>
        </w:tc>
        <w:tc>
          <w:tcPr>
            <w:tcW w:w="7574" w:type="dxa"/>
            <w:shd w:val="clear" w:color="auto" w:fill="auto"/>
            <w:vAlign w:val="center"/>
          </w:tcPr>
          <w:p>
            <w:pPr>
              <w:spacing w:line="240" w:lineRule="auto"/>
              <w:ind w:firstLine="0" w:firstLineChars="0"/>
              <w:jc w:val="center"/>
              <w:rPr>
                <w:b/>
                <w:bCs/>
                <w:sz w:val="21"/>
              </w:rPr>
            </w:pPr>
            <w:r>
              <w:rPr>
                <w:b/>
                <w:bCs/>
                <w:sz w:val="21"/>
              </w:rPr>
              <w:t>职责描述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spacing w:line="240" w:lineRule="auto"/>
              <w:ind w:firstLine="0" w:firstLineChars="0"/>
              <w:jc w:val="center"/>
              <w:rPr>
                <w:bCs/>
                <w:sz w:val="21"/>
              </w:rPr>
            </w:pPr>
            <w:r>
              <w:rPr>
                <w:bCs/>
                <w:snapToGrid w:val="0"/>
                <w:sz w:val="21"/>
              </w:rPr>
              <w:t>项目经理</w:t>
            </w:r>
          </w:p>
        </w:tc>
        <w:tc>
          <w:tcPr>
            <w:tcW w:w="7574" w:type="dxa"/>
            <w:shd w:val="clear" w:color="auto" w:fill="auto"/>
            <w:vAlign w:val="center"/>
          </w:tcPr>
          <w:p>
            <w:pPr>
              <w:widowControl/>
              <w:numPr>
                <w:ilvl w:val="0"/>
                <w:numId w:val="21"/>
              </w:numPr>
              <w:spacing w:line="240" w:lineRule="auto"/>
              <w:ind w:firstLineChars="0"/>
              <w:jc w:val="left"/>
              <w:rPr>
                <w:sz w:val="21"/>
              </w:rPr>
            </w:pPr>
            <w:r>
              <w:rPr>
                <w:rFonts w:hint="eastAsia"/>
                <w:sz w:val="21"/>
              </w:rPr>
              <w:t>建立健全本项目安全生产责任制。</w:t>
            </w:r>
          </w:p>
          <w:p>
            <w:pPr>
              <w:widowControl/>
              <w:numPr>
                <w:ilvl w:val="0"/>
                <w:numId w:val="21"/>
              </w:numPr>
              <w:spacing w:line="240" w:lineRule="auto"/>
              <w:ind w:firstLineChars="0"/>
              <w:jc w:val="left"/>
              <w:rPr>
                <w:sz w:val="21"/>
              </w:rPr>
            </w:pPr>
            <w:r>
              <w:rPr>
                <w:rFonts w:hint="eastAsia"/>
                <w:sz w:val="21"/>
              </w:rPr>
              <w:t>组织制定本项目安全生产规章制度和操作规程。</w:t>
            </w:r>
          </w:p>
          <w:p>
            <w:pPr>
              <w:widowControl/>
              <w:numPr>
                <w:ilvl w:val="0"/>
                <w:numId w:val="21"/>
              </w:numPr>
              <w:spacing w:line="240" w:lineRule="auto"/>
              <w:ind w:firstLineChars="0"/>
              <w:jc w:val="left"/>
              <w:rPr>
                <w:sz w:val="21"/>
              </w:rPr>
            </w:pPr>
            <w:r>
              <w:rPr>
                <w:rFonts w:hint="eastAsia"/>
                <w:sz w:val="21"/>
              </w:rPr>
              <w:t>组织制定并实施本项目安全生产教育和培训计划。</w:t>
            </w:r>
          </w:p>
          <w:p>
            <w:pPr>
              <w:widowControl/>
              <w:numPr>
                <w:ilvl w:val="0"/>
                <w:numId w:val="21"/>
              </w:numPr>
              <w:spacing w:line="240" w:lineRule="auto"/>
              <w:ind w:firstLineChars="0"/>
              <w:jc w:val="left"/>
              <w:rPr>
                <w:sz w:val="21"/>
              </w:rPr>
            </w:pPr>
            <w:r>
              <w:rPr>
                <w:rFonts w:hint="eastAsia"/>
                <w:sz w:val="21"/>
              </w:rPr>
              <w:t>保证本项目安全生产投入的有效实施。</w:t>
            </w:r>
          </w:p>
          <w:p>
            <w:pPr>
              <w:widowControl/>
              <w:numPr>
                <w:ilvl w:val="0"/>
                <w:numId w:val="21"/>
              </w:numPr>
              <w:spacing w:line="240" w:lineRule="auto"/>
              <w:ind w:firstLineChars="0"/>
              <w:jc w:val="left"/>
              <w:rPr>
                <w:sz w:val="21"/>
              </w:rPr>
            </w:pPr>
            <w:r>
              <w:rPr>
                <w:rFonts w:hint="eastAsia"/>
                <w:sz w:val="21"/>
              </w:rPr>
              <w:t>督促、检查本项目的安全生产工作，及时消除生产安全事故隐患。</w:t>
            </w:r>
          </w:p>
          <w:p>
            <w:pPr>
              <w:widowControl/>
              <w:numPr>
                <w:ilvl w:val="0"/>
                <w:numId w:val="21"/>
              </w:numPr>
              <w:spacing w:line="240" w:lineRule="auto"/>
              <w:ind w:firstLineChars="0"/>
              <w:jc w:val="left"/>
              <w:rPr>
                <w:sz w:val="21"/>
              </w:rPr>
            </w:pPr>
            <w:r>
              <w:rPr>
                <w:rFonts w:hint="eastAsia"/>
                <w:sz w:val="21"/>
              </w:rPr>
              <w:t>组织制定并实施本项目的生产安全事故应急救援预案。</w:t>
            </w:r>
          </w:p>
          <w:p>
            <w:pPr>
              <w:widowControl/>
              <w:numPr>
                <w:ilvl w:val="0"/>
                <w:numId w:val="21"/>
              </w:numPr>
              <w:spacing w:line="240" w:lineRule="auto"/>
              <w:ind w:firstLineChars="0"/>
              <w:jc w:val="left"/>
              <w:rPr>
                <w:sz w:val="21"/>
              </w:rPr>
            </w:pPr>
            <w:r>
              <w:rPr>
                <w:rFonts w:hint="eastAsia"/>
                <w:sz w:val="21"/>
              </w:rPr>
              <w:t>及时、如实报告生产安全事故。</w:t>
            </w:r>
          </w:p>
          <w:p>
            <w:pPr>
              <w:widowControl/>
              <w:numPr>
                <w:ilvl w:val="0"/>
                <w:numId w:val="21"/>
              </w:numPr>
              <w:spacing w:line="240" w:lineRule="auto"/>
              <w:ind w:firstLineChars="0"/>
              <w:jc w:val="left"/>
              <w:rPr>
                <w:sz w:val="21"/>
              </w:rPr>
            </w:pPr>
            <w:r>
              <w:rPr>
                <w:rFonts w:hint="eastAsia"/>
                <w:sz w:val="21"/>
              </w:rPr>
              <w:t>建立健全安全生产管理机构，并足额配备合格的安全管理人员。</w:t>
            </w:r>
          </w:p>
          <w:p>
            <w:pPr>
              <w:widowControl/>
              <w:numPr>
                <w:ilvl w:val="0"/>
                <w:numId w:val="21"/>
              </w:numPr>
              <w:spacing w:line="240" w:lineRule="auto"/>
              <w:ind w:firstLineChars="0"/>
              <w:jc w:val="left"/>
              <w:rPr>
                <w:sz w:val="21"/>
              </w:rPr>
            </w:pPr>
            <w:r>
              <w:rPr>
                <w:rFonts w:hint="eastAsia"/>
                <w:sz w:val="21"/>
              </w:rPr>
              <w:t>严格安全准入标准，推动构建安全风险分级管控和隐患排查治理预防工作机制。</w:t>
            </w:r>
          </w:p>
          <w:p>
            <w:pPr>
              <w:widowControl/>
              <w:numPr>
                <w:ilvl w:val="0"/>
                <w:numId w:val="21"/>
              </w:numPr>
              <w:spacing w:line="240" w:lineRule="auto"/>
              <w:ind w:firstLineChars="0"/>
              <w:jc w:val="left"/>
              <w:rPr>
                <w:sz w:val="21"/>
              </w:rPr>
            </w:pPr>
            <w:r>
              <w:rPr>
                <w:rFonts w:hint="eastAsia"/>
                <w:sz w:val="21"/>
              </w:rPr>
              <w:t>建立安全生产管理体系。</w:t>
            </w:r>
          </w:p>
          <w:p>
            <w:pPr>
              <w:widowControl/>
              <w:numPr>
                <w:ilvl w:val="0"/>
                <w:numId w:val="21"/>
              </w:numPr>
              <w:spacing w:line="240" w:lineRule="auto"/>
              <w:ind w:firstLineChars="0"/>
              <w:jc w:val="left"/>
              <w:rPr>
                <w:sz w:val="21"/>
              </w:rPr>
            </w:pPr>
            <w:r>
              <w:rPr>
                <w:rFonts w:hint="eastAsia"/>
                <w:sz w:val="21"/>
              </w:rPr>
              <w:t>在计划、布置、检查、总结、评比生产时，同时计划、布置、检查、总结、评比安全生产工作。</w:t>
            </w:r>
          </w:p>
          <w:p>
            <w:pPr>
              <w:widowControl/>
              <w:numPr>
                <w:ilvl w:val="0"/>
                <w:numId w:val="21"/>
              </w:numPr>
              <w:spacing w:line="240" w:lineRule="auto"/>
              <w:ind w:firstLineChars="0"/>
              <w:jc w:val="left"/>
              <w:rPr>
                <w:sz w:val="21"/>
              </w:rPr>
            </w:pPr>
            <w:r>
              <w:rPr>
                <w:rFonts w:hint="eastAsia"/>
                <w:sz w:val="21"/>
              </w:rPr>
              <w:t xml:space="preserve">按要求编制项目班子成员带班值班计划，并按计划进行带班值班。 </w:t>
            </w:r>
          </w:p>
          <w:p>
            <w:pPr>
              <w:widowControl/>
              <w:numPr>
                <w:ilvl w:val="0"/>
                <w:numId w:val="21"/>
              </w:numPr>
              <w:spacing w:line="240" w:lineRule="auto"/>
              <w:ind w:firstLineChars="0"/>
              <w:jc w:val="left"/>
              <w:rPr>
                <w:sz w:val="21"/>
              </w:rPr>
            </w:pPr>
            <w:r>
              <w:rPr>
                <w:rFonts w:hint="eastAsia"/>
                <w:sz w:val="21"/>
              </w:rPr>
              <w:t>加强分包管理，确保进场的分包单位及设备设施等符合法规及公司有关要求。</w:t>
            </w:r>
          </w:p>
          <w:p>
            <w:pPr>
              <w:widowControl/>
              <w:numPr>
                <w:ilvl w:val="0"/>
                <w:numId w:val="21"/>
              </w:numPr>
              <w:spacing w:line="240" w:lineRule="auto"/>
              <w:ind w:firstLineChars="0"/>
              <w:jc w:val="left"/>
              <w:rPr>
                <w:sz w:val="21"/>
              </w:rPr>
            </w:pPr>
            <w:r>
              <w:rPr>
                <w:rFonts w:hint="eastAsia"/>
                <w:sz w:val="21"/>
              </w:rPr>
              <w:t>组织进行项目风险评估，制定重大风险（隐患）控制措施。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spacing w:line="240" w:lineRule="auto"/>
              <w:ind w:firstLine="0" w:firstLineChars="0"/>
              <w:jc w:val="center"/>
              <w:rPr>
                <w:bCs/>
                <w:snapToGrid w:val="0"/>
                <w:sz w:val="21"/>
              </w:rPr>
            </w:pPr>
            <w:r>
              <w:rPr>
                <w:rFonts w:hint="eastAsia"/>
                <w:bCs/>
                <w:snapToGrid w:val="0"/>
                <w:sz w:val="21"/>
              </w:rPr>
              <w:t>项目书记</w:t>
            </w:r>
          </w:p>
        </w:tc>
        <w:tc>
          <w:tcPr>
            <w:tcW w:w="7574" w:type="dxa"/>
            <w:shd w:val="clear" w:color="auto" w:fill="auto"/>
            <w:vAlign w:val="center"/>
          </w:tcPr>
          <w:p>
            <w:pPr>
              <w:widowControl/>
              <w:numPr>
                <w:ilvl w:val="0"/>
                <w:numId w:val="22"/>
              </w:numPr>
              <w:spacing w:line="240" w:lineRule="auto"/>
              <w:ind w:firstLineChars="0"/>
              <w:jc w:val="left"/>
              <w:rPr>
                <w:sz w:val="21"/>
              </w:rPr>
            </w:pPr>
            <w:r>
              <w:rPr>
                <w:rFonts w:hint="eastAsia"/>
                <w:sz w:val="21"/>
              </w:rPr>
              <w:t>建立健全本项目安全生产责任制。</w:t>
            </w:r>
          </w:p>
          <w:p>
            <w:pPr>
              <w:widowControl/>
              <w:numPr>
                <w:ilvl w:val="0"/>
                <w:numId w:val="22"/>
              </w:numPr>
              <w:spacing w:line="240" w:lineRule="auto"/>
              <w:ind w:firstLineChars="0"/>
              <w:jc w:val="left"/>
              <w:rPr>
                <w:sz w:val="21"/>
              </w:rPr>
            </w:pPr>
            <w:r>
              <w:rPr>
                <w:rFonts w:hint="eastAsia"/>
                <w:sz w:val="21"/>
              </w:rPr>
              <w:t>组织制定本项目安全生产规章制度和操作规程。</w:t>
            </w:r>
          </w:p>
          <w:p>
            <w:pPr>
              <w:widowControl/>
              <w:numPr>
                <w:ilvl w:val="0"/>
                <w:numId w:val="22"/>
              </w:numPr>
              <w:spacing w:line="240" w:lineRule="auto"/>
              <w:ind w:firstLineChars="0"/>
              <w:jc w:val="left"/>
              <w:rPr>
                <w:sz w:val="21"/>
              </w:rPr>
            </w:pPr>
            <w:r>
              <w:rPr>
                <w:rFonts w:hint="eastAsia"/>
                <w:sz w:val="21"/>
              </w:rPr>
              <w:t>组织制定并实施本项目安全生产教育和培训计划。</w:t>
            </w:r>
          </w:p>
          <w:p>
            <w:pPr>
              <w:widowControl/>
              <w:numPr>
                <w:ilvl w:val="0"/>
                <w:numId w:val="22"/>
              </w:numPr>
              <w:spacing w:line="240" w:lineRule="auto"/>
              <w:ind w:firstLineChars="0"/>
              <w:jc w:val="left"/>
              <w:rPr>
                <w:sz w:val="21"/>
              </w:rPr>
            </w:pPr>
            <w:r>
              <w:rPr>
                <w:rFonts w:hint="eastAsia"/>
                <w:sz w:val="21"/>
              </w:rPr>
              <w:t>保证本项目安全生产投入的有效实施。</w:t>
            </w:r>
          </w:p>
          <w:p>
            <w:pPr>
              <w:widowControl/>
              <w:numPr>
                <w:ilvl w:val="0"/>
                <w:numId w:val="22"/>
              </w:numPr>
              <w:spacing w:line="240" w:lineRule="auto"/>
              <w:ind w:firstLineChars="0"/>
              <w:jc w:val="left"/>
              <w:rPr>
                <w:sz w:val="21"/>
              </w:rPr>
            </w:pPr>
            <w:r>
              <w:rPr>
                <w:rFonts w:hint="eastAsia"/>
                <w:sz w:val="21"/>
              </w:rPr>
              <w:t>督促、检查本项目的安全生产工作，及时消除生产安全事故隐患。</w:t>
            </w:r>
          </w:p>
          <w:p>
            <w:pPr>
              <w:widowControl/>
              <w:numPr>
                <w:ilvl w:val="0"/>
                <w:numId w:val="22"/>
              </w:numPr>
              <w:spacing w:line="240" w:lineRule="auto"/>
              <w:ind w:firstLineChars="0"/>
              <w:jc w:val="left"/>
              <w:rPr>
                <w:sz w:val="21"/>
              </w:rPr>
            </w:pPr>
            <w:r>
              <w:rPr>
                <w:rFonts w:hint="eastAsia"/>
                <w:sz w:val="21"/>
              </w:rPr>
              <w:t>组织制定并实施本项目的生产安全事故应急救援预案。</w:t>
            </w:r>
          </w:p>
          <w:p>
            <w:pPr>
              <w:widowControl/>
              <w:numPr>
                <w:ilvl w:val="0"/>
                <w:numId w:val="22"/>
              </w:numPr>
              <w:spacing w:line="240" w:lineRule="auto"/>
              <w:ind w:firstLineChars="0"/>
              <w:jc w:val="left"/>
              <w:rPr>
                <w:sz w:val="21"/>
              </w:rPr>
            </w:pPr>
            <w:r>
              <w:rPr>
                <w:rFonts w:hint="eastAsia"/>
                <w:sz w:val="21"/>
              </w:rPr>
              <w:t>及时、如实报告生产安全事故。</w:t>
            </w:r>
          </w:p>
          <w:p>
            <w:pPr>
              <w:widowControl/>
              <w:numPr>
                <w:ilvl w:val="0"/>
                <w:numId w:val="22"/>
              </w:numPr>
              <w:spacing w:line="240" w:lineRule="auto"/>
              <w:ind w:firstLineChars="0"/>
              <w:jc w:val="left"/>
              <w:rPr>
                <w:sz w:val="21"/>
              </w:rPr>
            </w:pPr>
            <w:r>
              <w:rPr>
                <w:rFonts w:hint="eastAsia"/>
                <w:sz w:val="21"/>
              </w:rPr>
              <w:t>认真贯彻党和国家的安全生产方针、政策、法规，将其纳入党支部或党总支学习内容和干部培训内容。</w:t>
            </w:r>
          </w:p>
          <w:p>
            <w:pPr>
              <w:widowControl/>
              <w:numPr>
                <w:ilvl w:val="0"/>
                <w:numId w:val="22"/>
              </w:numPr>
              <w:spacing w:line="240" w:lineRule="auto"/>
              <w:ind w:firstLineChars="0"/>
              <w:jc w:val="left"/>
              <w:rPr>
                <w:sz w:val="21"/>
              </w:rPr>
            </w:pPr>
            <w:r>
              <w:rPr>
                <w:rFonts w:hint="eastAsia"/>
                <w:sz w:val="21"/>
              </w:rPr>
              <w:t>将安全生产工作列入党支部或党总支的重要议事日程，及时组织研究解决安全生产重大问题。</w:t>
            </w:r>
          </w:p>
          <w:p>
            <w:pPr>
              <w:widowControl/>
              <w:numPr>
                <w:ilvl w:val="0"/>
                <w:numId w:val="22"/>
              </w:numPr>
              <w:spacing w:line="240" w:lineRule="auto"/>
              <w:ind w:firstLineChars="0"/>
              <w:jc w:val="left"/>
              <w:rPr>
                <w:sz w:val="21"/>
              </w:rPr>
            </w:pPr>
            <w:r>
              <w:rPr>
                <w:rFonts w:hint="eastAsia"/>
                <w:sz w:val="21"/>
              </w:rPr>
              <w:t>结合安全生产工作开展党建活动，加强安全生产考核。</w:t>
            </w:r>
          </w:p>
          <w:p>
            <w:pPr>
              <w:widowControl/>
              <w:numPr>
                <w:ilvl w:val="0"/>
                <w:numId w:val="22"/>
              </w:numPr>
              <w:spacing w:line="240" w:lineRule="auto"/>
              <w:ind w:firstLineChars="0"/>
              <w:jc w:val="left"/>
              <w:rPr>
                <w:sz w:val="21"/>
              </w:rPr>
            </w:pPr>
            <w:r>
              <w:rPr>
                <w:rFonts w:hint="eastAsia"/>
                <w:sz w:val="21"/>
              </w:rPr>
              <w:t>加强后勤管理，防止发生集体食物中毒事件。</w:t>
            </w:r>
          </w:p>
          <w:p>
            <w:pPr>
              <w:widowControl/>
              <w:numPr>
                <w:ilvl w:val="0"/>
                <w:numId w:val="22"/>
              </w:numPr>
              <w:spacing w:line="240" w:lineRule="auto"/>
              <w:ind w:firstLineChars="0"/>
              <w:jc w:val="left"/>
              <w:rPr>
                <w:sz w:val="21"/>
              </w:rPr>
            </w:pPr>
            <w:r>
              <w:rPr>
                <w:rFonts w:hint="eastAsia"/>
                <w:sz w:val="21"/>
              </w:rPr>
              <w:t>做好项目综合治理工作。</w:t>
            </w:r>
          </w:p>
          <w:p>
            <w:pPr>
              <w:widowControl/>
              <w:numPr>
                <w:ilvl w:val="0"/>
                <w:numId w:val="22"/>
              </w:numPr>
              <w:spacing w:line="240" w:lineRule="auto"/>
              <w:ind w:firstLineChars="0"/>
              <w:jc w:val="left"/>
              <w:rPr>
                <w:sz w:val="21"/>
              </w:rPr>
            </w:pPr>
            <w:r>
              <w:rPr>
                <w:rFonts w:hint="eastAsia"/>
                <w:sz w:val="21"/>
              </w:rPr>
              <w:t>落实领导带班检查制度，检查基层工作时，应包含安全生产工作的内容。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spacing w:line="240" w:lineRule="auto"/>
              <w:ind w:firstLine="0" w:firstLineChars="0"/>
              <w:jc w:val="center"/>
              <w:rPr>
                <w:bCs/>
                <w:sz w:val="21"/>
              </w:rPr>
            </w:pPr>
            <w:r>
              <w:rPr>
                <w:bCs/>
                <w:snapToGrid w:val="0"/>
                <w:sz w:val="21"/>
              </w:rPr>
              <w:t>项目总工</w:t>
            </w:r>
          </w:p>
        </w:tc>
        <w:tc>
          <w:tcPr>
            <w:tcW w:w="7574" w:type="dxa"/>
            <w:shd w:val="clear" w:color="auto" w:fill="auto"/>
            <w:vAlign w:val="center"/>
          </w:tcPr>
          <w:p>
            <w:pPr>
              <w:widowControl/>
              <w:numPr>
                <w:ilvl w:val="0"/>
                <w:numId w:val="23"/>
              </w:numPr>
              <w:spacing w:line="240" w:lineRule="auto"/>
              <w:ind w:firstLineChars="0"/>
              <w:jc w:val="left"/>
              <w:rPr>
                <w:sz w:val="21"/>
              </w:rPr>
            </w:pPr>
            <w:r>
              <w:rPr>
                <w:rFonts w:hint="eastAsia"/>
                <w:sz w:val="21"/>
              </w:rPr>
              <w:t>组织编制、会审施工组织设计、施工技术方案及危险性较大分部分项工程专项施工方案，对安全技术措施、防护设施进行技术把关。</w:t>
            </w:r>
          </w:p>
          <w:p>
            <w:pPr>
              <w:widowControl/>
              <w:numPr>
                <w:ilvl w:val="0"/>
                <w:numId w:val="23"/>
              </w:numPr>
              <w:spacing w:line="240" w:lineRule="auto"/>
              <w:ind w:firstLineChars="0"/>
              <w:jc w:val="left"/>
              <w:rPr>
                <w:sz w:val="21"/>
              </w:rPr>
            </w:pPr>
            <w:r>
              <w:rPr>
                <w:rFonts w:hint="eastAsia"/>
                <w:sz w:val="21"/>
              </w:rPr>
              <w:t xml:space="preserve">协助项目经理按规定要求开展实施项目的安全风险评估工作。 </w:t>
            </w:r>
          </w:p>
          <w:p>
            <w:pPr>
              <w:widowControl/>
              <w:numPr>
                <w:ilvl w:val="0"/>
                <w:numId w:val="23"/>
              </w:numPr>
              <w:spacing w:line="240" w:lineRule="auto"/>
              <w:ind w:firstLineChars="0"/>
              <w:jc w:val="left"/>
              <w:rPr>
                <w:sz w:val="21"/>
              </w:rPr>
            </w:pPr>
            <w:r>
              <w:rPr>
                <w:rFonts w:hint="eastAsia"/>
                <w:sz w:val="21"/>
              </w:rPr>
              <w:t>对照图纸及设计说明的有关要求，组织对项目周围环境、地质条件、地下管线等因素进行调查复核。</w:t>
            </w:r>
          </w:p>
          <w:p>
            <w:pPr>
              <w:widowControl/>
              <w:numPr>
                <w:ilvl w:val="0"/>
                <w:numId w:val="23"/>
              </w:numPr>
              <w:spacing w:line="240" w:lineRule="auto"/>
              <w:ind w:firstLineChars="0"/>
              <w:jc w:val="left"/>
              <w:rPr>
                <w:sz w:val="21"/>
              </w:rPr>
            </w:pPr>
            <w:r>
              <w:rPr>
                <w:rFonts w:hint="eastAsia"/>
                <w:sz w:val="21"/>
              </w:rPr>
              <w:t>督促技术部门按规定完成专项方案的报审、专家论证流程。</w:t>
            </w:r>
          </w:p>
          <w:p>
            <w:pPr>
              <w:widowControl/>
              <w:numPr>
                <w:ilvl w:val="0"/>
                <w:numId w:val="23"/>
              </w:numPr>
              <w:spacing w:line="240" w:lineRule="auto"/>
              <w:ind w:firstLineChars="0"/>
              <w:jc w:val="left"/>
              <w:rPr>
                <w:sz w:val="21"/>
              </w:rPr>
            </w:pPr>
            <w:r>
              <w:rPr>
                <w:rFonts w:hint="eastAsia"/>
                <w:sz w:val="21"/>
              </w:rPr>
              <w:t>督促技术部门牵头对分部分项工程施工进行安全技术交底。</w:t>
            </w:r>
          </w:p>
          <w:p>
            <w:pPr>
              <w:widowControl/>
              <w:numPr>
                <w:ilvl w:val="0"/>
                <w:numId w:val="23"/>
              </w:numPr>
              <w:spacing w:line="240" w:lineRule="auto"/>
              <w:ind w:firstLineChars="0"/>
              <w:jc w:val="left"/>
              <w:rPr>
                <w:sz w:val="21"/>
              </w:rPr>
            </w:pPr>
            <w:r>
              <w:rPr>
                <w:rFonts w:hint="eastAsia"/>
                <w:sz w:val="21"/>
              </w:rPr>
              <w:t>动态关注危险性较大分部分项工程实施过程中施工边界条件的变化，及时调整专项施工方案。</w:t>
            </w:r>
          </w:p>
          <w:p>
            <w:pPr>
              <w:widowControl/>
              <w:numPr>
                <w:ilvl w:val="0"/>
                <w:numId w:val="23"/>
              </w:numPr>
              <w:spacing w:line="240" w:lineRule="auto"/>
              <w:ind w:firstLineChars="0"/>
              <w:jc w:val="left"/>
              <w:rPr>
                <w:sz w:val="21"/>
              </w:rPr>
            </w:pPr>
            <w:r>
              <w:rPr>
                <w:rFonts w:hint="eastAsia"/>
                <w:sz w:val="21"/>
              </w:rPr>
              <w:t>针对项目应用的新材料、新工艺、新技术、新设备，组织编制并督促实施安全技术规程；编制作业指导书。</w:t>
            </w:r>
          </w:p>
          <w:p>
            <w:pPr>
              <w:widowControl/>
              <w:numPr>
                <w:ilvl w:val="0"/>
                <w:numId w:val="23"/>
              </w:numPr>
              <w:spacing w:line="240" w:lineRule="auto"/>
              <w:ind w:firstLineChars="0"/>
              <w:jc w:val="left"/>
              <w:rPr>
                <w:sz w:val="21"/>
              </w:rPr>
            </w:pPr>
            <w:r>
              <w:rPr>
                <w:rFonts w:hint="eastAsia"/>
                <w:sz w:val="21"/>
              </w:rPr>
              <w:t>负责对项目自行设计的临时设施进行计算、复核。</w:t>
            </w:r>
          </w:p>
          <w:p>
            <w:pPr>
              <w:widowControl/>
              <w:numPr>
                <w:ilvl w:val="0"/>
                <w:numId w:val="23"/>
              </w:numPr>
              <w:spacing w:line="240" w:lineRule="auto"/>
              <w:ind w:firstLineChars="0"/>
              <w:jc w:val="left"/>
              <w:rPr>
                <w:sz w:val="21"/>
              </w:rPr>
            </w:pPr>
            <w:r>
              <w:rPr>
                <w:rFonts w:hint="eastAsia"/>
                <w:sz w:val="21"/>
              </w:rPr>
              <w:t>组织制订重大隐患治理方案。</w:t>
            </w:r>
          </w:p>
          <w:p>
            <w:pPr>
              <w:widowControl/>
              <w:numPr>
                <w:ilvl w:val="0"/>
                <w:numId w:val="23"/>
              </w:numPr>
              <w:spacing w:line="240" w:lineRule="auto"/>
              <w:ind w:firstLineChars="0"/>
              <w:jc w:val="left"/>
              <w:rPr>
                <w:sz w:val="21"/>
              </w:rPr>
            </w:pPr>
            <w:r>
              <w:rPr>
                <w:rFonts w:hint="eastAsia"/>
                <w:sz w:val="21"/>
              </w:rPr>
              <w:t>分管试验检测工作，对试验检测的安全管理工作负技术领导责任。</w:t>
            </w:r>
          </w:p>
          <w:p>
            <w:pPr>
              <w:widowControl/>
              <w:numPr>
                <w:ilvl w:val="0"/>
                <w:numId w:val="23"/>
              </w:numPr>
              <w:spacing w:line="240" w:lineRule="auto"/>
              <w:ind w:firstLineChars="0"/>
              <w:jc w:val="left"/>
              <w:rPr>
                <w:sz w:val="21"/>
              </w:rPr>
            </w:pPr>
            <w:r>
              <w:rPr>
                <w:rFonts w:hint="eastAsia"/>
                <w:sz w:val="21"/>
              </w:rPr>
              <w:t>分管测量工作，对测量的安全管理工作负技术领导责任。</w:t>
            </w:r>
          </w:p>
          <w:p>
            <w:pPr>
              <w:widowControl/>
              <w:numPr>
                <w:ilvl w:val="0"/>
                <w:numId w:val="23"/>
              </w:numPr>
              <w:spacing w:line="240" w:lineRule="auto"/>
              <w:ind w:firstLineChars="0"/>
              <w:jc w:val="left"/>
              <w:rPr>
                <w:sz w:val="21"/>
              </w:rPr>
            </w:pPr>
            <w:r>
              <w:rPr>
                <w:rFonts w:hint="eastAsia"/>
                <w:sz w:val="21"/>
              </w:rPr>
              <w:t>按要求进行带班值班，检查项目部的安全生产工作，排查事故隐患，协调解决安全生产问题。</w:t>
            </w:r>
          </w:p>
          <w:p>
            <w:pPr>
              <w:widowControl/>
              <w:numPr>
                <w:ilvl w:val="0"/>
                <w:numId w:val="23"/>
              </w:numPr>
              <w:spacing w:line="240" w:lineRule="auto"/>
              <w:ind w:firstLineChars="0"/>
              <w:jc w:val="left"/>
              <w:rPr>
                <w:sz w:val="21"/>
              </w:rPr>
            </w:pPr>
            <w:r>
              <w:rPr>
                <w:rFonts w:hint="eastAsia"/>
                <w:sz w:val="21"/>
              </w:rPr>
              <w:t>参加生产安全事故（重大隐患）的调查处理。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spacing w:line="240" w:lineRule="auto"/>
              <w:ind w:firstLine="0" w:firstLineChars="0"/>
              <w:jc w:val="center"/>
              <w:rPr>
                <w:bCs/>
                <w:snapToGrid w:val="0"/>
                <w:sz w:val="21"/>
              </w:rPr>
            </w:pPr>
            <w:r>
              <w:rPr>
                <w:bCs/>
                <w:snapToGrid w:val="0"/>
                <w:sz w:val="21"/>
              </w:rPr>
              <w:t>安全总监</w:t>
            </w:r>
          </w:p>
        </w:tc>
        <w:tc>
          <w:tcPr>
            <w:tcW w:w="7574" w:type="dxa"/>
            <w:shd w:val="clear" w:color="auto" w:fill="auto"/>
            <w:vAlign w:val="center"/>
          </w:tcPr>
          <w:p>
            <w:pPr>
              <w:widowControl/>
              <w:numPr>
                <w:ilvl w:val="0"/>
                <w:numId w:val="24"/>
              </w:numPr>
              <w:spacing w:line="240" w:lineRule="auto"/>
              <w:ind w:firstLineChars="0"/>
              <w:jc w:val="left"/>
              <w:rPr>
                <w:sz w:val="21"/>
              </w:rPr>
            </w:pPr>
            <w:r>
              <w:rPr>
                <w:rFonts w:hint="eastAsia"/>
                <w:sz w:val="21"/>
              </w:rPr>
              <w:t>协助项目经理建立职业健康安全管理体系，监督职业健康安全管理体系的规范运行。</w:t>
            </w:r>
          </w:p>
          <w:p>
            <w:pPr>
              <w:widowControl/>
              <w:numPr>
                <w:ilvl w:val="0"/>
                <w:numId w:val="24"/>
              </w:numPr>
              <w:spacing w:line="240" w:lineRule="auto"/>
              <w:ind w:firstLineChars="0"/>
              <w:jc w:val="left"/>
              <w:rPr>
                <w:sz w:val="21"/>
              </w:rPr>
            </w:pPr>
            <w:r>
              <w:rPr>
                <w:rFonts w:hint="eastAsia"/>
                <w:sz w:val="21"/>
              </w:rPr>
              <w:t>督促项目经理部班子成员、各部门及员工履行安全生产责任 。</w:t>
            </w:r>
          </w:p>
          <w:p>
            <w:pPr>
              <w:widowControl/>
              <w:numPr>
                <w:ilvl w:val="0"/>
                <w:numId w:val="24"/>
              </w:numPr>
              <w:spacing w:line="240" w:lineRule="auto"/>
              <w:ind w:firstLineChars="0"/>
              <w:jc w:val="left"/>
              <w:rPr>
                <w:sz w:val="21"/>
              </w:rPr>
            </w:pPr>
            <w:r>
              <w:rPr>
                <w:rFonts w:hint="eastAsia"/>
                <w:sz w:val="21"/>
              </w:rPr>
              <w:t>督促生产管理部门及时办理各类施工许可手续。</w:t>
            </w:r>
          </w:p>
          <w:p>
            <w:pPr>
              <w:widowControl/>
              <w:numPr>
                <w:ilvl w:val="0"/>
                <w:numId w:val="24"/>
              </w:numPr>
              <w:spacing w:line="240" w:lineRule="auto"/>
              <w:ind w:firstLineChars="0"/>
              <w:jc w:val="left"/>
              <w:rPr>
                <w:sz w:val="21"/>
              </w:rPr>
            </w:pPr>
            <w:r>
              <w:rPr>
                <w:rFonts w:hint="eastAsia"/>
                <w:sz w:val="21"/>
              </w:rPr>
              <w:t>主持召开安全生产会议。</w:t>
            </w:r>
          </w:p>
          <w:p>
            <w:pPr>
              <w:widowControl/>
              <w:numPr>
                <w:ilvl w:val="0"/>
                <w:numId w:val="24"/>
              </w:numPr>
              <w:spacing w:line="240" w:lineRule="auto"/>
              <w:ind w:firstLineChars="0"/>
              <w:jc w:val="left"/>
              <w:rPr>
                <w:sz w:val="21"/>
              </w:rPr>
            </w:pPr>
            <w:r>
              <w:rPr>
                <w:rFonts w:hint="eastAsia"/>
                <w:sz w:val="21"/>
              </w:rPr>
              <w:t>组织识别危险有害因素，建立重大危险有害因素清单，建立危险性较大分部分项工程清单，参与专项施工方案的编制和审查。</w:t>
            </w:r>
          </w:p>
          <w:p>
            <w:pPr>
              <w:widowControl/>
              <w:numPr>
                <w:ilvl w:val="0"/>
                <w:numId w:val="24"/>
              </w:numPr>
              <w:spacing w:line="240" w:lineRule="auto"/>
              <w:ind w:firstLineChars="0"/>
              <w:jc w:val="left"/>
              <w:rPr>
                <w:sz w:val="21"/>
              </w:rPr>
            </w:pPr>
            <w:r>
              <w:rPr>
                <w:rFonts w:hint="eastAsia"/>
                <w:sz w:val="21"/>
              </w:rPr>
              <w:t>组织安全隐患排查，督促各类隐患及时整改。</w:t>
            </w:r>
          </w:p>
          <w:p>
            <w:pPr>
              <w:widowControl/>
              <w:numPr>
                <w:ilvl w:val="0"/>
                <w:numId w:val="24"/>
              </w:numPr>
              <w:spacing w:line="240" w:lineRule="auto"/>
              <w:ind w:firstLineChars="0"/>
              <w:jc w:val="left"/>
              <w:rPr>
                <w:sz w:val="21"/>
              </w:rPr>
            </w:pPr>
            <w:r>
              <w:rPr>
                <w:rFonts w:hint="eastAsia"/>
                <w:sz w:val="21"/>
              </w:rPr>
              <w:t xml:space="preserve">督促安全管理部门及时开展作业人员三级安全教育培训。 </w:t>
            </w:r>
          </w:p>
          <w:p>
            <w:pPr>
              <w:widowControl/>
              <w:numPr>
                <w:ilvl w:val="0"/>
                <w:numId w:val="24"/>
              </w:numPr>
              <w:spacing w:line="240" w:lineRule="auto"/>
              <w:ind w:firstLineChars="0"/>
              <w:jc w:val="left"/>
              <w:rPr>
                <w:sz w:val="21"/>
              </w:rPr>
            </w:pPr>
            <w:r>
              <w:rPr>
                <w:rFonts w:hint="eastAsia"/>
                <w:sz w:val="21"/>
              </w:rPr>
              <w:t>监督应急救援体系的运行，开展应急救援预案的演练。</w:t>
            </w:r>
          </w:p>
          <w:p>
            <w:pPr>
              <w:widowControl/>
              <w:numPr>
                <w:ilvl w:val="0"/>
                <w:numId w:val="24"/>
              </w:numPr>
              <w:spacing w:line="240" w:lineRule="auto"/>
              <w:ind w:firstLineChars="0"/>
              <w:jc w:val="left"/>
              <w:rPr>
                <w:sz w:val="21"/>
              </w:rPr>
            </w:pPr>
            <w:r>
              <w:rPr>
                <w:rFonts w:hint="eastAsia"/>
                <w:sz w:val="21"/>
              </w:rPr>
              <w:t>按要求进行带班值班，检查项目部的安全生产工作，排查事故隐患，协调解决安全生产问题。</w:t>
            </w:r>
          </w:p>
          <w:p>
            <w:pPr>
              <w:widowControl/>
              <w:numPr>
                <w:ilvl w:val="0"/>
                <w:numId w:val="24"/>
              </w:numPr>
              <w:spacing w:line="240" w:lineRule="auto"/>
              <w:ind w:firstLineChars="0"/>
              <w:jc w:val="left"/>
              <w:rPr>
                <w:sz w:val="21"/>
              </w:rPr>
            </w:pPr>
            <w:r>
              <w:rPr>
                <w:rFonts w:hint="eastAsia"/>
                <w:sz w:val="21"/>
              </w:rPr>
              <w:t>监督检查重大危险有害因素应急预控措施是否落实。</w:t>
            </w:r>
          </w:p>
          <w:p>
            <w:pPr>
              <w:widowControl/>
              <w:numPr>
                <w:ilvl w:val="0"/>
                <w:numId w:val="24"/>
              </w:numPr>
              <w:spacing w:line="240" w:lineRule="auto"/>
              <w:ind w:firstLineChars="0"/>
              <w:jc w:val="left"/>
              <w:rPr>
                <w:sz w:val="21"/>
              </w:rPr>
            </w:pPr>
            <w:r>
              <w:rPr>
                <w:rFonts w:hint="eastAsia"/>
                <w:sz w:val="21"/>
              </w:rPr>
              <w:t>协助项目经理部主要负责人定期进行安全生产责任制考核和奖惩。</w:t>
            </w:r>
          </w:p>
          <w:p>
            <w:pPr>
              <w:widowControl/>
              <w:numPr>
                <w:ilvl w:val="0"/>
                <w:numId w:val="24"/>
              </w:numPr>
              <w:spacing w:line="240" w:lineRule="auto"/>
              <w:ind w:firstLineChars="0"/>
              <w:jc w:val="left"/>
              <w:rPr>
                <w:sz w:val="21"/>
              </w:rPr>
            </w:pPr>
            <w:r>
              <w:rPr>
                <w:rFonts w:hint="eastAsia"/>
                <w:sz w:val="21"/>
              </w:rPr>
              <w:t>核实安全生产费用使用是否符合规定。</w:t>
            </w:r>
          </w:p>
          <w:p>
            <w:pPr>
              <w:widowControl/>
              <w:numPr>
                <w:ilvl w:val="0"/>
                <w:numId w:val="24"/>
              </w:numPr>
              <w:spacing w:line="240" w:lineRule="auto"/>
              <w:ind w:firstLineChars="0"/>
              <w:jc w:val="left"/>
              <w:rPr>
                <w:sz w:val="21"/>
              </w:rPr>
            </w:pPr>
            <w:r>
              <w:rPr>
                <w:rFonts w:hint="eastAsia"/>
                <w:sz w:val="21"/>
              </w:rPr>
              <w:t>参与生产安全事故的应急救援工作。</w:t>
            </w:r>
          </w:p>
          <w:p>
            <w:pPr>
              <w:widowControl/>
              <w:numPr>
                <w:ilvl w:val="0"/>
                <w:numId w:val="24"/>
              </w:numPr>
              <w:spacing w:line="240" w:lineRule="auto"/>
              <w:ind w:firstLineChars="0"/>
              <w:jc w:val="left"/>
              <w:rPr>
                <w:sz w:val="21"/>
              </w:rPr>
            </w:pPr>
            <w:r>
              <w:rPr>
                <w:rFonts w:hint="eastAsia"/>
                <w:sz w:val="21"/>
              </w:rPr>
              <w:t>组织重大隐患的调查，参与生产安全事故的调查处理。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bCs/>
                <w:sz w:val="21"/>
              </w:rPr>
            </w:pPr>
            <w:r>
              <w:rPr>
                <w:bCs/>
                <w:sz w:val="21"/>
              </w:rPr>
              <w:t>项目生产副经理</w:t>
            </w:r>
          </w:p>
        </w:tc>
        <w:tc>
          <w:tcPr>
            <w:tcW w:w="7574" w:type="dxa"/>
            <w:shd w:val="clear" w:color="auto" w:fill="auto"/>
            <w:vAlign w:val="center"/>
          </w:tcPr>
          <w:p>
            <w:pPr>
              <w:widowControl/>
              <w:numPr>
                <w:ilvl w:val="0"/>
                <w:numId w:val="25"/>
              </w:numPr>
              <w:spacing w:line="240" w:lineRule="auto"/>
              <w:ind w:firstLineChars="0"/>
              <w:jc w:val="left"/>
              <w:rPr>
                <w:sz w:val="21"/>
              </w:rPr>
            </w:pPr>
            <w:r>
              <w:rPr>
                <w:rFonts w:hint="eastAsia"/>
                <w:sz w:val="21"/>
              </w:rPr>
              <w:t>在计划、布置、检查、总结、评比生产工作的同时，计划、布置、检查、总结、评比安全生产工作。</w:t>
            </w:r>
          </w:p>
          <w:p>
            <w:pPr>
              <w:widowControl/>
              <w:numPr>
                <w:ilvl w:val="0"/>
                <w:numId w:val="25"/>
              </w:numPr>
              <w:spacing w:line="240" w:lineRule="auto"/>
              <w:ind w:firstLineChars="0"/>
              <w:jc w:val="left"/>
              <w:rPr>
                <w:sz w:val="21"/>
              </w:rPr>
            </w:pPr>
            <w:r>
              <w:rPr>
                <w:rFonts w:hint="eastAsia"/>
                <w:sz w:val="21"/>
              </w:rPr>
              <w:t>督促生产管理部门严格按照批复的方案组织施工，合理安排安全生产，及时落实防护措施。</w:t>
            </w:r>
          </w:p>
          <w:p>
            <w:pPr>
              <w:widowControl/>
              <w:numPr>
                <w:ilvl w:val="0"/>
                <w:numId w:val="25"/>
              </w:numPr>
              <w:spacing w:line="240" w:lineRule="auto"/>
              <w:ind w:firstLineChars="0"/>
              <w:jc w:val="left"/>
              <w:rPr>
                <w:sz w:val="21"/>
              </w:rPr>
            </w:pPr>
            <w:r>
              <w:rPr>
                <w:rFonts w:hint="eastAsia"/>
                <w:sz w:val="21"/>
              </w:rPr>
              <w:t>组织开展危险作业施工许可验收。</w:t>
            </w:r>
          </w:p>
          <w:p>
            <w:pPr>
              <w:widowControl/>
              <w:numPr>
                <w:ilvl w:val="0"/>
                <w:numId w:val="25"/>
              </w:numPr>
              <w:spacing w:line="240" w:lineRule="auto"/>
              <w:ind w:firstLineChars="0"/>
              <w:jc w:val="left"/>
              <w:rPr>
                <w:sz w:val="21"/>
              </w:rPr>
            </w:pPr>
            <w:r>
              <w:rPr>
                <w:rFonts w:hint="eastAsia"/>
                <w:sz w:val="21"/>
              </w:rPr>
              <w:t>牵头组织对项目大、小临设施及施工现场临时设施（结构）投入使用前的验收。</w:t>
            </w:r>
          </w:p>
          <w:p>
            <w:pPr>
              <w:widowControl/>
              <w:numPr>
                <w:ilvl w:val="0"/>
                <w:numId w:val="25"/>
              </w:numPr>
              <w:spacing w:line="240" w:lineRule="auto"/>
              <w:ind w:firstLineChars="0"/>
              <w:jc w:val="left"/>
              <w:rPr>
                <w:sz w:val="21"/>
              </w:rPr>
            </w:pPr>
            <w:r>
              <w:rPr>
                <w:rFonts w:hint="eastAsia"/>
                <w:sz w:val="21"/>
              </w:rPr>
              <w:t>处理好进度与安全生产的关系，不违章指挥，不强令冒险作业。发现或接到险情报告，应立即组织停工并撤离人员。</w:t>
            </w:r>
          </w:p>
          <w:p>
            <w:pPr>
              <w:widowControl/>
              <w:numPr>
                <w:ilvl w:val="0"/>
                <w:numId w:val="25"/>
              </w:numPr>
              <w:spacing w:line="240" w:lineRule="auto"/>
              <w:ind w:firstLineChars="0"/>
              <w:jc w:val="left"/>
              <w:rPr>
                <w:sz w:val="21"/>
              </w:rPr>
            </w:pPr>
            <w:r>
              <w:rPr>
                <w:rFonts w:hint="eastAsia"/>
                <w:sz w:val="21"/>
              </w:rPr>
              <w:t>组织或参加月度安全生产大检查、安全专项检查等活动。</w:t>
            </w:r>
          </w:p>
          <w:p>
            <w:pPr>
              <w:widowControl/>
              <w:numPr>
                <w:ilvl w:val="0"/>
                <w:numId w:val="25"/>
              </w:numPr>
              <w:spacing w:line="240" w:lineRule="auto"/>
              <w:ind w:firstLineChars="0"/>
              <w:jc w:val="left"/>
              <w:rPr>
                <w:sz w:val="21"/>
              </w:rPr>
            </w:pPr>
            <w:r>
              <w:rPr>
                <w:rFonts w:hint="eastAsia"/>
                <w:sz w:val="21"/>
              </w:rPr>
              <w:t>组织落实重大风险源应急预控措施。</w:t>
            </w:r>
          </w:p>
          <w:p>
            <w:pPr>
              <w:widowControl/>
              <w:numPr>
                <w:ilvl w:val="0"/>
                <w:numId w:val="25"/>
              </w:numPr>
              <w:spacing w:line="240" w:lineRule="auto"/>
              <w:ind w:firstLineChars="0"/>
              <w:jc w:val="left"/>
              <w:rPr>
                <w:sz w:val="21"/>
              </w:rPr>
            </w:pPr>
            <w:r>
              <w:rPr>
                <w:rFonts w:hint="eastAsia"/>
                <w:sz w:val="21"/>
              </w:rPr>
              <w:t>督促生产管理部门制定作业人员培训、学习计划，并监督实施。</w:t>
            </w:r>
          </w:p>
          <w:p>
            <w:pPr>
              <w:widowControl/>
              <w:numPr>
                <w:ilvl w:val="0"/>
                <w:numId w:val="25"/>
              </w:numPr>
              <w:spacing w:line="240" w:lineRule="auto"/>
              <w:ind w:firstLineChars="0"/>
              <w:jc w:val="left"/>
              <w:rPr>
                <w:sz w:val="21"/>
              </w:rPr>
            </w:pPr>
            <w:r>
              <w:rPr>
                <w:rFonts w:hint="eastAsia"/>
                <w:sz w:val="21"/>
              </w:rPr>
              <w:t>组织分包商评价时，把分包商的安全绩效纳入重点评价指标。</w:t>
            </w:r>
          </w:p>
          <w:p>
            <w:pPr>
              <w:widowControl/>
              <w:numPr>
                <w:ilvl w:val="0"/>
                <w:numId w:val="25"/>
              </w:numPr>
              <w:spacing w:line="240" w:lineRule="auto"/>
              <w:ind w:firstLineChars="0"/>
              <w:jc w:val="left"/>
              <w:rPr>
                <w:sz w:val="21"/>
              </w:rPr>
            </w:pPr>
            <w:r>
              <w:rPr>
                <w:rFonts w:hint="eastAsia"/>
                <w:sz w:val="21"/>
              </w:rPr>
              <w:t>负责施工现场的文明施工工作。</w:t>
            </w:r>
          </w:p>
          <w:p>
            <w:pPr>
              <w:widowControl/>
              <w:numPr>
                <w:ilvl w:val="0"/>
                <w:numId w:val="25"/>
              </w:numPr>
              <w:spacing w:line="240" w:lineRule="auto"/>
              <w:ind w:firstLineChars="0"/>
              <w:jc w:val="left"/>
              <w:rPr>
                <w:sz w:val="21"/>
              </w:rPr>
            </w:pPr>
            <w:r>
              <w:rPr>
                <w:rFonts w:hint="eastAsia"/>
                <w:sz w:val="21"/>
              </w:rPr>
              <w:t>协助项目经理做好应急救援工作。</w:t>
            </w:r>
          </w:p>
          <w:p>
            <w:pPr>
              <w:widowControl/>
              <w:numPr>
                <w:ilvl w:val="0"/>
                <w:numId w:val="25"/>
              </w:numPr>
              <w:spacing w:line="240" w:lineRule="auto"/>
              <w:ind w:firstLineChars="0"/>
              <w:jc w:val="left"/>
              <w:rPr>
                <w:sz w:val="21"/>
              </w:rPr>
            </w:pPr>
            <w:r>
              <w:rPr>
                <w:rFonts w:hint="eastAsia"/>
                <w:sz w:val="21"/>
              </w:rPr>
              <w:t>按要求进行带班值班，排查事故隐患，协调解决安全生产问题。</w:t>
            </w:r>
          </w:p>
          <w:p>
            <w:pPr>
              <w:widowControl/>
              <w:numPr>
                <w:ilvl w:val="0"/>
                <w:numId w:val="25"/>
              </w:numPr>
              <w:spacing w:line="240" w:lineRule="auto"/>
              <w:ind w:firstLineChars="0"/>
              <w:jc w:val="left"/>
              <w:rPr>
                <w:sz w:val="21"/>
              </w:rPr>
            </w:pPr>
            <w:r>
              <w:rPr>
                <w:rFonts w:hint="eastAsia"/>
                <w:sz w:val="21"/>
              </w:rPr>
              <w:t>参与生产安全事故（重大隐患）的调查处理。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bCs/>
                <w:sz w:val="21"/>
              </w:rPr>
            </w:pPr>
            <w:r>
              <w:rPr>
                <w:bCs/>
                <w:sz w:val="21"/>
              </w:rPr>
              <w:t>工程部</w:t>
            </w:r>
          </w:p>
        </w:tc>
        <w:tc>
          <w:tcPr>
            <w:tcW w:w="7574" w:type="dxa"/>
            <w:shd w:val="clear" w:color="auto" w:fill="auto"/>
            <w:vAlign w:val="center"/>
          </w:tcPr>
          <w:p>
            <w:pPr>
              <w:widowControl/>
              <w:numPr>
                <w:ilvl w:val="0"/>
                <w:numId w:val="26"/>
              </w:numPr>
              <w:spacing w:line="240" w:lineRule="auto"/>
              <w:ind w:firstLineChars="0"/>
              <w:jc w:val="left"/>
              <w:rPr>
                <w:bCs/>
                <w:kern w:val="0"/>
                <w:sz w:val="21"/>
              </w:rPr>
            </w:pPr>
            <w:r>
              <w:rPr>
                <w:rFonts w:hint="eastAsia"/>
                <w:bCs/>
                <w:kern w:val="0"/>
                <w:sz w:val="21"/>
              </w:rPr>
              <w:t>编制、下达生产计划时，把安装安全防护装置、采取安全措施列入生产工序。</w:t>
            </w:r>
          </w:p>
          <w:p>
            <w:pPr>
              <w:widowControl/>
              <w:numPr>
                <w:ilvl w:val="0"/>
                <w:numId w:val="26"/>
              </w:numPr>
              <w:spacing w:line="240" w:lineRule="auto"/>
              <w:ind w:firstLineChars="0"/>
              <w:jc w:val="left"/>
              <w:rPr>
                <w:bCs/>
                <w:kern w:val="0"/>
                <w:sz w:val="21"/>
              </w:rPr>
            </w:pPr>
            <w:r>
              <w:rPr>
                <w:rFonts w:hint="eastAsia"/>
                <w:bCs/>
                <w:kern w:val="0"/>
                <w:sz w:val="21"/>
              </w:rPr>
              <w:t>贯彻执行安全生产规章制度和施工组织设计中的安全技术措施，危险性较大分部分项工程严格按照批复的施工方案组织施工。</w:t>
            </w:r>
          </w:p>
          <w:p>
            <w:pPr>
              <w:widowControl/>
              <w:numPr>
                <w:ilvl w:val="0"/>
                <w:numId w:val="26"/>
              </w:numPr>
              <w:spacing w:line="240" w:lineRule="auto"/>
              <w:ind w:firstLineChars="0"/>
              <w:jc w:val="left"/>
              <w:rPr>
                <w:bCs/>
                <w:kern w:val="0"/>
                <w:sz w:val="21"/>
              </w:rPr>
            </w:pPr>
            <w:r>
              <w:rPr>
                <w:rFonts w:hint="eastAsia"/>
                <w:bCs/>
                <w:kern w:val="0"/>
                <w:sz w:val="21"/>
              </w:rPr>
              <w:t>参与编制专项施工方案。</w:t>
            </w:r>
          </w:p>
          <w:p>
            <w:pPr>
              <w:widowControl/>
              <w:numPr>
                <w:ilvl w:val="0"/>
                <w:numId w:val="26"/>
              </w:numPr>
              <w:spacing w:line="240" w:lineRule="auto"/>
              <w:ind w:firstLineChars="0"/>
              <w:jc w:val="left"/>
              <w:rPr>
                <w:bCs/>
                <w:kern w:val="0"/>
                <w:sz w:val="21"/>
              </w:rPr>
            </w:pPr>
            <w:r>
              <w:rPr>
                <w:rFonts w:hint="eastAsia"/>
                <w:bCs/>
                <w:kern w:val="0"/>
                <w:sz w:val="21"/>
              </w:rPr>
              <w:t>组织危险作业施工许可验收，开展工程项目和分部分项工程开工前的安全条件核查。</w:t>
            </w:r>
          </w:p>
          <w:p>
            <w:pPr>
              <w:widowControl/>
              <w:numPr>
                <w:ilvl w:val="0"/>
                <w:numId w:val="26"/>
              </w:numPr>
              <w:spacing w:line="240" w:lineRule="auto"/>
              <w:ind w:firstLineChars="0"/>
              <w:jc w:val="left"/>
              <w:rPr>
                <w:bCs/>
                <w:kern w:val="0"/>
                <w:sz w:val="21"/>
              </w:rPr>
            </w:pPr>
            <w:r>
              <w:rPr>
                <w:rFonts w:hint="eastAsia"/>
                <w:bCs/>
                <w:kern w:val="0"/>
                <w:sz w:val="21"/>
              </w:rPr>
              <w:t>组织对现场的大（小）临设、基坑支护、脚手架搭拆、搅拌站安拆、模板支撑、洞口临边防护等临时设施的验收。</w:t>
            </w:r>
          </w:p>
          <w:p>
            <w:pPr>
              <w:widowControl/>
              <w:numPr>
                <w:ilvl w:val="0"/>
                <w:numId w:val="26"/>
              </w:numPr>
              <w:spacing w:line="240" w:lineRule="auto"/>
              <w:ind w:firstLineChars="0"/>
              <w:jc w:val="left"/>
              <w:rPr>
                <w:bCs/>
                <w:kern w:val="0"/>
                <w:sz w:val="21"/>
              </w:rPr>
            </w:pPr>
            <w:r>
              <w:rPr>
                <w:rFonts w:hint="eastAsia"/>
                <w:bCs/>
                <w:kern w:val="0"/>
                <w:sz w:val="21"/>
              </w:rPr>
              <w:t>组织防台防汛、起重作业、模板、脚手架等安全专项检查。</w:t>
            </w:r>
          </w:p>
          <w:p>
            <w:pPr>
              <w:widowControl/>
              <w:numPr>
                <w:ilvl w:val="0"/>
                <w:numId w:val="26"/>
              </w:numPr>
              <w:spacing w:line="240" w:lineRule="auto"/>
              <w:ind w:firstLineChars="0"/>
              <w:jc w:val="left"/>
              <w:rPr>
                <w:bCs/>
                <w:kern w:val="0"/>
                <w:sz w:val="21"/>
              </w:rPr>
            </w:pPr>
            <w:r>
              <w:rPr>
                <w:rFonts w:hint="eastAsia"/>
                <w:bCs/>
                <w:kern w:val="0"/>
                <w:sz w:val="21"/>
              </w:rPr>
              <w:t>按要求组织现场隐患整改。</w:t>
            </w:r>
          </w:p>
          <w:p>
            <w:pPr>
              <w:widowControl/>
              <w:numPr>
                <w:ilvl w:val="0"/>
                <w:numId w:val="26"/>
              </w:numPr>
              <w:spacing w:line="240" w:lineRule="auto"/>
              <w:ind w:firstLineChars="0"/>
              <w:jc w:val="left"/>
              <w:rPr>
                <w:bCs/>
                <w:kern w:val="0"/>
                <w:sz w:val="21"/>
              </w:rPr>
            </w:pPr>
            <w:r>
              <w:rPr>
                <w:rFonts w:hint="eastAsia"/>
                <w:bCs/>
                <w:kern w:val="0"/>
                <w:sz w:val="21"/>
              </w:rPr>
              <w:t>组织现场作业人员（特种作业人员除外）的培训、学习与考核，组织开展班前交底工作。</w:t>
            </w:r>
          </w:p>
          <w:p>
            <w:pPr>
              <w:widowControl/>
              <w:numPr>
                <w:ilvl w:val="0"/>
                <w:numId w:val="26"/>
              </w:numPr>
              <w:spacing w:line="240" w:lineRule="auto"/>
              <w:ind w:firstLineChars="0"/>
              <w:jc w:val="left"/>
              <w:rPr>
                <w:bCs/>
                <w:kern w:val="0"/>
                <w:sz w:val="21"/>
              </w:rPr>
            </w:pPr>
            <w:r>
              <w:rPr>
                <w:rFonts w:hint="eastAsia"/>
                <w:bCs/>
                <w:kern w:val="0"/>
                <w:sz w:val="21"/>
              </w:rPr>
              <w:t>参加安全生产检查和隐患排查治理，从生产组织上分析原因，提出改进措施。</w:t>
            </w:r>
          </w:p>
          <w:p>
            <w:pPr>
              <w:widowControl/>
              <w:numPr>
                <w:ilvl w:val="0"/>
                <w:numId w:val="26"/>
              </w:numPr>
              <w:spacing w:line="240" w:lineRule="auto"/>
              <w:ind w:firstLineChars="0"/>
              <w:jc w:val="left"/>
              <w:rPr>
                <w:bCs/>
                <w:kern w:val="0"/>
                <w:sz w:val="21"/>
              </w:rPr>
            </w:pPr>
            <w:r>
              <w:rPr>
                <w:rFonts w:hint="eastAsia"/>
                <w:bCs/>
                <w:kern w:val="0"/>
                <w:sz w:val="21"/>
              </w:rPr>
              <w:t>做好文明施工，确保施工噪音、扬尘、生活污水排放符合相关环境保护规定。</w:t>
            </w:r>
          </w:p>
          <w:p>
            <w:pPr>
              <w:widowControl/>
              <w:numPr>
                <w:ilvl w:val="0"/>
                <w:numId w:val="26"/>
              </w:numPr>
              <w:spacing w:line="240" w:lineRule="auto"/>
              <w:ind w:firstLineChars="0"/>
              <w:jc w:val="left"/>
              <w:rPr>
                <w:bCs/>
                <w:kern w:val="0"/>
                <w:sz w:val="21"/>
              </w:rPr>
            </w:pPr>
            <w:r>
              <w:rPr>
                <w:rFonts w:hint="eastAsia"/>
                <w:bCs/>
                <w:kern w:val="0"/>
                <w:sz w:val="21"/>
              </w:rPr>
              <w:t>发现或接到险情报告，应立即向领导报告，并视情况组织人员撤离。</w:t>
            </w:r>
          </w:p>
          <w:p>
            <w:pPr>
              <w:widowControl/>
              <w:numPr>
                <w:ilvl w:val="0"/>
                <w:numId w:val="26"/>
              </w:numPr>
              <w:spacing w:line="240" w:lineRule="auto"/>
              <w:ind w:firstLineChars="0"/>
              <w:jc w:val="left"/>
              <w:rPr>
                <w:bCs/>
                <w:kern w:val="0"/>
                <w:sz w:val="21"/>
              </w:rPr>
            </w:pPr>
            <w:r>
              <w:rPr>
                <w:rFonts w:hint="eastAsia"/>
                <w:bCs/>
                <w:kern w:val="0"/>
                <w:sz w:val="21"/>
              </w:rPr>
              <w:t>每月定期收集分包队伍退场人员信息，协助综合办公室、合同部对进（退）场劳务人员进行登记造册。</w:t>
            </w:r>
          </w:p>
          <w:p>
            <w:pPr>
              <w:widowControl/>
              <w:numPr>
                <w:ilvl w:val="0"/>
                <w:numId w:val="26"/>
              </w:numPr>
              <w:spacing w:line="240" w:lineRule="auto"/>
              <w:ind w:firstLineChars="0"/>
              <w:jc w:val="left"/>
              <w:rPr>
                <w:bCs/>
                <w:kern w:val="0"/>
                <w:sz w:val="21"/>
              </w:rPr>
            </w:pPr>
            <w:r>
              <w:rPr>
                <w:rFonts w:hint="eastAsia"/>
                <w:bCs/>
                <w:kern w:val="0"/>
                <w:sz w:val="21"/>
              </w:rPr>
              <w:t>参与事故（重大隐患）的调查处理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bCs/>
                <w:sz w:val="21"/>
              </w:rPr>
            </w:pPr>
            <w:r>
              <w:rPr>
                <w:rFonts w:hint="eastAsia"/>
                <w:sz w:val="21"/>
              </w:rPr>
              <w:t>安全管理部</w:t>
            </w:r>
          </w:p>
        </w:tc>
        <w:tc>
          <w:tcPr>
            <w:tcW w:w="7574" w:type="dxa"/>
            <w:shd w:val="clear" w:color="auto" w:fill="auto"/>
            <w:vAlign w:val="center"/>
          </w:tcPr>
          <w:p>
            <w:pPr>
              <w:widowControl/>
              <w:numPr>
                <w:ilvl w:val="0"/>
                <w:numId w:val="27"/>
              </w:numPr>
              <w:spacing w:line="240" w:lineRule="auto"/>
              <w:ind w:firstLineChars="0"/>
              <w:jc w:val="left"/>
              <w:rPr>
                <w:sz w:val="21"/>
              </w:rPr>
            </w:pPr>
            <w:r>
              <w:rPr>
                <w:rFonts w:hint="eastAsia"/>
                <w:sz w:val="21"/>
              </w:rPr>
              <w:t>及时获取、识别适用于本项目的职业健康安全生产法律法规及标准规范，并及时对从业人员进行宣贯培训。</w:t>
            </w:r>
          </w:p>
          <w:p>
            <w:pPr>
              <w:widowControl/>
              <w:numPr>
                <w:ilvl w:val="0"/>
                <w:numId w:val="27"/>
              </w:numPr>
              <w:spacing w:line="240" w:lineRule="auto"/>
              <w:ind w:firstLineChars="0"/>
              <w:jc w:val="left"/>
              <w:rPr>
                <w:sz w:val="21"/>
              </w:rPr>
            </w:pPr>
            <w:r>
              <w:rPr>
                <w:rFonts w:hint="eastAsia"/>
                <w:sz w:val="21"/>
              </w:rPr>
              <w:t>协助项目经理及分管领导制定以责任制为核心的职业健康安全生产规章制度。</w:t>
            </w:r>
          </w:p>
          <w:p>
            <w:pPr>
              <w:widowControl/>
              <w:numPr>
                <w:ilvl w:val="0"/>
                <w:numId w:val="27"/>
              </w:numPr>
              <w:spacing w:line="240" w:lineRule="auto"/>
              <w:ind w:firstLineChars="0"/>
              <w:jc w:val="left"/>
              <w:rPr>
                <w:sz w:val="21"/>
              </w:rPr>
            </w:pPr>
            <w:r>
              <w:rPr>
                <w:rFonts w:hint="eastAsia"/>
                <w:sz w:val="21"/>
              </w:rPr>
              <w:t>参与制定安全操作规程。</w:t>
            </w:r>
          </w:p>
          <w:p>
            <w:pPr>
              <w:widowControl/>
              <w:numPr>
                <w:ilvl w:val="0"/>
                <w:numId w:val="27"/>
              </w:numPr>
              <w:spacing w:line="240" w:lineRule="auto"/>
              <w:ind w:firstLineChars="0"/>
              <w:jc w:val="left"/>
              <w:rPr>
                <w:sz w:val="21"/>
              </w:rPr>
            </w:pPr>
            <w:r>
              <w:rPr>
                <w:rFonts w:hint="eastAsia"/>
                <w:sz w:val="21"/>
              </w:rPr>
              <w:t>牵头编制安全生产保证计划、年（季）度安全生产工作计划，并定期检查计划实施情况。</w:t>
            </w:r>
          </w:p>
          <w:p>
            <w:pPr>
              <w:widowControl/>
              <w:numPr>
                <w:ilvl w:val="0"/>
                <w:numId w:val="27"/>
              </w:numPr>
              <w:spacing w:line="240" w:lineRule="auto"/>
              <w:ind w:firstLineChars="0"/>
              <w:jc w:val="left"/>
              <w:rPr>
                <w:sz w:val="21"/>
              </w:rPr>
            </w:pPr>
            <w:r>
              <w:rPr>
                <w:rFonts w:hint="eastAsia"/>
                <w:sz w:val="21"/>
              </w:rPr>
              <w:t xml:space="preserve">督促检查各部门、工段、班组、船舶认真执行国家安全生产方针、政策、法规、法令、标准及上级指示、决议等，组织签订安全生产责任书。 </w:t>
            </w:r>
          </w:p>
          <w:p>
            <w:pPr>
              <w:widowControl/>
              <w:numPr>
                <w:ilvl w:val="0"/>
                <w:numId w:val="27"/>
              </w:numPr>
              <w:spacing w:line="240" w:lineRule="auto"/>
              <w:ind w:firstLineChars="0"/>
              <w:jc w:val="left"/>
              <w:rPr>
                <w:sz w:val="21"/>
              </w:rPr>
            </w:pPr>
            <w:r>
              <w:rPr>
                <w:rFonts w:hint="eastAsia"/>
                <w:sz w:val="21"/>
              </w:rPr>
              <w:t>牵头组织危险有害因素的识别与评价，建立重大危害因素清单；组织编制项目应急预案，组织应急预案培训、交底，适时开展应急演练。</w:t>
            </w:r>
          </w:p>
          <w:p>
            <w:pPr>
              <w:widowControl/>
              <w:numPr>
                <w:ilvl w:val="0"/>
                <w:numId w:val="27"/>
              </w:numPr>
              <w:spacing w:line="240" w:lineRule="auto"/>
              <w:ind w:firstLineChars="0"/>
              <w:jc w:val="left"/>
              <w:rPr>
                <w:sz w:val="21"/>
              </w:rPr>
            </w:pPr>
            <w:r>
              <w:rPr>
                <w:rFonts w:hint="eastAsia"/>
                <w:sz w:val="21"/>
              </w:rPr>
              <w:t>牵头建立项目危险性较大分部分项工程清单，参与编制、会审专项施工方案。</w:t>
            </w:r>
          </w:p>
          <w:p>
            <w:pPr>
              <w:widowControl/>
              <w:numPr>
                <w:ilvl w:val="0"/>
                <w:numId w:val="27"/>
              </w:numPr>
              <w:spacing w:line="240" w:lineRule="auto"/>
              <w:ind w:firstLineChars="0"/>
              <w:jc w:val="left"/>
              <w:rPr>
                <w:sz w:val="21"/>
              </w:rPr>
            </w:pPr>
            <w:r>
              <w:rPr>
                <w:rFonts w:hint="eastAsia"/>
                <w:sz w:val="21"/>
              </w:rPr>
              <w:t>参与危险作业施工许可验收。</w:t>
            </w:r>
          </w:p>
          <w:p>
            <w:pPr>
              <w:widowControl/>
              <w:numPr>
                <w:ilvl w:val="0"/>
                <w:numId w:val="27"/>
              </w:numPr>
              <w:spacing w:line="240" w:lineRule="auto"/>
              <w:ind w:firstLineChars="0"/>
              <w:jc w:val="left"/>
              <w:rPr>
                <w:sz w:val="21"/>
              </w:rPr>
            </w:pPr>
            <w:r>
              <w:rPr>
                <w:rFonts w:hint="eastAsia"/>
                <w:sz w:val="21"/>
              </w:rPr>
              <w:t>建立特种作业人员花名册，并动态更新。</w:t>
            </w:r>
          </w:p>
          <w:p>
            <w:pPr>
              <w:widowControl/>
              <w:numPr>
                <w:ilvl w:val="0"/>
                <w:numId w:val="27"/>
              </w:numPr>
              <w:spacing w:line="240" w:lineRule="auto"/>
              <w:ind w:firstLineChars="0"/>
              <w:jc w:val="left"/>
              <w:rPr>
                <w:sz w:val="21"/>
              </w:rPr>
            </w:pPr>
            <w:r>
              <w:rPr>
                <w:rFonts w:hint="eastAsia"/>
                <w:sz w:val="21"/>
              </w:rPr>
              <w:t>根据需求编制年度安全教育培训计划，组织对新进场人员的“三级安全教育”、进场教育等教育培训，保证全员三级安全教育培训覆盖率100%。</w:t>
            </w:r>
          </w:p>
          <w:p>
            <w:pPr>
              <w:widowControl/>
              <w:numPr>
                <w:ilvl w:val="0"/>
                <w:numId w:val="27"/>
              </w:numPr>
              <w:spacing w:line="240" w:lineRule="auto"/>
              <w:ind w:firstLineChars="0"/>
              <w:jc w:val="left"/>
              <w:rPr>
                <w:sz w:val="21"/>
              </w:rPr>
            </w:pPr>
            <w:r>
              <w:rPr>
                <w:rFonts w:hint="eastAsia"/>
                <w:sz w:val="21"/>
              </w:rPr>
              <w:t>参与分部分项工程安全技术交底，组织或参与特种作业人员的安全操作规程交底和培训，参与新工艺、新设备、新技术、新材料使用的教育培训。</w:t>
            </w:r>
          </w:p>
          <w:p>
            <w:pPr>
              <w:widowControl/>
              <w:numPr>
                <w:ilvl w:val="0"/>
                <w:numId w:val="27"/>
              </w:numPr>
              <w:spacing w:line="240" w:lineRule="auto"/>
              <w:ind w:firstLineChars="0"/>
              <w:jc w:val="left"/>
              <w:rPr>
                <w:sz w:val="21"/>
              </w:rPr>
            </w:pPr>
            <w:r>
              <w:rPr>
                <w:rFonts w:hint="eastAsia"/>
                <w:sz w:val="21"/>
              </w:rPr>
              <w:t>通过交底或培训，书面告知作业人员项目存在的危险因素、防范措施及事故应急措施。</w:t>
            </w:r>
          </w:p>
          <w:p>
            <w:pPr>
              <w:widowControl/>
              <w:numPr>
                <w:ilvl w:val="0"/>
                <w:numId w:val="27"/>
              </w:numPr>
              <w:spacing w:line="240" w:lineRule="auto"/>
              <w:ind w:firstLineChars="0"/>
              <w:jc w:val="left"/>
              <w:rPr>
                <w:sz w:val="21"/>
              </w:rPr>
            </w:pPr>
            <w:r>
              <w:rPr>
                <w:rFonts w:hint="eastAsia"/>
                <w:sz w:val="21"/>
              </w:rPr>
              <w:t>组织开展日常安全生产检查，监督事故隐患的整改落实情况。</w:t>
            </w:r>
          </w:p>
          <w:p>
            <w:pPr>
              <w:widowControl/>
              <w:numPr>
                <w:ilvl w:val="0"/>
                <w:numId w:val="27"/>
              </w:numPr>
              <w:spacing w:line="240" w:lineRule="auto"/>
              <w:ind w:firstLineChars="0"/>
              <w:jc w:val="left"/>
              <w:rPr>
                <w:sz w:val="21"/>
              </w:rPr>
            </w:pPr>
            <w:r>
              <w:rPr>
                <w:rFonts w:hint="eastAsia"/>
                <w:sz w:val="21"/>
              </w:rPr>
              <w:t>组织消防、安全防护设施专项检查。</w:t>
            </w:r>
          </w:p>
          <w:p>
            <w:pPr>
              <w:widowControl/>
              <w:numPr>
                <w:ilvl w:val="0"/>
                <w:numId w:val="27"/>
              </w:numPr>
              <w:spacing w:line="240" w:lineRule="auto"/>
              <w:ind w:firstLineChars="0"/>
              <w:jc w:val="left"/>
              <w:rPr>
                <w:sz w:val="21"/>
              </w:rPr>
            </w:pPr>
            <w:r>
              <w:rPr>
                <w:rFonts w:hint="eastAsia"/>
                <w:sz w:val="21"/>
              </w:rPr>
              <w:t>参与月度安全生产大检查，参与防台防汛、特种设备、临电、起重作业、模板、脚手架、易燃易爆危化品等安全专项检查。对查出的重大隐患登记建档，重大隐患有治理方案，并报相关部门备案。</w:t>
            </w:r>
          </w:p>
          <w:p>
            <w:pPr>
              <w:widowControl/>
              <w:numPr>
                <w:ilvl w:val="0"/>
                <w:numId w:val="27"/>
              </w:numPr>
              <w:spacing w:line="240" w:lineRule="auto"/>
              <w:ind w:firstLineChars="0"/>
              <w:jc w:val="left"/>
              <w:rPr>
                <w:sz w:val="21"/>
              </w:rPr>
            </w:pPr>
            <w:r>
              <w:rPr>
                <w:rFonts w:hint="eastAsia"/>
                <w:sz w:val="21"/>
              </w:rPr>
              <w:t>参与施工现场安全设施、临时设施的验收、检查、维护工作。</w:t>
            </w:r>
          </w:p>
          <w:p>
            <w:pPr>
              <w:widowControl/>
              <w:numPr>
                <w:ilvl w:val="0"/>
                <w:numId w:val="27"/>
              </w:numPr>
              <w:spacing w:line="240" w:lineRule="auto"/>
              <w:ind w:firstLineChars="0"/>
              <w:jc w:val="left"/>
              <w:rPr>
                <w:sz w:val="21"/>
              </w:rPr>
            </w:pPr>
            <w:r>
              <w:rPr>
                <w:rFonts w:hint="eastAsia"/>
                <w:sz w:val="21"/>
              </w:rPr>
              <w:t>参与项目安全风险评估，协助技术管理部门制定重大危险有害因素及重大隐患管控措施。</w:t>
            </w:r>
          </w:p>
          <w:p>
            <w:pPr>
              <w:widowControl/>
              <w:numPr>
                <w:ilvl w:val="0"/>
                <w:numId w:val="27"/>
              </w:numPr>
              <w:spacing w:line="240" w:lineRule="auto"/>
              <w:ind w:firstLineChars="0"/>
              <w:jc w:val="left"/>
              <w:rPr>
                <w:sz w:val="21"/>
              </w:rPr>
            </w:pPr>
            <w:r>
              <w:rPr>
                <w:rFonts w:hint="eastAsia"/>
                <w:sz w:val="21"/>
              </w:rPr>
              <w:t>组织开展“安全生产月”、“隐患排查治理”及各类安全专项整治活动，活动有方案，有记录、有总结。</w:t>
            </w:r>
          </w:p>
          <w:p>
            <w:pPr>
              <w:widowControl/>
              <w:numPr>
                <w:ilvl w:val="0"/>
                <w:numId w:val="27"/>
              </w:numPr>
              <w:spacing w:line="240" w:lineRule="auto"/>
              <w:ind w:firstLineChars="0"/>
              <w:jc w:val="left"/>
              <w:rPr>
                <w:sz w:val="21"/>
              </w:rPr>
            </w:pPr>
            <w:r>
              <w:rPr>
                <w:rFonts w:hint="eastAsia"/>
                <w:sz w:val="21"/>
              </w:rPr>
              <w:t>牵头编制项目安全专项费用使用总计划、年度计划及月度计划，统计安全生产措施费用投入情况，配合合同管理部门向业主计量安全生产措施费用。</w:t>
            </w:r>
          </w:p>
          <w:p>
            <w:pPr>
              <w:widowControl/>
              <w:numPr>
                <w:ilvl w:val="0"/>
                <w:numId w:val="27"/>
              </w:numPr>
              <w:spacing w:line="240" w:lineRule="auto"/>
              <w:ind w:firstLineChars="0"/>
              <w:jc w:val="left"/>
              <w:rPr>
                <w:sz w:val="21"/>
              </w:rPr>
            </w:pPr>
            <w:r>
              <w:rPr>
                <w:rFonts w:hint="eastAsia"/>
                <w:sz w:val="21"/>
              </w:rPr>
              <w:t>对行业主管部门或上级单位的安全投诉及时处理。针对业主、监理及上级主管部门在检查中提出的隐患整改意见，及时整改闭合。</w:t>
            </w:r>
          </w:p>
          <w:p>
            <w:pPr>
              <w:widowControl/>
              <w:numPr>
                <w:ilvl w:val="0"/>
                <w:numId w:val="27"/>
              </w:numPr>
              <w:spacing w:line="240" w:lineRule="auto"/>
              <w:ind w:firstLineChars="0"/>
              <w:jc w:val="left"/>
              <w:rPr>
                <w:sz w:val="21"/>
              </w:rPr>
            </w:pPr>
            <w:r>
              <w:rPr>
                <w:rFonts w:hint="eastAsia"/>
                <w:sz w:val="21"/>
              </w:rPr>
              <w:t>及时参与事故现场处置，及时向有关部门报告。配合事故调查处理，及时落实整改措施。</w:t>
            </w:r>
          </w:p>
          <w:p>
            <w:pPr>
              <w:widowControl/>
              <w:numPr>
                <w:ilvl w:val="0"/>
                <w:numId w:val="27"/>
              </w:numPr>
              <w:spacing w:line="240" w:lineRule="auto"/>
              <w:ind w:firstLineChars="0"/>
              <w:jc w:val="left"/>
              <w:rPr>
                <w:sz w:val="21"/>
              </w:rPr>
            </w:pPr>
            <w:r>
              <w:rPr>
                <w:rFonts w:hint="eastAsia"/>
                <w:sz w:val="21"/>
              </w:rPr>
              <w:t>协助上级安全管理部门落实国家注册安全工程师、国家要求取证的安全生产管理人员的继续教育、取证换证工作，严格执行有关人员持证上岗的规定。</w:t>
            </w:r>
          </w:p>
          <w:p>
            <w:pPr>
              <w:widowControl/>
              <w:numPr>
                <w:ilvl w:val="0"/>
                <w:numId w:val="27"/>
              </w:numPr>
              <w:spacing w:line="240" w:lineRule="auto"/>
              <w:ind w:firstLineChars="0"/>
              <w:jc w:val="left"/>
              <w:rPr>
                <w:sz w:val="21"/>
              </w:rPr>
            </w:pPr>
            <w:r>
              <w:rPr>
                <w:rFonts w:hint="eastAsia"/>
                <w:sz w:val="21"/>
              </w:rPr>
              <w:t>按要求上报各类安全生产信息报表。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rFonts w:hint="eastAsia"/>
                <w:sz w:val="21"/>
              </w:rPr>
              <w:t>技术部</w:t>
            </w:r>
          </w:p>
        </w:tc>
        <w:tc>
          <w:tcPr>
            <w:tcW w:w="7574" w:type="dxa"/>
            <w:shd w:val="clear" w:color="auto" w:fill="auto"/>
            <w:vAlign w:val="center"/>
          </w:tcPr>
          <w:p>
            <w:pPr>
              <w:widowControl/>
              <w:numPr>
                <w:ilvl w:val="0"/>
                <w:numId w:val="28"/>
              </w:numPr>
              <w:spacing w:line="240" w:lineRule="auto"/>
              <w:ind w:firstLineChars="0"/>
              <w:jc w:val="left"/>
              <w:rPr>
                <w:sz w:val="21"/>
              </w:rPr>
            </w:pPr>
            <w:r>
              <w:rPr>
                <w:rFonts w:hint="eastAsia"/>
                <w:sz w:val="21"/>
              </w:rPr>
              <w:t>组织编制技术方案及危险性较大分部分项工程专项施工方案，并按要求及时完成方案报批、论证流程。</w:t>
            </w:r>
          </w:p>
          <w:p>
            <w:pPr>
              <w:widowControl/>
              <w:numPr>
                <w:ilvl w:val="0"/>
                <w:numId w:val="28"/>
              </w:numPr>
              <w:spacing w:line="240" w:lineRule="auto"/>
              <w:ind w:firstLineChars="0"/>
              <w:jc w:val="left"/>
              <w:rPr>
                <w:sz w:val="21"/>
              </w:rPr>
            </w:pPr>
            <w:r>
              <w:rPr>
                <w:rFonts w:hint="eastAsia"/>
                <w:sz w:val="21"/>
              </w:rPr>
              <w:t>组织编制大临设施及施工爬梯（通道）、搅拌站、作业平台、施工现场临边防护设施等临时设施的搭设（拆除）方案，危险性达到一定规模的按要求报审。</w:t>
            </w:r>
          </w:p>
          <w:p>
            <w:pPr>
              <w:widowControl/>
              <w:numPr>
                <w:ilvl w:val="0"/>
                <w:numId w:val="28"/>
              </w:numPr>
              <w:spacing w:line="240" w:lineRule="auto"/>
              <w:ind w:firstLineChars="0"/>
              <w:jc w:val="left"/>
              <w:rPr>
                <w:sz w:val="21"/>
              </w:rPr>
            </w:pPr>
            <w:r>
              <w:rPr>
                <w:rFonts w:hint="eastAsia"/>
                <w:sz w:val="21"/>
              </w:rPr>
              <w:t>根据实际情况组织项目安全风险评估，参与辨识危险性较大分部分项工程。</w:t>
            </w:r>
          </w:p>
          <w:p>
            <w:pPr>
              <w:widowControl/>
              <w:numPr>
                <w:ilvl w:val="0"/>
                <w:numId w:val="28"/>
              </w:numPr>
              <w:spacing w:line="240" w:lineRule="auto"/>
              <w:ind w:firstLineChars="0"/>
              <w:jc w:val="left"/>
              <w:rPr>
                <w:sz w:val="21"/>
              </w:rPr>
            </w:pPr>
            <w:r>
              <w:rPr>
                <w:rFonts w:hint="eastAsia"/>
                <w:sz w:val="21"/>
              </w:rPr>
              <w:t xml:space="preserve">组织分部分项工程及方案的安全技术交底。 </w:t>
            </w:r>
          </w:p>
          <w:p>
            <w:pPr>
              <w:widowControl/>
              <w:numPr>
                <w:ilvl w:val="0"/>
                <w:numId w:val="28"/>
              </w:numPr>
              <w:spacing w:line="240" w:lineRule="auto"/>
              <w:ind w:firstLineChars="0"/>
              <w:jc w:val="left"/>
              <w:rPr>
                <w:sz w:val="21"/>
              </w:rPr>
            </w:pPr>
            <w:r>
              <w:rPr>
                <w:rFonts w:hint="eastAsia"/>
                <w:sz w:val="21"/>
              </w:rPr>
              <w:t>对危险性较大分部分项工程专项施工方案在现场的实施情况进行检查和技术指导。</w:t>
            </w:r>
          </w:p>
          <w:p>
            <w:pPr>
              <w:widowControl/>
              <w:numPr>
                <w:ilvl w:val="0"/>
                <w:numId w:val="28"/>
              </w:numPr>
              <w:spacing w:line="240" w:lineRule="auto"/>
              <w:ind w:firstLineChars="0"/>
              <w:jc w:val="left"/>
              <w:rPr>
                <w:sz w:val="21"/>
              </w:rPr>
            </w:pPr>
            <w:r>
              <w:rPr>
                <w:rFonts w:hint="eastAsia"/>
                <w:sz w:val="21"/>
              </w:rPr>
              <w:t>新技术、新工艺、新材料、新设备投入使用前，负责编制、审核技术方案的安全可行性，并组织对实施新技术、新工艺的操作人员进行技术培训和指导。</w:t>
            </w:r>
          </w:p>
          <w:p>
            <w:pPr>
              <w:widowControl/>
              <w:numPr>
                <w:ilvl w:val="0"/>
                <w:numId w:val="28"/>
              </w:numPr>
              <w:spacing w:line="240" w:lineRule="auto"/>
              <w:ind w:firstLineChars="0"/>
              <w:jc w:val="left"/>
              <w:rPr>
                <w:sz w:val="21"/>
              </w:rPr>
            </w:pPr>
            <w:r>
              <w:rPr>
                <w:rFonts w:hint="eastAsia"/>
                <w:sz w:val="21"/>
              </w:rPr>
              <w:t>组织制定重大危险有害因素管控措施及重大隐患治理方案。</w:t>
            </w:r>
          </w:p>
          <w:p>
            <w:pPr>
              <w:widowControl/>
              <w:numPr>
                <w:ilvl w:val="0"/>
                <w:numId w:val="28"/>
              </w:numPr>
              <w:spacing w:line="240" w:lineRule="auto"/>
              <w:ind w:firstLineChars="0"/>
              <w:jc w:val="left"/>
              <w:rPr>
                <w:sz w:val="21"/>
              </w:rPr>
            </w:pPr>
            <w:r>
              <w:rPr>
                <w:rFonts w:hint="eastAsia"/>
                <w:sz w:val="21"/>
              </w:rPr>
              <w:t>参与现场相关临时设施的验收。</w:t>
            </w:r>
          </w:p>
          <w:p>
            <w:pPr>
              <w:widowControl/>
              <w:numPr>
                <w:ilvl w:val="0"/>
                <w:numId w:val="28"/>
              </w:numPr>
              <w:spacing w:line="240" w:lineRule="auto"/>
              <w:ind w:firstLineChars="0"/>
              <w:jc w:val="left"/>
              <w:rPr>
                <w:sz w:val="21"/>
              </w:rPr>
            </w:pPr>
            <w:r>
              <w:rPr>
                <w:rFonts w:hint="eastAsia"/>
                <w:sz w:val="21"/>
              </w:rPr>
              <w:t>参与安全生产检查，查找安全技术隐患。</w:t>
            </w:r>
          </w:p>
          <w:p>
            <w:pPr>
              <w:widowControl/>
              <w:numPr>
                <w:ilvl w:val="0"/>
                <w:numId w:val="28"/>
              </w:numPr>
              <w:spacing w:line="240" w:lineRule="auto"/>
              <w:ind w:firstLineChars="0"/>
              <w:jc w:val="left"/>
              <w:rPr>
                <w:sz w:val="21"/>
              </w:rPr>
            </w:pPr>
            <w:r>
              <w:rPr>
                <w:rFonts w:hint="eastAsia"/>
                <w:sz w:val="21"/>
              </w:rPr>
              <w:t>参与事故（重大隐患）的调查处理。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sz w:val="21"/>
              </w:rPr>
              <w:t>质检部</w:t>
            </w:r>
          </w:p>
        </w:tc>
        <w:tc>
          <w:tcPr>
            <w:tcW w:w="7574" w:type="dxa"/>
            <w:shd w:val="clear" w:color="auto" w:fill="auto"/>
            <w:vAlign w:val="center"/>
          </w:tcPr>
          <w:p>
            <w:pPr>
              <w:widowControl/>
              <w:numPr>
                <w:ilvl w:val="0"/>
                <w:numId w:val="29"/>
              </w:numPr>
              <w:spacing w:line="240" w:lineRule="auto"/>
              <w:ind w:firstLineChars="0"/>
              <w:jc w:val="left"/>
              <w:rPr>
                <w:sz w:val="21"/>
              </w:rPr>
            </w:pPr>
            <w:r>
              <w:rPr>
                <w:rFonts w:hint="eastAsia"/>
                <w:sz w:val="21"/>
              </w:rPr>
              <w:t>检查质量时，应同时检查项目部制作加工的安全设施的质量，并监督责任单位及时整改可能导致生产安全事故的质量隐患。</w:t>
            </w:r>
          </w:p>
          <w:p>
            <w:pPr>
              <w:widowControl/>
              <w:numPr>
                <w:ilvl w:val="0"/>
                <w:numId w:val="29"/>
              </w:numPr>
              <w:spacing w:line="240" w:lineRule="auto"/>
              <w:ind w:firstLineChars="0"/>
              <w:jc w:val="left"/>
              <w:rPr>
                <w:sz w:val="21"/>
              </w:rPr>
            </w:pPr>
            <w:r>
              <w:rPr>
                <w:rFonts w:hint="eastAsia"/>
                <w:sz w:val="21"/>
              </w:rPr>
              <w:t>参与安全设施材料的进场验收，负责材料的抽样检测。</w:t>
            </w:r>
          </w:p>
          <w:p>
            <w:pPr>
              <w:widowControl/>
              <w:numPr>
                <w:ilvl w:val="0"/>
                <w:numId w:val="29"/>
              </w:numPr>
              <w:spacing w:line="240" w:lineRule="auto"/>
              <w:ind w:firstLineChars="0"/>
              <w:jc w:val="left"/>
              <w:rPr>
                <w:sz w:val="21"/>
              </w:rPr>
            </w:pPr>
            <w:r>
              <w:rPr>
                <w:rFonts w:hint="eastAsia"/>
                <w:sz w:val="21"/>
              </w:rPr>
              <w:t>参与对施工现场的基坑支护、脚手架搭拆，施工用电、搅拌站安拆、模板支撑、洞口临边防护等的验收。</w:t>
            </w:r>
          </w:p>
          <w:p>
            <w:pPr>
              <w:widowControl/>
              <w:numPr>
                <w:ilvl w:val="0"/>
                <w:numId w:val="29"/>
              </w:numPr>
              <w:spacing w:line="240" w:lineRule="auto"/>
              <w:ind w:firstLineChars="0"/>
              <w:jc w:val="left"/>
              <w:rPr>
                <w:sz w:val="21"/>
              </w:rPr>
            </w:pPr>
            <w:r>
              <w:rPr>
                <w:rFonts w:hint="eastAsia"/>
                <w:sz w:val="21"/>
              </w:rPr>
              <w:t>参与安全生产检查和隐患排查治理，从质量问题方面查找安全技术隐患，提出整改建议。</w:t>
            </w:r>
          </w:p>
          <w:p>
            <w:pPr>
              <w:widowControl/>
              <w:numPr>
                <w:ilvl w:val="0"/>
                <w:numId w:val="29"/>
              </w:numPr>
              <w:spacing w:line="240" w:lineRule="auto"/>
              <w:ind w:firstLineChars="0"/>
              <w:jc w:val="left"/>
              <w:rPr>
                <w:sz w:val="21"/>
              </w:rPr>
            </w:pPr>
            <w:r>
              <w:rPr>
                <w:rFonts w:hint="eastAsia"/>
                <w:sz w:val="21"/>
              </w:rPr>
              <w:t>参与事故（重大隐患）的调查处理。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sz w:val="21"/>
              </w:rPr>
              <w:t>设备部</w:t>
            </w:r>
          </w:p>
        </w:tc>
        <w:tc>
          <w:tcPr>
            <w:tcW w:w="7574" w:type="dxa"/>
            <w:shd w:val="clear" w:color="auto" w:fill="auto"/>
            <w:vAlign w:val="center"/>
          </w:tcPr>
          <w:p>
            <w:pPr>
              <w:widowControl/>
              <w:numPr>
                <w:ilvl w:val="0"/>
                <w:numId w:val="30"/>
              </w:numPr>
              <w:spacing w:line="240" w:lineRule="auto"/>
              <w:ind w:firstLineChars="0"/>
              <w:jc w:val="left"/>
              <w:rPr>
                <w:sz w:val="21"/>
              </w:rPr>
            </w:pPr>
            <w:r>
              <w:rPr>
                <w:rFonts w:hint="eastAsia"/>
                <w:sz w:val="21"/>
              </w:rPr>
              <w:t>履行设备管理职责，检查设备管理制度、特种设备操作规程执行落实情况。</w:t>
            </w:r>
          </w:p>
          <w:p>
            <w:pPr>
              <w:widowControl/>
              <w:numPr>
                <w:ilvl w:val="0"/>
                <w:numId w:val="30"/>
              </w:numPr>
              <w:spacing w:line="240" w:lineRule="auto"/>
              <w:ind w:firstLineChars="0"/>
              <w:jc w:val="left"/>
              <w:rPr>
                <w:sz w:val="21"/>
              </w:rPr>
            </w:pPr>
            <w:r>
              <w:rPr>
                <w:rFonts w:hint="eastAsia"/>
                <w:sz w:val="21"/>
              </w:rPr>
              <w:t>根据项目实际情况编制、完善设备操作规程。</w:t>
            </w:r>
          </w:p>
          <w:p>
            <w:pPr>
              <w:widowControl/>
              <w:numPr>
                <w:ilvl w:val="0"/>
                <w:numId w:val="30"/>
              </w:numPr>
              <w:spacing w:line="240" w:lineRule="auto"/>
              <w:ind w:firstLineChars="0"/>
              <w:jc w:val="left"/>
              <w:rPr>
                <w:sz w:val="21"/>
              </w:rPr>
            </w:pPr>
            <w:r>
              <w:rPr>
                <w:rFonts w:hint="eastAsia"/>
                <w:sz w:val="21"/>
              </w:rPr>
              <w:t>组织对进场船机设备进行验收。</w:t>
            </w:r>
          </w:p>
          <w:p>
            <w:pPr>
              <w:widowControl/>
              <w:numPr>
                <w:ilvl w:val="0"/>
                <w:numId w:val="30"/>
              </w:numPr>
              <w:spacing w:line="240" w:lineRule="auto"/>
              <w:ind w:firstLineChars="0"/>
              <w:jc w:val="left"/>
              <w:rPr>
                <w:sz w:val="21"/>
              </w:rPr>
            </w:pPr>
            <w:r>
              <w:rPr>
                <w:rFonts w:hint="eastAsia"/>
                <w:sz w:val="21"/>
              </w:rPr>
              <w:t>负责船机设备的日常维护保养、检查及隐患整改。</w:t>
            </w:r>
          </w:p>
          <w:p>
            <w:pPr>
              <w:widowControl/>
              <w:numPr>
                <w:ilvl w:val="0"/>
                <w:numId w:val="30"/>
              </w:numPr>
              <w:spacing w:line="240" w:lineRule="auto"/>
              <w:ind w:firstLineChars="0"/>
              <w:jc w:val="left"/>
              <w:rPr>
                <w:sz w:val="21"/>
              </w:rPr>
            </w:pPr>
            <w:r>
              <w:rPr>
                <w:rFonts w:hint="eastAsia"/>
                <w:sz w:val="21"/>
              </w:rPr>
              <w:t>船机设备管理台账准确、账物相符，维修保养记录齐全、规范，安全技术档案资料完善，法定安全准用手续齐全、有效。</w:t>
            </w:r>
          </w:p>
          <w:p>
            <w:pPr>
              <w:widowControl/>
              <w:numPr>
                <w:ilvl w:val="0"/>
                <w:numId w:val="30"/>
              </w:numPr>
              <w:spacing w:line="240" w:lineRule="auto"/>
              <w:ind w:firstLineChars="0"/>
              <w:jc w:val="left"/>
              <w:rPr>
                <w:sz w:val="21"/>
              </w:rPr>
            </w:pPr>
            <w:r>
              <w:rPr>
                <w:rFonts w:hint="eastAsia"/>
                <w:sz w:val="21"/>
              </w:rPr>
              <w:t xml:space="preserve">参与特种设备安拆作业、起重吊装作业的安全技术交底，协助生产管理部门按照批复的方案组织实施特种设备安拆作业。 </w:t>
            </w:r>
          </w:p>
          <w:p>
            <w:pPr>
              <w:widowControl/>
              <w:numPr>
                <w:ilvl w:val="0"/>
                <w:numId w:val="30"/>
              </w:numPr>
              <w:spacing w:line="240" w:lineRule="auto"/>
              <w:ind w:firstLineChars="0"/>
              <w:jc w:val="left"/>
              <w:rPr>
                <w:sz w:val="21"/>
              </w:rPr>
            </w:pPr>
            <w:r>
              <w:rPr>
                <w:rFonts w:hint="eastAsia"/>
                <w:sz w:val="21"/>
              </w:rPr>
              <w:t>严格管理外租及分包单位自带设备。</w:t>
            </w:r>
          </w:p>
          <w:p>
            <w:pPr>
              <w:widowControl/>
              <w:numPr>
                <w:ilvl w:val="0"/>
                <w:numId w:val="30"/>
              </w:numPr>
              <w:spacing w:line="240" w:lineRule="auto"/>
              <w:ind w:firstLineChars="0"/>
              <w:jc w:val="left"/>
              <w:rPr>
                <w:sz w:val="21"/>
              </w:rPr>
            </w:pPr>
            <w:r>
              <w:rPr>
                <w:rFonts w:hint="eastAsia"/>
                <w:sz w:val="21"/>
              </w:rPr>
              <w:t>组织编制施工现场临时用电方案，并组织对电工进行技术交底。</w:t>
            </w:r>
          </w:p>
          <w:p>
            <w:pPr>
              <w:widowControl/>
              <w:numPr>
                <w:ilvl w:val="0"/>
                <w:numId w:val="30"/>
              </w:numPr>
              <w:spacing w:line="240" w:lineRule="auto"/>
              <w:ind w:firstLineChars="0"/>
              <w:jc w:val="left"/>
              <w:rPr>
                <w:sz w:val="21"/>
              </w:rPr>
            </w:pPr>
            <w:r>
              <w:rPr>
                <w:rFonts w:hint="eastAsia"/>
                <w:sz w:val="21"/>
              </w:rPr>
              <w:t>负责临时用电管理，组织对施工用电设施的检查与验收。确保电工巡检、维修记录完整，定期进行接地电阻、绝缘电阻检测。</w:t>
            </w:r>
          </w:p>
          <w:p>
            <w:pPr>
              <w:widowControl/>
              <w:numPr>
                <w:ilvl w:val="0"/>
                <w:numId w:val="30"/>
              </w:numPr>
              <w:spacing w:line="240" w:lineRule="auto"/>
              <w:ind w:firstLineChars="0"/>
              <w:jc w:val="left"/>
              <w:rPr>
                <w:sz w:val="21"/>
              </w:rPr>
            </w:pPr>
            <w:r>
              <w:rPr>
                <w:rFonts w:hint="eastAsia"/>
                <w:sz w:val="21"/>
              </w:rPr>
              <w:t>负责特种设备司操人员的管理，组织特种设备及大型设备司操人员、船员、电工的操作规程教育和培训。</w:t>
            </w:r>
          </w:p>
          <w:p>
            <w:pPr>
              <w:widowControl/>
              <w:numPr>
                <w:ilvl w:val="0"/>
                <w:numId w:val="30"/>
              </w:numPr>
              <w:spacing w:line="240" w:lineRule="auto"/>
              <w:ind w:firstLineChars="0"/>
              <w:jc w:val="left"/>
              <w:rPr>
                <w:sz w:val="21"/>
              </w:rPr>
            </w:pPr>
            <w:r>
              <w:rPr>
                <w:rFonts w:hint="eastAsia"/>
                <w:sz w:val="21"/>
              </w:rPr>
              <w:t>组织突发情况下的设备应急处置，及时落实设备防风抗滑等措施。</w:t>
            </w:r>
          </w:p>
          <w:p>
            <w:pPr>
              <w:widowControl/>
              <w:numPr>
                <w:ilvl w:val="0"/>
                <w:numId w:val="30"/>
              </w:numPr>
              <w:spacing w:line="240" w:lineRule="auto"/>
              <w:ind w:firstLineChars="0"/>
              <w:jc w:val="left"/>
              <w:rPr>
                <w:sz w:val="21"/>
              </w:rPr>
            </w:pPr>
            <w:r>
              <w:rPr>
                <w:rFonts w:hint="eastAsia"/>
                <w:sz w:val="21"/>
              </w:rPr>
              <w:t>参与安全生产检查，查找临电、设备使用过程中存在的事故隐患，并及时整改。</w:t>
            </w:r>
          </w:p>
          <w:p>
            <w:pPr>
              <w:widowControl/>
              <w:numPr>
                <w:ilvl w:val="0"/>
                <w:numId w:val="30"/>
              </w:numPr>
              <w:spacing w:line="240" w:lineRule="auto"/>
              <w:ind w:firstLineChars="0"/>
              <w:jc w:val="left"/>
              <w:rPr>
                <w:sz w:val="21"/>
              </w:rPr>
            </w:pPr>
            <w:r>
              <w:rPr>
                <w:rFonts w:hint="eastAsia"/>
                <w:sz w:val="21"/>
              </w:rPr>
              <w:t>参与事故（重大隐患）的调查处理。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sz w:val="21"/>
              </w:rPr>
              <w:t>物资部</w:t>
            </w:r>
          </w:p>
        </w:tc>
        <w:tc>
          <w:tcPr>
            <w:tcW w:w="7574" w:type="dxa"/>
            <w:shd w:val="clear" w:color="auto" w:fill="auto"/>
            <w:vAlign w:val="center"/>
          </w:tcPr>
          <w:p>
            <w:pPr>
              <w:widowControl/>
              <w:numPr>
                <w:ilvl w:val="0"/>
                <w:numId w:val="31"/>
              </w:numPr>
              <w:spacing w:line="240" w:lineRule="auto"/>
              <w:ind w:firstLineChars="0"/>
              <w:jc w:val="left"/>
              <w:rPr>
                <w:sz w:val="21"/>
              </w:rPr>
            </w:pPr>
            <w:r>
              <w:rPr>
                <w:rFonts w:hint="eastAsia"/>
                <w:sz w:val="21"/>
              </w:rPr>
              <w:t>确保采购的各类物资材料检验合格，符合国家、行业主管部门颁布的安全质量标准。</w:t>
            </w:r>
          </w:p>
          <w:p>
            <w:pPr>
              <w:widowControl/>
              <w:numPr>
                <w:ilvl w:val="0"/>
                <w:numId w:val="31"/>
              </w:numPr>
              <w:spacing w:line="240" w:lineRule="auto"/>
              <w:ind w:firstLineChars="0"/>
              <w:jc w:val="left"/>
              <w:rPr>
                <w:sz w:val="21"/>
              </w:rPr>
            </w:pPr>
            <w:r>
              <w:rPr>
                <w:rFonts w:hint="eastAsia"/>
                <w:sz w:val="21"/>
              </w:rPr>
              <w:t>严格执行国家及地方关于易燃易爆、有毒有害等危险物品的运输、储存、保管、收发等管理方法，严格各环节的管理。</w:t>
            </w:r>
          </w:p>
          <w:p>
            <w:pPr>
              <w:widowControl/>
              <w:numPr>
                <w:ilvl w:val="0"/>
                <w:numId w:val="31"/>
              </w:numPr>
              <w:spacing w:line="240" w:lineRule="auto"/>
              <w:ind w:firstLineChars="0"/>
              <w:jc w:val="left"/>
              <w:rPr>
                <w:sz w:val="21"/>
              </w:rPr>
            </w:pPr>
            <w:r>
              <w:rPr>
                <w:rFonts w:hint="eastAsia"/>
                <w:sz w:val="21"/>
              </w:rPr>
              <w:t>组织对采购的安全防护设施材料、劳动防护用品、消防器材等物资进行进场验收。</w:t>
            </w:r>
          </w:p>
          <w:p>
            <w:pPr>
              <w:widowControl/>
              <w:numPr>
                <w:ilvl w:val="0"/>
                <w:numId w:val="31"/>
              </w:numPr>
              <w:spacing w:line="240" w:lineRule="auto"/>
              <w:ind w:firstLineChars="0"/>
              <w:jc w:val="left"/>
              <w:rPr>
                <w:sz w:val="21"/>
              </w:rPr>
            </w:pPr>
            <w:r>
              <w:rPr>
                <w:rFonts w:hint="eastAsia"/>
                <w:sz w:val="21"/>
              </w:rPr>
              <w:t>对在用的安全带、安全帽、救生衣、救生筏、救生圈及消防设施等按规定定期进行检验。</w:t>
            </w:r>
          </w:p>
          <w:p>
            <w:pPr>
              <w:widowControl/>
              <w:numPr>
                <w:ilvl w:val="0"/>
                <w:numId w:val="31"/>
              </w:numPr>
              <w:spacing w:line="240" w:lineRule="auto"/>
              <w:ind w:firstLineChars="0"/>
              <w:jc w:val="left"/>
              <w:rPr>
                <w:sz w:val="21"/>
              </w:rPr>
            </w:pPr>
            <w:r>
              <w:rPr>
                <w:rFonts w:hint="eastAsia"/>
                <w:sz w:val="21"/>
              </w:rPr>
              <w:t>及时提供安全技术措施计划所需材料及项目应急救援所需的物资、设备配件。</w:t>
            </w:r>
          </w:p>
          <w:p>
            <w:pPr>
              <w:widowControl/>
              <w:numPr>
                <w:ilvl w:val="0"/>
                <w:numId w:val="31"/>
              </w:numPr>
              <w:spacing w:line="240" w:lineRule="auto"/>
              <w:ind w:firstLineChars="0"/>
              <w:jc w:val="left"/>
              <w:rPr>
                <w:sz w:val="21"/>
              </w:rPr>
            </w:pPr>
            <w:r>
              <w:rPr>
                <w:rFonts w:hint="eastAsia"/>
                <w:sz w:val="21"/>
              </w:rPr>
              <w:t xml:space="preserve">在组织石料等物资运输时，应选择符合国家规定、持有有效证书的车辆或船舶。 </w:t>
            </w:r>
          </w:p>
          <w:p>
            <w:pPr>
              <w:widowControl/>
              <w:numPr>
                <w:ilvl w:val="0"/>
                <w:numId w:val="31"/>
              </w:numPr>
              <w:spacing w:line="240" w:lineRule="auto"/>
              <w:ind w:firstLineChars="0"/>
              <w:jc w:val="left"/>
              <w:rPr>
                <w:sz w:val="21"/>
              </w:rPr>
            </w:pPr>
            <w:r>
              <w:rPr>
                <w:rFonts w:hint="eastAsia"/>
                <w:sz w:val="21"/>
              </w:rPr>
              <w:t>做好易燃易爆危化品仓库、油库、库房等物资存储场所的防火、防爆、防盗等安全管控。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sz w:val="21"/>
              </w:rPr>
              <w:t>试验</w:t>
            </w:r>
            <w:r>
              <w:rPr>
                <w:rFonts w:hint="eastAsia"/>
                <w:sz w:val="21"/>
              </w:rPr>
              <w:t>室</w:t>
            </w:r>
          </w:p>
        </w:tc>
        <w:tc>
          <w:tcPr>
            <w:tcW w:w="7574" w:type="dxa"/>
            <w:shd w:val="clear" w:color="auto" w:fill="auto"/>
            <w:vAlign w:val="center"/>
          </w:tcPr>
          <w:p>
            <w:pPr>
              <w:widowControl/>
              <w:numPr>
                <w:ilvl w:val="0"/>
                <w:numId w:val="32"/>
              </w:numPr>
              <w:spacing w:line="240" w:lineRule="auto"/>
              <w:ind w:firstLineChars="0"/>
              <w:jc w:val="left"/>
              <w:rPr>
                <w:sz w:val="21"/>
              </w:rPr>
            </w:pPr>
            <w:r>
              <w:rPr>
                <w:rFonts w:hint="eastAsia"/>
                <w:sz w:val="21"/>
              </w:rPr>
              <w:t>建立健全试验室管理制度及主要试验检测设备操作规程，并贯彻落实。</w:t>
            </w:r>
          </w:p>
          <w:p>
            <w:pPr>
              <w:widowControl/>
              <w:numPr>
                <w:ilvl w:val="0"/>
                <w:numId w:val="32"/>
              </w:numPr>
              <w:spacing w:line="240" w:lineRule="auto"/>
              <w:ind w:firstLineChars="0"/>
              <w:jc w:val="left"/>
              <w:rPr>
                <w:sz w:val="21"/>
              </w:rPr>
            </w:pPr>
            <w:r>
              <w:rPr>
                <w:rFonts w:hint="eastAsia"/>
                <w:sz w:val="21"/>
              </w:rPr>
              <w:t>定期对试验室员工进行安全教育。</w:t>
            </w:r>
          </w:p>
          <w:p>
            <w:pPr>
              <w:widowControl/>
              <w:numPr>
                <w:ilvl w:val="0"/>
                <w:numId w:val="32"/>
              </w:numPr>
              <w:spacing w:line="240" w:lineRule="auto"/>
              <w:ind w:firstLineChars="0"/>
              <w:jc w:val="left"/>
              <w:rPr>
                <w:sz w:val="21"/>
              </w:rPr>
            </w:pPr>
            <w:r>
              <w:rPr>
                <w:rFonts w:hint="eastAsia"/>
                <w:sz w:val="21"/>
              </w:rPr>
              <w:t>依法合规开展试验检测工作，为生产、质量等委托部门出具数据真实的书面试验检测报告。</w:t>
            </w:r>
          </w:p>
          <w:p>
            <w:pPr>
              <w:widowControl/>
              <w:numPr>
                <w:ilvl w:val="0"/>
                <w:numId w:val="32"/>
              </w:numPr>
              <w:spacing w:line="240" w:lineRule="auto"/>
              <w:ind w:firstLineChars="0"/>
              <w:jc w:val="left"/>
              <w:rPr>
                <w:sz w:val="21"/>
              </w:rPr>
            </w:pPr>
            <w:r>
              <w:rPr>
                <w:rFonts w:hint="eastAsia"/>
                <w:sz w:val="21"/>
              </w:rPr>
              <w:t>配合做好安全设施材料的抽样检测工作。</w:t>
            </w:r>
          </w:p>
          <w:p>
            <w:pPr>
              <w:widowControl/>
              <w:numPr>
                <w:ilvl w:val="0"/>
                <w:numId w:val="32"/>
              </w:numPr>
              <w:spacing w:line="240" w:lineRule="auto"/>
              <w:ind w:firstLineChars="0"/>
              <w:jc w:val="left"/>
              <w:rPr>
                <w:sz w:val="21"/>
              </w:rPr>
            </w:pPr>
            <w:r>
              <w:rPr>
                <w:rFonts w:hint="eastAsia"/>
                <w:sz w:val="21"/>
              </w:rPr>
              <w:t>负责检验检测设备检定/校准工作，做好检验检测设备的安全防护。</w:t>
            </w:r>
          </w:p>
          <w:p>
            <w:pPr>
              <w:widowControl/>
              <w:numPr>
                <w:ilvl w:val="0"/>
                <w:numId w:val="32"/>
              </w:numPr>
              <w:spacing w:line="240" w:lineRule="auto"/>
              <w:ind w:firstLineChars="0"/>
              <w:jc w:val="left"/>
              <w:rPr>
                <w:sz w:val="21"/>
              </w:rPr>
            </w:pPr>
            <w:r>
              <w:rPr>
                <w:rFonts w:hint="eastAsia"/>
                <w:sz w:val="21"/>
              </w:rPr>
              <w:t>负责实验室范围的日常消防、用电检查及问题整改。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rFonts w:hint="eastAsia"/>
                <w:sz w:val="21"/>
              </w:rPr>
              <w:t>合同部</w:t>
            </w:r>
          </w:p>
        </w:tc>
        <w:tc>
          <w:tcPr>
            <w:tcW w:w="7574" w:type="dxa"/>
            <w:shd w:val="clear" w:color="auto" w:fill="auto"/>
            <w:vAlign w:val="center"/>
          </w:tcPr>
          <w:p>
            <w:pPr>
              <w:widowControl/>
              <w:numPr>
                <w:ilvl w:val="0"/>
                <w:numId w:val="33"/>
              </w:numPr>
              <w:spacing w:line="240" w:lineRule="auto"/>
              <w:ind w:firstLineChars="0"/>
              <w:jc w:val="left"/>
              <w:rPr>
                <w:sz w:val="21"/>
              </w:rPr>
            </w:pPr>
            <w:r>
              <w:rPr>
                <w:rFonts w:hint="eastAsia"/>
                <w:sz w:val="21"/>
              </w:rPr>
              <w:t>组织分包招议标及合同审查，确保分包单位具有独立法人资格和相应的资质等级资格。</w:t>
            </w:r>
          </w:p>
          <w:p>
            <w:pPr>
              <w:widowControl/>
              <w:numPr>
                <w:ilvl w:val="0"/>
                <w:numId w:val="33"/>
              </w:numPr>
              <w:spacing w:line="240" w:lineRule="auto"/>
              <w:ind w:firstLineChars="0"/>
              <w:jc w:val="left"/>
              <w:rPr>
                <w:sz w:val="21"/>
              </w:rPr>
            </w:pPr>
            <w:r>
              <w:rPr>
                <w:rFonts w:hint="eastAsia"/>
                <w:sz w:val="21"/>
              </w:rPr>
              <w:t>在签订有效的分包合同时，必须同时签订安全生产协议书。</w:t>
            </w:r>
          </w:p>
          <w:p>
            <w:pPr>
              <w:widowControl/>
              <w:numPr>
                <w:ilvl w:val="0"/>
                <w:numId w:val="33"/>
              </w:numPr>
              <w:spacing w:line="240" w:lineRule="auto"/>
              <w:ind w:firstLineChars="0"/>
              <w:jc w:val="left"/>
              <w:rPr>
                <w:sz w:val="21"/>
              </w:rPr>
            </w:pPr>
            <w:r>
              <w:rPr>
                <w:rFonts w:hint="eastAsia"/>
                <w:sz w:val="21"/>
              </w:rPr>
              <w:t>协助生产管理部门、安全管理部门做好分包队伍安全管理。</w:t>
            </w:r>
          </w:p>
          <w:p>
            <w:pPr>
              <w:widowControl/>
              <w:numPr>
                <w:ilvl w:val="0"/>
                <w:numId w:val="33"/>
              </w:numPr>
              <w:spacing w:line="240" w:lineRule="auto"/>
              <w:ind w:firstLineChars="0"/>
              <w:jc w:val="left"/>
              <w:rPr>
                <w:sz w:val="21"/>
              </w:rPr>
            </w:pPr>
            <w:r>
              <w:rPr>
                <w:rFonts w:hint="eastAsia"/>
                <w:sz w:val="21"/>
              </w:rPr>
              <w:t>做好安全生产措施费用的计量。</w:t>
            </w:r>
          </w:p>
          <w:p>
            <w:pPr>
              <w:widowControl/>
              <w:numPr>
                <w:ilvl w:val="0"/>
                <w:numId w:val="33"/>
              </w:numPr>
              <w:spacing w:line="240" w:lineRule="auto"/>
              <w:ind w:firstLineChars="0"/>
              <w:jc w:val="left"/>
              <w:rPr>
                <w:sz w:val="21"/>
              </w:rPr>
            </w:pPr>
            <w:r>
              <w:rPr>
                <w:rFonts w:hint="eastAsia"/>
                <w:sz w:val="21"/>
              </w:rPr>
              <w:t>使用、管理好本企业安全生产方面的资质证书。</w:t>
            </w:r>
          </w:p>
          <w:p>
            <w:pPr>
              <w:widowControl/>
              <w:numPr>
                <w:ilvl w:val="0"/>
                <w:numId w:val="33"/>
              </w:numPr>
              <w:spacing w:line="240" w:lineRule="auto"/>
              <w:ind w:firstLineChars="0"/>
              <w:jc w:val="left"/>
              <w:rPr>
                <w:sz w:val="21"/>
              </w:rPr>
            </w:pPr>
            <w:r>
              <w:rPr>
                <w:rFonts w:hint="eastAsia"/>
                <w:sz w:val="21"/>
              </w:rPr>
              <w:t>每月定期收集分包队伍进场人员信息，对进（退）场劳务人员进行登记造册。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rFonts w:hint="eastAsia"/>
                <w:sz w:val="21"/>
              </w:rPr>
              <w:t>财务部</w:t>
            </w:r>
          </w:p>
        </w:tc>
        <w:tc>
          <w:tcPr>
            <w:tcW w:w="7574" w:type="dxa"/>
            <w:shd w:val="clear" w:color="auto" w:fill="auto"/>
            <w:vAlign w:val="center"/>
          </w:tcPr>
          <w:p>
            <w:pPr>
              <w:widowControl/>
              <w:numPr>
                <w:ilvl w:val="0"/>
                <w:numId w:val="34"/>
              </w:numPr>
              <w:spacing w:line="240" w:lineRule="auto"/>
              <w:ind w:firstLineChars="0"/>
              <w:jc w:val="left"/>
              <w:rPr>
                <w:sz w:val="21"/>
              </w:rPr>
            </w:pPr>
            <w:r>
              <w:rPr>
                <w:rFonts w:hint="eastAsia"/>
                <w:sz w:val="21"/>
              </w:rPr>
              <w:t>按规定计提安全生产专项费用，列入年度计划，按时提供资金，并监督专款专用，建立专项台帐。</w:t>
            </w:r>
          </w:p>
          <w:p>
            <w:pPr>
              <w:widowControl/>
              <w:numPr>
                <w:ilvl w:val="0"/>
                <w:numId w:val="34"/>
              </w:numPr>
              <w:spacing w:line="240" w:lineRule="auto"/>
              <w:ind w:firstLineChars="0"/>
              <w:jc w:val="left"/>
              <w:rPr>
                <w:sz w:val="21"/>
              </w:rPr>
            </w:pPr>
            <w:r>
              <w:rPr>
                <w:rFonts w:hint="eastAsia"/>
                <w:sz w:val="21"/>
              </w:rPr>
              <w:t>按规定核算各项安全生产费用，与安全管理部门、合同管理部门定期核对安全生产费用的使用及计量情况。</w:t>
            </w:r>
          </w:p>
          <w:p>
            <w:pPr>
              <w:widowControl/>
              <w:numPr>
                <w:ilvl w:val="0"/>
                <w:numId w:val="34"/>
              </w:numPr>
              <w:spacing w:line="240" w:lineRule="auto"/>
              <w:ind w:firstLineChars="0"/>
              <w:jc w:val="left"/>
              <w:rPr>
                <w:sz w:val="21"/>
              </w:rPr>
            </w:pPr>
            <w:r>
              <w:rPr>
                <w:rFonts w:hint="eastAsia"/>
                <w:sz w:val="21"/>
              </w:rPr>
              <w:t>协助安全管理部门按规定收取罚款和扣、发安全奖金及其它款项。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rFonts w:hint="eastAsia"/>
                <w:sz w:val="21"/>
              </w:rPr>
              <w:t>综合办</w:t>
            </w:r>
          </w:p>
        </w:tc>
        <w:tc>
          <w:tcPr>
            <w:tcW w:w="7574" w:type="dxa"/>
            <w:shd w:val="clear" w:color="auto" w:fill="auto"/>
            <w:vAlign w:val="center"/>
          </w:tcPr>
          <w:p>
            <w:pPr>
              <w:widowControl/>
              <w:numPr>
                <w:ilvl w:val="0"/>
                <w:numId w:val="35"/>
              </w:numPr>
              <w:spacing w:line="240" w:lineRule="auto"/>
              <w:ind w:firstLineChars="0"/>
              <w:jc w:val="left"/>
              <w:rPr>
                <w:sz w:val="21"/>
              </w:rPr>
            </w:pPr>
            <w:r>
              <w:rPr>
                <w:rFonts w:hint="eastAsia"/>
                <w:sz w:val="21"/>
              </w:rPr>
              <w:t>协助分管领导做好项目的综合治理、维稳工作。</w:t>
            </w:r>
          </w:p>
          <w:p>
            <w:pPr>
              <w:widowControl/>
              <w:numPr>
                <w:ilvl w:val="0"/>
                <w:numId w:val="35"/>
              </w:numPr>
              <w:spacing w:line="240" w:lineRule="auto"/>
              <w:ind w:firstLineChars="0"/>
              <w:jc w:val="left"/>
              <w:rPr>
                <w:sz w:val="21"/>
              </w:rPr>
            </w:pPr>
            <w:r>
              <w:rPr>
                <w:rFonts w:hint="eastAsia"/>
                <w:sz w:val="21"/>
              </w:rPr>
              <w:t>统筹协调国家注册安全工程师、国家要求取证的安全生产管理人员、特种作业人员的再教育、取证换证工作，严格执行有关人员持证上岗的规定。</w:t>
            </w:r>
          </w:p>
          <w:p>
            <w:pPr>
              <w:widowControl/>
              <w:numPr>
                <w:ilvl w:val="0"/>
                <w:numId w:val="35"/>
              </w:numPr>
              <w:spacing w:line="240" w:lineRule="auto"/>
              <w:ind w:firstLineChars="0"/>
              <w:jc w:val="left"/>
              <w:rPr>
                <w:sz w:val="21"/>
              </w:rPr>
            </w:pPr>
            <w:r>
              <w:rPr>
                <w:rFonts w:hint="eastAsia"/>
                <w:sz w:val="21"/>
              </w:rPr>
              <w:t xml:space="preserve">定期对全体职工及从事有毒有害和特种作业人员、职业病危害岗位人员进行体检，对患有职业禁忌病、症的职工，要调换适当工作，保护职工身体健康。 </w:t>
            </w:r>
          </w:p>
          <w:p>
            <w:pPr>
              <w:widowControl/>
              <w:numPr>
                <w:ilvl w:val="0"/>
                <w:numId w:val="35"/>
              </w:numPr>
              <w:spacing w:line="240" w:lineRule="auto"/>
              <w:ind w:firstLineChars="0"/>
              <w:jc w:val="left"/>
              <w:rPr>
                <w:sz w:val="21"/>
              </w:rPr>
            </w:pPr>
            <w:r>
              <w:rPr>
                <w:rFonts w:hint="eastAsia"/>
                <w:sz w:val="21"/>
              </w:rPr>
              <w:t xml:space="preserve">负责办理食堂卫生许可证，食堂工作人员持有健康证；定期对卫生间、浴室及员工宿舍进行消毒；按规定处理生活区的生活垃圾及固体废弃物。 </w:t>
            </w:r>
          </w:p>
          <w:p>
            <w:pPr>
              <w:widowControl/>
              <w:numPr>
                <w:ilvl w:val="0"/>
                <w:numId w:val="35"/>
              </w:numPr>
              <w:spacing w:line="240" w:lineRule="auto"/>
              <w:ind w:firstLineChars="0"/>
              <w:jc w:val="left"/>
              <w:rPr>
                <w:sz w:val="21"/>
              </w:rPr>
            </w:pPr>
            <w:r>
              <w:rPr>
                <w:rFonts w:hint="eastAsia"/>
                <w:sz w:val="21"/>
              </w:rPr>
              <w:t>加强食堂管理，饮食物品按规定留样，防止发生集体食物中毒事件；租用合格的天然气瓶，督促食堂工作人员规范使用气瓶。</w:t>
            </w:r>
          </w:p>
          <w:p>
            <w:pPr>
              <w:widowControl/>
              <w:numPr>
                <w:ilvl w:val="0"/>
                <w:numId w:val="35"/>
              </w:numPr>
              <w:spacing w:line="240" w:lineRule="auto"/>
              <w:ind w:firstLineChars="0"/>
              <w:jc w:val="left"/>
              <w:rPr>
                <w:sz w:val="21"/>
              </w:rPr>
            </w:pPr>
            <w:r>
              <w:rPr>
                <w:rFonts w:hint="eastAsia"/>
                <w:sz w:val="21"/>
              </w:rPr>
              <w:t>负责生活区、办公区的日常消防、用电及卫生防疫检查及整改。</w:t>
            </w:r>
          </w:p>
          <w:p>
            <w:pPr>
              <w:widowControl/>
              <w:numPr>
                <w:ilvl w:val="0"/>
                <w:numId w:val="35"/>
              </w:numPr>
              <w:spacing w:line="240" w:lineRule="auto"/>
              <w:ind w:firstLineChars="0"/>
              <w:jc w:val="left"/>
              <w:rPr>
                <w:sz w:val="21"/>
              </w:rPr>
            </w:pPr>
            <w:r>
              <w:rPr>
                <w:rFonts w:hint="eastAsia"/>
                <w:sz w:val="21"/>
              </w:rPr>
              <w:t>加强人力资源管理，严格控制加班加点，保障职工的休息，做到劳逸结合。</w:t>
            </w:r>
          </w:p>
          <w:p>
            <w:pPr>
              <w:widowControl/>
              <w:numPr>
                <w:ilvl w:val="0"/>
                <w:numId w:val="35"/>
              </w:numPr>
              <w:spacing w:line="240" w:lineRule="auto"/>
              <w:ind w:firstLineChars="0"/>
              <w:jc w:val="left"/>
              <w:rPr>
                <w:sz w:val="21"/>
              </w:rPr>
            </w:pPr>
            <w:r>
              <w:rPr>
                <w:rFonts w:hint="eastAsia"/>
                <w:sz w:val="21"/>
              </w:rPr>
              <w:t xml:space="preserve">把安全生产教育培训纳入全员培训计划，督促安全管理部门落实培训计划。 </w:t>
            </w:r>
          </w:p>
          <w:p>
            <w:pPr>
              <w:widowControl/>
              <w:numPr>
                <w:ilvl w:val="0"/>
                <w:numId w:val="35"/>
              </w:numPr>
              <w:spacing w:line="240" w:lineRule="auto"/>
              <w:ind w:firstLineChars="0"/>
              <w:jc w:val="left"/>
              <w:rPr>
                <w:sz w:val="21"/>
              </w:rPr>
            </w:pPr>
            <w:r>
              <w:rPr>
                <w:rFonts w:hint="eastAsia"/>
                <w:sz w:val="21"/>
              </w:rPr>
              <w:t>负责生产安全事件信息的上报。</w:t>
            </w:r>
          </w:p>
          <w:p>
            <w:pPr>
              <w:widowControl/>
              <w:numPr>
                <w:ilvl w:val="0"/>
                <w:numId w:val="35"/>
              </w:numPr>
              <w:spacing w:line="240" w:lineRule="auto"/>
              <w:ind w:firstLineChars="0"/>
              <w:jc w:val="left"/>
              <w:rPr>
                <w:sz w:val="21"/>
              </w:rPr>
            </w:pPr>
            <w:r>
              <w:rPr>
                <w:rFonts w:hint="eastAsia"/>
                <w:sz w:val="21"/>
              </w:rPr>
              <w:t>负责公务车辆及驾驶员的管理及驾驶员的日常交通安全学习工作。</w:t>
            </w:r>
          </w:p>
          <w:p>
            <w:pPr>
              <w:widowControl/>
              <w:numPr>
                <w:ilvl w:val="0"/>
                <w:numId w:val="35"/>
              </w:numPr>
              <w:spacing w:line="240" w:lineRule="auto"/>
              <w:ind w:firstLineChars="0"/>
              <w:jc w:val="left"/>
              <w:rPr>
                <w:sz w:val="21"/>
              </w:rPr>
            </w:pPr>
            <w:r>
              <w:rPr>
                <w:rFonts w:hint="eastAsia"/>
                <w:sz w:val="21"/>
              </w:rPr>
              <w:t xml:space="preserve">建立项目部员工进（退）场花名册，并动态更新。 </w:t>
            </w:r>
          </w:p>
          <w:p>
            <w:pPr>
              <w:widowControl/>
              <w:numPr>
                <w:ilvl w:val="0"/>
                <w:numId w:val="35"/>
              </w:numPr>
              <w:spacing w:line="240" w:lineRule="auto"/>
              <w:ind w:firstLineChars="0"/>
              <w:jc w:val="left"/>
              <w:rPr>
                <w:sz w:val="21"/>
              </w:rPr>
            </w:pPr>
            <w:r>
              <w:rPr>
                <w:rFonts w:hint="eastAsia"/>
                <w:sz w:val="21"/>
              </w:rPr>
              <w:t>负责工伤鉴定，申报工伤保险。</w:t>
            </w:r>
          </w:p>
          <w:p>
            <w:pPr>
              <w:widowControl/>
              <w:numPr>
                <w:ilvl w:val="0"/>
                <w:numId w:val="35"/>
              </w:numPr>
              <w:spacing w:line="240" w:lineRule="auto"/>
              <w:ind w:firstLineChars="0"/>
              <w:jc w:val="left"/>
              <w:rPr>
                <w:sz w:val="21"/>
              </w:rPr>
            </w:pPr>
            <w:r>
              <w:rPr>
                <w:rFonts w:hint="eastAsia"/>
                <w:sz w:val="21"/>
              </w:rPr>
              <w:t>参与工伤事故的调查及善后处理。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shd w:val="clear" w:color="auto" w:fill="auto"/>
            <w:vAlign w:val="center"/>
          </w:tcPr>
          <w:p>
            <w:pPr>
              <w:tabs>
                <w:tab w:val="center" w:pos="4153"/>
                <w:tab w:val="right" w:pos="8306"/>
              </w:tabs>
              <w:spacing w:line="240" w:lineRule="auto"/>
              <w:ind w:firstLine="0" w:firstLineChars="0"/>
              <w:jc w:val="center"/>
              <w:rPr>
                <w:sz w:val="21"/>
              </w:rPr>
            </w:pPr>
            <w:r>
              <w:rPr>
                <w:rFonts w:hint="eastAsia"/>
                <w:sz w:val="21"/>
              </w:rPr>
              <w:t>测量室</w:t>
            </w:r>
          </w:p>
        </w:tc>
        <w:tc>
          <w:tcPr>
            <w:tcW w:w="7574" w:type="dxa"/>
            <w:shd w:val="clear" w:color="auto" w:fill="auto"/>
            <w:vAlign w:val="center"/>
          </w:tcPr>
          <w:p>
            <w:pPr>
              <w:widowControl/>
              <w:numPr>
                <w:ilvl w:val="0"/>
                <w:numId w:val="36"/>
              </w:numPr>
              <w:spacing w:line="240" w:lineRule="auto"/>
              <w:ind w:firstLineChars="0"/>
              <w:jc w:val="left"/>
              <w:rPr>
                <w:sz w:val="21"/>
              </w:rPr>
            </w:pPr>
            <w:r>
              <w:rPr>
                <w:rFonts w:hint="eastAsia"/>
                <w:sz w:val="21"/>
              </w:rPr>
              <w:t>定期对测量部门员工进行安全教育。</w:t>
            </w:r>
          </w:p>
          <w:p>
            <w:pPr>
              <w:widowControl/>
              <w:numPr>
                <w:ilvl w:val="0"/>
                <w:numId w:val="36"/>
              </w:numPr>
              <w:spacing w:line="240" w:lineRule="auto"/>
              <w:ind w:firstLineChars="0"/>
              <w:jc w:val="left"/>
              <w:rPr>
                <w:sz w:val="21"/>
              </w:rPr>
            </w:pPr>
            <w:r>
              <w:rPr>
                <w:rFonts w:hint="eastAsia"/>
                <w:sz w:val="21"/>
              </w:rPr>
              <w:t>按照监控量测方案的要求，做好监控量测工作，并及时向生产管理部门反馈真实的测量数据。</w:t>
            </w:r>
          </w:p>
          <w:p>
            <w:pPr>
              <w:widowControl/>
              <w:numPr>
                <w:ilvl w:val="0"/>
                <w:numId w:val="36"/>
              </w:numPr>
              <w:spacing w:line="240" w:lineRule="auto"/>
              <w:ind w:firstLineChars="0"/>
              <w:jc w:val="left"/>
              <w:rPr>
                <w:sz w:val="21"/>
              </w:rPr>
            </w:pPr>
            <w:r>
              <w:rPr>
                <w:rFonts w:hint="eastAsia"/>
                <w:sz w:val="21"/>
              </w:rPr>
              <w:t>按照标准、规范规定为委托部门提供真实测量放样数据。</w:t>
            </w:r>
          </w:p>
        </w:tc>
      </w:tr>
    </w:tbl>
    <w:p>
      <w:pPr>
        <w:pStyle w:val="5"/>
        <w:spacing w:before="156" w:after="156"/>
      </w:pPr>
      <w:bookmarkStart w:id="285" w:name="_Toc108095479"/>
      <w:bookmarkStart w:id="286" w:name="_Toc30263"/>
      <w:bookmarkStart w:id="287" w:name="_Toc121760012"/>
      <w:r>
        <w:rPr>
          <w:rFonts w:hint="eastAsia"/>
        </w:rPr>
        <w:t>安全保证体系</w:t>
      </w:r>
      <w:bookmarkEnd w:id="285"/>
      <w:bookmarkEnd w:id="286"/>
      <w:bookmarkEnd w:id="287"/>
    </w:p>
    <w:p>
      <w:pPr>
        <w:ind w:firstLine="480"/>
        <w:rPr>
          <w:b/>
          <w:bCs/>
        </w:rPr>
      </w:pPr>
      <w:r>
        <w:rPr>
          <w:rFonts w:hint="eastAsia"/>
        </w:rPr>
        <w:t>坚持“安全第一、预防为主、综合治理”的方针，根据项目特点，从思想、组织、制度、技术、资源、过程等方面入手建立健全安全生产保证体系，全面落实各项安全措施到本项目施工中，确保安全生产目标的实现。安全保证体系见</w:t>
      </w:r>
      <w:r>
        <w:rPr>
          <w:rFonts w:hint="eastAsia"/>
          <w:b/>
          <w:bCs/>
        </w:rPr>
        <w:t>图6</w:t>
      </w:r>
      <w:r>
        <w:rPr>
          <w:b/>
          <w:bCs/>
        </w:rPr>
        <w:t>.2.3-1</w:t>
      </w:r>
      <w:r>
        <w:rPr>
          <w:rFonts w:hint="eastAsia"/>
          <w:b/>
          <w:bCs/>
        </w:rPr>
        <w:t>。</w:t>
      </w:r>
    </w:p>
    <w:p>
      <w:pPr>
        <w:spacing w:line="240" w:lineRule="auto"/>
        <w:ind w:firstLine="0" w:firstLineChars="0"/>
        <w:jc w:val="center"/>
        <w:rPr>
          <w:rFonts w:cs="宋体"/>
          <w:b/>
          <w:bCs/>
          <w:kern w:val="0"/>
          <w:sz w:val="21"/>
        </w:rPr>
      </w:pPr>
      <w:r>
        <w:object>
          <v:shape id="_x0000_i1028" o:spt="75" type="#_x0000_t75" style="height:390.85pt;width:413.15pt;" o:ole="t" filled="f" o:preferrelative="t" stroked="f" coordsize="21600,21600">
            <v:path/>
            <v:fill on="f" focussize="0,0"/>
            <v:stroke on="f" joinstyle="miter"/>
            <v:imagedata r:id="rId80" o:title=""/>
            <o:lock v:ext="edit" aspectratio="t"/>
            <w10:wrap type="none"/>
            <w10:anchorlock/>
          </v:shape>
          <o:OLEObject Type="Embed" ProgID="Visio.Drawing.15" ShapeID="_x0000_i1028" DrawAspect="Content" ObjectID="_1468075728" r:id="rId79">
            <o:LockedField>false</o:LockedField>
          </o:OLEObject>
        </w:object>
      </w:r>
    </w:p>
    <w:p>
      <w:pPr>
        <w:pStyle w:val="89"/>
        <w:spacing w:before="156"/>
        <w:rPr>
          <w:rFonts w:cstheme="majorBidi"/>
          <w:szCs w:val="20"/>
        </w:rPr>
      </w:pPr>
      <w:bookmarkStart w:id="288" w:name="_Ref59530253"/>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6.2.3</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t xml:space="preserve">  </w:t>
      </w:r>
      <w:r>
        <w:rPr>
          <w:rFonts w:hint="eastAsia" w:cstheme="majorBidi"/>
          <w:szCs w:val="20"/>
        </w:rPr>
        <w:t>安全保证体系图</w:t>
      </w:r>
      <w:bookmarkEnd w:id="288"/>
    </w:p>
    <w:p>
      <w:pPr>
        <w:pStyle w:val="5"/>
        <w:spacing w:before="156" w:after="156"/>
      </w:pPr>
      <w:bookmarkStart w:id="289" w:name="_Toc30418"/>
      <w:bookmarkStart w:id="290" w:name="_Toc121760013"/>
      <w:bookmarkStart w:id="291" w:name="_Toc108095480"/>
      <w:r>
        <w:rPr>
          <w:rFonts w:hint="eastAsia"/>
        </w:rPr>
        <w:t>安全管理保证措施</w:t>
      </w:r>
      <w:bookmarkEnd w:id="289"/>
      <w:bookmarkEnd w:id="290"/>
      <w:bookmarkEnd w:id="291"/>
    </w:p>
    <w:p>
      <w:pPr>
        <w:pStyle w:val="6"/>
        <w:numPr>
          <w:ilvl w:val="0"/>
          <w:numId w:val="37"/>
        </w:numPr>
        <w:ind w:left="142"/>
        <w:rPr>
          <w:rFonts w:ascii="宋体" w:hAnsi="宋体"/>
        </w:rPr>
      </w:pPr>
      <w:r>
        <w:rPr>
          <w:rFonts w:hint="eastAsia" w:ascii="宋体" w:hAnsi="宋体"/>
        </w:rPr>
        <w:t>思想保证</w:t>
      </w:r>
    </w:p>
    <w:p>
      <w:pPr>
        <w:ind w:firstLine="480"/>
      </w:pPr>
      <w:r>
        <w:rPr>
          <w:rFonts w:hint="eastAsia"/>
        </w:rPr>
        <w:t>（1）认真贯彻执行“安全第一、预防为主、综合治理”的方针，增强全员安全意识，使全员都能明确自己的安全目标和职责，达到全员参加，全员实施的目的，体现“安全生产、人人有责”的原则。</w:t>
      </w:r>
    </w:p>
    <w:p>
      <w:pPr>
        <w:ind w:firstLine="480"/>
      </w:pPr>
      <w:r>
        <w:rPr>
          <w:rFonts w:hint="eastAsia"/>
        </w:rPr>
        <w:t>（2）分部分项工程开工前，对所有上岗人员进行安全教育培训，使全员都能遵守生产必须安全，安全才能生产的原则，严格执行安全操作规程，特种作业人员持证上岗。</w:t>
      </w:r>
    </w:p>
    <w:p>
      <w:pPr>
        <w:ind w:firstLine="480"/>
      </w:pPr>
      <w:r>
        <w:rPr>
          <w:rFonts w:hint="eastAsia"/>
        </w:rPr>
        <w:t>（3）定期组织安全宣传活动，对全体参建人员进行安全警示教育。</w:t>
      </w:r>
    </w:p>
    <w:p>
      <w:pPr>
        <w:ind w:firstLine="480"/>
      </w:pPr>
      <w:r>
        <w:rPr>
          <w:rFonts w:hint="eastAsia"/>
        </w:rPr>
        <w:t>（4）随时接受业主及监理单位对安全生产的督促、检查、考评，对提出的问题，立即整改落实，确保安全生产。</w:t>
      </w:r>
    </w:p>
    <w:p>
      <w:pPr>
        <w:pStyle w:val="6"/>
        <w:numPr>
          <w:ilvl w:val="0"/>
          <w:numId w:val="37"/>
        </w:numPr>
        <w:ind w:left="142"/>
        <w:rPr>
          <w:rFonts w:ascii="宋体" w:hAnsi="宋体"/>
        </w:rPr>
      </w:pPr>
      <w:r>
        <w:rPr>
          <w:rFonts w:hint="eastAsia" w:ascii="宋体" w:hAnsi="宋体"/>
        </w:rPr>
        <w:t>组织保证</w:t>
      </w:r>
    </w:p>
    <w:p>
      <w:pPr>
        <w:ind w:firstLine="480"/>
      </w:pPr>
      <w:r>
        <w:rPr>
          <w:rFonts w:hint="eastAsia"/>
        </w:rPr>
        <w:t>（1）将项目的安全管理全面纳入公司安全管理体系，在公司安全管理部门的指导下开展工作，执行公司的安全管理制度，并在项目管理过程中寻求公司主管部门的支持。</w:t>
      </w:r>
    </w:p>
    <w:p>
      <w:pPr>
        <w:ind w:firstLine="480"/>
      </w:pPr>
      <w:r>
        <w:rPr>
          <w:rFonts w:hint="eastAsia"/>
        </w:rPr>
        <w:t>（2）成立项目安全生产领导小组和</w:t>
      </w:r>
      <w:r>
        <w:t>安全管理部门</w:t>
      </w:r>
      <w:r>
        <w:rPr>
          <w:rFonts w:hint="eastAsia"/>
        </w:rPr>
        <w:t>，设立项目专职安全总监，全面执行项目的安全管理。</w:t>
      </w:r>
    </w:p>
    <w:p>
      <w:pPr>
        <w:ind w:firstLine="480"/>
      </w:pPr>
      <w:r>
        <w:rPr>
          <w:rFonts w:hint="eastAsia"/>
        </w:rPr>
        <w:t>（3）全面落实全员安全责任制，项目部动态更新履职尽责清单，一人一责，一岗一责，通过日常监督、年度考核的方式，压实责任，监督到位。</w:t>
      </w:r>
    </w:p>
    <w:p>
      <w:pPr>
        <w:ind w:firstLine="480"/>
      </w:pPr>
      <w:r>
        <w:rPr>
          <w:rFonts w:hint="eastAsia"/>
        </w:rPr>
        <w:t>（4）安全总监选派具有专业知识和丰富现场安全管理经验的人员担任，配足配齐各现场安全管理人员。</w:t>
      </w:r>
    </w:p>
    <w:p>
      <w:pPr>
        <w:ind w:firstLine="480"/>
      </w:pPr>
      <w:r>
        <w:rPr>
          <w:rFonts w:hint="eastAsia"/>
        </w:rPr>
        <w:t>（5）选择安全意识强、安全措施充足、服从项目安全管理的作业班组进行现场施工，加强对作业班组的安全管理。</w:t>
      </w:r>
    </w:p>
    <w:p>
      <w:pPr>
        <w:pStyle w:val="6"/>
        <w:numPr>
          <w:ilvl w:val="0"/>
          <w:numId w:val="37"/>
        </w:numPr>
        <w:ind w:left="142"/>
        <w:rPr>
          <w:rFonts w:ascii="宋体" w:hAnsi="宋体"/>
        </w:rPr>
      </w:pPr>
      <w:r>
        <w:rPr>
          <w:rFonts w:hint="eastAsia" w:ascii="宋体" w:hAnsi="宋体"/>
        </w:rPr>
        <w:t>制度保证</w:t>
      </w:r>
    </w:p>
    <w:p>
      <w:pPr>
        <w:ind w:firstLine="480"/>
      </w:pPr>
      <w:r>
        <w:rPr>
          <w:rFonts w:hint="eastAsia"/>
        </w:rPr>
        <w:t>（1）全体参建人员严格执行党和国家有关安全生产法律、法规和安全生产规程，自觉遵守国家、行业、地方及业主的有关安全生产管理规定。</w:t>
      </w:r>
    </w:p>
    <w:p>
      <w:pPr>
        <w:ind w:firstLine="480"/>
      </w:pPr>
      <w:r>
        <w:rPr>
          <w:rFonts w:hint="eastAsia"/>
        </w:rPr>
        <w:t>（2）严格执行公司的安全生产管理相关的制度和文件。</w:t>
      </w:r>
    </w:p>
    <w:p>
      <w:pPr>
        <w:ind w:firstLine="480"/>
      </w:pPr>
      <w:r>
        <w:rPr>
          <w:rFonts w:hint="eastAsia"/>
        </w:rPr>
        <w:t>（3）严格执行安全生产教育与培训制度，分部分项工程开工前，对参建人员进行岗前安全教育培训，经培训考试合格后方可上岗。</w:t>
      </w:r>
    </w:p>
    <w:p>
      <w:pPr>
        <w:ind w:firstLine="480"/>
      </w:pPr>
      <w:r>
        <w:rPr>
          <w:rFonts w:hint="eastAsia"/>
        </w:rPr>
        <w:t>（4）严格执行特种作业人员持证上岗制度，分部分项工程开工前，对特种作业人员持证情况进行核查，确保人员持证上岗。</w:t>
      </w:r>
    </w:p>
    <w:p>
      <w:pPr>
        <w:ind w:firstLine="480"/>
      </w:pPr>
      <w:r>
        <w:rPr>
          <w:rFonts w:hint="eastAsia"/>
        </w:rPr>
        <w:t>（5）严格执行安全技术交底制度，使作业人员能了解作业过程中可能存在的安全风险，交底采用书面安全交底和现场安全交底相结合的方式。</w:t>
      </w:r>
    </w:p>
    <w:p>
      <w:pPr>
        <w:ind w:firstLine="480"/>
      </w:pPr>
      <w:r>
        <w:rPr>
          <w:rFonts w:hint="eastAsia"/>
        </w:rPr>
        <w:t>（6）项目部专职安全员负责日常安全管理工作，班组设兼职安全员，进行现场安全管理、指导、监督、制止违章，在危险时采取紧急措施。专职安全员持证上岗。</w:t>
      </w:r>
    </w:p>
    <w:p>
      <w:pPr>
        <w:ind w:firstLine="480"/>
      </w:pPr>
      <w:r>
        <w:rPr>
          <w:rFonts w:hint="eastAsia"/>
        </w:rPr>
        <w:t>（7）项目部每周、每月、节前或节后均进行一次综合安全检查，并根据情况开展各类专项检查；每月召开安全生产会议，决定安全生产的重大事项、检查总结安全工作。</w:t>
      </w:r>
    </w:p>
    <w:p>
      <w:pPr>
        <w:ind w:firstLine="480"/>
      </w:pPr>
      <w:r>
        <w:rPr>
          <w:rFonts w:hint="eastAsia"/>
        </w:rPr>
        <w:t>（8）制定安全管理目标，层层分解落实安全目标，严格执行与经济挂钩的奖惩制度，坚决实施安全一票否决权制度。</w:t>
      </w:r>
    </w:p>
    <w:p>
      <w:pPr>
        <w:pStyle w:val="6"/>
        <w:numPr>
          <w:ilvl w:val="0"/>
          <w:numId w:val="37"/>
        </w:numPr>
        <w:ind w:left="142"/>
        <w:rPr>
          <w:rFonts w:ascii="宋体" w:hAnsi="宋体"/>
        </w:rPr>
      </w:pPr>
      <w:r>
        <w:rPr>
          <w:rFonts w:ascii="宋体" w:hAnsi="宋体"/>
        </w:rPr>
        <w:t>技术保证</w:t>
      </w:r>
    </w:p>
    <w:p>
      <w:pPr>
        <w:ind w:firstLine="480"/>
      </w:pPr>
      <w:r>
        <w:rPr>
          <w:rFonts w:hint="eastAsia"/>
        </w:rPr>
        <w:t>（1）项目总工要及时组织施工组织设计、专项施工方案的编制、报批，</w:t>
      </w:r>
      <w:r>
        <w:rPr>
          <w:rFonts w:hint="eastAsia" w:asciiTheme="minorEastAsia" w:hAnsiTheme="minorEastAsia" w:cstheme="minorEastAsia"/>
          <w:color w:val="000000"/>
        </w:rPr>
        <w:t>超过一定规模的危大工程</w:t>
      </w:r>
      <w:r>
        <w:rPr>
          <w:rFonts w:hint="eastAsia"/>
        </w:rPr>
        <w:t>要组织专家进行研究论证。</w:t>
      </w:r>
    </w:p>
    <w:p>
      <w:pPr>
        <w:ind w:firstLine="480"/>
      </w:pPr>
      <w:r>
        <w:rPr>
          <w:rFonts w:hint="eastAsia"/>
        </w:rPr>
        <w:t>（2）项目工程部人员在方案编制、审核、报批过程中需对风险进行识别与评估并提出对应的安全保证措施，并及时开展施工技术交底工作，在施工全过程中做好技术落实的监督指导。</w:t>
      </w:r>
    </w:p>
    <w:p>
      <w:pPr>
        <w:ind w:firstLine="480"/>
      </w:pPr>
      <w:r>
        <w:rPr>
          <w:rFonts w:hint="eastAsia"/>
        </w:rPr>
        <w:t>（3）项目部严格按照专项施工方案施工，确保安全临时设施设置到位。</w:t>
      </w:r>
    </w:p>
    <w:p>
      <w:pPr>
        <w:ind w:firstLine="480"/>
      </w:pPr>
      <w:r>
        <w:t>（4）尽可能推广使用新工艺、新技术、新设备、新材料等，严格执行《公路水运工程淘汰危及生产安全施工工艺、设备和材料目录》，确保施工技术安全。</w:t>
      </w:r>
    </w:p>
    <w:p>
      <w:pPr>
        <w:pStyle w:val="6"/>
        <w:numPr>
          <w:ilvl w:val="0"/>
          <w:numId w:val="37"/>
        </w:numPr>
        <w:ind w:left="142"/>
        <w:rPr>
          <w:rFonts w:ascii="宋体" w:hAnsi="宋体"/>
        </w:rPr>
      </w:pPr>
      <w:r>
        <w:rPr>
          <w:rFonts w:hint="eastAsia" w:ascii="宋体" w:hAnsi="宋体"/>
        </w:rPr>
        <w:t>资源保证</w:t>
      </w:r>
    </w:p>
    <w:p>
      <w:pPr>
        <w:ind w:firstLine="480"/>
      </w:pPr>
      <w:r>
        <w:rPr>
          <w:rFonts w:hint="eastAsia"/>
        </w:rPr>
        <w:t>（</w:t>
      </w:r>
      <w:r>
        <w:t>1</w:t>
      </w:r>
      <w:r>
        <w:rPr>
          <w:rFonts w:hint="eastAsia"/>
        </w:rPr>
        <w:t>）施工现场需配备足够的安全设施，必须具有安全的施工性能，并取得国家相关资质证明，不得带病作业，不得以次充好，防止出现二次伤害。</w:t>
      </w:r>
    </w:p>
    <w:p>
      <w:pPr>
        <w:ind w:firstLine="480"/>
      </w:pPr>
      <w:r>
        <w:rPr>
          <w:rFonts w:hint="eastAsia"/>
        </w:rPr>
        <w:t>（</w:t>
      </w:r>
      <w:r>
        <w:t>2</w:t>
      </w:r>
      <w:r>
        <w:rPr>
          <w:rFonts w:hint="eastAsia"/>
        </w:rPr>
        <w:t>）安全设施设备必须要有明确的标识，具有专业的操作人员和指挥人员，做到特种作业人员持证上岗。</w:t>
      </w:r>
    </w:p>
    <w:p>
      <w:pPr>
        <w:ind w:firstLine="480"/>
      </w:pPr>
      <w:r>
        <w:rPr>
          <w:rFonts w:hint="eastAsia"/>
        </w:rPr>
        <w:t>（</w:t>
      </w:r>
      <w:r>
        <w:t>3</w:t>
      </w:r>
      <w:r>
        <w:rPr>
          <w:rFonts w:hint="eastAsia"/>
        </w:rPr>
        <w:t>）各项设施设备的投入必须满足现场施工需求和应急要求。</w:t>
      </w:r>
    </w:p>
    <w:p>
      <w:pPr>
        <w:ind w:firstLine="480"/>
      </w:pPr>
      <w:r>
        <w:rPr>
          <w:rFonts w:hint="eastAsia"/>
        </w:rPr>
        <w:t>（</w:t>
      </w:r>
      <w:r>
        <w:t>4</w:t>
      </w:r>
      <w:r>
        <w:rPr>
          <w:rFonts w:hint="eastAsia"/>
        </w:rPr>
        <w:t>）项目部物资部、设备部必须定期对安全设施设备进行安全检查，确保投入的安全设施设备的安全可靠性。</w:t>
      </w:r>
    </w:p>
    <w:p>
      <w:pPr>
        <w:ind w:firstLine="480"/>
      </w:pPr>
      <w:r>
        <w:rPr>
          <w:rFonts w:hint="eastAsia"/>
        </w:rPr>
        <w:t>（</w:t>
      </w:r>
      <w:r>
        <w:t>5</w:t>
      </w:r>
      <w:r>
        <w:rPr>
          <w:rFonts w:hint="eastAsia"/>
        </w:rPr>
        <w:t>）施工现场需在具有安全风险的区域设置明显安全警示牌和标识。</w:t>
      </w:r>
    </w:p>
    <w:p>
      <w:pPr>
        <w:ind w:firstLine="480"/>
      </w:pPr>
      <w:r>
        <w:rPr>
          <w:rFonts w:hint="eastAsia"/>
        </w:rPr>
        <w:t>（</w:t>
      </w:r>
      <w:r>
        <w:t>6</w:t>
      </w:r>
      <w:r>
        <w:rPr>
          <w:rFonts w:hint="eastAsia"/>
        </w:rPr>
        <w:t>）所有进入现场的施工作业人员必须配置充足的劳保用品，劳保用品必须选择具备资质厂家的产品，且产品应附有合格证、检验证书及有关文件。</w:t>
      </w:r>
    </w:p>
    <w:p>
      <w:pPr>
        <w:ind w:firstLine="480"/>
      </w:pPr>
      <w:r>
        <w:rPr>
          <w:rFonts w:hint="eastAsia"/>
        </w:rPr>
        <w:t>（</w:t>
      </w:r>
      <w:r>
        <w:t>7</w:t>
      </w:r>
      <w:r>
        <w:rPr>
          <w:rFonts w:hint="eastAsia"/>
        </w:rPr>
        <w:t>）劳保用品破损和已丧失其使用功能的应坚决更换或不许使用。</w:t>
      </w:r>
    </w:p>
    <w:p>
      <w:pPr>
        <w:ind w:firstLine="480"/>
      </w:pPr>
      <w:r>
        <w:t>（8）确保安全生产费用足额提取并在成本中据实列支，保证安全生产费的投入及安全防护设施的设置到位。</w:t>
      </w:r>
    </w:p>
    <w:p>
      <w:pPr>
        <w:ind w:firstLine="0" w:firstLineChars="0"/>
      </w:pPr>
    </w:p>
    <w:p>
      <w:pPr>
        <w:pStyle w:val="4"/>
        <w:spacing w:before="156" w:after="156"/>
      </w:pPr>
      <w:bookmarkStart w:id="292" w:name="_Ref87282246"/>
      <w:bookmarkStart w:id="293" w:name="_Toc100221661"/>
      <w:bookmarkStart w:id="294" w:name="_Toc121760014"/>
      <w:bookmarkStart w:id="295" w:name="_Toc108095481"/>
      <w:bookmarkStart w:id="296" w:name="_Toc66805128"/>
      <w:commentRangeStart w:id="0"/>
      <w:r>
        <w:rPr>
          <w:rFonts w:hint="eastAsia"/>
        </w:rPr>
        <w:t>安全技术措施</w:t>
      </w:r>
      <w:commentRangeEnd w:id="0"/>
      <w:r>
        <w:rPr>
          <w:rStyle w:val="49"/>
          <w:sz w:val="28"/>
          <w:szCs w:val="32"/>
        </w:rPr>
        <w:commentReference w:id="0"/>
      </w:r>
      <w:bookmarkEnd w:id="292"/>
      <w:bookmarkEnd w:id="293"/>
      <w:bookmarkEnd w:id="294"/>
      <w:bookmarkEnd w:id="295"/>
      <w:bookmarkEnd w:id="296"/>
    </w:p>
    <w:p>
      <w:pPr>
        <w:pStyle w:val="5"/>
        <w:spacing w:before="156" w:after="156"/>
      </w:pPr>
      <w:bookmarkStart w:id="297" w:name="_Toc79095145"/>
      <w:bookmarkStart w:id="298" w:name="_Toc121760015"/>
      <w:bookmarkStart w:id="299" w:name="_Toc108095482"/>
      <w:bookmarkStart w:id="300" w:name="_Toc11513"/>
      <w:bookmarkStart w:id="301" w:name="_Toc27420"/>
      <w:bookmarkStart w:id="302" w:name="_Toc22668"/>
      <w:r>
        <w:rPr>
          <w:rFonts w:hint="eastAsia"/>
        </w:rPr>
        <w:t>基础及辅助钢管施工安全措施</w:t>
      </w:r>
      <w:bookmarkEnd w:id="297"/>
      <w:bookmarkEnd w:id="298"/>
      <w:bookmarkEnd w:id="299"/>
    </w:p>
    <w:p>
      <w:pPr>
        <w:ind w:firstLine="480"/>
      </w:pPr>
      <w:r>
        <w:rPr>
          <w:rFonts w:hint="eastAsia"/>
        </w:rPr>
        <w:t>（1）型钢抄平后要及时将其与施工平台钢面板四周满焊确保焊接牢靠，形成整体受力的型钢基础结构，焊接质量要满足要求。</w:t>
      </w:r>
    </w:p>
    <w:p>
      <w:pPr>
        <w:ind w:firstLine="480"/>
      </w:pPr>
      <w:r>
        <w:rPr>
          <w:rFonts w:hint="eastAsia"/>
        </w:rPr>
        <w:t>（2）加长节段应进行专项设计，使其的强度、刚度、稳定性满足要求。</w:t>
      </w:r>
    </w:p>
    <w:p>
      <w:pPr>
        <w:ind w:firstLine="480"/>
      </w:pPr>
      <w:r>
        <w:rPr>
          <w:rFonts w:hint="eastAsia"/>
        </w:rPr>
        <w:t>（</w:t>
      </w:r>
      <w:r>
        <w:t>3</w:t>
      </w:r>
      <w:r>
        <w:rPr>
          <w:rFonts w:hint="eastAsia"/>
        </w:rPr>
        <w:t>）塔柱混凝土浇筑过程中，确保预埋件位置及标高设置准确，满足辅助钢管的安装精度要求。</w:t>
      </w:r>
    </w:p>
    <w:p>
      <w:pPr>
        <w:ind w:firstLine="480"/>
      </w:pPr>
      <w:r>
        <w:rPr>
          <w:rFonts w:hint="eastAsia"/>
        </w:rPr>
        <w:t>（</w:t>
      </w:r>
      <w:r>
        <w:t>4</w:t>
      </w:r>
      <w:r>
        <w:rPr>
          <w:rFonts w:hint="eastAsia"/>
        </w:rPr>
        <w:t>）钢管所用的材料由专人进行质量验收并签字确认合格，按规格分类存放、标识，避免混用。</w:t>
      </w:r>
    </w:p>
    <w:p>
      <w:pPr>
        <w:ind w:firstLine="480"/>
      </w:pPr>
      <w:r>
        <w:rPr>
          <w:rFonts w:hint="eastAsia"/>
        </w:rPr>
        <w:t>（</w:t>
      </w:r>
      <w:r>
        <w:t>5</w:t>
      </w:r>
      <w:r>
        <w:rPr>
          <w:rFonts w:hint="eastAsia"/>
        </w:rPr>
        <w:t>）拆除的材料、构配件统一向下传递或吊运到地面，严禁抛掷至地面。</w:t>
      </w:r>
    </w:p>
    <w:p>
      <w:pPr>
        <w:pStyle w:val="5"/>
        <w:spacing w:before="156" w:after="156"/>
      </w:pPr>
      <w:bookmarkStart w:id="303" w:name="_Toc108095483"/>
      <w:bookmarkStart w:id="304" w:name="_Toc79095146"/>
      <w:bookmarkStart w:id="305" w:name="_Toc121760016"/>
      <w:bookmarkStart w:id="306" w:name="_Hlk79072530"/>
      <w:r>
        <w:rPr>
          <w:rFonts w:hint="eastAsia"/>
        </w:rPr>
        <w:t>底盘及标准节的安拆安全措施</w:t>
      </w:r>
      <w:bookmarkEnd w:id="303"/>
      <w:bookmarkEnd w:id="304"/>
      <w:bookmarkEnd w:id="305"/>
    </w:p>
    <w:p>
      <w:pPr>
        <w:ind w:firstLine="480"/>
      </w:pPr>
      <w:r>
        <w:rPr>
          <w:rFonts w:hint="eastAsia"/>
        </w:rPr>
        <w:t>（1）通过塞垫薄钢板确保底盘倾斜角度与设计一致，要确保导轨架中轴线与底架轴线垂直，随后专业安装作业人员将底盘与型钢基础焊接牢靠。</w:t>
      </w:r>
    </w:p>
    <w:p>
      <w:pPr>
        <w:ind w:firstLine="480"/>
      </w:pPr>
      <w:r>
        <w:rPr>
          <w:rFonts w:hint="eastAsia"/>
        </w:rPr>
        <w:t>（2）标准节吊装时，专业安装人员要采用牵引绳牵引标准节进行对中就位。</w:t>
      </w:r>
    </w:p>
    <w:bookmarkEnd w:id="306"/>
    <w:p>
      <w:pPr>
        <w:pStyle w:val="5"/>
        <w:spacing w:before="156" w:after="156"/>
      </w:pPr>
      <w:bookmarkStart w:id="307" w:name="_Toc79095147"/>
      <w:bookmarkStart w:id="308" w:name="_Toc121760017"/>
      <w:bookmarkStart w:id="309" w:name="_Toc108095484"/>
      <w:bookmarkStart w:id="310" w:name="_Hlk79072538"/>
      <w:r>
        <w:rPr>
          <w:rFonts w:hint="eastAsia"/>
        </w:rPr>
        <w:t>外笼（围栏门支撑和电源柜等）及缓冲弹簧安拆安全措施</w:t>
      </w:r>
      <w:bookmarkEnd w:id="307"/>
      <w:bookmarkEnd w:id="308"/>
      <w:bookmarkEnd w:id="309"/>
    </w:p>
    <w:p>
      <w:pPr>
        <w:ind w:firstLine="480"/>
      </w:pPr>
      <w:r>
        <w:rPr>
          <w:rFonts w:hint="eastAsia"/>
        </w:rPr>
        <w:t>（1）吊装四周围栏时，要按照顺序逐块吊装，每吊装一块要及时做好支撑，防止四周围栏在未连成整体前发生倾覆。</w:t>
      </w:r>
    </w:p>
    <w:p>
      <w:pPr>
        <w:ind w:firstLine="480"/>
      </w:pPr>
      <w:r>
        <w:rPr>
          <w:rFonts w:hint="eastAsia"/>
        </w:rPr>
        <w:t>（2）吊装围栏时，围栏顶部两端焊接的吊耳要确保焊接可靠，卸扣与之连接后，要进行检查，连接稳固后方可进行吊装。</w:t>
      </w:r>
    </w:p>
    <w:bookmarkEnd w:id="310"/>
    <w:p>
      <w:pPr>
        <w:pStyle w:val="5"/>
        <w:spacing w:before="156" w:after="156"/>
      </w:pPr>
      <w:bookmarkStart w:id="311" w:name="_Toc108095485"/>
      <w:bookmarkStart w:id="312" w:name="_Toc79095148"/>
      <w:bookmarkStart w:id="313" w:name="_Toc121760018"/>
      <w:bookmarkStart w:id="314" w:name="_Hlk79072546"/>
      <w:r>
        <w:rPr>
          <w:rFonts w:hint="eastAsia"/>
        </w:rPr>
        <w:t>吊笼及其顶部围栏和传动机构安拆安全措施</w:t>
      </w:r>
      <w:bookmarkEnd w:id="311"/>
      <w:bookmarkEnd w:id="312"/>
      <w:bookmarkEnd w:id="313"/>
    </w:p>
    <w:p>
      <w:pPr>
        <w:ind w:firstLine="480"/>
      </w:pPr>
      <w:r>
        <w:rPr>
          <w:rFonts w:hint="eastAsia"/>
        </w:rPr>
        <w:t>（1）吊笼吊装下放或拆除时，塔吊操作人员要听从指令缓慢操作，防止突然下放或上提撞击专业安装作业人员。</w:t>
      </w:r>
    </w:p>
    <w:p>
      <w:pPr>
        <w:ind w:firstLine="480"/>
      </w:pPr>
      <w:r>
        <w:rPr>
          <w:rFonts w:hint="eastAsia"/>
        </w:rPr>
        <w:t>（2）待吊笼下放就位后，专业安装作业人员方可解除钢丝绳两端的连接。</w:t>
      </w:r>
    </w:p>
    <w:p>
      <w:pPr>
        <w:ind w:firstLine="480"/>
      </w:pPr>
      <w:r>
        <w:rPr>
          <w:rFonts w:hint="eastAsia"/>
        </w:rPr>
        <w:t>（3）传动机构安拆时，必须检查各连接孔之间有无堵塞，电源系统是否断开。</w:t>
      </w:r>
    </w:p>
    <w:p>
      <w:pPr>
        <w:ind w:firstLine="480"/>
      </w:pPr>
      <w:r>
        <w:rPr>
          <w:rFonts w:hint="eastAsia"/>
        </w:rPr>
        <w:t>（4）吊笼顶部的围栏安装时，要拧紧连接螺栓，安拆作业时，施工人员要将安全带系挂在导轨架上的安全可靠处。</w:t>
      </w:r>
    </w:p>
    <w:bookmarkEnd w:id="314"/>
    <w:p>
      <w:pPr>
        <w:pStyle w:val="5"/>
        <w:spacing w:before="156" w:after="156"/>
      </w:pPr>
      <w:bookmarkStart w:id="315" w:name="_Toc79095149"/>
      <w:bookmarkStart w:id="316" w:name="_Toc121760019"/>
      <w:bookmarkStart w:id="317" w:name="_Toc108095486"/>
      <w:bookmarkStart w:id="318" w:name="_Hlk79072563"/>
      <w:r>
        <w:rPr>
          <w:rFonts w:hint="eastAsia"/>
        </w:rPr>
        <w:t>吊杆安拆安全措施</w:t>
      </w:r>
      <w:bookmarkEnd w:id="315"/>
      <w:bookmarkEnd w:id="316"/>
      <w:bookmarkEnd w:id="317"/>
    </w:p>
    <w:p>
      <w:pPr>
        <w:ind w:firstLine="480"/>
      </w:pPr>
      <w:r>
        <w:rPr>
          <w:rFonts w:hint="eastAsia"/>
        </w:rPr>
        <w:t>（1）吊杆安装前要对其质量和外形尺寸进行检查，安装完成后要确保吊杆对接没有偏位并连接牢靠。</w:t>
      </w:r>
    </w:p>
    <w:bookmarkEnd w:id="318"/>
    <w:p>
      <w:pPr>
        <w:pStyle w:val="5"/>
        <w:spacing w:before="156" w:after="156"/>
      </w:pPr>
      <w:bookmarkStart w:id="319" w:name="_Toc121760020"/>
      <w:bookmarkStart w:id="320" w:name="_Toc108095487"/>
      <w:bookmarkStart w:id="321" w:name="_Toc79095150"/>
      <w:bookmarkStart w:id="322" w:name="_Hlk79072571"/>
      <w:r>
        <w:rPr>
          <w:rFonts w:hint="eastAsia"/>
        </w:rPr>
        <w:t>安全电控系统安拆安全措施</w:t>
      </w:r>
      <w:bookmarkEnd w:id="319"/>
      <w:bookmarkEnd w:id="320"/>
      <w:bookmarkEnd w:id="321"/>
    </w:p>
    <w:p>
      <w:pPr>
        <w:ind w:firstLine="480"/>
      </w:pPr>
      <w:r>
        <w:rPr>
          <w:rFonts w:hint="eastAsia"/>
        </w:rPr>
        <w:t>（1）检查各类安全控制开关的质量是否合格。</w:t>
      </w:r>
    </w:p>
    <w:p>
      <w:pPr>
        <w:ind w:firstLine="480"/>
      </w:pPr>
      <w:r>
        <w:rPr>
          <w:rFonts w:hint="eastAsia"/>
        </w:rPr>
        <w:t>（2）安装完成后，检查安全控制开关或者控制系统是否有漏安或者缺失。</w:t>
      </w:r>
    </w:p>
    <w:p>
      <w:pPr>
        <w:ind w:firstLine="480"/>
      </w:pPr>
      <w:r>
        <w:rPr>
          <w:rFonts w:hint="eastAsia"/>
        </w:rPr>
        <w:t>（3）派专人检查施工升降机是否安装超载保护装置，且检查施工升降机防坠安全器是否在有效标定期内。</w:t>
      </w:r>
    </w:p>
    <w:p>
      <w:pPr>
        <w:ind w:firstLine="480"/>
      </w:pPr>
      <w:r>
        <w:rPr>
          <w:rFonts w:hint="eastAsia"/>
        </w:rPr>
        <w:t>（4）各类安全控制开关或系统在安装或者拆除时，要必须确保其处于断电状态，方可进行相关操作。</w:t>
      </w:r>
    </w:p>
    <w:bookmarkEnd w:id="322"/>
    <w:p>
      <w:pPr>
        <w:pStyle w:val="5"/>
        <w:spacing w:before="156" w:after="156"/>
      </w:pPr>
      <w:bookmarkStart w:id="323" w:name="_Toc108095488"/>
      <w:bookmarkStart w:id="324" w:name="_Toc79095151"/>
      <w:bookmarkStart w:id="325" w:name="_Toc121760021"/>
      <w:bookmarkStart w:id="326" w:name="_Hlk79072578"/>
      <w:r>
        <w:rPr>
          <w:rFonts w:hint="eastAsia"/>
        </w:rPr>
        <w:t>导轨架安拆安全措施</w:t>
      </w:r>
      <w:bookmarkEnd w:id="323"/>
      <w:bookmarkEnd w:id="324"/>
      <w:bookmarkEnd w:id="325"/>
    </w:p>
    <w:p>
      <w:pPr>
        <w:ind w:firstLine="480"/>
      </w:pPr>
      <w:r>
        <w:rPr>
          <w:rFonts w:hint="eastAsia"/>
        </w:rPr>
        <w:t>（1）导轨架进场后由专人进行质量验收并签字确认合格，按规格分类存放、标识，避免混用。</w:t>
      </w:r>
    </w:p>
    <w:p>
      <w:pPr>
        <w:ind w:firstLine="480"/>
      </w:pPr>
      <w:r>
        <w:rPr>
          <w:rFonts w:hint="eastAsia"/>
        </w:rPr>
        <w:t>（2）导轨架接长后，要检查其连接螺栓是否安装并拧紧到位。</w:t>
      </w:r>
    </w:p>
    <w:p>
      <w:pPr>
        <w:ind w:firstLine="480"/>
      </w:pPr>
      <w:r>
        <w:rPr>
          <w:rFonts w:hint="eastAsia"/>
        </w:rPr>
        <w:t>（3）导轨架接长或后期拆除施工时，要确保最大自由高度不超过7</w:t>
      </w:r>
      <w:r>
        <w:t>.5</w:t>
      </w:r>
      <w:r>
        <w:rPr>
          <w:rFonts w:hint="eastAsia"/>
        </w:rPr>
        <w:t>m。</w:t>
      </w:r>
    </w:p>
    <w:p>
      <w:pPr>
        <w:ind w:firstLine="480"/>
      </w:pPr>
      <w:r>
        <w:rPr>
          <w:rFonts w:hint="eastAsia"/>
        </w:rPr>
        <w:t>（4）导轨架安装时，要派专人对其倾斜度偏差进行校核。</w:t>
      </w:r>
    </w:p>
    <w:p>
      <w:pPr>
        <w:ind w:firstLine="480"/>
      </w:pPr>
      <w:r>
        <w:rPr>
          <w:rFonts w:hint="eastAsia"/>
        </w:rPr>
        <w:t>（5）导轨架接长施工时，要及时安装附墙件，并检查附墙件的平面位置以及高程偏差是否满足设计要求。</w:t>
      </w:r>
    </w:p>
    <w:bookmarkEnd w:id="326"/>
    <w:p>
      <w:pPr>
        <w:pStyle w:val="5"/>
        <w:spacing w:before="156" w:after="156"/>
      </w:pPr>
      <w:bookmarkStart w:id="327" w:name="_Toc108095489"/>
      <w:bookmarkStart w:id="328" w:name="_Toc121760022"/>
      <w:bookmarkStart w:id="329" w:name="_Toc79095152"/>
      <w:r>
        <w:rPr>
          <w:rFonts w:hint="eastAsia"/>
        </w:rPr>
        <w:t>附墙安装与拆除安全措施</w:t>
      </w:r>
      <w:bookmarkEnd w:id="327"/>
      <w:bookmarkEnd w:id="328"/>
      <w:bookmarkEnd w:id="329"/>
    </w:p>
    <w:p>
      <w:pPr>
        <w:ind w:firstLine="480"/>
      </w:pPr>
      <w:r>
        <w:rPr>
          <w:rFonts w:hint="eastAsia"/>
        </w:rPr>
        <w:t>（1）附墙所用的材料进场后由专人进行质量验收并签字确认合格，按规格分类存放、标识，避免混用。</w:t>
      </w:r>
    </w:p>
    <w:p>
      <w:pPr>
        <w:ind w:firstLine="480"/>
      </w:pPr>
      <w:r>
        <w:rPr>
          <w:rFonts w:hint="eastAsia"/>
        </w:rPr>
        <w:t>（2）塔柱节段混凝土浇筑过程中，确保附墙预埋件位置及标高设置准确，满足附墙安装精度要求。</w:t>
      </w:r>
    </w:p>
    <w:p>
      <w:pPr>
        <w:ind w:firstLine="480"/>
      </w:pPr>
      <w:r>
        <w:rPr>
          <w:rFonts w:hint="eastAsia"/>
        </w:rPr>
        <w:t>（3）附墙应进行专项设计，使其的强度、刚度、稳定性满足要求。</w:t>
      </w:r>
    </w:p>
    <w:p>
      <w:pPr>
        <w:ind w:firstLine="480"/>
      </w:pPr>
      <w:r>
        <w:rPr>
          <w:rFonts w:hint="eastAsia"/>
        </w:rPr>
        <w:t>（4）附墙安装时，指定专人测量复核其安装标高、水平度以及平面位置。</w:t>
      </w:r>
    </w:p>
    <w:p>
      <w:pPr>
        <w:ind w:firstLine="480"/>
      </w:pPr>
      <w:r>
        <w:rPr>
          <w:rFonts w:hint="eastAsia"/>
        </w:rPr>
        <w:t>（5）附墙安装完成后，及时安装连接螺栓以及开口销，并指定专人进行检查复核验收。</w:t>
      </w:r>
    </w:p>
    <w:p>
      <w:pPr>
        <w:ind w:firstLine="480"/>
      </w:pPr>
      <w:r>
        <w:rPr>
          <w:rFonts w:hint="eastAsia"/>
        </w:rPr>
        <w:t>（</w:t>
      </w:r>
      <w:r>
        <w:t>6</w:t>
      </w:r>
      <w:r>
        <w:rPr>
          <w:rFonts w:hint="eastAsia"/>
        </w:rPr>
        <w:t>）附墙安装与拆除前，必须在塔柱外侧设置施工操作平台，施工操作平台应进行专项设计，使其的强度、刚度、稳定性满足要求，且需验收合格后方可投入使用。</w:t>
      </w:r>
    </w:p>
    <w:p>
      <w:pPr>
        <w:ind w:firstLine="480"/>
      </w:pPr>
      <w:r>
        <w:rPr>
          <w:rFonts w:hint="eastAsia"/>
        </w:rPr>
        <w:t>（</w:t>
      </w:r>
      <w:r>
        <w:t>7</w:t>
      </w:r>
      <w:r>
        <w:rPr>
          <w:rFonts w:hint="eastAsia"/>
        </w:rPr>
        <w:t>）附墙安拆施工作业时，作业人员需站在塔柱外侧的施工操作平台上进行作业，同时需佩戴好安全带并将安全带挂在操作平台上安全稳固处。</w:t>
      </w:r>
    </w:p>
    <w:p>
      <w:pPr>
        <w:pStyle w:val="5"/>
        <w:spacing w:before="156" w:after="156"/>
        <w:rPr>
          <w:lang w:val="zh-CN"/>
        </w:rPr>
      </w:pPr>
      <w:bookmarkStart w:id="330" w:name="_Toc108095490"/>
      <w:bookmarkStart w:id="331" w:name="_Toc121760023"/>
      <w:r>
        <w:rPr>
          <w:lang w:val="zh-CN"/>
        </w:rPr>
        <w:t>高处作业安全</w:t>
      </w:r>
      <w:r>
        <w:rPr>
          <w:rFonts w:hint="eastAsia"/>
        </w:rPr>
        <w:t>技术</w:t>
      </w:r>
      <w:r>
        <w:rPr>
          <w:lang w:val="zh-CN"/>
        </w:rPr>
        <w:t>措施</w:t>
      </w:r>
      <w:bookmarkEnd w:id="300"/>
      <w:bookmarkEnd w:id="301"/>
      <w:bookmarkEnd w:id="302"/>
      <w:bookmarkEnd w:id="330"/>
      <w:bookmarkEnd w:id="331"/>
    </w:p>
    <w:p>
      <w:pPr>
        <w:widowControl/>
        <w:ind w:firstLine="360" w:firstLineChars="150"/>
        <w:rPr>
          <w:kern w:val="0"/>
          <w:szCs w:val="24"/>
        </w:rPr>
      </w:pPr>
      <w:r>
        <w:rPr>
          <w:rFonts w:hint="eastAsia"/>
          <w:kern w:val="0"/>
          <w:szCs w:val="24"/>
        </w:rPr>
        <w:t>高处作业涉及到的工作包括支架安拆、模板安拆、</w:t>
      </w:r>
      <w:r>
        <w:rPr>
          <w:rFonts w:hint="eastAsia"/>
        </w:rPr>
        <w:t>钢筋安装</w:t>
      </w:r>
      <w:r>
        <w:rPr>
          <w:rFonts w:hint="eastAsia"/>
          <w:kern w:val="0"/>
          <w:szCs w:val="24"/>
        </w:rPr>
        <w:t>和混凝土浇筑。应采取措施如下：</w:t>
      </w:r>
    </w:p>
    <w:p>
      <w:pPr>
        <w:pStyle w:val="117"/>
        <w:numPr>
          <w:ilvl w:val="0"/>
          <w:numId w:val="38"/>
        </w:numPr>
        <w:ind w:firstLine="480" w:firstLineChars="200"/>
      </w:pPr>
      <w:r>
        <w:rPr>
          <w:rFonts w:hint="eastAsia"/>
        </w:rPr>
        <w:t>高空作业人员必须正确佩带安全帽，必须系好安全带，并挂在牢固处（高挂低用）。</w:t>
      </w:r>
    </w:p>
    <w:p>
      <w:pPr>
        <w:pStyle w:val="121"/>
        <w:numPr>
          <w:ilvl w:val="0"/>
          <w:numId w:val="39"/>
        </w:numPr>
        <w:ind w:firstLine="480"/>
      </w:pPr>
      <w:r>
        <w:rPr>
          <w:rFonts w:hint="eastAsia"/>
        </w:rPr>
        <w:t>高处作业使用的吊架、平台、脚手板、梯子、护栏、索具（钢丝绳、麻绳、化学纤维绳）等料具和安全带、安全网等安全防护用品的质量都必须符合国家规范的要求。</w:t>
      </w:r>
    </w:p>
    <w:p>
      <w:pPr>
        <w:pStyle w:val="121"/>
        <w:numPr>
          <w:ilvl w:val="0"/>
          <w:numId w:val="39"/>
        </w:numPr>
        <w:ind w:firstLine="480"/>
      </w:pPr>
      <w:r>
        <w:rPr>
          <w:rFonts w:hint="eastAsia"/>
        </w:rPr>
        <w:t>高处施工作业前，应进行针对性的书面安全交底，要被交底人的签字，同时必须落实所有的安全技术措施和个人防护用品，未经落实时不得进行施工作业。</w:t>
      </w:r>
    </w:p>
    <w:p>
      <w:pPr>
        <w:pStyle w:val="121"/>
        <w:numPr>
          <w:ilvl w:val="0"/>
          <w:numId w:val="39"/>
        </w:numPr>
        <w:ind w:firstLine="480"/>
      </w:pPr>
      <w:r>
        <w:rPr>
          <w:rFonts w:hint="eastAsia"/>
        </w:rPr>
        <w:t>从事高处作业的人员，必须定期体检。凡患有高血压、心脏病、贫血、癫痫症、严重近视及患有其他不适应高处作业病症的人员，均不得登高作业。</w:t>
      </w:r>
    </w:p>
    <w:p>
      <w:pPr>
        <w:pStyle w:val="121"/>
        <w:numPr>
          <w:ilvl w:val="0"/>
          <w:numId w:val="39"/>
        </w:numPr>
        <w:ind w:firstLine="480"/>
      </w:pPr>
      <w:r>
        <w:rPr>
          <w:rFonts w:hint="eastAsia"/>
        </w:rPr>
        <w:t>攀登和悬空高处作业人员以及搭设高处作业安全设施的人员，必须经过专业技术培训及专业考试合格，持证上岗。</w:t>
      </w:r>
    </w:p>
    <w:p>
      <w:pPr>
        <w:pStyle w:val="121"/>
        <w:numPr>
          <w:ilvl w:val="0"/>
          <w:numId w:val="39"/>
        </w:numPr>
        <w:ind w:firstLine="480"/>
      </w:pPr>
      <w:r>
        <w:rPr>
          <w:rFonts w:hint="eastAsia"/>
        </w:rPr>
        <w:t>施工中，对高处作业的安全技术设施，使用中发生损坏，必须及时解决，危及人身安全的，必须立即停止作业，排除险情或隐患后，方准作业。</w:t>
      </w:r>
    </w:p>
    <w:p>
      <w:pPr>
        <w:pStyle w:val="121"/>
        <w:numPr>
          <w:ilvl w:val="0"/>
          <w:numId w:val="39"/>
        </w:numPr>
        <w:ind w:firstLine="480"/>
      </w:pPr>
      <w:r>
        <w:rPr>
          <w:rFonts w:hint="eastAsia"/>
        </w:rPr>
        <w:t>施工作业场所有坠落可能的物体，应一律先行撤除或加以固定。高处作业中所用的物料，均应堆放平稳，不妨碍通行，并不得超重，在临时搭建的拆除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pPr>
        <w:pStyle w:val="121"/>
        <w:numPr>
          <w:ilvl w:val="0"/>
          <w:numId w:val="39"/>
        </w:numPr>
        <w:ind w:firstLine="480"/>
      </w:pPr>
      <w:r>
        <w:rPr>
          <w:rFonts w:hint="eastAsia"/>
        </w:rPr>
        <w:t>高处作业无法搭设严密的防护设施的，必须使用安全带。安全带必须系挂在施工作业上方牢固的物体上，并高挂低用，禁止低挂高用。</w:t>
      </w:r>
    </w:p>
    <w:p>
      <w:pPr>
        <w:pStyle w:val="121"/>
        <w:numPr>
          <w:ilvl w:val="0"/>
          <w:numId w:val="39"/>
        </w:numPr>
        <w:ind w:firstLine="480"/>
      </w:pPr>
      <w:r>
        <w:rPr>
          <w:rFonts w:hint="eastAsia"/>
        </w:rPr>
        <w:t>高处作业人员不准骑坐临时搭建的拆除平台上的护栏、未拆除牢固的管道、设备上和躺在平台、孔洞边缘上休息。在没有安全防护设施的条件下，严禁在木桁架、挑梁，砌体及构架上行走或作业。</w:t>
      </w:r>
    </w:p>
    <w:p>
      <w:pPr>
        <w:pStyle w:val="121"/>
        <w:numPr>
          <w:ilvl w:val="0"/>
          <w:numId w:val="39"/>
        </w:numPr>
        <w:ind w:firstLine="480"/>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5级大风立即停止露天高处作业。</w:t>
      </w:r>
    </w:p>
    <w:p>
      <w:pPr>
        <w:pStyle w:val="121"/>
        <w:numPr>
          <w:ilvl w:val="0"/>
          <w:numId w:val="39"/>
        </w:numPr>
        <w:ind w:firstLine="480"/>
      </w:pPr>
      <w:r>
        <w:rPr>
          <w:rFonts w:hint="eastAsia"/>
        </w:rPr>
        <w:t>因作业需要，临时拆除或变动安全防护设施的，必须经施工负责人同意，并采取相应的可靠措施，作业后立即恢复。</w:t>
      </w:r>
    </w:p>
    <w:p>
      <w:pPr>
        <w:pStyle w:val="121"/>
        <w:numPr>
          <w:ilvl w:val="0"/>
          <w:numId w:val="39"/>
        </w:numPr>
        <w:ind w:firstLine="480"/>
      </w:pPr>
      <w:r>
        <w:rPr>
          <w:rFonts w:hint="eastAsia"/>
        </w:rPr>
        <w:t>高处作业人员应沿着斜道、梯子上下，严禁沿着绳索、立杆、井架或栏杆等攀登。</w:t>
      </w:r>
    </w:p>
    <w:p>
      <w:pPr>
        <w:pStyle w:val="121"/>
        <w:numPr>
          <w:ilvl w:val="0"/>
          <w:numId w:val="39"/>
        </w:numPr>
        <w:ind w:firstLine="480"/>
      </w:pPr>
      <w:r>
        <w:rPr>
          <w:rFonts w:hint="eastAsia"/>
        </w:rPr>
        <w:t>人字梯的使用：</w:t>
      </w:r>
    </w:p>
    <w:p>
      <w:pPr>
        <w:ind w:firstLine="480"/>
      </w:pPr>
      <w:r>
        <w:rPr>
          <w:rFonts w:hint="eastAsia"/>
        </w:rPr>
        <w:t>1、使用前检查该梯子是否安全，即检查梯子的铆钉是否松动，焊接是否开裂；</w:t>
      </w:r>
    </w:p>
    <w:p>
      <w:pPr>
        <w:ind w:firstLine="480"/>
      </w:pPr>
      <w:r>
        <w:t>2</w:t>
      </w:r>
      <w:r>
        <w:rPr>
          <w:rFonts w:hint="eastAsia"/>
        </w:rPr>
        <w:t>、用结实的绳索将两边拉住、拴紧、绷直；</w:t>
      </w:r>
    </w:p>
    <w:p>
      <w:pPr>
        <w:ind w:firstLine="480"/>
      </w:pPr>
      <w:r>
        <w:rPr>
          <w:rFonts w:hint="eastAsia"/>
        </w:rPr>
        <w:t>3、梯子须安放稳固，使用材料需经人传递或用小桶吊放，严禁上下抛物；</w:t>
      </w:r>
    </w:p>
    <w:p>
      <w:pPr>
        <w:ind w:firstLine="480"/>
      </w:pPr>
      <w:r>
        <w:t>4</w:t>
      </w:r>
      <w:r>
        <w:rPr>
          <w:rFonts w:hint="eastAsia"/>
        </w:rPr>
        <w:t>、使用梯子时至少两人一组，有专人扶梯；</w:t>
      </w:r>
    </w:p>
    <w:p>
      <w:pPr>
        <w:ind w:firstLine="480"/>
      </w:pPr>
      <w:r>
        <w:rPr>
          <w:rFonts w:hint="eastAsia"/>
        </w:rPr>
        <w:t>5、严禁使用梯子最上面两格；</w:t>
      </w:r>
    </w:p>
    <w:p>
      <w:pPr>
        <w:ind w:firstLine="480"/>
      </w:pPr>
      <w:r>
        <w:rPr>
          <w:rFonts w:hint="eastAsia"/>
        </w:rPr>
        <w:t>6、严禁背对梯子作业；</w:t>
      </w:r>
    </w:p>
    <w:p>
      <w:pPr>
        <w:ind w:firstLine="480"/>
      </w:pPr>
      <w:r>
        <w:rPr>
          <w:rFonts w:hint="eastAsia"/>
        </w:rPr>
        <w:t>7、超过2米以上的作业，且安全带无挂点时，除扶梯人外，须再设置一名监护人；</w:t>
      </w:r>
    </w:p>
    <w:p>
      <w:pPr>
        <w:ind w:firstLine="480"/>
      </w:pPr>
      <w:r>
        <w:rPr>
          <w:rFonts w:hint="eastAsia"/>
        </w:rPr>
        <w:t>8、严禁交叉作业；</w:t>
      </w:r>
    </w:p>
    <w:p>
      <w:pPr>
        <w:ind w:firstLine="480"/>
      </w:pPr>
      <w:r>
        <w:rPr>
          <w:rFonts w:hint="eastAsia"/>
        </w:rPr>
        <w:t>9、作业区域应用警示带围好、设置监护人，严禁非作业人员入内。</w:t>
      </w:r>
    </w:p>
    <w:p>
      <w:pPr>
        <w:pStyle w:val="121"/>
        <w:numPr>
          <w:ilvl w:val="0"/>
          <w:numId w:val="39"/>
        </w:numPr>
        <w:ind w:firstLine="480"/>
      </w:pPr>
      <w:r>
        <w:rPr>
          <w:rFonts w:hint="eastAsia"/>
        </w:rPr>
        <w:t>高温季节必须按照防暑降温的要求合理安排工作时间，配备充足的饮用水，采取必要的防暑降温措施。</w:t>
      </w:r>
    </w:p>
    <w:p>
      <w:pPr>
        <w:pStyle w:val="121"/>
        <w:numPr>
          <w:ilvl w:val="0"/>
          <w:numId w:val="39"/>
        </w:numPr>
        <w:ind w:firstLine="480"/>
      </w:pPr>
      <w:r>
        <w:rPr>
          <w:rFonts w:hint="eastAsia"/>
        </w:rPr>
        <w:t>临近傍晚及气候突变等照明不良的情况下，必须确保人员和各类构件的安全。</w:t>
      </w:r>
    </w:p>
    <w:p>
      <w:pPr>
        <w:pStyle w:val="5"/>
        <w:spacing w:before="156" w:after="156"/>
      </w:pPr>
      <w:bookmarkStart w:id="332" w:name="_Toc25995"/>
      <w:bookmarkStart w:id="333" w:name="_Toc18994"/>
      <w:bookmarkStart w:id="334" w:name="_Toc108095491"/>
      <w:bookmarkStart w:id="335" w:name="_Toc26788"/>
      <w:bookmarkStart w:id="336" w:name="_Toc121760024"/>
      <w:bookmarkStart w:id="337" w:name="_Toc25428"/>
      <w:r>
        <w:t>起重作业安全</w:t>
      </w:r>
      <w:r>
        <w:rPr>
          <w:rFonts w:hint="eastAsia"/>
        </w:rPr>
        <w:t>技术</w:t>
      </w:r>
      <w:r>
        <w:t>措施</w:t>
      </w:r>
      <w:bookmarkEnd w:id="332"/>
      <w:bookmarkEnd w:id="333"/>
      <w:bookmarkEnd w:id="334"/>
      <w:bookmarkEnd w:id="335"/>
      <w:bookmarkEnd w:id="336"/>
      <w:bookmarkEnd w:id="337"/>
    </w:p>
    <w:p>
      <w:pPr>
        <w:pStyle w:val="117"/>
        <w:numPr>
          <w:ilvl w:val="0"/>
          <w:numId w:val="40"/>
        </w:numPr>
        <w:ind w:firstLine="480" w:firstLineChars="200"/>
      </w:pPr>
      <w:bookmarkStart w:id="338" w:name="_Toc17530"/>
      <w:bookmarkStart w:id="339" w:name="_Toc32142"/>
      <w:bookmarkStart w:id="340" w:name="_Toc31508"/>
      <w:bookmarkStart w:id="341" w:name="_Toc14226"/>
      <w:r>
        <w:rPr>
          <w:rFonts w:hint="eastAsia"/>
        </w:rPr>
        <w:t>作业人员的安全规章制度的学习，提高安全防范意识。</w:t>
      </w:r>
    </w:p>
    <w:p>
      <w:pPr>
        <w:pStyle w:val="121"/>
        <w:numPr>
          <w:ilvl w:val="0"/>
          <w:numId w:val="40"/>
        </w:numPr>
        <w:ind w:firstLine="480"/>
      </w:pPr>
      <w:r>
        <w:rPr>
          <w:rFonts w:hint="eastAsia"/>
        </w:rPr>
        <w:t>严禁酒后作业，严格遵守项目部相关规定安全施工。</w:t>
      </w:r>
    </w:p>
    <w:p>
      <w:pPr>
        <w:pStyle w:val="121"/>
        <w:numPr>
          <w:ilvl w:val="0"/>
          <w:numId w:val="40"/>
        </w:numPr>
        <w:ind w:firstLine="480"/>
      </w:pPr>
      <w:r>
        <w:rPr>
          <w:rFonts w:hint="eastAsia"/>
        </w:rPr>
        <w:t>吊装作业人员统一配戴我项目部的安全帽，进入施工现场遵守我公司的规定。</w:t>
      </w:r>
    </w:p>
    <w:p>
      <w:pPr>
        <w:pStyle w:val="121"/>
        <w:numPr>
          <w:ilvl w:val="0"/>
          <w:numId w:val="40"/>
        </w:numPr>
        <w:ind w:firstLine="480"/>
      </w:pPr>
      <w:r>
        <w:rPr>
          <w:rFonts w:hint="eastAsia"/>
        </w:rPr>
        <w:t>作业时必须执行安全技术交底，听从统一指挥。</w:t>
      </w:r>
    </w:p>
    <w:p>
      <w:pPr>
        <w:pStyle w:val="121"/>
        <w:numPr>
          <w:ilvl w:val="0"/>
          <w:numId w:val="40"/>
        </w:numPr>
        <w:ind w:firstLine="480"/>
      </w:pPr>
      <w:r>
        <w:rPr>
          <w:rFonts w:hint="eastAsia"/>
        </w:rPr>
        <w:t>起重工、信号工必须经专门安全技术培训，持证上岗。</w:t>
      </w:r>
    </w:p>
    <w:p>
      <w:pPr>
        <w:pStyle w:val="121"/>
        <w:numPr>
          <w:ilvl w:val="0"/>
          <w:numId w:val="40"/>
        </w:numPr>
        <w:ind w:firstLine="480"/>
      </w:pPr>
      <w:r>
        <w:rPr>
          <w:rFonts w:hint="eastAsia"/>
        </w:rPr>
        <w:t>信号工要穿有明显标识的衣服，两眼视力不得低于1.0，无色盲、听力障碍、高血压、心脏病等生理缺陷。</w:t>
      </w:r>
    </w:p>
    <w:p>
      <w:pPr>
        <w:pStyle w:val="121"/>
        <w:numPr>
          <w:ilvl w:val="0"/>
          <w:numId w:val="40"/>
        </w:numPr>
        <w:ind w:firstLine="480"/>
      </w:pPr>
      <w:r>
        <w:rPr>
          <w:rFonts w:hint="eastAsia"/>
        </w:rPr>
        <w:t>信号工高空指挥时，需戴安全带，脚穿防滑鞋。</w:t>
      </w:r>
    </w:p>
    <w:p>
      <w:pPr>
        <w:pStyle w:val="121"/>
        <w:numPr>
          <w:ilvl w:val="0"/>
          <w:numId w:val="40"/>
        </w:numPr>
        <w:ind w:firstLine="480"/>
      </w:pPr>
      <w:r>
        <w:rPr>
          <w:rFonts w:hint="eastAsia"/>
        </w:rPr>
        <w:t>吊车尾部为司机盲区，工作人员注意吊车尾部的旋转动态。</w:t>
      </w:r>
    </w:p>
    <w:p>
      <w:pPr>
        <w:pStyle w:val="121"/>
        <w:numPr>
          <w:ilvl w:val="0"/>
          <w:numId w:val="40"/>
        </w:numPr>
        <w:ind w:firstLine="480"/>
      </w:pPr>
      <w:r>
        <w:rPr>
          <w:rFonts w:hint="eastAsia"/>
        </w:rPr>
        <w:t>起重大件时，严禁任何人员乘坐大件。</w:t>
      </w:r>
    </w:p>
    <w:p>
      <w:pPr>
        <w:pStyle w:val="121"/>
        <w:numPr>
          <w:ilvl w:val="0"/>
          <w:numId w:val="40"/>
        </w:numPr>
        <w:ind w:firstLine="480"/>
      </w:pPr>
      <w:r>
        <w:rPr>
          <w:rFonts w:hint="eastAsia"/>
        </w:rPr>
        <w:t>司机作业时，严禁收听任何有声电器及电话（除指挥使用对讲机除外），严禁和其他人员交谈。</w:t>
      </w:r>
    </w:p>
    <w:p>
      <w:pPr>
        <w:pStyle w:val="121"/>
        <w:numPr>
          <w:ilvl w:val="0"/>
          <w:numId w:val="40"/>
        </w:numPr>
        <w:ind w:firstLine="480"/>
      </w:pPr>
      <w:r>
        <w:rPr>
          <w:rFonts w:hint="eastAsia"/>
        </w:rPr>
        <w:t>司机和信号工必须使用对讲机进行指令的接受和发出，确保对讲机的音质清晰，调频无干扰。</w:t>
      </w:r>
    </w:p>
    <w:p>
      <w:pPr>
        <w:pStyle w:val="121"/>
        <w:numPr>
          <w:ilvl w:val="0"/>
          <w:numId w:val="40"/>
        </w:numPr>
        <w:ind w:firstLine="480"/>
      </w:pPr>
      <w:r>
        <w:rPr>
          <w:rFonts w:hint="eastAsia"/>
        </w:rPr>
        <w:t>作业前必须检查作业环境、吊索具、防护用品。吊装区域无闲散人员，障碍已排除。吊具无缺陷，捆绑正确牢固。在信号不明和作业现场光线阴暗时，严禁进行起吊作业。</w:t>
      </w:r>
    </w:p>
    <w:p>
      <w:pPr>
        <w:pStyle w:val="121"/>
        <w:numPr>
          <w:ilvl w:val="0"/>
          <w:numId w:val="40"/>
        </w:numPr>
        <w:ind w:firstLine="480"/>
      </w:pPr>
      <w:r>
        <w:rPr>
          <w:rFonts w:hint="eastAsia"/>
        </w:rPr>
        <w:t>起重作业时，必须正确选择吊点的位置，合理穿挂索具，试吊。</w:t>
      </w:r>
    </w:p>
    <w:p>
      <w:pPr>
        <w:pStyle w:val="121"/>
        <w:numPr>
          <w:ilvl w:val="0"/>
          <w:numId w:val="40"/>
        </w:numPr>
        <w:ind w:firstLine="48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pPr>
        <w:pStyle w:val="121"/>
        <w:numPr>
          <w:ilvl w:val="0"/>
          <w:numId w:val="40"/>
        </w:numPr>
        <w:ind w:firstLine="480"/>
      </w:pPr>
      <w:r>
        <w:rPr>
          <w:rFonts w:hint="eastAsia"/>
        </w:rPr>
        <w:t>大雨、风力在5级以上等恶劣天气，必须停止露天起重吊装作业。严禁在带电的高压线或一侧作业。</w:t>
      </w:r>
    </w:p>
    <w:p>
      <w:pPr>
        <w:pStyle w:val="121"/>
        <w:numPr>
          <w:ilvl w:val="0"/>
          <w:numId w:val="40"/>
        </w:numPr>
        <w:ind w:firstLine="48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5级以上大风和雷暴雨时不吊；在斜坡上或坑沿，堤岸不填实不吊。</w:t>
      </w:r>
    </w:p>
    <w:p>
      <w:pPr>
        <w:pStyle w:val="121"/>
        <w:numPr>
          <w:ilvl w:val="0"/>
          <w:numId w:val="40"/>
        </w:numPr>
        <w:ind w:firstLine="480"/>
      </w:pPr>
      <w:r>
        <w:rPr>
          <w:rFonts w:hint="eastAsia"/>
        </w:rPr>
        <w:t>使用起重作业时，必须正确选择吊点的位置，合理穿挂索具，试吊。</w:t>
      </w:r>
    </w:p>
    <w:p>
      <w:pPr>
        <w:pStyle w:val="121"/>
        <w:numPr>
          <w:ilvl w:val="0"/>
          <w:numId w:val="40"/>
        </w:numPr>
        <w:ind w:firstLine="480"/>
      </w:pPr>
      <w:r>
        <w:rPr>
          <w:rFonts w:hint="eastAsia"/>
        </w:rPr>
        <w:t>机械设备要摆放整齐，用倒链拴牢固。放在高处的货物要有防护措施。</w:t>
      </w:r>
    </w:p>
    <w:p>
      <w:pPr>
        <w:pStyle w:val="5"/>
        <w:spacing w:before="156" w:after="156"/>
      </w:pPr>
      <w:bookmarkStart w:id="342" w:name="_Toc108095492"/>
      <w:bookmarkStart w:id="343" w:name="_Toc121760025"/>
      <w:r>
        <w:t>电焊作业安全</w:t>
      </w:r>
      <w:r>
        <w:rPr>
          <w:rFonts w:hint="eastAsia"/>
        </w:rPr>
        <w:t>技术</w:t>
      </w:r>
      <w:r>
        <w:t>措施</w:t>
      </w:r>
      <w:bookmarkEnd w:id="338"/>
      <w:bookmarkEnd w:id="339"/>
      <w:bookmarkEnd w:id="340"/>
      <w:bookmarkEnd w:id="341"/>
      <w:bookmarkEnd w:id="342"/>
      <w:bookmarkEnd w:id="343"/>
    </w:p>
    <w:p>
      <w:pPr>
        <w:pStyle w:val="58"/>
        <w:numPr>
          <w:ilvl w:val="0"/>
          <w:numId w:val="41"/>
        </w:numPr>
        <w:adjustRightInd w:val="0"/>
        <w:snapToGrid w:val="0"/>
        <w:ind w:left="0" w:firstLine="480"/>
        <w:rPr>
          <w:szCs w:val="24"/>
        </w:rPr>
      </w:pPr>
      <w:r>
        <w:rPr>
          <w:szCs w:val="24"/>
        </w:rPr>
        <w:t>电焊作业人员须持有特种作业操作证，并经培训、考试合格方可上岗，作业证过期未年审的不准进行作业。</w:t>
      </w:r>
    </w:p>
    <w:p>
      <w:pPr>
        <w:pStyle w:val="58"/>
        <w:numPr>
          <w:ilvl w:val="0"/>
          <w:numId w:val="41"/>
        </w:numPr>
        <w:adjustRightInd w:val="0"/>
        <w:snapToGrid w:val="0"/>
        <w:ind w:left="0" w:firstLine="480"/>
        <w:rPr>
          <w:szCs w:val="24"/>
        </w:rPr>
      </w:pPr>
      <w:r>
        <w:rPr>
          <w:szCs w:val="24"/>
        </w:rPr>
        <w:t>电焊作业前必须按规定办理动火审批手续，作业时必须穿戴好劳动保护用品。</w:t>
      </w:r>
    </w:p>
    <w:p>
      <w:pPr>
        <w:pStyle w:val="58"/>
        <w:numPr>
          <w:ilvl w:val="0"/>
          <w:numId w:val="41"/>
        </w:numPr>
        <w:adjustRightInd w:val="0"/>
        <w:snapToGrid w:val="0"/>
        <w:ind w:left="0" w:firstLine="480"/>
        <w:rPr>
          <w:szCs w:val="24"/>
        </w:rPr>
      </w:pPr>
      <w:r>
        <w:rPr>
          <w:szCs w:val="24"/>
        </w:rPr>
        <w:t>电焊机须配置防触电保护器，外壳必须有良好的接零或接地保护，按照一机一闸的原则设置开关箱。</w:t>
      </w:r>
    </w:p>
    <w:p>
      <w:pPr>
        <w:pStyle w:val="58"/>
        <w:numPr>
          <w:ilvl w:val="0"/>
          <w:numId w:val="41"/>
        </w:numPr>
        <w:adjustRightInd w:val="0"/>
        <w:snapToGrid w:val="0"/>
        <w:ind w:left="0" w:firstLine="480"/>
        <w:rPr>
          <w:szCs w:val="24"/>
        </w:rPr>
      </w:pPr>
      <w:r>
        <w:rPr>
          <w:szCs w:val="24"/>
        </w:rPr>
        <w:t>焊接作业场地周围应清除易燃易爆物品，或进行覆盖、隔离，并在作业</w:t>
      </w:r>
      <w:r>
        <w:rPr>
          <w:rFonts w:hint="eastAsia"/>
          <w:szCs w:val="24"/>
        </w:rPr>
        <w:t>区内</w:t>
      </w:r>
      <w:r>
        <w:rPr>
          <w:szCs w:val="24"/>
        </w:rPr>
        <w:t>配备灭火器材。</w:t>
      </w:r>
    </w:p>
    <w:p>
      <w:pPr>
        <w:pStyle w:val="58"/>
        <w:numPr>
          <w:ilvl w:val="0"/>
          <w:numId w:val="41"/>
        </w:numPr>
        <w:adjustRightInd w:val="0"/>
        <w:snapToGrid w:val="0"/>
        <w:ind w:left="0" w:firstLine="480"/>
        <w:rPr>
          <w:szCs w:val="24"/>
        </w:rPr>
      </w:pPr>
      <w:bookmarkStart w:id="344" w:name="_Hlk92803122"/>
      <w:r>
        <w:rPr>
          <w:rFonts w:hint="eastAsia"/>
          <w:szCs w:val="24"/>
        </w:rPr>
        <w:t>高处焊接，做好防风和防落到下方的措施。</w:t>
      </w:r>
      <w:bookmarkEnd w:id="344"/>
    </w:p>
    <w:p>
      <w:pPr>
        <w:pStyle w:val="117"/>
        <w:numPr>
          <w:ilvl w:val="0"/>
          <w:numId w:val="41"/>
        </w:numPr>
        <w:ind w:left="0" w:firstLine="480" w:firstLineChars="200"/>
      </w:pPr>
      <w:r>
        <w:rPr>
          <w:rFonts w:hint="eastAsia"/>
        </w:rPr>
        <w:t>电源端接线必须由专业电工进行，焊机或供电线路出现故障，焊工要及时联系动力电工进行处理；</w:t>
      </w:r>
    </w:p>
    <w:p>
      <w:pPr>
        <w:pStyle w:val="121"/>
        <w:numPr>
          <w:ilvl w:val="0"/>
          <w:numId w:val="41"/>
        </w:numPr>
        <w:ind w:left="0" w:firstLine="48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pPr>
        <w:pStyle w:val="121"/>
        <w:numPr>
          <w:ilvl w:val="0"/>
          <w:numId w:val="41"/>
        </w:numPr>
        <w:ind w:left="0" w:firstLine="480"/>
      </w:pPr>
      <w:r>
        <w:rPr>
          <w:rFonts w:hint="eastAsia"/>
        </w:rPr>
        <w:t>检查作场所周围是否有易燃物，如有，应清除或采取可靠的隔离、防护措施，并设专人监护；</w:t>
      </w:r>
    </w:p>
    <w:p>
      <w:pPr>
        <w:pStyle w:val="121"/>
        <w:numPr>
          <w:ilvl w:val="0"/>
          <w:numId w:val="41"/>
        </w:numPr>
        <w:ind w:left="0" w:firstLine="480"/>
      </w:pPr>
      <w:r>
        <w:rPr>
          <w:rFonts w:hint="eastAsia"/>
        </w:rPr>
        <w:t>不宜在雨、雪及大风天气进行露天焊接作业。如确实需要时，应采取遮蔽雨雪、防止触电和火花飞溅等措施；</w:t>
      </w:r>
    </w:p>
    <w:p>
      <w:pPr>
        <w:pStyle w:val="121"/>
        <w:numPr>
          <w:ilvl w:val="0"/>
          <w:numId w:val="41"/>
        </w:numPr>
        <w:ind w:left="0" w:firstLine="480"/>
      </w:pPr>
      <w:r>
        <w:rPr>
          <w:rFonts w:hint="eastAsia"/>
        </w:rPr>
        <w:t>焊接时，焊工不要接触焊接物件或其它导电物件；</w:t>
      </w:r>
    </w:p>
    <w:p>
      <w:pPr>
        <w:pStyle w:val="121"/>
        <w:numPr>
          <w:ilvl w:val="0"/>
          <w:numId w:val="41"/>
        </w:numPr>
        <w:ind w:left="0" w:firstLine="480"/>
      </w:pPr>
      <w:r>
        <w:rPr>
          <w:rFonts w:hint="eastAsia"/>
        </w:rPr>
        <w:t>焊接完工后，焊接位置应予以隔离或设专人监护，防止烫伤其他人员及火灾事故发生；</w:t>
      </w:r>
    </w:p>
    <w:p>
      <w:pPr>
        <w:pStyle w:val="121"/>
        <w:numPr>
          <w:ilvl w:val="0"/>
          <w:numId w:val="41"/>
        </w:numPr>
        <w:ind w:left="0" w:firstLine="480"/>
      </w:pPr>
      <w:r>
        <w:rPr>
          <w:rFonts w:hint="eastAsia"/>
        </w:rPr>
        <w:t>工作结束后，检查地面，灭绝火种，切断电源，方可离开。</w:t>
      </w:r>
    </w:p>
    <w:p>
      <w:pPr>
        <w:pStyle w:val="121"/>
        <w:numPr>
          <w:ilvl w:val="0"/>
          <w:numId w:val="41"/>
        </w:numPr>
        <w:ind w:left="0" w:firstLine="480"/>
      </w:pPr>
      <w:r>
        <w:rPr>
          <w:rFonts w:hint="eastAsia"/>
        </w:rPr>
        <w:t>焊工在工作前必须检查好回火防止器及一切工具是否良好；</w:t>
      </w:r>
    </w:p>
    <w:p>
      <w:pPr>
        <w:ind w:firstLine="480"/>
      </w:pPr>
    </w:p>
    <w:p>
      <w:pPr>
        <w:pStyle w:val="5"/>
        <w:spacing w:before="156" w:after="156"/>
      </w:pPr>
      <w:bookmarkStart w:id="345" w:name="_Toc8607"/>
      <w:bookmarkStart w:id="346" w:name="_Toc18991"/>
      <w:bookmarkStart w:id="347" w:name="_Toc24965"/>
      <w:bookmarkStart w:id="348" w:name="_Toc15709"/>
      <w:bookmarkStart w:id="349" w:name="_Toc108095493"/>
      <w:bookmarkStart w:id="350" w:name="_Toc121760026"/>
      <w:r>
        <w:t>气割作业安全</w:t>
      </w:r>
      <w:r>
        <w:rPr>
          <w:rFonts w:hint="eastAsia"/>
        </w:rPr>
        <w:t>技术</w:t>
      </w:r>
      <w:r>
        <w:t>措施</w:t>
      </w:r>
      <w:bookmarkEnd w:id="345"/>
      <w:bookmarkEnd w:id="346"/>
      <w:bookmarkEnd w:id="347"/>
      <w:bookmarkEnd w:id="348"/>
      <w:bookmarkEnd w:id="349"/>
      <w:bookmarkEnd w:id="350"/>
    </w:p>
    <w:p>
      <w:pPr>
        <w:pStyle w:val="58"/>
        <w:numPr>
          <w:ilvl w:val="0"/>
          <w:numId w:val="42"/>
        </w:numPr>
        <w:ind w:left="0" w:firstLine="480"/>
      </w:pPr>
      <w:r>
        <w:t>气割作业人员须持有特种作业操作证，并经培训、考试合格方可上岗，作业证过期未年审的不准进行作业。</w:t>
      </w:r>
    </w:p>
    <w:p>
      <w:pPr>
        <w:pStyle w:val="58"/>
        <w:numPr>
          <w:ilvl w:val="0"/>
          <w:numId w:val="42"/>
        </w:numPr>
        <w:ind w:left="0" w:firstLine="480"/>
      </w:pPr>
      <w:r>
        <w:t>气割作业前必须按规定办理动火审批手续，作业时必须穿戴好劳动保护用品。</w:t>
      </w:r>
    </w:p>
    <w:p>
      <w:pPr>
        <w:pStyle w:val="58"/>
        <w:numPr>
          <w:ilvl w:val="0"/>
          <w:numId w:val="42"/>
        </w:numPr>
        <w:ind w:left="0" w:firstLine="480"/>
      </w:pPr>
      <w:r>
        <w:t>乙炔气瓶必须安装减压阀和防回火装置，氧气瓶、气压表及焊割工具上不得沾染油脂等易燃物。</w:t>
      </w:r>
    </w:p>
    <w:p>
      <w:pPr>
        <w:pStyle w:val="58"/>
        <w:numPr>
          <w:ilvl w:val="0"/>
          <w:numId w:val="42"/>
        </w:numPr>
        <w:ind w:left="0" w:firstLine="480"/>
      </w:pPr>
      <w:r>
        <w:t>气割作业时，乙炔瓶与氧气瓶的距离不得小于5m，气瓶距易燃易爆物品和明火的距离不得小于10m，气瓶严禁平放、曝晒</w:t>
      </w:r>
      <w:r>
        <w:rPr>
          <w:rFonts w:hint="eastAsia"/>
        </w:rPr>
        <w:t>，应设置防倾倒措施</w:t>
      </w:r>
      <w:r>
        <w:t>。</w:t>
      </w:r>
    </w:p>
    <w:p>
      <w:pPr>
        <w:pStyle w:val="58"/>
        <w:numPr>
          <w:ilvl w:val="0"/>
          <w:numId w:val="42"/>
        </w:numPr>
        <w:ind w:left="0" w:firstLine="480"/>
      </w:pPr>
      <w:r>
        <w:rPr>
          <w:rFonts w:hint="eastAsia"/>
        </w:rPr>
        <w:t>高处气割，做好防风和防落到下方的措施。作业现场配备灭火器</w:t>
      </w:r>
      <w:r>
        <w:t>。</w:t>
      </w:r>
    </w:p>
    <w:p>
      <w:pPr>
        <w:pStyle w:val="58"/>
        <w:numPr>
          <w:ilvl w:val="0"/>
          <w:numId w:val="42"/>
        </w:numPr>
        <w:ind w:left="0" w:firstLine="480"/>
      </w:pPr>
      <w:r>
        <w:rPr>
          <w:rFonts w:hint="eastAsia"/>
        </w:rPr>
        <w:t>乙炔瓶、氧气瓶、胶管接头、阀门的紧固件应坚固牢靠，不准有松动、破损和漏气。氧气瓶及其附件以及胶管工具上禁止沾油；</w:t>
      </w:r>
    </w:p>
    <w:p>
      <w:pPr>
        <w:pStyle w:val="58"/>
        <w:numPr>
          <w:ilvl w:val="0"/>
          <w:numId w:val="42"/>
        </w:numPr>
        <w:ind w:left="0" w:firstLine="480"/>
      </w:pPr>
      <w:r>
        <w:rPr>
          <w:rFonts w:hint="eastAsia"/>
        </w:rPr>
        <w:t>工作前必须检查氧气管、乙炔管，如有漏气、老化、鼓包和变质时，不准使用，管内应保持清洁，不得有异物，氧气管、乙炔管不得互换使用；</w:t>
      </w:r>
    </w:p>
    <w:p>
      <w:pPr>
        <w:pStyle w:val="58"/>
        <w:numPr>
          <w:ilvl w:val="0"/>
          <w:numId w:val="42"/>
        </w:numPr>
        <w:ind w:left="0" w:firstLine="480"/>
      </w:pPr>
      <w:r>
        <w:rPr>
          <w:rFonts w:hint="eastAsia"/>
        </w:rPr>
        <w:t>工作前应检查作场所周围是否有易燃物，如有，应清除或采取可靠的隔离、防护措施，并设专人监护；</w:t>
      </w:r>
    </w:p>
    <w:p>
      <w:pPr>
        <w:pStyle w:val="58"/>
        <w:numPr>
          <w:ilvl w:val="0"/>
          <w:numId w:val="42"/>
        </w:numPr>
        <w:ind w:left="0" w:firstLine="480"/>
      </w:pPr>
      <w:r>
        <w:rPr>
          <w:rFonts w:hint="eastAsia"/>
        </w:rPr>
        <w:t>在连接氧气表（减压器）之前，要用专用扳手将氧气瓶阀门微开，放出一些氧气，吹净瓶口污物和杂质，随后关闭。操作时工作人员应站在气口侧面，并闪开。开气时，气门不可朝下；</w:t>
      </w:r>
    </w:p>
    <w:p>
      <w:pPr>
        <w:pStyle w:val="58"/>
        <w:numPr>
          <w:ilvl w:val="0"/>
          <w:numId w:val="42"/>
        </w:numPr>
        <w:ind w:left="0" w:firstLine="480"/>
      </w:pPr>
      <w:r>
        <w:rPr>
          <w:rFonts w:hint="eastAsia"/>
        </w:rPr>
        <w:t>乙炔、氧气瓶应垂直放置，防止倾倒，严禁与氧气瓶等易燃品同时存放；</w:t>
      </w:r>
    </w:p>
    <w:p>
      <w:pPr>
        <w:pStyle w:val="58"/>
        <w:numPr>
          <w:ilvl w:val="0"/>
          <w:numId w:val="42"/>
        </w:numPr>
        <w:ind w:left="0" w:firstLine="480"/>
      </w:pPr>
      <w:r>
        <w:rPr>
          <w:rFonts w:hint="eastAsia"/>
        </w:rPr>
        <w:t>开启氧气或乙炔瓶阀门时，禁止用铁器敲击，应用专用工具，动作要缓慢，防止产生火花，严禁面对减压器站立；</w:t>
      </w:r>
    </w:p>
    <w:p>
      <w:pPr>
        <w:pStyle w:val="58"/>
        <w:numPr>
          <w:ilvl w:val="0"/>
          <w:numId w:val="42"/>
        </w:numPr>
        <w:ind w:left="0" w:firstLine="480"/>
      </w:pPr>
      <w:r>
        <w:rPr>
          <w:rFonts w:hint="eastAsia"/>
        </w:rPr>
        <w:t>在机械上（或高处）作业时，应在切割部件下部搭设安全保护装置以防金属溶液落下引起火灾或烧伤其他人员；</w:t>
      </w:r>
    </w:p>
    <w:p>
      <w:pPr>
        <w:pStyle w:val="58"/>
        <w:numPr>
          <w:ilvl w:val="0"/>
          <w:numId w:val="42"/>
        </w:numPr>
        <w:ind w:left="0" w:firstLine="480"/>
      </w:pPr>
      <w:r>
        <w:rPr>
          <w:rFonts w:hint="eastAsia"/>
        </w:rPr>
        <w:t>了解设备的消防器材状况，并保证在焊接地点周围有2个以上干粉灭火器；切割工作结束后，应检查地面，灭绝火种；</w:t>
      </w:r>
    </w:p>
    <w:p>
      <w:pPr>
        <w:pStyle w:val="58"/>
        <w:numPr>
          <w:ilvl w:val="0"/>
          <w:numId w:val="42"/>
        </w:numPr>
        <w:ind w:left="0" w:firstLine="480"/>
      </w:pPr>
      <w:r>
        <w:rPr>
          <w:rFonts w:hint="eastAsia"/>
        </w:rPr>
        <w:t>使用时，必须保证氧气瓶、乙炔瓶距明火不得小于10m。</w:t>
      </w:r>
    </w:p>
    <w:p>
      <w:pPr>
        <w:pStyle w:val="58"/>
        <w:numPr>
          <w:ilvl w:val="0"/>
          <w:numId w:val="42"/>
        </w:numPr>
        <w:ind w:left="0" w:firstLine="480"/>
      </w:pPr>
      <w:r>
        <w:rPr>
          <w:rFonts w:hint="eastAsia"/>
        </w:rPr>
        <w:t>工作地点不固定、移动较频繁时，应装在专用小车上，严禁将乙炔瓶和氧气瓶放在一起。</w:t>
      </w:r>
    </w:p>
    <w:p>
      <w:pPr>
        <w:ind w:firstLine="480"/>
      </w:pPr>
    </w:p>
    <w:p>
      <w:pPr>
        <w:pStyle w:val="5"/>
        <w:spacing w:before="156" w:after="156"/>
      </w:pPr>
      <w:bookmarkStart w:id="351" w:name="_Toc23605"/>
      <w:bookmarkStart w:id="352" w:name="_Toc8790"/>
      <w:bookmarkStart w:id="353" w:name="_Toc31137"/>
      <w:bookmarkStart w:id="354" w:name="_Toc26223"/>
      <w:bookmarkStart w:id="355" w:name="_Toc121760027"/>
      <w:bookmarkStart w:id="356" w:name="_Toc108095494"/>
      <w:r>
        <w:t>临时用电安全</w:t>
      </w:r>
      <w:r>
        <w:rPr>
          <w:rFonts w:hint="eastAsia"/>
        </w:rPr>
        <w:t>技术</w:t>
      </w:r>
      <w:r>
        <w:t>措施</w:t>
      </w:r>
      <w:bookmarkEnd w:id="351"/>
      <w:bookmarkEnd w:id="352"/>
      <w:bookmarkEnd w:id="353"/>
      <w:bookmarkEnd w:id="354"/>
      <w:bookmarkEnd w:id="355"/>
      <w:bookmarkEnd w:id="356"/>
    </w:p>
    <w:p>
      <w:pPr>
        <w:pStyle w:val="58"/>
        <w:numPr>
          <w:ilvl w:val="0"/>
          <w:numId w:val="43"/>
        </w:numPr>
        <w:ind w:left="0" w:firstLine="480"/>
      </w:pPr>
      <w:bookmarkStart w:id="357" w:name="_Toc23710"/>
      <w:bookmarkStart w:id="358" w:name="_Toc20608"/>
      <w:bookmarkStart w:id="359" w:name="_Toc19415"/>
      <w:r>
        <w:rPr>
          <w:rFonts w:hint="eastAsia"/>
        </w:rPr>
        <w:t>严格执行《施工现场临时用电安全技术规范》（JGJ</w:t>
      </w:r>
      <w:r>
        <w:t xml:space="preserve"> </w:t>
      </w:r>
      <w:r>
        <w:rPr>
          <w:rFonts w:hint="eastAsia"/>
        </w:rPr>
        <w:t>46-2005），按照施工用电组织设计架设三相五线制的电气线路，所有电线均应架空，过道或穿墙均要用钢管或胶套管保护，严禁利用大地作为工作零线。认真贯彻《建筑施工安全检查标准》（JGJ</w:t>
      </w:r>
      <w:r>
        <w:t xml:space="preserve"> </w:t>
      </w:r>
      <w:r>
        <w:rPr>
          <w:rFonts w:hint="eastAsia"/>
        </w:rPr>
        <w:t>59-2011）中临时用电规定。</w:t>
      </w:r>
    </w:p>
    <w:p>
      <w:pPr>
        <w:pStyle w:val="58"/>
        <w:numPr>
          <w:ilvl w:val="0"/>
          <w:numId w:val="43"/>
        </w:numPr>
        <w:ind w:left="0" w:firstLine="480"/>
      </w:pPr>
      <w:r>
        <w:rPr>
          <w:rFonts w:hint="eastAsia"/>
        </w:rPr>
        <w:t>配电箱、开关箱内电气设备完好无缺。箱体下方进出线，开关箱应符合“一机一闸一漏一箱”的要求，门、锁完善，有防雨、防尘措施，箱内无杂物，箱前通道畅通，并应对电箱统一编号，刷上危险标志。保护零线（PE、绿/黄线）中间和末端必须重复接地，严禁与工作零线混接；产生振动的设备的重复接地不少于两处。</w:t>
      </w:r>
    </w:p>
    <w:p>
      <w:pPr>
        <w:pStyle w:val="58"/>
        <w:numPr>
          <w:ilvl w:val="0"/>
          <w:numId w:val="43"/>
        </w:numPr>
        <w:ind w:left="0" w:firstLine="480"/>
      </w:pPr>
      <w:r>
        <w:rPr>
          <w:rFonts w:hint="eastAsia"/>
        </w:rPr>
        <w:t>临时用电施工组织设计和临时安全用电技术措施及电气防火措施，必须由电气工程技术人员编制，技术负责人审核，经主管部门批准后实施。</w:t>
      </w:r>
    </w:p>
    <w:p>
      <w:pPr>
        <w:pStyle w:val="58"/>
        <w:numPr>
          <w:ilvl w:val="0"/>
          <w:numId w:val="43"/>
        </w:numPr>
        <w:ind w:left="0" w:firstLine="480"/>
      </w:pPr>
      <w:r>
        <w:rPr>
          <w:rFonts w:hint="eastAsia"/>
        </w:rPr>
        <w:t>拆除、维修或拆除临时用电工程，必须由持证电工完成，无证人员禁止上岗。电工等级应同工程的难易程度和技术复杂性相适应。</w:t>
      </w:r>
    </w:p>
    <w:p>
      <w:pPr>
        <w:pStyle w:val="58"/>
        <w:numPr>
          <w:ilvl w:val="0"/>
          <w:numId w:val="43"/>
        </w:numPr>
        <w:ind w:left="0" w:firstLine="480"/>
      </w:pPr>
      <w:r>
        <w:rPr>
          <w:rFonts w:hint="eastAsia"/>
        </w:rPr>
        <w:t>使用设备必须按规定穿戴和配备好相应的劳动保护用品，并应检查电气装置和保护设施是否完好，严禁设备带病运转和进行运转中维修。</w:t>
      </w:r>
    </w:p>
    <w:p>
      <w:pPr>
        <w:pStyle w:val="58"/>
        <w:numPr>
          <w:ilvl w:val="0"/>
          <w:numId w:val="43"/>
        </w:numPr>
        <w:ind w:left="0" w:firstLine="480"/>
      </w:pPr>
      <w:r>
        <w:rPr>
          <w:rFonts w:hint="eastAsia"/>
        </w:rPr>
        <w:t>停用的设备必须拉闸断电，锁好开关箱。负载线、保护零线和开关箱发现问题应及时报告解决。搬迁或移动的用电设备，必须由专业电工切断电源并作妥善处理。</w:t>
      </w:r>
    </w:p>
    <w:p>
      <w:pPr>
        <w:pStyle w:val="58"/>
        <w:numPr>
          <w:ilvl w:val="0"/>
          <w:numId w:val="43"/>
        </w:numPr>
        <w:ind w:left="0" w:firstLine="480"/>
      </w:pPr>
      <w:r>
        <w:rPr>
          <w:rFonts w:hint="eastAsia"/>
        </w:rPr>
        <w:t>按规范做好施工现场临时安全用电的安全技术档案。</w:t>
      </w:r>
    </w:p>
    <w:p>
      <w:pPr>
        <w:pStyle w:val="58"/>
        <w:numPr>
          <w:ilvl w:val="0"/>
          <w:numId w:val="43"/>
        </w:numPr>
        <w:ind w:left="0" w:firstLine="480"/>
      </w:pPr>
      <w:r>
        <w:rPr>
          <w:rFonts w:hint="eastAsia"/>
        </w:rPr>
        <w:t>在建工程与外电线路的安全距离及外电防护和接地与防雷等应严格按规范执行。</w:t>
      </w:r>
    </w:p>
    <w:p>
      <w:pPr>
        <w:pStyle w:val="58"/>
        <w:numPr>
          <w:ilvl w:val="0"/>
          <w:numId w:val="43"/>
        </w:numPr>
        <w:ind w:left="0" w:firstLine="480"/>
      </w:pPr>
      <w:r>
        <w:rPr>
          <w:rFonts w:hint="eastAsia"/>
        </w:rPr>
        <w:t>配电线路的架空线必须采用绝缘铜线和绝缘铝线。架空线必须设置在专用电杆上。</w:t>
      </w:r>
    </w:p>
    <w:p>
      <w:pPr>
        <w:pStyle w:val="58"/>
        <w:numPr>
          <w:ilvl w:val="0"/>
          <w:numId w:val="43"/>
        </w:numPr>
        <w:ind w:left="0" w:firstLine="480"/>
      </w:pPr>
      <w:r>
        <w:rPr>
          <w:rFonts w:hint="eastAsia"/>
        </w:rPr>
        <w:t>空线的接头、相序排列、档距、线间距离及横担的垂直距离和横担的选择及规格，严格执行规范规定。</w:t>
      </w:r>
    </w:p>
    <w:p>
      <w:pPr>
        <w:pStyle w:val="58"/>
        <w:numPr>
          <w:ilvl w:val="0"/>
          <w:numId w:val="43"/>
        </w:numPr>
        <w:ind w:left="0" w:firstLine="480"/>
      </w:pPr>
      <w:r>
        <w:rPr>
          <w:rFonts w:hint="eastAsia"/>
        </w:rPr>
        <w:t>动力配电箱与照明配电箱应分别设置，如合置在同一配电箱内，动力和照明线路应分路设置。</w:t>
      </w:r>
    </w:p>
    <w:p>
      <w:pPr>
        <w:pStyle w:val="58"/>
        <w:numPr>
          <w:ilvl w:val="0"/>
          <w:numId w:val="43"/>
        </w:numPr>
        <w:ind w:left="0" w:firstLine="480"/>
      </w:pPr>
      <w:r>
        <w:rPr>
          <w:rFonts w:hint="eastAsia"/>
        </w:rPr>
        <w:t>开关箱应由末级配电箱配电，配电箱、开关箱制作所用的材料、箱的规格设置要求及拆除技术应按规范执行。配电箱、开关箱最好购合格的成品使用。</w:t>
      </w:r>
    </w:p>
    <w:p>
      <w:pPr>
        <w:pStyle w:val="58"/>
        <w:numPr>
          <w:ilvl w:val="0"/>
          <w:numId w:val="43"/>
        </w:numPr>
        <w:ind w:left="0" w:firstLine="480"/>
      </w:pPr>
      <w:r>
        <w:rPr>
          <w:rFonts w:hint="eastAsia"/>
        </w:rPr>
        <w:t>配电箱、开关箱内的开关电器拆除，绝缘要求和箱壳保护接零应按规范执行。</w:t>
      </w:r>
    </w:p>
    <w:p>
      <w:pPr>
        <w:pStyle w:val="58"/>
        <w:numPr>
          <w:ilvl w:val="0"/>
          <w:numId w:val="43"/>
        </w:numPr>
        <w:ind w:left="0" w:firstLine="480"/>
      </w:pPr>
      <w:r>
        <w:rPr>
          <w:rFonts w:hint="eastAsia"/>
        </w:rPr>
        <w:t>严禁用同一个开关电器直接控制2台及2台以上用电设备（含插座）。</w:t>
      </w:r>
    </w:p>
    <w:p>
      <w:pPr>
        <w:pStyle w:val="58"/>
        <w:numPr>
          <w:ilvl w:val="0"/>
          <w:numId w:val="43"/>
        </w:numPr>
        <w:ind w:left="0" w:firstLine="480"/>
      </w:pPr>
      <w:r>
        <w:rPr>
          <w:rFonts w:hint="eastAsia"/>
        </w:rPr>
        <w:t>开关箱内必须装设漏电保护器，漏电保护器的选择应符合要求。漏电保护器的拆除要求和额定漏电动作应符合规范要求。</w:t>
      </w:r>
    </w:p>
    <w:p>
      <w:pPr>
        <w:pStyle w:val="58"/>
        <w:numPr>
          <w:ilvl w:val="0"/>
          <w:numId w:val="43"/>
        </w:numPr>
        <w:ind w:left="0" w:firstLine="480"/>
      </w:pPr>
      <w:r>
        <w:rPr>
          <w:rFonts w:hint="eastAsia"/>
        </w:rPr>
        <w:t>配电箱和开关箱中两级漏电保护器的额定漏电动作时间作合理配合，使之具有分段保护的功能。</w:t>
      </w:r>
    </w:p>
    <w:p>
      <w:pPr>
        <w:pStyle w:val="58"/>
        <w:numPr>
          <w:ilvl w:val="0"/>
          <w:numId w:val="43"/>
        </w:numPr>
        <w:ind w:left="0" w:firstLine="480"/>
      </w:pPr>
      <w:r>
        <w:rPr>
          <w:rFonts w:hint="eastAsia"/>
        </w:rPr>
        <w:t>手动开关电器只许用于直接控制照明电器和容量不大于5.5kW动力电路。容量大于5.5kW的动力电路应采用自动开关电器或降压启动装置控制。各种开关电器的额定值与其控制用电设备的额定值相适应。</w:t>
      </w:r>
    </w:p>
    <w:p>
      <w:pPr>
        <w:pStyle w:val="58"/>
        <w:numPr>
          <w:ilvl w:val="0"/>
          <w:numId w:val="43"/>
        </w:numPr>
        <w:ind w:left="0" w:firstLine="480"/>
      </w:pPr>
      <w:r>
        <w:rPr>
          <w:rFonts w:hint="eastAsia"/>
        </w:rPr>
        <w:t>对配电箱、开关箱进行检查、维修时，必须将其前一级相应的电源开关分闸断电，并悬挂停电检修标志牌，严禁带电作业。</w:t>
      </w:r>
    </w:p>
    <w:p>
      <w:pPr>
        <w:pStyle w:val="58"/>
        <w:numPr>
          <w:ilvl w:val="0"/>
          <w:numId w:val="43"/>
        </w:numPr>
        <w:ind w:left="0" w:firstLine="480"/>
      </w:pPr>
      <w:r>
        <w:rPr>
          <w:rFonts w:hint="eastAsia"/>
        </w:rPr>
        <w:t>移动的用电设备使用的电源线路，必须使用绝缘胶套管式电缆。</w:t>
      </w:r>
    </w:p>
    <w:p>
      <w:pPr>
        <w:pStyle w:val="58"/>
        <w:numPr>
          <w:ilvl w:val="0"/>
          <w:numId w:val="43"/>
        </w:numPr>
        <w:ind w:left="0" w:firstLine="480"/>
      </w:pPr>
      <w:r>
        <w:rPr>
          <w:rFonts w:hint="eastAsia"/>
        </w:rPr>
        <w:t>用电设备和电气线路必须有保护接零。</w:t>
      </w:r>
    </w:p>
    <w:p>
      <w:pPr>
        <w:pStyle w:val="58"/>
        <w:numPr>
          <w:ilvl w:val="0"/>
          <w:numId w:val="43"/>
        </w:numPr>
        <w:ind w:left="0" w:firstLine="480"/>
      </w:pPr>
      <w:r>
        <w:rPr>
          <w:rFonts w:hint="eastAsia"/>
        </w:rPr>
        <w:t>电动工具、机械设备有良好的接地装置，所用电源有可靠的触电保护器。阴雨天气及在潮湿部位工作所使用的电动工机具、机械、工作人员的劳保用品必须符合有关的要求。</w:t>
      </w:r>
    </w:p>
    <w:p>
      <w:pPr>
        <w:pStyle w:val="58"/>
        <w:numPr>
          <w:ilvl w:val="0"/>
          <w:numId w:val="43"/>
        </w:numPr>
        <w:ind w:left="0" w:firstLine="480"/>
      </w:pPr>
      <w:r>
        <w:rPr>
          <w:rFonts w:hint="eastAsia"/>
        </w:rPr>
        <w:t>严禁施工现场非正式电工乱接用电线和拆除用电开关。</w:t>
      </w:r>
    </w:p>
    <w:p>
      <w:pPr>
        <w:pStyle w:val="58"/>
        <w:numPr>
          <w:ilvl w:val="0"/>
          <w:numId w:val="43"/>
        </w:numPr>
        <w:ind w:left="0" w:firstLine="480"/>
      </w:pPr>
      <w:r>
        <w:rPr>
          <w:rFonts w:hint="eastAsia"/>
        </w:rPr>
        <w:t>残缺绝缘盖的闸刀开关禁止使用，开关不得采用铜、铁、铝线作熔断保险丝。</w:t>
      </w:r>
    </w:p>
    <w:p>
      <w:pPr>
        <w:pStyle w:val="58"/>
        <w:numPr>
          <w:ilvl w:val="0"/>
          <w:numId w:val="43"/>
        </w:numPr>
        <w:ind w:left="0" w:firstLine="480"/>
      </w:pPr>
      <w:r>
        <w:rPr>
          <w:rFonts w:hint="eastAsia"/>
        </w:rPr>
        <w:t>在施工现场设置围栏、警示牌、夜间警示灯，以告示行人。</w:t>
      </w:r>
    </w:p>
    <w:p>
      <w:pPr>
        <w:ind w:firstLine="480"/>
      </w:pPr>
    </w:p>
    <w:p>
      <w:pPr>
        <w:pStyle w:val="5"/>
        <w:spacing w:before="156" w:after="156"/>
        <w:rPr>
          <w:lang w:val="zh-CN"/>
        </w:rPr>
      </w:pPr>
      <w:bookmarkStart w:id="360" w:name="_Toc121760028"/>
      <w:bookmarkStart w:id="361" w:name="_Toc108095495"/>
      <w:r>
        <w:rPr>
          <w:lang w:val="zh-CN"/>
        </w:rPr>
        <w:t>特殊天气安全</w:t>
      </w:r>
      <w:r>
        <w:rPr>
          <w:rFonts w:hint="eastAsia"/>
        </w:rPr>
        <w:t>技术</w:t>
      </w:r>
      <w:r>
        <w:rPr>
          <w:lang w:val="zh-CN"/>
        </w:rPr>
        <w:t>措施</w:t>
      </w:r>
      <w:bookmarkEnd w:id="357"/>
      <w:bookmarkEnd w:id="358"/>
      <w:bookmarkEnd w:id="359"/>
      <w:bookmarkEnd w:id="360"/>
      <w:bookmarkEnd w:id="361"/>
    </w:p>
    <w:p>
      <w:pPr>
        <w:ind w:firstLine="360" w:firstLineChars="150"/>
        <w:rPr>
          <w:szCs w:val="24"/>
        </w:rPr>
      </w:pPr>
      <w:bookmarkStart w:id="362" w:name="_Toc21414"/>
      <w:bookmarkStart w:id="363" w:name="_Toc6181"/>
      <w:r>
        <w:rPr>
          <w:szCs w:val="24"/>
        </w:rPr>
        <w:t>（1）大雾天气安全措施</w:t>
      </w:r>
    </w:p>
    <w:p>
      <w:pPr>
        <w:ind w:firstLine="360" w:firstLineChars="150"/>
        <w:rPr>
          <w:szCs w:val="24"/>
        </w:rPr>
      </w:pPr>
      <w:r>
        <w:rPr>
          <w:rFonts w:hint="eastAsia"/>
          <w:szCs w:val="24"/>
        </w:rPr>
        <w:t>1、</w:t>
      </w:r>
      <w:r>
        <w:rPr>
          <w:szCs w:val="24"/>
        </w:rPr>
        <w:t>雾天停止一切起重吊装作业和材料转运。</w:t>
      </w:r>
    </w:p>
    <w:p>
      <w:pPr>
        <w:ind w:firstLine="360" w:firstLineChars="150"/>
        <w:rPr>
          <w:szCs w:val="24"/>
        </w:rPr>
      </w:pPr>
      <w:r>
        <w:rPr>
          <w:szCs w:val="24"/>
        </w:rPr>
        <w:t>（2）大风天气安全措施</w:t>
      </w:r>
    </w:p>
    <w:p>
      <w:pPr>
        <w:ind w:firstLine="360" w:firstLineChars="150"/>
        <w:rPr>
          <w:szCs w:val="24"/>
        </w:rPr>
      </w:pPr>
      <w:r>
        <w:rPr>
          <w:szCs w:val="24"/>
        </w:rPr>
        <w:t>1</w:t>
      </w:r>
      <w:r>
        <w:rPr>
          <w:rFonts w:hint="eastAsia"/>
          <w:szCs w:val="24"/>
        </w:rPr>
        <w:t>、</w:t>
      </w:r>
      <w:r>
        <w:rPr>
          <w:szCs w:val="24"/>
        </w:rPr>
        <w:t>加强气象预报监听，随时通告有关信息，若遇六级以上大风时，及时停止吊装，并采取有效的防风措施。</w:t>
      </w:r>
    </w:p>
    <w:p>
      <w:pPr>
        <w:ind w:firstLine="360" w:firstLineChars="150"/>
        <w:rPr>
          <w:szCs w:val="24"/>
        </w:rPr>
      </w:pPr>
      <w:r>
        <w:rPr>
          <w:rFonts w:hint="eastAsia"/>
          <w:szCs w:val="24"/>
        </w:rPr>
        <w:t>2、</w:t>
      </w:r>
      <w:r>
        <w:rPr>
          <w:szCs w:val="24"/>
        </w:rPr>
        <w:t>积极与当地相关部门联系，服从其统一领导和调度，努力配合工作。</w:t>
      </w:r>
    </w:p>
    <w:p>
      <w:pPr>
        <w:ind w:firstLine="360" w:firstLineChars="150"/>
        <w:rPr>
          <w:szCs w:val="24"/>
        </w:rPr>
      </w:pPr>
      <w:r>
        <w:rPr>
          <w:szCs w:val="24"/>
        </w:rPr>
        <w:t>3</w:t>
      </w:r>
      <w:r>
        <w:rPr>
          <w:rFonts w:hint="eastAsia"/>
          <w:szCs w:val="24"/>
        </w:rPr>
        <w:t>、</w:t>
      </w:r>
      <w:r>
        <w:rPr>
          <w:szCs w:val="24"/>
        </w:rPr>
        <w:t>有关人员配备通讯设备</w:t>
      </w:r>
      <w:r>
        <w:rPr>
          <w:rFonts w:hint="eastAsia"/>
          <w:szCs w:val="24"/>
        </w:rPr>
        <w:t>（</w:t>
      </w:r>
      <w:r>
        <w:rPr>
          <w:szCs w:val="24"/>
        </w:rPr>
        <w:t>如对讲机</w:t>
      </w:r>
      <w:r>
        <w:rPr>
          <w:rFonts w:hint="eastAsia"/>
          <w:szCs w:val="24"/>
        </w:rPr>
        <w:t>）</w:t>
      </w:r>
      <w:r>
        <w:rPr>
          <w:szCs w:val="24"/>
        </w:rPr>
        <w:t>，加强联系，互通情况。</w:t>
      </w:r>
    </w:p>
    <w:p>
      <w:pPr>
        <w:ind w:firstLine="360" w:firstLineChars="150"/>
        <w:rPr>
          <w:szCs w:val="24"/>
        </w:rPr>
      </w:pPr>
      <w:r>
        <w:rPr>
          <w:szCs w:val="24"/>
        </w:rPr>
        <w:t>（3）雷雨季施工安全措施</w:t>
      </w:r>
    </w:p>
    <w:p>
      <w:pPr>
        <w:ind w:firstLine="360" w:firstLineChars="150"/>
        <w:rPr>
          <w:szCs w:val="24"/>
        </w:rPr>
      </w:pPr>
      <w:r>
        <w:rPr>
          <w:rFonts w:hint="eastAsia"/>
          <w:szCs w:val="24"/>
        </w:rPr>
        <w:t>1、</w:t>
      </w:r>
      <w:r>
        <w:rPr>
          <w:szCs w:val="24"/>
        </w:rPr>
        <w:t>加强与气象部门联系，随时掌握天气变化情况，及时向施工现场发布雷雨消息。</w:t>
      </w:r>
    </w:p>
    <w:p>
      <w:pPr>
        <w:ind w:firstLine="360" w:firstLineChars="150"/>
        <w:rPr>
          <w:szCs w:val="24"/>
        </w:rPr>
      </w:pPr>
      <w:r>
        <w:rPr>
          <w:szCs w:val="24"/>
        </w:rPr>
        <w:t>2</w:t>
      </w:r>
      <w:r>
        <w:rPr>
          <w:rFonts w:hint="eastAsia"/>
          <w:szCs w:val="24"/>
        </w:rPr>
        <w:t>、</w:t>
      </w:r>
      <w:r>
        <w:rPr>
          <w:szCs w:val="24"/>
        </w:rPr>
        <w:t>提前做好防御用品的准备工作，对需要防雨的机械设备做好防淋准备。</w:t>
      </w:r>
    </w:p>
    <w:p>
      <w:pPr>
        <w:ind w:firstLine="360" w:firstLineChars="150"/>
        <w:rPr>
          <w:szCs w:val="24"/>
        </w:rPr>
      </w:pPr>
      <w:r>
        <w:rPr>
          <w:rFonts w:hint="eastAsia"/>
          <w:szCs w:val="24"/>
        </w:rPr>
        <w:t>3、</w:t>
      </w:r>
      <w:r>
        <w:rPr>
          <w:szCs w:val="24"/>
        </w:rPr>
        <w:t>雨天施工时，专职电工在施工前对所有用电设备进行全面检查，避免漏电事故发生。</w:t>
      </w:r>
    </w:p>
    <w:p>
      <w:pPr>
        <w:ind w:firstLine="360" w:firstLineChars="150"/>
        <w:rPr>
          <w:szCs w:val="24"/>
        </w:rPr>
      </w:pPr>
      <w:r>
        <w:rPr>
          <w:rFonts w:hint="eastAsia"/>
          <w:szCs w:val="24"/>
        </w:rPr>
        <w:t>4、</w:t>
      </w:r>
      <w:r>
        <w:rPr>
          <w:szCs w:val="24"/>
        </w:rPr>
        <w:t>雨天在脚手架上施工时，作业人员必须穿戴好防滑鞋。</w:t>
      </w:r>
    </w:p>
    <w:p>
      <w:pPr>
        <w:ind w:firstLine="360" w:firstLineChars="150"/>
        <w:rPr>
          <w:szCs w:val="24"/>
        </w:rPr>
      </w:pPr>
      <w:r>
        <w:rPr>
          <w:rFonts w:hint="eastAsia"/>
          <w:szCs w:val="24"/>
        </w:rPr>
        <w:t>5、</w:t>
      </w:r>
      <w:r>
        <w:rPr>
          <w:szCs w:val="24"/>
        </w:rPr>
        <w:t>做好防雷电的安全措施，以免出现火灾，设备损坏和人员伤亡。</w:t>
      </w:r>
    </w:p>
    <w:p>
      <w:pPr>
        <w:ind w:firstLine="360" w:firstLineChars="150"/>
        <w:rPr>
          <w:szCs w:val="24"/>
        </w:rPr>
      </w:pPr>
      <w:r>
        <w:rPr>
          <w:rFonts w:hint="eastAsia"/>
          <w:szCs w:val="24"/>
        </w:rPr>
        <w:t>6、</w:t>
      </w:r>
      <w:r>
        <w:rPr>
          <w:szCs w:val="24"/>
        </w:rPr>
        <w:t>雷雨时起重吊装设备应停止使用。</w:t>
      </w:r>
    </w:p>
    <w:p>
      <w:pPr>
        <w:ind w:firstLine="360" w:firstLineChars="150"/>
        <w:rPr>
          <w:szCs w:val="24"/>
        </w:rPr>
      </w:pPr>
      <w:r>
        <w:rPr>
          <w:rFonts w:hint="eastAsia"/>
          <w:szCs w:val="24"/>
        </w:rPr>
        <w:t>7、</w:t>
      </w:r>
      <w:r>
        <w:rPr>
          <w:szCs w:val="24"/>
        </w:rPr>
        <w:t>雷电雨中避免</w:t>
      </w:r>
      <w:r>
        <w:rPr>
          <w:rFonts w:hint="eastAsia"/>
          <w:szCs w:val="24"/>
        </w:rPr>
        <w:t>高处作业</w:t>
      </w:r>
      <w:r>
        <w:rPr>
          <w:szCs w:val="24"/>
        </w:rPr>
        <w:t>、带电作业。</w:t>
      </w:r>
    </w:p>
    <w:p>
      <w:pPr>
        <w:ind w:firstLine="360" w:firstLineChars="150"/>
        <w:rPr>
          <w:szCs w:val="24"/>
        </w:rPr>
      </w:pPr>
      <w:r>
        <w:rPr>
          <w:rFonts w:hint="eastAsia"/>
          <w:szCs w:val="24"/>
        </w:rPr>
        <w:t>8、</w:t>
      </w:r>
      <w:r>
        <w:rPr>
          <w:szCs w:val="24"/>
        </w:rPr>
        <w:t>做好防雷电的监督、检查和指导工作，随时注意各现场施工情况，遇异常情况及时向安全分管领导汇报</w:t>
      </w:r>
      <w:r>
        <w:rPr>
          <w:rFonts w:hint="eastAsia"/>
          <w:szCs w:val="24"/>
        </w:rPr>
        <w:t>。</w:t>
      </w:r>
    </w:p>
    <w:p>
      <w:pPr>
        <w:ind w:firstLine="360" w:firstLineChars="150"/>
        <w:rPr>
          <w:szCs w:val="24"/>
        </w:rPr>
      </w:pPr>
      <w:r>
        <w:rPr>
          <w:rFonts w:hint="eastAsia"/>
          <w:szCs w:val="24"/>
        </w:rPr>
        <w:t>9、大雨后应检查支架基础是否发生移位与沉降</w:t>
      </w:r>
      <w:r>
        <w:rPr>
          <w:szCs w:val="24"/>
        </w:rPr>
        <w:t>。</w:t>
      </w:r>
    </w:p>
    <w:p>
      <w:pPr>
        <w:pStyle w:val="5"/>
        <w:spacing w:before="156" w:after="156"/>
      </w:pPr>
      <w:bookmarkStart w:id="364" w:name="_Toc79095160"/>
      <w:bookmarkStart w:id="365" w:name="_Toc121760029"/>
      <w:bookmarkStart w:id="366" w:name="_Toc108095496"/>
      <w:r>
        <w:rPr>
          <w:rFonts w:hint="eastAsia"/>
        </w:rPr>
        <w:t>高温天气</w:t>
      </w:r>
      <w:bookmarkEnd w:id="364"/>
      <w:bookmarkEnd w:id="365"/>
      <w:bookmarkEnd w:id="366"/>
    </w:p>
    <w:p>
      <w:pPr>
        <w:ind w:firstLine="480"/>
      </w:pPr>
      <w:r>
        <w:rPr>
          <w:rFonts w:hint="eastAsia"/>
        </w:rPr>
        <w:t>（1）对高温作业人员进行就业前和入暑的健康检查，凡检查不合格者，均不得在高温条件下作业。</w:t>
      </w:r>
    </w:p>
    <w:p>
      <w:pPr>
        <w:ind w:firstLine="480"/>
      </w:pPr>
      <w:r>
        <w:rPr>
          <w:rFonts w:hint="eastAsia"/>
        </w:rPr>
        <w:t>（2）积极与当地气象部门联系，尽量避免在高温天气下进行强度大、工作量大的施工。</w:t>
      </w:r>
    </w:p>
    <w:p>
      <w:pPr>
        <w:ind w:firstLine="480"/>
      </w:pPr>
      <w:r>
        <w:rPr>
          <w:rFonts w:hint="eastAsia"/>
        </w:rPr>
        <w:t>（3）炎热时期应组织医务人员深入工地进行巡回和观察防治，施工现场常备防暑药品。</w:t>
      </w:r>
    </w:p>
    <w:p>
      <w:pPr>
        <w:ind w:firstLine="480"/>
      </w:pPr>
      <w:r>
        <w:rPr>
          <w:rFonts w:hint="eastAsia"/>
        </w:rPr>
        <w:t>（4）对高温作业者，供给足够的合乎卫生要求的饮料、含盐饮料及凉茶等降暑饮料。</w:t>
      </w:r>
    </w:p>
    <w:p>
      <w:pPr>
        <w:ind w:firstLine="480"/>
      </w:pPr>
      <w:r>
        <w:rPr>
          <w:rFonts w:hint="eastAsia"/>
        </w:rPr>
        <w:t>（5）采用合理的劳动休息制度，可根据具体情况，在气温较高的条件下，适当调整作息时间，早晚工作，中午休息。</w:t>
      </w:r>
    </w:p>
    <w:p>
      <w:pPr>
        <w:ind w:firstLine="360" w:firstLineChars="150"/>
      </w:pPr>
    </w:p>
    <w:p>
      <w:pPr>
        <w:pStyle w:val="5"/>
        <w:spacing w:before="156" w:after="156"/>
      </w:pPr>
      <w:bookmarkStart w:id="367" w:name="_Toc108095497"/>
      <w:bookmarkStart w:id="368" w:name="_Toc8923"/>
      <w:bookmarkStart w:id="369" w:name="_Toc121760030"/>
      <w:r>
        <w:rPr>
          <w:rFonts w:hint="eastAsia"/>
        </w:rPr>
        <w:t>夜间作业安全</w:t>
      </w:r>
      <w:bookmarkEnd w:id="362"/>
      <w:bookmarkEnd w:id="363"/>
      <w:r>
        <w:rPr>
          <w:rFonts w:hint="eastAsia"/>
        </w:rPr>
        <w:t>技术</w:t>
      </w:r>
      <w:r>
        <w:rPr>
          <w:lang w:val="zh-CN"/>
        </w:rPr>
        <w:t>措施</w:t>
      </w:r>
      <w:bookmarkEnd w:id="367"/>
      <w:bookmarkEnd w:id="368"/>
      <w:bookmarkEnd w:id="369"/>
    </w:p>
    <w:p>
      <w:pPr>
        <w:pStyle w:val="58"/>
        <w:numPr>
          <w:ilvl w:val="0"/>
          <w:numId w:val="44"/>
        </w:numPr>
        <w:adjustRightInd w:val="0"/>
        <w:ind w:left="0" w:firstLine="480"/>
      </w:pPr>
      <w:r>
        <w:rPr>
          <w:rFonts w:hint="eastAsia"/>
        </w:rPr>
        <w:t>在信号不明和作业现场光线阴暗时，严禁进行起吊作业。</w:t>
      </w:r>
    </w:p>
    <w:p>
      <w:pPr>
        <w:pStyle w:val="58"/>
        <w:numPr>
          <w:ilvl w:val="0"/>
          <w:numId w:val="44"/>
        </w:numPr>
        <w:adjustRightInd w:val="0"/>
        <w:ind w:left="0" w:firstLine="480"/>
      </w:pPr>
      <w:r>
        <w:rPr>
          <w:rFonts w:hint="eastAsia"/>
        </w:rPr>
        <w:t>作业人员必须穿戴有应急反光的服装。</w:t>
      </w:r>
    </w:p>
    <w:p>
      <w:pPr>
        <w:pStyle w:val="58"/>
        <w:numPr>
          <w:ilvl w:val="0"/>
          <w:numId w:val="44"/>
        </w:numPr>
        <w:adjustRightInd w:val="0"/>
        <w:ind w:left="0" w:firstLine="480"/>
      </w:pPr>
      <w:r>
        <w:rPr>
          <w:rFonts w:hint="eastAsia"/>
        </w:rPr>
        <w:t>夜间不得进行吊装作业，如已进行但未进行完毕的，应采取措施尽快完成，并确保夜间施工照明及指挥。</w:t>
      </w:r>
    </w:p>
    <w:p>
      <w:pPr>
        <w:pStyle w:val="58"/>
        <w:numPr>
          <w:ilvl w:val="0"/>
          <w:numId w:val="44"/>
        </w:numPr>
        <w:adjustRightInd w:val="0"/>
        <w:ind w:left="0" w:firstLine="480"/>
      </w:pPr>
      <w:r>
        <w:rPr>
          <w:rFonts w:hint="eastAsia"/>
        </w:rPr>
        <w:t>夜间作业做好作业区的安全警示。</w:t>
      </w:r>
    </w:p>
    <w:p>
      <w:pPr>
        <w:pStyle w:val="58"/>
        <w:numPr>
          <w:ilvl w:val="0"/>
          <w:numId w:val="44"/>
        </w:numPr>
        <w:adjustRightInd w:val="0"/>
        <w:ind w:left="0" w:firstLine="480"/>
      </w:pPr>
      <w:r>
        <w:rPr>
          <w:rFonts w:hint="eastAsia"/>
        </w:rPr>
        <w:t>夜间作业时清楚场地内的障碍物及杂物，确保施工安全顺利。</w:t>
      </w:r>
    </w:p>
    <w:p>
      <w:pPr>
        <w:pStyle w:val="4"/>
        <w:spacing w:before="156" w:after="156"/>
      </w:pPr>
      <w:bookmarkStart w:id="370" w:name="_Toc79095161"/>
      <w:bookmarkStart w:id="371" w:name="_Toc108095498"/>
      <w:bookmarkStart w:id="372" w:name="_Toc121760031"/>
      <w:bookmarkStart w:id="373" w:name="_Toc54282011"/>
      <w:bookmarkStart w:id="374" w:name="_Toc58781293"/>
      <w:bookmarkStart w:id="375" w:name="_Toc11615"/>
      <w:bookmarkStart w:id="376" w:name="_Toc8256"/>
      <w:r>
        <w:rPr>
          <w:rFonts w:hint="eastAsia"/>
        </w:rPr>
        <w:t>监测监控措施</w:t>
      </w:r>
      <w:bookmarkEnd w:id="370"/>
      <w:bookmarkEnd w:id="371"/>
      <w:bookmarkEnd w:id="372"/>
      <w:bookmarkEnd w:id="373"/>
      <w:bookmarkEnd w:id="374"/>
      <w:bookmarkEnd w:id="375"/>
      <w:bookmarkEnd w:id="376"/>
    </w:p>
    <w:p>
      <w:pPr>
        <w:pStyle w:val="5"/>
        <w:spacing w:before="156" w:after="156"/>
      </w:pPr>
      <w:bookmarkStart w:id="377" w:name="_Toc108095499"/>
      <w:bookmarkStart w:id="378" w:name="_Toc58781294"/>
      <w:bookmarkStart w:id="379" w:name="_Toc121760032"/>
      <w:bookmarkStart w:id="380" w:name="_Toc55851915"/>
      <w:bookmarkStart w:id="381" w:name="_Toc11403"/>
      <w:bookmarkStart w:id="382" w:name="_Toc54282012"/>
      <w:bookmarkStart w:id="383" w:name="_Toc79095162"/>
      <w:r>
        <w:rPr>
          <w:rFonts w:hint="eastAsia"/>
        </w:rPr>
        <w:t>施工现场巡查</w:t>
      </w:r>
      <w:bookmarkEnd w:id="377"/>
      <w:bookmarkEnd w:id="378"/>
      <w:bookmarkEnd w:id="379"/>
      <w:bookmarkEnd w:id="380"/>
      <w:bookmarkEnd w:id="381"/>
      <w:bookmarkEnd w:id="382"/>
      <w:bookmarkEnd w:id="383"/>
    </w:p>
    <w:p>
      <w:pPr>
        <w:ind w:firstLine="480"/>
      </w:pPr>
      <w:r>
        <w:rPr>
          <w:rFonts w:hint="eastAsia"/>
        </w:rPr>
        <w:t>为了确保施工期间安全生产受控，必须对施工现场可能存在安全隐患的部位进行相应的检查与监控。</w:t>
      </w:r>
    </w:p>
    <w:p>
      <w:pPr>
        <w:ind w:firstLine="480"/>
      </w:pPr>
      <w:r>
        <w:rPr>
          <w:rFonts w:hint="eastAsia"/>
        </w:rPr>
        <w:t>（1）专职安全员每天对施工现场进行巡查，重点检查内容包括：</w:t>
      </w:r>
    </w:p>
    <w:p>
      <w:pPr>
        <w:ind w:firstLine="480"/>
      </w:pPr>
      <w:r>
        <w:rPr>
          <w:rFonts w:hint="eastAsia"/>
        </w:rPr>
        <w:t>1）个人防护用品是否按照要求穿戴和使用，高处作业人员是否挂好安全带。</w:t>
      </w:r>
    </w:p>
    <w:p>
      <w:pPr>
        <w:ind w:firstLine="480"/>
      </w:pPr>
      <w:r>
        <w:rPr>
          <w:rFonts w:hint="eastAsia"/>
        </w:rPr>
        <w:t>2）特种作业人员是否持证上岗，并遵守相关安全操作规程。</w:t>
      </w:r>
    </w:p>
    <w:p>
      <w:pPr>
        <w:ind w:firstLine="480"/>
      </w:pPr>
      <w:r>
        <w:rPr>
          <w:rFonts w:hint="eastAsia"/>
        </w:rPr>
        <w:t>3）临时用电线路布设是否满足安全要求，消防器材是否齐全有效。</w:t>
      </w:r>
    </w:p>
    <w:p>
      <w:pPr>
        <w:ind w:firstLine="480"/>
      </w:pPr>
      <w:r>
        <w:rPr>
          <w:rFonts w:hint="eastAsia"/>
        </w:rPr>
        <w:t>4）氧气、乙炔气瓶是否满足安全距离要求，压力表、防回火阀、气管等是否齐全有效。氧气、乙炔气瓶压力表必须保证完好有效，有破损的及时更换。乙炔气瓶必须配备防回火阀，且不得漏气，气管须完好有效，有明显老化、破裂、漏气等必须及时维修更换。</w:t>
      </w:r>
    </w:p>
    <w:p>
      <w:pPr>
        <w:ind w:firstLine="480"/>
      </w:pPr>
      <w:r>
        <w:rPr>
          <w:rFonts w:hint="eastAsia"/>
        </w:rPr>
        <w:t>5）其他需要巡查、检查的部位及检查内容。</w:t>
      </w:r>
    </w:p>
    <w:p>
      <w:pPr>
        <w:ind w:firstLine="480"/>
      </w:pPr>
      <w:r>
        <w:rPr>
          <w:rFonts w:hint="eastAsia"/>
        </w:rPr>
        <w:t>（2）项目部设备管理员每天对施工升降机安拆施工现场使用的塔吊等设备进行巡查。定期进行设备维修保养，做好设备维修保养记录。</w:t>
      </w:r>
    </w:p>
    <w:p>
      <w:pPr>
        <w:ind w:firstLine="480"/>
      </w:pPr>
      <w:r>
        <w:rPr>
          <w:rFonts w:hint="eastAsia"/>
        </w:rPr>
        <w:t>（3）专职电工每日检查施工现场“三级用电，二级保护”、“一机、一闸、一箱、一漏”等临时用电安全要求落实情况，尤其常见的用电线路未按三级用电布设、线路破损、漏保失效等用电隐患在发现后必须立即整改到位。</w:t>
      </w:r>
    </w:p>
    <w:p>
      <w:pPr>
        <w:ind w:firstLine="480"/>
      </w:pPr>
      <w:r>
        <w:rPr>
          <w:rFonts w:hint="eastAsia"/>
        </w:rPr>
        <w:t>（4）施工期间组织专项检查、月度检查，尤其是关键部位的验收检查，各部门应积极参与，并留下检查验收记录。</w:t>
      </w:r>
    </w:p>
    <w:p>
      <w:pPr>
        <w:pStyle w:val="5"/>
        <w:spacing w:before="156" w:after="156"/>
      </w:pPr>
      <w:bookmarkStart w:id="384" w:name="_Toc108095500"/>
      <w:bookmarkStart w:id="385" w:name="_Toc54282014"/>
      <w:bookmarkStart w:id="386" w:name="_Toc121760033"/>
      <w:bookmarkStart w:id="387" w:name="_Toc58781298"/>
      <w:bookmarkStart w:id="388" w:name="_Toc55851918"/>
      <w:bookmarkStart w:id="389" w:name="_Toc16412"/>
      <w:bookmarkStart w:id="390" w:name="_Toc79095163"/>
      <w:r>
        <w:rPr>
          <w:rFonts w:hint="eastAsia"/>
        </w:rPr>
        <w:t>起重吊装操作监测</w:t>
      </w:r>
      <w:bookmarkEnd w:id="384"/>
      <w:bookmarkEnd w:id="385"/>
      <w:bookmarkEnd w:id="386"/>
      <w:bookmarkEnd w:id="387"/>
      <w:bookmarkEnd w:id="388"/>
      <w:bookmarkEnd w:id="389"/>
      <w:bookmarkEnd w:id="390"/>
    </w:p>
    <w:p>
      <w:pPr>
        <w:ind w:firstLine="480"/>
      </w:pPr>
      <w:r>
        <w:rPr>
          <w:rFonts w:hint="eastAsia"/>
        </w:rPr>
        <w:t>施工期间对塔吊及起重工索具进行经常性的检查，确保起重设备和工索具状态完好、各构件连接满足要求。</w:t>
      </w:r>
    </w:p>
    <w:p>
      <w:pPr>
        <w:ind w:firstLine="48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塔吊倾覆、钢丝绳断裂、脱钩等引发安全事故。</w:t>
      </w:r>
    </w:p>
    <w:p>
      <w:pPr>
        <w:ind w:firstLine="480"/>
      </w:pPr>
      <w:r>
        <w:rPr>
          <w:rFonts w:hint="eastAsia"/>
        </w:rPr>
        <w:t>每班作业前，起重机司机应对塔吊的吊钩、钢丝绳及安全装置进行检查，各机构进行空载运转，发现不正常时，应予排除。塔吊基础需根据设计图纸要求进行监控检测。</w:t>
      </w:r>
    </w:p>
    <w:p>
      <w:pPr>
        <w:pStyle w:val="5"/>
        <w:spacing w:before="156" w:after="156"/>
      </w:pPr>
      <w:bookmarkStart w:id="391" w:name="_Toc121760034"/>
      <w:bookmarkStart w:id="392" w:name="_Toc79095164"/>
      <w:bookmarkStart w:id="393" w:name="_Toc108095501"/>
      <w:bookmarkStart w:id="394" w:name="_Hlk79094661"/>
      <w:r>
        <w:rPr>
          <w:rFonts w:hint="eastAsia"/>
        </w:rPr>
        <w:t>基础监测</w:t>
      </w:r>
      <w:bookmarkEnd w:id="391"/>
      <w:bookmarkEnd w:id="392"/>
      <w:bookmarkEnd w:id="393"/>
    </w:p>
    <w:p>
      <w:pPr>
        <w:ind w:firstLine="480"/>
      </w:pPr>
      <w:r>
        <w:rPr>
          <w:rFonts w:hint="eastAsia"/>
        </w:rPr>
        <w:t>施工期间要对升降机导轨架基础以及吊笼搁置基础进行经常性检查，确保型钢基础的稳固满足要求。</w:t>
      </w:r>
    </w:p>
    <w:p>
      <w:pPr>
        <w:ind w:firstLine="480"/>
      </w:pPr>
      <w:r>
        <w:rPr>
          <w:rFonts w:hint="eastAsia"/>
        </w:rPr>
        <w:t>安全生产管理人员每日对施工现场进行巡视时，要检查型钢基础是否有变形，是否有移位，施工平台顶面是否有变形，型钢基础的焊接焊缝是否有裂纹等，并留下检查验收记录。</w:t>
      </w:r>
    </w:p>
    <w:p>
      <w:pPr>
        <w:pStyle w:val="5"/>
        <w:spacing w:before="156" w:after="156"/>
      </w:pPr>
      <w:bookmarkStart w:id="395" w:name="_Toc79095165"/>
      <w:bookmarkStart w:id="396" w:name="_Toc121760035"/>
      <w:bookmarkStart w:id="397" w:name="_Toc108095502"/>
      <w:r>
        <w:rPr>
          <w:rFonts w:hint="eastAsia"/>
        </w:rPr>
        <w:t>导轨架监测</w:t>
      </w:r>
      <w:bookmarkEnd w:id="395"/>
      <w:bookmarkEnd w:id="396"/>
      <w:bookmarkEnd w:id="397"/>
    </w:p>
    <w:p>
      <w:pPr>
        <w:ind w:firstLine="480"/>
      </w:pPr>
      <w:r>
        <w:rPr>
          <w:rFonts w:hint="eastAsia"/>
        </w:rPr>
        <w:t>施工期间要对升降机导轨架进行经常性检查及监测，确保导轨架的安全可靠。</w:t>
      </w:r>
    </w:p>
    <w:p>
      <w:pPr>
        <w:ind w:firstLine="480"/>
      </w:pPr>
      <w:r>
        <w:rPr>
          <w:rFonts w:hint="eastAsia"/>
        </w:rPr>
        <w:t>测量人员每周对升降机的导轨架进行测量监测，主要对导轨架的倾斜角度、附墙杆件的水平度进行监控量测并留下检查验收记录。</w:t>
      </w:r>
    </w:p>
    <w:bookmarkEnd w:id="394"/>
    <w:p>
      <w:pPr>
        <w:pStyle w:val="4"/>
        <w:spacing w:before="156" w:after="156"/>
      </w:pPr>
      <w:bookmarkStart w:id="398" w:name="_Toc22562"/>
      <w:bookmarkStart w:id="399" w:name="_Toc108095503"/>
      <w:bookmarkStart w:id="400" w:name="_Toc121760036"/>
      <w:r>
        <w:rPr>
          <w:rFonts w:hint="eastAsia"/>
        </w:rPr>
        <w:t>监管措施</w:t>
      </w:r>
      <w:bookmarkEnd w:id="398"/>
      <w:bookmarkEnd w:id="399"/>
      <w:bookmarkEnd w:id="400"/>
    </w:p>
    <w:p>
      <w:pPr>
        <w:pStyle w:val="5"/>
        <w:spacing w:before="156" w:after="156"/>
      </w:pPr>
      <w:bookmarkStart w:id="401" w:name="_Toc108095504"/>
      <w:bookmarkStart w:id="402" w:name="_Toc121760037"/>
      <w:r>
        <w:rPr>
          <w:rFonts w:hint="eastAsia"/>
        </w:rPr>
        <w:t>控制要点</w:t>
      </w:r>
      <w:bookmarkEnd w:id="401"/>
      <w:bookmarkEnd w:id="402"/>
    </w:p>
    <w:p>
      <w:pPr>
        <w:ind w:firstLine="480"/>
      </w:pPr>
      <w:r>
        <w:rPr>
          <w:rFonts w:hint="eastAsia"/>
        </w:rPr>
        <w:t>（1）现场安全、技术管理人员必须参与作业施工方案的编制，熟悉方案。</w:t>
      </w:r>
    </w:p>
    <w:p>
      <w:pPr>
        <w:ind w:firstLine="480"/>
        <w:rPr>
          <w:szCs w:val="24"/>
        </w:rPr>
      </w:pPr>
      <w:r>
        <w:rPr>
          <w:rFonts w:hint="eastAsia"/>
          <w:szCs w:val="24"/>
        </w:rPr>
        <w:t>（2）施工</w:t>
      </w:r>
      <w:r>
        <w:rPr>
          <w:rFonts w:hint="eastAsia"/>
          <w:szCs w:val="24"/>
          <w:lang w:eastAsia="zh-CN"/>
        </w:rPr>
        <w:t>施工升降机</w:t>
      </w:r>
      <w:r>
        <w:rPr>
          <w:rFonts w:hint="eastAsia"/>
          <w:szCs w:val="24"/>
        </w:rPr>
        <w:t>每10-15天进行一次维修保养，施工</w:t>
      </w:r>
      <w:r>
        <w:rPr>
          <w:rFonts w:hint="eastAsia"/>
          <w:szCs w:val="24"/>
          <w:lang w:eastAsia="zh-CN"/>
        </w:rPr>
        <w:t>施工升降机</w:t>
      </w:r>
      <w:r>
        <w:rPr>
          <w:rFonts w:hint="eastAsia"/>
          <w:szCs w:val="24"/>
        </w:rPr>
        <w:t>的安装和定期维护由有资质的专业单位承担。</w:t>
      </w:r>
    </w:p>
    <w:p>
      <w:pPr>
        <w:ind w:firstLine="480"/>
      </w:pPr>
      <w:r>
        <w:rPr>
          <w:rFonts w:hint="eastAsia"/>
        </w:rPr>
        <w:t>（3）施工</w:t>
      </w:r>
      <w:r>
        <w:rPr>
          <w:rFonts w:hint="eastAsia"/>
          <w:lang w:eastAsia="zh-CN"/>
        </w:rPr>
        <w:t>施工升降机</w:t>
      </w:r>
      <w:r>
        <w:rPr>
          <w:rFonts w:hint="eastAsia"/>
        </w:rPr>
        <w:t>实施编号管理，现场悬挂安全操作规程和限载等标识牌，在轿厢内，粘贴相关证书复印件，并配备专职设备管理人员。</w:t>
      </w:r>
    </w:p>
    <w:p>
      <w:pPr>
        <w:ind w:firstLine="480"/>
        <w:rPr>
          <w:szCs w:val="24"/>
        </w:rPr>
      </w:pPr>
      <w:r>
        <w:rPr>
          <w:rFonts w:hint="eastAsia"/>
        </w:rPr>
        <w:t>（4）暴风雨等恶劣天气或长期停用后，对施工</w:t>
      </w:r>
      <w:r>
        <w:rPr>
          <w:rFonts w:hint="eastAsia"/>
          <w:lang w:eastAsia="zh-CN"/>
        </w:rPr>
        <w:t>施工升降机</w:t>
      </w:r>
      <w:r>
        <w:rPr>
          <w:rFonts w:hint="eastAsia"/>
        </w:rPr>
        <w:t>各安全装置进行全面检查，确认一切安全有效后方可使用。</w:t>
      </w:r>
    </w:p>
    <w:p>
      <w:pPr>
        <w:ind w:firstLine="480"/>
        <w:rPr>
          <w:szCs w:val="24"/>
        </w:rPr>
      </w:pPr>
      <w:r>
        <w:rPr>
          <w:rFonts w:hint="eastAsia"/>
          <w:szCs w:val="24"/>
        </w:rPr>
        <w:t>（5）施工</w:t>
      </w:r>
      <w:r>
        <w:rPr>
          <w:rFonts w:hint="eastAsia"/>
          <w:szCs w:val="24"/>
          <w:lang w:eastAsia="zh-CN"/>
        </w:rPr>
        <w:t>施工升降机</w:t>
      </w:r>
      <w:r>
        <w:rPr>
          <w:rFonts w:hint="eastAsia"/>
          <w:szCs w:val="24"/>
        </w:rPr>
        <w:t>防冲顶和防坠落装置需齐全、可靠，连墙件牢固。</w:t>
      </w:r>
    </w:p>
    <w:p>
      <w:pPr>
        <w:ind w:firstLine="480"/>
        <w:rPr>
          <w:szCs w:val="24"/>
        </w:rPr>
      </w:pPr>
      <w:r>
        <w:rPr>
          <w:rFonts w:hint="eastAsia"/>
          <w:szCs w:val="24"/>
        </w:rPr>
        <w:t>（</w:t>
      </w:r>
      <w:r>
        <w:rPr>
          <w:szCs w:val="24"/>
        </w:rPr>
        <w:t>6</w:t>
      </w:r>
      <w:r>
        <w:rPr>
          <w:rFonts w:hint="eastAsia"/>
          <w:szCs w:val="24"/>
        </w:rPr>
        <w:t>）施工</w:t>
      </w:r>
      <w:r>
        <w:rPr>
          <w:rFonts w:hint="eastAsia"/>
          <w:szCs w:val="24"/>
          <w:lang w:eastAsia="zh-CN"/>
        </w:rPr>
        <w:t>施工升降机</w:t>
      </w:r>
      <w:r>
        <w:rPr>
          <w:rFonts w:hint="eastAsia"/>
          <w:szCs w:val="24"/>
        </w:rPr>
        <w:t>基础周围2.5m范围内，必须设置防护栏杆，出入口须设置防护棚。</w:t>
      </w:r>
    </w:p>
    <w:p>
      <w:pPr>
        <w:ind w:firstLine="480"/>
        <w:rPr>
          <w:szCs w:val="24"/>
        </w:rPr>
      </w:pPr>
      <w:r>
        <w:rPr>
          <w:rFonts w:hint="eastAsia"/>
          <w:szCs w:val="24"/>
        </w:rPr>
        <w:t>（7）施工</w:t>
      </w:r>
      <w:r>
        <w:rPr>
          <w:rFonts w:hint="eastAsia"/>
          <w:szCs w:val="24"/>
          <w:lang w:eastAsia="zh-CN"/>
        </w:rPr>
        <w:t>施工升降机</w:t>
      </w:r>
      <w:r>
        <w:rPr>
          <w:rFonts w:hint="eastAsia"/>
          <w:szCs w:val="24"/>
        </w:rPr>
        <w:t>周围5m范围内不得存放易燃易爆等其他物品，操作间配置消防设施。</w:t>
      </w:r>
    </w:p>
    <w:p>
      <w:pPr>
        <w:ind w:firstLine="480"/>
      </w:pPr>
      <w:r>
        <w:rPr>
          <w:rFonts w:hint="eastAsia"/>
        </w:rPr>
        <w:t>（8）</w:t>
      </w:r>
      <w:r>
        <w:rPr>
          <w:rFonts w:hint="eastAsia"/>
          <w:lang w:eastAsia="zh-CN"/>
        </w:rPr>
        <w:t>施工升降机</w:t>
      </w:r>
      <w:r>
        <w:rPr>
          <w:rFonts w:hint="eastAsia"/>
        </w:rPr>
        <w:t>安装拆除前应与安拆单位签订安全协议，明确划分职责。</w:t>
      </w:r>
    </w:p>
    <w:p>
      <w:pPr>
        <w:ind w:firstLine="480"/>
      </w:pPr>
      <w:r>
        <w:rPr>
          <w:rFonts w:hint="eastAsia"/>
        </w:rPr>
        <w:t>（</w:t>
      </w:r>
      <w:r>
        <w:t>9</w:t>
      </w:r>
      <w:r>
        <w:rPr>
          <w:rFonts w:hint="eastAsia"/>
        </w:rPr>
        <w:t>）</w:t>
      </w:r>
      <w:r>
        <w:rPr>
          <w:rFonts w:hint="eastAsia"/>
          <w:lang w:eastAsia="zh-CN"/>
        </w:rPr>
        <w:t>施工升降机</w:t>
      </w:r>
      <w:r>
        <w:rPr>
          <w:rFonts w:hint="eastAsia"/>
        </w:rPr>
        <w:t>安装完成后，组织相关人员按照要求对其进行调试，并记录调试结果。</w:t>
      </w:r>
    </w:p>
    <w:p>
      <w:pPr>
        <w:ind w:firstLine="480"/>
      </w:pPr>
      <w:r>
        <w:rPr>
          <w:rFonts w:hint="eastAsia"/>
        </w:rPr>
        <w:t>（</w:t>
      </w:r>
      <w:r>
        <w:t>10</w:t>
      </w:r>
      <w:r>
        <w:rPr>
          <w:rFonts w:hint="eastAsia"/>
        </w:rPr>
        <w:t>）</w:t>
      </w:r>
      <w:r>
        <w:rPr>
          <w:rFonts w:hint="eastAsia"/>
          <w:lang w:eastAsia="zh-CN"/>
        </w:rPr>
        <w:t>施工升降机</w:t>
      </w:r>
      <w:r>
        <w:rPr>
          <w:rFonts w:hint="eastAsia"/>
        </w:rPr>
        <w:t>使用过程中，定期进行监测和维保，并对</w:t>
      </w:r>
      <w:r>
        <w:rPr>
          <w:rFonts w:hint="eastAsia"/>
          <w:lang w:eastAsia="zh-CN"/>
        </w:rPr>
        <w:t>施工升降机</w:t>
      </w:r>
      <w:r>
        <w:rPr>
          <w:rFonts w:hint="eastAsia"/>
        </w:rPr>
        <w:t>各类安全防护装置定期检查，确保其状态良好。</w:t>
      </w:r>
    </w:p>
    <w:p>
      <w:pPr>
        <w:pStyle w:val="5"/>
        <w:spacing w:before="156" w:after="156"/>
      </w:pPr>
      <w:bookmarkStart w:id="403" w:name="_Toc121760038"/>
      <w:bookmarkStart w:id="404" w:name="_Toc108095505"/>
      <w:r>
        <w:rPr>
          <w:rFonts w:hint="eastAsia"/>
        </w:rPr>
        <w:t>严禁事项</w:t>
      </w:r>
      <w:bookmarkEnd w:id="403"/>
      <w:bookmarkEnd w:id="404"/>
    </w:p>
    <w:p>
      <w:pPr>
        <w:ind w:firstLine="480"/>
      </w:pPr>
      <w:r>
        <w:rPr>
          <w:rFonts w:hint="eastAsia"/>
        </w:rPr>
        <w:t>（1）严禁施工</w:t>
      </w:r>
      <w:r>
        <w:rPr>
          <w:rFonts w:hint="eastAsia"/>
          <w:lang w:eastAsia="zh-CN"/>
        </w:rPr>
        <w:t>施工升降机</w:t>
      </w:r>
      <w:r>
        <w:rPr>
          <w:rFonts w:hint="eastAsia"/>
        </w:rPr>
        <w:t>未经检验合格擅自使用。</w:t>
      </w:r>
    </w:p>
    <w:p>
      <w:pPr>
        <w:ind w:firstLine="480"/>
        <w:rPr>
          <w:szCs w:val="24"/>
        </w:rPr>
      </w:pPr>
      <w:r>
        <w:rPr>
          <w:rFonts w:hint="eastAsia"/>
          <w:szCs w:val="24"/>
        </w:rPr>
        <w:t>（2）</w:t>
      </w:r>
      <w:r>
        <w:rPr>
          <w:szCs w:val="24"/>
        </w:rPr>
        <w:t>严禁非持证人员操作施工</w:t>
      </w:r>
      <w:r>
        <w:rPr>
          <w:rFonts w:hint="eastAsia"/>
          <w:szCs w:val="24"/>
          <w:lang w:eastAsia="zh-CN"/>
        </w:rPr>
        <w:t>施工升降机</w:t>
      </w:r>
      <w:r>
        <w:rPr>
          <w:szCs w:val="24"/>
        </w:rPr>
        <w:t>。</w:t>
      </w:r>
    </w:p>
    <w:p>
      <w:pPr>
        <w:ind w:firstLine="480"/>
        <w:rPr>
          <w:szCs w:val="24"/>
        </w:rPr>
      </w:pPr>
      <w:r>
        <w:rPr>
          <w:rFonts w:hint="eastAsia"/>
          <w:szCs w:val="24"/>
        </w:rPr>
        <w:t>（3）严禁承载人员超过额定人数且不得超过9人，严禁人货混装、超载使用。</w:t>
      </w:r>
    </w:p>
    <w:p>
      <w:pPr>
        <w:ind w:firstLine="480"/>
      </w:pPr>
      <w:r>
        <w:rPr>
          <w:rFonts w:hint="eastAsia"/>
          <w:szCs w:val="24"/>
        </w:rPr>
        <w:t>（4）严禁以行程限位开关自动碰撞的方法停车。严禁在施工</w:t>
      </w:r>
      <w:r>
        <w:rPr>
          <w:rFonts w:hint="eastAsia"/>
          <w:szCs w:val="24"/>
          <w:lang w:eastAsia="zh-CN"/>
        </w:rPr>
        <w:t>施工升降机</w:t>
      </w:r>
      <w:r>
        <w:rPr>
          <w:rFonts w:hint="eastAsia"/>
          <w:szCs w:val="24"/>
        </w:rPr>
        <w:t>井架、支撑上设置缆绳、标语等。</w:t>
      </w:r>
    </w:p>
    <w:p>
      <w:pPr>
        <w:ind w:firstLine="480" w:firstLineChars="0"/>
        <w:rPr>
          <w:rFonts w:hint="eastAsia"/>
          <w:color w:val="000000" w:themeColor="text1"/>
          <w14:textFill>
            <w14:solidFill>
              <w14:schemeClr w14:val="tx1"/>
            </w14:solidFill>
          </w14:textFill>
        </w:rPr>
      </w:pPr>
      <w:r>
        <w:rPr>
          <w:rFonts w:hint="eastAsia"/>
          <w:szCs w:val="24"/>
        </w:rPr>
        <w:t>（5）严禁在大雨、大雾、六级及以上大风等恶劣天气使用外用施工</w:t>
      </w:r>
      <w:bookmarkEnd w:id="269"/>
      <w:bookmarkEnd w:id="270"/>
      <w:bookmarkStart w:id="405" w:name="_Toc14971"/>
      <w:bookmarkStart w:id="406" w:name="_Toc17347"/>
      <w:bookmarkStart w:id="407" w:name="_Toc6917"/>
      <w:bookmarkStart w:id="408" w:name="_Toc5668"/>
      <w:bookmarkStart w:id="409" w:name="_Toc40778445"/>
      <w:bookmarkStart w:id="410" w:name="_Toc11379"/>
      <w:r>
        <w:rPr>
          <w:rFonts w:hint="eastAsia"/>
          <w:szCs w:val="24"/>
          <w:lang w:eastAsia="zh-CN"/>
        </w:rPr>
        <w:t>施工升降机</w:t>
      </w:r>
      <w:r>
        <w:rPr>
          <w:rFonts w:hint="eastAsia"/>
          <w:szCs w:val="24"/>
        </w:rPr>
        <w:t>。</w:t>
      </w:r>
    </w:p>
    <w:bookmarkEnd w:id="405"/>
    <w:bookmarkEnd w:id="406"/>
    <w:bookmarkEnd w:id="407"/>
    <w:bookmarkEnd w:id="408"/>
    <w:bookmarkEnd w:id="409"/>
    <w:bookmarkEnd w:id="410"/>
    <w:p>
      <w:pPr>
        <w:ind w:firstLine="480"/>
        <w:rPr>
          <w:color w:val="000000" w:themeColor="text1"/>
          <w14:textFill>
            <w14:solidFill>
              <w14:schemeClr w14:val="tx1"/>
            </w14:solidFill>
          </w14:textFill>
        </w:rPr>
      </w:pPr>
    </w:p>
    <w:p>
      <w:pPr>
        <w:widowControl/>
        <w:ind w:firstLine="0" w:firstLineChars="0"/>
        <w:jc w:val="left"/>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3"/>
        <w:spacing w:before="156" w:after="156"/>
        <w:rPr>
          <w:color w:val="000000" w:themeColor="text1"/>
          <w14:textFill>
            <w14:solidFill>
              <w14:schemeClr w14:val="tx1"/>
            </w14:solidFill>
          </w14:textFill>
        </w:rPr>
      </w:pPr>
      <w:bookmarkStart w:id="411" w:name="_Toc40778447"/>
      <w:bookmarkStart w:id="412" w:name="_Toc121760039"/>
      <w:bookmarkStart w:id="413" w:name="_Toc55223376"/>
      <w:bookmarkStart w:id="414" w:name="_Toc2870"/>
      <w:r>
        <w:rPr>
          <w:rFonts w:hint="eastAsia"/>
          <w:color w:val="000000" w:themeColor="text1"/>
          <w14:textFill>
            <w14:solidFill>
              <w14:schemeClr w14:val="tx1"/>
            </w14:solidFill>
          </w14:textFill>
        </w:rPr>
        <w:t>施工管理及作业人员配备和分工</w:t>
      </w:r>
      <w:bookmarkEnd w:id="411"/>
      <w:bookmarkEnd w:id="412"/>
      <w:bookmarkEnd w:id="413"/>
      <w:bookmarkEnd w:id="414"/>
    </w:p>
    <w:p>
      <w:pPr>
        <w:pStyle w:val="4"/>
        <w:spacing w:before="156" w:after="156"/>
      </w:pPr>
      <w:bookmarkStart w:id="415" w:name="_Toc108095507"/>
      <w:bookmarkStart w:id="416" w:name="_Toc121760040"/>
      <w:bookmarkStart w:id="417" w:name="_Toc100221665"/>
      <w:r>
        <w:rPr>
          <w:rFonts w:hint="eastAsia"/>
        </w:rPr>
        <w:t>施工管理人员配备及分工</w:t>
      </w:r>
      <w:bookmarkEnd w:id="415"/>
      <w:bookmarkEnd w:id="416"/>
      <w:bookmarkEnd w:id="417"/>
    </w:p>
    <w:p>
      <w:pPr>
        <w:ind w:firstLine="480"/>
      </w:pPr>
      <w:r>
        <w:rPr>
          <w:rFonts w:hint="eastAsia"/>
        </w:rPr>
        <w:t>项目部施工管理人员配备及分工见</w:t>
      </w:r>
      <w:r>
        <w:rPr>
          <w:rFonts w:hint="eastAsia"/>
          <w:b/>
          <w:bCs/>
        </w:rPr>
        <w:t>表</w:t>
      </w:r>
      <w:r>
        <w:rPr>
          <w:b/>
          <w:bCs/>
        </w:rPr>
        <w:t>7.1-1</w:t>
      </w:r>
      <w:r>
        <w:rPr>
          <w:rFonts w:hint="eastAsia"/>
        </w:rPr>
        <w:t>。</w:t>
      </w:r>
    </w:p>
    <w:p>
      <w:pPr>
        <w:pStyle w:val="89"/>
        <w:spacing w:before="156"/>
      </w:pPr>
      <w:r>
        <w:rPr>
          <w:rFonts w:hint="eastAsia"/>
        </w:rPr>
        <w:t>表7</w:t>
      </w:r>
      <w:r>
        <w:t>.1-1  施工管理人员配备及分工</w:t>
      </w:r>
    </w:p>
    <w:tbl>
      <w:tblPr>
        <w:tblStyle w:val="1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276"/>
        <w:gridCol w:w="709"/>
        <w:gridCol w:w="5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4" w:type="dxa"/>
            <w:shd w:val="clear" w:color="auto" w:fill="auto"/>
            <w:vAlign w:val="center"/>
          </w:tcPr>
          <w:p>
            <w:pPr>
              <w:pStyle w:val="50"/>
              <w:rPr>
                <w:b/>
                <w:bCs/>
                <w:kern w:val="0"/>
              </w:rPr>
            </w:pPr>
            <w:r>
              <w:rPr>
                <w:rFonts w:hint="eastAsia"/>
                <w:b/>
                <w:bCs/>
                <w:kern w:val="0"/>
              </w:rPr>
              <w:t>序号</w:t>
            </w:r>
          </w:p>
        </w:tc>
        <w:tc>
          <w:tcPr>
            <w:tcW w:w="1276" w:type="dxa"/>
            <w:shd w:val="clear" w:color="auto" w:fill="auto"/>
            <w:vAlign w:val="center"/>
          </w:tcPr>
          <w:p>
            <w:pPr>
              <w:pStyle w:val="50"/>
              <w:rPr>
                <w:b/>
                <w:bCs/>
                <w:kern w:val="0"/>
              </w:rPr>
            </w:pPr>
            <w:r>
              <w:rPr>
                <w:rFonts w:hint="eastAsia"/>
                <w:b/>
                <w:bCs/>
                <w:kern w:val="0"/>
              </w:rPr>
              <w:t>岗位</w:t>
            </w:r>
          </w:p>
        </w:tc>
        <w:tc>
          <w:tcPr>
            <w:tcW w:w="709" w:type="dxa"/>
            <w:shd w:val="clear" w:color="auto" w:fill="auto"/>
            <w:vAlign w:val="center"/>
          </w:tcPr>
          <w:p>
            <w:pPr>
              <w:pStyle w:val="50"/>
              <w:rPr>
                <w:b/>
                <w:bCs/>
                <w:kern w:val="0"/>
              </w:rPr>
            </w:pPr>
            <w:r>
              <w:rPr>
                <w:rFonts w:hint="eastAsia"/>
                <w:b/>
                <w:bCs/>
                <w:kern w:val="0"/>
              </w:rPr>
              <w:t>人数</w:t>
            </w:r>
          </w:p>
        </w:tc>
        <w:tc>
          <w:tcPr>
            <w:tcW w:w="5597" w:type="dxa"/>
            <w:shd w:val="clear" w:color="auto" w:fill="auto"/>
            <w:vAlign w:val="center"/>
          </w:tcPr>
          <w:p>
            <w:pPr>
              <w:pStyle w:val="50"/>
              <w:rPr>
                <w:b/>
                <w:bCs/>
                <w:kern w:val="0"/>
              </w:rPr>
            </w:pPr>
            <w:r>
              <w:rPr>
                <w:rFonts w:hint="eastAsia"/>
                <w:b/>
                <w:bCs/>
                <w:kern w:val="0"/>
              </w:rPr>
              <w:t>责任分工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 \r 1</w:instrText>
            </w:r>
            <w:r>
              <w:rPr>
                <w:kern w:val="0"/>
              </w:rPr>
              <w:fldChar w:fldCharType="separate"/>
            </w:r>
            <w:r>
              <w:rPr>
                <w:kern w:val="0"/>
              </w:rPr>
              <w:t>1</w:t>
            </w:r>
            <w:r>
              <w:rPr>
                <w:kern w:val="0"/>
              </w:rPr>
              <w:fldChar w:fldCharType="end"/>
            </w:r>
          </w:p>
        </w:tc>
        <w:tc>
          <w:tcPr>
            <w:tcW w:w="1276" w:type="dxa"/>
            <w:shd w:val="clear" w:color="auto" w:fill="auto"/>
            <w:vAlign w:val="center"/>
          </w:tcPr>
          <w:p>
            <w:pPr>
              <w:pStyle w:val="50"/>
              <w:rPr>
                <w:kern w:val="0"/>
              </w:rPr>
            </w:pPr>
            <w:r>
              <w:rPr>
                <w:kern w:val="0"/>
              </w:rPr>
              <w:t>项目经理</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项目总负责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2</w:t>
            </w:r>
            <w:r>
              <w:rPr>
                <w:kern w:val="0"/>
              </w:rPr>
              <w:fldChar w:fldCharType="end"/>
            </w:r>
          </w:p>
        </w:tc>
        <w:tc>
          <w:tcPr>
            <w:tcW w:w="1276" w:type="dxa"/>
            <w:shd w:val="clear" w:color="auto" w:fill="auto"/>
            <w:vAlign w:val="center"/>
          </w:tcPr>
          <w:p>
            <w:pPr>
              <w:pStyle w:val="50"/>
              <w:rPr>
                <w:kern w:val="0"/>
              </w:rPr>
            </w:pPr>
            <w:r>
              <w:rPr>
                <w:kern w:val="0"/>
              </w:rPr>
              <w:t>项目总工</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技术总负责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3</w:t>
            </w:r>
            <w:r>
              <w:rPr>
                <w:kern w:val="0"/>
              </w:rPr>
              <w:fldChar w:fldCharType="end"/>
            </w:r>
          </w:p>
        </w:tc>
        <w:tc>
          <w:tcPr>
            <w:tcW w:w="1276" w:type="dxa"/>
            <w:shd w:val="clear" w:color="auto" w:fill="auto"/>
            <w:vAlign w:val="center"/>
          </w:tcPr>
          <w:p>
            <w:pPr>
              <w:pStyle w:val="50"/>
              <w:rPr>
                <w:kern w:val="0"/>
              </w:rPr>
            </w:pPr>
            <w:r>
              <w:rPr>
                <w:kern w:val="0"/>
              </w:rPr>
              <w:t>生产副经理</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组织、协调现场生产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4</w:t>
            </w:r>
            <w:r>
              <w:rPr>
                <w:kern w:val="0"/>
              </w:rPr>
              <w:fldChar w:fldCharType="end"/>
            </w:r>
          </w:p>
        </w:tc>
        <w:tc>
          <w:tcPr>
            <w:tcW w:w="1276" w:type="dxa"/>
            <w:shd w:val="clear" w:color="auto" w:fill="auto"/>
            <w:vAlign w:val="center"/>
          </w:tcPr>
          <w:p>
            <w:pPr>
              <w:pStyle w:val="50"/>
              <w:rPr>
                <w:kern w:val="0"/>
              </w:rPr>
            </w:pPr>
            <w:r>
              <w:rPr>
                <w:kern w:val="0"/>
              </w:rPr>
              <w:t>技术员</w:t>
            </w:r>
          </w:p>
        </w:tc>
        <w:tc>
          <w:tcPr>
            <w:tcW w:w="709" w:type="dxa"/>
            <w:shd w:val="clear" w:color="auto" w:fill="auto"/>
            <w:vAlign w:val="center"/>
          </w:tcPr>
          <w:p>
            <w:pPr>
              <w:pStyle w:val="50"/>
              <w:rPr>
                <w:kern w:val="0"/>
              </w:rPr>
            </w:pPr>
            <w:r>
              <w:rPr>
                <w:rFonts w:hint="eastAsia"/>
                <w:kern w:val="0"/>
              </w:rPr>
              <w:t>2</w:t>
            </w:r>
          </w:p>
        </w:tc>
        <w:tc>
          <w:tcPr>
            <w:tcW w:w="5597" w:type="dxa"/>
            <w:shd w:val="clear" w:color="auto" w:fill="auto"/>
            <w:vAlign w:val="center"/>
          </w:tcPr>
          <w:p>
            <w:pPr>
              <w:pStyle w:val="50"/>
              <w:rPr>
                <w:kern w:val="0"/>
              </w:rPr>
            </w:pPr>
            <w:r>
              <w:rPr>
                <w:kern w:val="0"/>
              </w:rPr>
              <w:t>现场技术管理及技术资料收集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5</w:t>
            </w:r>
            <w:r>
              <w:rPr>
                <w:kern w:val="0"/>
              </w:rPr>
              <w:fldChar w:fldCharType="end"/>
            </w:r>
          </w:p>
        </w:tc>
        <w:tc>
          <w:tcPr>
            <w:tcW w:w="1276" w:type="dxa"/>
            <w:shd w:val="clear" w:color="auto" w:fill="auto"/>
            <w:vAlign w:val="center"/>
          </w:tcPr>
          <w:p>
            <w:pPr>
              <w:pStyle w:val="50"/>
              <w:rPr>
                <w:kern w:val="0"/>
              </w:rPr>
            </w:pPr>
            <w:r>
              <w:rPr>
                <w:kern w:val="0"/>
              </w:rPr>
              <w:t>质检员</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kern w:val="0"/>
              </w:rPr>
              <w:t>质量监督、检查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6</w:t>
            </w:r>
            <w:r>
              <w:rPr>
                <w:kern w:val="0"/>
              </w:rPr>
              <w:fldChar w:fldCharType="end"/>
            </w:r>
          </w:p>
        </w:tc>
        <w:tc>
          <w:tcPr>
            <w:tcW w:w="1276" w:type="dxa"/>
            <w:shd w:val="clear" w:color="auto" w:fill="auto"/>
            <w:vAlign w:val="center"/>
          </w:tcPr>
          <w:p>
            <w:pPr>
              <w:pStyle w:val="50"/>
              <w:rPr>
                <w:kern w:val="0"/>
              </w:rPr>
            </w:pPr>
            <w:r>
              <w:rPr>
                <w:kern w:val="0"/>
              </w:rPr>
              <w:t>测量员</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kern w:val="0"/>
              </w:rPr>
              <w:t>测量、放线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7</w:t>
            </w:r>
            <w:r>
              <w:rPr>
                <w:kern w:val="0"/>
              </w:rPr>
              <w:fldChar w:fldCharType="end"/>
            </w:r>
          </w:p>
        </w:tc>
        <w:tc>
          <w:tcPr>
            <w:tcW w:w="1276" w:type="dxa"/>
            <w:shd w:val="clear" w:color="auto" w:fill="auto"/>
            <w:vAlign w:val="center"/>
          </w:tcPr>
          <w:p>
            <w:pPr>
              <w:pStyle w:val="50"/>
              <w:rPr>
                <w:kern w:val="0"/>
              </w:rPr>
            </w:pPr>
            <w:r>
              <w:rPr>
                <w:rFonts w:hint="eastAsia"/>
                <w:kern w:val="0"/>
              </w:rPr>
              <w:t>设备</w:t>
            </w:r>
            <w:r>
              <w:rPr>
                <w:kern w:val="0"/>
              </w:rPr>
              <w:t>员</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施工过程旁站监督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8</w:t>
            </w:r>
            <w:r>
              <w:rPr>
                <w:kern w:val="0"/>
              </w:rPr>
              <w:fldChar w:fldCharType="end"/>
            </w:r>
          </w:p>
        </w:tc>
        <w:tc>
          <w:tcPr>
            <w:tcW w:w="1276" w:type="dxa"/>
            <w:shd w:val="clear" w:color="auto" w:fill="auto"/>
            <w:vAlign w:val="center"/>
          </w:tcPr>
          <w:p>
            <w:pPr>
              <w:pStyle w:val="50"/>
              <w:rPr>
                <w:kern w:val="0"/>
              </w:rPr>
            </w:pPr>
            <w:r>
              <w:rPr>
                <w:rFonts w:hint="eastAsia"/>
                <w:kern w:val="0"/>
              </w:rPr>
              <w:t>材料员</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材料管理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9</w:t>
            </w:r>
            <w:r>
              <w:rPr>
                <w:kern w:val="0"/>
              </w:rPr>
              <w:fldChar w:fldCharType="end"/>
            </w:r>
          </w:p>
        </w:tc>
        <w:tc>
          <w:tcPr>
            <w:tcW w:w="1276" w:type="dxa"/>
            <w:shd w:val="clear" w:color="auto" w:fill="auto"/>
            <w:vAlign w:val="center"/>
          </w:tcPr>
          <w:p>
            <w:pPr>
              <w:pStyle w:val="50"/>
              <w:rPr>
                <w:kern w:val="0"/>
              </w:rPr>
            </w:pPr>
            <w:r>
              <w:rPr>
                <w:rFonts w:hint="eastAsia"/>
                <w:kern w:val="0"/>
              </w:rPr>
              <w:t>工长</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kern w:val="0"/>
              </w:rPr>
              <w:t>施工安排及现场调度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gridSpan w:val="2"/>
            <w:shd w:val="clear" w:color="auto" w:fill="auto"/>
            <w:vAlign w:val="center"/>
          </w:tcPr>
          <w:p>
            <w:pPr>
              <w:pStyle w:val="50"/>
              <w:rPr>
                <w:kern w:val="0"/>
              </w:rPr>
            </w:pPr>
            <w:r>
              <w:rPr>
                <w:rFonts w:hint="eastAsia"/>
                <w:kern w:val="0"/>
              </w:rPr>
              <w:t>合计</w:t>
            </w:r>
          </w:p>
        </w:tc>
        <w:tc>
          <w:tcPr>
            <w:tcW w:w="709" w:type="dxa"/>
            <w:shd w:val="clear" w:color="auto" w:fill="auto"/>
            <w:vAlign w:val="center"/>
          </w:tcPr>
          <w:p>
            <w:pPr>
              <w:pStyle w:val="50"/>
              <w:rPr>
                <w:kern w:val="0"/>
              </w:rPr>
            </w:pPr>
            <w:r>
              <w:rPr>
                <w:rFonts w:hint="eastAsia"/>
                <w:kern w:val="0"/>
              </w:rPr>
              <w:t>1</w:t>
            </w:r>
            <w:r>
              <w:rPr>
                <w:kern w:val="0"/>
              </w:rPr>
              <w:t>0</w:t>
            </w:r>
          </w:p>
        </w:tc>
        <w:tc>
          <w:tcPr>
            <w:tcW w:w="5597" w:type="dxa"/>
            <w:shd w:val="clear" w:color="auto" w:fill="auto"/>
            <w:vAlign w:val="center"/>
          </w:tcPr>
          <w:p>
            <w:pPr>
              <w:pStyle w:val="50"/>
              <w:rPr>
                <w:kern w:val="0"/>
              </w:rPr>
            </w:pPr>
          </w:p>
        </w:tc>
      </w:tr>
    </w:tbl>
    <w:p>
      <w:pPr>
        <w:ind w:firstLine="480"/>
      </w:pPr>
      <w:r>
        <w:rPr>
          <w:rFonts w:hint="eastAsia"/>
        </w:rPr>
        <w:t>项目部专职安全管理人员配备及分工见</w:t>
      </w:r>
      <w:r>
        <w:rPr>
          <w:rFonts w:hint="eastAsia"/>
          <w:b/>
          <w:bCs/>
        </w:rPr>
        <w:t>表</w:t>
      </w:r>
      <w:r>
        <w:rPr>
          <w:b/>
          <w:bCs/>
        </w:rPr>
        <w:t>7.1-2</w:t>
      </w:r>
      <w:r>
        <w:rPr>
          <w:rFonts w:hint="eastAsia"/>
          <w:b/>
          <w:bCs/>
        </w:rPr>
        <w:t>。</w:t>
      </w:r>
    </w:p>
    <w:p>
      <w:pPr>
        <w:pStyle w:val="89"/>
        <w:spacing w:before="156"/>
      </w:pPr>
      <w:r>
        <w:rPr>
          <w:rFonts w:hint="eastAsia"/>
        </w:rPr>
        <w:t>表7</w:t>
      </w:r>
      <w:r>
        <w:t>.1-2  专职安全生产管理人员配置和分工</w:t>
      </w:r>
    </w:p>
    <w:tbl>
      <w:tblPr>
        <w:tblStyle w:val="1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276"/>
        <w:gridCol w:w="709"/>
        <w:gridCol w:w="5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4" w:type="dxa"/>
            <w:shd w:val="clear" w:color="auto" w:fill="auto"/>
            <w:vAlign w:val="center"/>
          </w:tcPr>
          <w:p>
            <w:pPr>
              <w:pStyle w:val="50"/>
              <w:rPr>
                <w:b/>
                <w:bCs/>
                <w:kern w:val="0"/>
              </w:rPr>
            </w:pPr>
            <w:r>
              <w:rPr>
                <w:rFonts w:hint="eastAsia"/>
                <w:b/>
                <w:bCs/>
                <w:kern w:val="0"/>
              </w:rPr>
              <w:t>序号</w:t>
            </w:r>
          </w:p>
        </w:tc>
        <w:tc>
          <w:tcPr>
            <w:tcW w:w="1276" w:type="dxa"/>
            <w:shd w:val="clear" w:color="auto" w:fill="auto"/>
            <w:vAlign w:val="center"/>
          </w:tcPr>
          <w:p>
            <w:pPr>
              <w:pStyle w:val="50"/>
              <w:rPr>
                <w:b/>
                <w:bCs/>
                <w:kern w:val="0"/>
              </w:rPr>
            </w:pPr>
            <w:r>
              <w:rPr>
                <w:rFonts w:hint="eastAsia"/>
                <w:b/>
                <w:bCs/>
                <w:kern w:val="0"/>
              </w:rPr>
              <w:t>岗位</w:t>
            </w:r>
          </w:p>
        </w:tc>
        <w:tc>
          <w:tcPr>
            <w:tcW w:w="709" w:type="dxa"/>
            <w:shd w:val="clear" w:color="auto" w:fill="auto"/>
            <w:vAlign w:val="center"/>
          </w:tcPr>
          <w:p>
            <w:pPr>
              <w:pStyle w:val="50"/>
              <w:rPr>
                <w:b/>
                <w:bCs/>
                <w:kern w:val="0"/>
              </w:rPr>
            </w:pPr>
            <w:r>
              <w:rPr>
                <w:rFonts w:hint="eastAsia"/>
                <w:b/>
                <w:bCs/>
                <w:kern w:val="0"/>
              </w:rPr>
              <w:t>人数</w:t>
            </w:r>
          </w:p>
        </w:tc>
        <w:tc>
          <w:tcPr>
            <w:tcW w:w="5597" w:type="dxa"/>
            <w:shd w:val="clear" w:color="auto" w:fill="auto"/>
            <w:vAlign w:val="center"/>
          </w:tcPr>
          <w:p>
            <w:pPr>
              <w:pStyle w:val="50"/>
              <w:rPr>
                <w:b/>
                <w:bCs/>
                <w:kern w:val="0"/>
              </w:rPr>
            </w:pPr>
            <w:r>
              <w:rPr>
                <w:rFonts w:hint="eastAsia"/>
                <w:b/>
                <w:bCs/>
                <w:kern w:val="0"/>
              </w:rPr>
              <w:t>责任分工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 \r 1</w:instrText>
            </w:r>
            <w:r>
              <w:rPr>
                <w:kern w:val="0"/>
              </w:rPr>
              <w:fldChar w:fldCharType="separate"/>
            </w:r>
            <w:r>
              <w:rPr>
                <w:kern w:val="0"/>
              </w:rPr>
              <w:t>1</w:t>
            </w:r>
            <w:r>
              <w:rPr>
                <w:kern w:val="0"/>
              </w:rPr>
              <w:fldChar w:fldCharType="end"/>
            </w:r>
          </w:p>
        </w:tc>
        <w:tc>
          <w:tcPr>
            <w:tcW w:w="1276" w:type="dxa"/>
            <w:shd w:val="clear" w:color="auto" w:fill="auto"/>
            <w:vAlign w:val="center"/>
          </w:tcPr>
          <w:p>
            <w:pPr>
              <w:pStyle w:val="50"/>
              <w:rPr>
                <w:kern w:val="0"/>
              </w:rPr>
            </w:pPr>
            <w:r>
              <w:rPr>
                <w:rFonts w:hint="eastAsia"/>
                <w:kern w:val="0"/>
              </w:rPr>
              <w:t>安全总监</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安全监管、协调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2</w:t>
            </w:r>
            <w:r>
              <w:rPr>
                <w:kern w:val="0"/>
              </w:rPr>
              <w:fldChar w:fldCharType="end"/>
            </w:r>
          </w:p>
        </w:tc>
        <w:tc>
          <w:tcPr>
            <w:tcW w:w="1276" w:type="dxa"/>
            <w:shd w:val="clear" w:color="auto" w:fill="auto"/>
            <w:vAlign w:val="center"/>
          </w:tcPr>
          <w:p>
            <w:pPr>
              <w:pStyle w:val="50"/>
              <w:rPr>
                <w:kern w:val="0"/>
              </w:rPr>
            </w:pPr>
            <w:r>
              <w:rPr>
                <w:rFonts w:hint="eastAsia"/>
                <w:kern w:val="0"/>
              </w:rPr>
              <w:t>专职安全员</w:t>
            </w:r>
          </w:p>
        </w:tc>
        <w:tc>
          <w:tcPr>
            <w:tcW w:w="709" w:type="dxa"/>
            <w:shd w:val="clear" w:color="auto" w:fill="auto"/>
            <w:vAlign w:val="center"/>
          </w:tcPr>
          <w:p>
            <w:pPr>
              <w:pStyle w:val="50"/>
              <w:rPr>
                <w:kern w:val="0"/>
              </w:rPr>
            </w:pPr>
            <w:r>
              <w:rPr>
                <w:kern w:val="0"/>
              </w:rPr>
              <w:t>3</w:t>
            </w:r>
          </w:p>
        </w:tc>
        <w:tc>
          <w:tcPr>
            <w:tcW w:w="5597" w:type="dxa"/>
            <w:shd w:val="clear" w:color="auto" w:fill="auto"/>
            <w:vAlign w:val="center"/>
          </w:tcPr>
          <w:p>
            <w:pPr>
              <w:pStyle w:val="50"/>
              <w:rPr>
                <w:kern w:val="0"/>
              </w:rPr>
            </w:pPr>
            <w:r>
              <w:rPr>
                <w:rFonts w:hint="eastAsia"/>
                <w:kern w:val="0"/>
              </w:rPr>
              <w:t>现场安全、文明施工监督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gridSpan w:val="2"/>
            <w:shd w:val="clear" w:color="auto" w:fill="auto"/>
            <w:vAlign w:val="center"/>
          </w:tcPr>
          <w:p>
            <w:pPr>
              <w:pStyle w:val="50"/>
              <w:rPr>
                <w:kern w:val="0"/>
              </w:rPr>
            </w:pPr>
            <w:r>
              <w:rPr>
                <w:rFonts w:hint="eastAsia"/>
                <w:kern w:val="0"/>
              </w:rPr>
              <w:t>合计</w:t>
            </w:r>
          </w:p>
        </w:tc>
        <w:tc>
          <w:tcPr>
            <w:tcW w:w="709" w:type="dxa"/>
            <w:shd w:val="clear" w:color="auto" w:fill="auto"/>
            <w:vAlign w:val="center"/>
          </w:tcPr>
          <w:p>
            <w:pPr>
              <w:pStyle w:val="50"/>
              <w:rPr>
                <w:kern w:val="0"/>
              </w:rPr>
            </w:pPr>
            <w:r>
              <w:rPr>
                <w:rFonts w:hint="eastAsia"/>
                <w:kern w:val="0"/>
              </w:rPr>
              <w:t>4</w:t>
            </w:r>
          </w:p>
        </w:tc>
        <w:tc>
          <w:tcPr>
            <w:tcW w:w="5597" w:type="dxa"/>
            <w:shd w:val="clear" w:color="auto" w:fill="auto"/>
            <w:vAlign w:val="center"/>
          </w:tcPr>
          <w:p>
            <w:pPr>
              <w:pStyle w:val="50"/>
              <w:rPr>
                <w:kern w:val="0"/>
              </w:rPr>
            </w:pPr>
          </w:p>
        </w:tc>
      </w:tr>
    </w:tbl>
    <w:p>
      <w:pPr>
        <w:ind w:firstLine="480"/>
        <w:rPr>
          <w:b/>
          <w:bCs/>
        </w:rPr>
      </w:pPr>
      <w:bookmarkStart w:id="418" w:name="_Toc100221666"/>
      <w:r>
        <w:rPr>
          <w:rFonts w:hint="eastAsia"/>
        </w:rPr>
        <w:t>安拆单位施工管理人员配备及分工见</w:t>
      </w:r>
      <w:r>
        <w:rPr>
          <w:rFonts w:hint="eastAsia"/>
          <w:b/>
          <w:bCs/>
        </w:rPr>
        <w:t>表7</w:t>
      </w:r>
      <w:r>
        <w:rPr>
          <w:b/>
          <w:bCs/>
        </w:rPr>
        <w:t>.1-3.</w:t>
      </w:r>
    </w:p>
    <w:p>
      <w:pPr>
        <w:pStyle w:val="89"/>
        <w:spacing w:before="156"/>
      </w:pPr>
      <w:r>
        <w:rPr>
          <w:rFonts w:hint="eastAsia"/>
        </w:rPr>
        <w:t>表7</w:t>
      </w:r>
      <w:r>
        <w:t>.1-3</w:t>
      </w:r>
      <w:r>
        <w:rPr>
          <w:rFonts w:hint="eastAsia"/>
        </w:rPr>
        <w:t>安拆单位施工管理人员配置及分工</w:t>
      </w:r>
    </w:p>
    <w:tbl>
      <w:tblPr>
        <w:tblStyle w:val="1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276"/>
        <w:gridCol w:w="709"/>
        <w:gridCol w:w="5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4" w:type="dxa"/>
            <w:shd w:val="clear" w:color="auto" w:fill="auto"/>
            <w:vAlign w:val="center"/>
          </w:tcPr>
          <w:p>
            <w:pPr>
              <w:pStyle w:val="50"/>
              <w:rPr>
                <w:b/>
                <w:bCs/>
                <w:kern w:val="0"/>
              </w:rPr>
            </w:pPr>
            <w:r>
              <w:rPr>
                <w:rFonts w:hint="eastAsia"/>
                <w:b/>
                <w:bCs/>
                <w:kern w:val="0"/>
              </w:rPr>
              <w:t>序号</w:t>
            </w:r>
          </w:p>
        </w:tc>
        <w:tc>
          <w:tcPr>
            <w:tcW w:w="1276" w:type="dxa"/>
            <w:shd w:val="clear" w:color="auto" w:fill="auto"/>
            <w:vAlign w:val="center"/>
          </w:tcPr>
          <w:p>
            <w:pPr>
              <w:pStyle w:val="50"/>
              <w:rPr>
                <w:b/>
                <w:bCs/>
                <w:kern w:val="0"/>
              </w:rPr>
            </w:pPr>
            <w:r>
              <w:rPr>
                <w:rFonts w:hint="eastAsia"/>
                <w:b/>
                <w:bCs/>
                <w:kern w:val="0"/>
              </w:rPr>
              <w:t>岗位</w:t>
            </w:r>
          </w:p>
        </w:tc>
        <w:tc>
          <w:tcPr>
            <w:tcW w:w="709" w:type="dxa"/>
            <w:shd w:val="clear" w:color="auto" w:fill="auto"/>
            <w:vAlign w:val="center"/>
          </w:tcPr>
          <w:p>
            <w:pPr>
              <w:pStyle w:val="50"/>
              <w:rPr>
                <w:b/>
                <w:bCs/>
                <w:kern w:val="0"/>
              </w:rPr>
            </w:pPr>
            <w:r>
              <w:rPr>
                <w:rFonts w:hint="eastAsia"/>
                <w:b/>
                <w:bCs/>
                <w:kern w:val="0"/>
              </w:rPr>
              <w:t>人数</w:t>
            </w:r>
          </w:p>
        </w:tc>
        <w:tc>
          <w:tcPr>
            <w:tcW w:w="5597" w:type="dxa"/>
            <w:shd w:val="clear" w:color="auto" w:fill="auto"/>
            <w:vAlign w:val="center"/>
          </w:tcPr>
          <w:p>
            <w:pPr>
              <w:pStyle w:val="50"/>
              <w:rPr>
                <w:b/>
                <w:bCs/>
                <w:kern w:val="0"/>
              </w:rPr>
            </w:pPr>
            <w:r>
              <w:rPr>
                <w:rFonts w:hint="eastAsia"/>
                <w:b/>
                <w:bCs/>
                <w:kern w:val="0"/>
              </w:rPr>
              <w:t>责任分工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 \r 1</w:instrText>
            </w:r>
            <w:r>
              <w:rPr>
                <w:kern w:val="0"/>
              </w:rPr>
              <w:fldChar w:fldCharType="separate"/>
            </w:r>
            <w:r>
              <w:rPr>
                <w:kern w:val="0"/>
              </w:rPr>
              <w:t>1</w:t>
            </w:r>
            <w:r>
              <w:rPr>
                <w:kern w:val="0"/>
              </w:rPr>
              <w:fldChar w:fldCharType="end"/>
            </w:r>
          </w:p>
        </w:tc>
        <w:tc>
          <w:tcPr>
            <w:tcW w:w="1276" w:type="dxa"/>
            <w:shd w:val="clear" w:color="auto" w:fill="auto"/>
            <w:vAlign w:val="center"/>
          </w:tcPr>
          <w:p>
            <w:pPr>
              <w:pStyle w:val="50"/>
              <w:rPr>
                <w:kern w:val="0"/>
              </w:rPr>
            </w:pPr>
            <w:r>
              <w:rPr>
                <w:kern w:val="0"/>
              </w:rPr>
              <w:t>项目经理</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配合总包，升降机安拆施工项目总负责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2</w:t>
            </w:r>
            <w:r>
              <w:rPr>
                <w:kern w:val="0"/>
              </w:rPr>
              <w:fldChar w:fldCharType="end"/>
            </w:r>
          </w:p>
        </w:tc>
        <w:tc>
          <w:tcPr>
            <w:tcW w:w="1276" w:type="dxa"/>
            <w:shd w:val="clear" w:color="auto" w:fill="auto"/>
            <w:vAlign w:val="center"/>
          </w:tcPr>
          <w:p>
            <w:pPr>
              <w:pStyle w:val="50"/>
              <w:rPr>
                <w:kern w:val="0"/>
              </w:rPr>
            </w:pPr>
            <w:r>
              <w:rPr>
                <w:rFonts w:hint="eastAsia"/>
                <w:kern w:val="0"/>
              </w:rPr>
              <w:t>技术负责人</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配合总包，升降机安拆施工技术总负责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3</w:t>
            </w:r>
            <w:r>
              <w:rPr>
                <w:kern w:val="0"/>
              </w:rPr>
              <w:fldChar w:fldCharType="end"/>
            </w:r>
          </w:p>
        </w:tc>
        <w:tc>
          <w:tcPr>
            <w:tcW w:w="1276" w:type="dxa"/>
            <w:shd w:val="clear" w:color="auto" w:fill="auto"/>
            <w:vAlign w:val="center"/>
          </w:tcPr>
          <w:p>
            <w:pPr>
              <w:pStyle w:val="50"/>
              <w:rPr>
                <w:kern w:val="0"/>
              </w:rPr>
            </w:pPr>
            <w:r>
              <w:rPr>
                <w:rFonts w:hint="eastAsia"/>
                <w:kern w:val="0"/>
              </w:rPr>
              <w:t>企业负责人</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4</w:t>
            </w:r>
            <w:r>
              <w:rPr>
                <w:kern w:val="0"/>
              </w:rPr>
              <w:fldChar w:fldCharType="end"/>
            </w:r>
          </w:p>
        </w:tc>
        <w:tc>
          <w:tcPr>
            <w:tcW w:w="1276" w:type="dxa"/>
            <w:shd w:val="clear" w:color="auto" w:fill="auto"/>
            <w:vAlign w:val="center"/>
          </w:tcPr>
          <w:p>
            <w:pPr>
              <w:pStyle w:val="50"/>
              <w:rPr>
                <w:kern w:val="0"/>
              </w:rPr>
            </w:pPr>
            <w:r>
              <w:rPr>
                <w:rFonts w:hint="eastAsia"/>
                <w:kern w:val="0"/>
              </w:rPr>
              <w:t>专职安全员</w:t>
            </w:r>
          </w:p>
        </w:tc>
        <w:tc>
          <w:tcPr>
            <w:tcW w:w="709" w:type="dxa"/>
            <w:shd w:val="clear" w:color="auto" w:fill="auto"/>
            <w:vAlign w:val="center"/>
          </w:tcPr>
          <w:p>
            <w:pPr>
              <w:pStyle w:val="50"/>
              <w:rPr>
                <w:kern w:val="0"/>
              </w:rPr>
            </w:pPr>
            <w:r>
              <w:rPr>
                <w:kern w:val="0"/>
              </w:rPr>
              <w:t>1</w:t>
            </w:r>
          </w:p>
        </w:tc>
        <w:tc>
          <w:tcPr>
            <w:tcW w:w="5597" w:type="dxa"/>
            <w:shd w:val="clear" w:color="auto" w:fill="auto"/>
            <w:vAlign w:val="center"/>
          </w:tcPr>
          <w:p>
            <w:pPr>
              <w:pStyle w:val="50"/>
              <w:rPr>
                <w:kern w:val="0"/>
              </w:rPr>
            </w:pPr>
            <w:r>
              <w:rPr>
                <w:rFonts w:hint="eastAsia"/>
                <w:kern w:val="0"/>
              </w:rPr>
              <w:t>配合项目部，对升降机安拆</w:t>
            </w:r>
            <w:r>
              <w:rPr>
                <w:kern w:val="0"/>
              </w:rPr>
              <w:t>现场</w:t>
            </w:r>
            <w:r>
              <w:rPr>
                <w:rFonts w:hint="eastAsia"/>
                <w:kern w:val="0"/>
              </w:rPr>
              <w:t>安全、文明施工监督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5</w:t>
            </w:r>
            <w:r>
              <w:rPr>
                <w:kern w:val="0"/>
              </w:rPr>
              <w:fldChar w:fldCharType="end"/>
            </w:r>
          </w:p>
        </w:tc>
        <w:tc>
          <w:tcPr>
            <w:tcW w:w="1276" w:type="dxa"/>
            <w:shd w:val="clear" w:color="auto" w:fill="auto"/>
            <w:vAlign w:val="center"/>
          </w:tcPr>
          <w:p>
            <w:pPr>
              <w:pStyle w:val="50"/>
              <w:rPr>
                <w:kern w:val="0"/>
              </w:rPr>
            </w:pPr>
            <w:r>
              <w:rPr>
                <w:rFonts w:hint="eastAsia"/>
                <w:kern w:val="0"/>
              </w:rPr>
              <w:t>技术员</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配合项目部，对</w:t>
            </w:r>
            <w:r>
              <w:rPr>
                <w:kern w:val="0"/>
              </w:rPr>
              <w:t>现场技术管理及技术资料收集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gridSpan w:val="2"/>
            <w:shd w:val="clear" w:color="auto" w:fill="auto"/>
            <w:vAlign w:val="center"/>
          </w:tcPr>
          <w:p>
            <w:pPr>
              <w:pStyle w:val="50"/>
              <w:rPr>
                <w:kern w:val="0"/>
              </w:rPr>
            </w:pPr>
            <w:r>
              <w:rPr>
                <w:rFonts w:hint="eastAsia"/>
                <w:kern w:val="0"/>
              </w:rPr>
              <w:t>合计</w:t>
            </w:r>
          </w:p>
        </w:tc>
        <w:tc>
          <w:tcPr>
            <w:tcW w:w="709" w:type="dxa"/>
            <w:shd w:val="clear" w:color="auto" w:fill="auto"/>
            <w:vAlign w:val="center"/>
          </w:tcPr>
          <w:p>
            <w:pPr>
              <w:pStyle w:val="50"/>
              <w:rPr>
                <w:kern w:val="0"/>
              </w:rPr>
            </w:pPr>
            <w:r>
              <w:rPr>
                <w:kern w:val="0"/>
              </w:rPr>
              <w:t>5</w:t>
            </w:r>
          </w:p>
        </w:tc>
        <w:tc>
          <w:tcPr>
            <w:tcW w:w="5597" w:type="dxa"/>
            <w:shd w:val="clear" w:color="auto" w:fill="auto"/>
            <w:vAlign w:val="center"/>
          </w:tcPr>
          <w:p>
            <w:pPr>
              <w:pStyle w:val="50"/>
              <w:rPr>
                <w:kern w:val="0"/>
              </w:rPr>
            </w:pPr>
          </w:p>
        </w:tc>
      </w:tr>
    </w:tbl>
    <w:p>
      <w:pPr>
        <w:ind w:firstLine="482"/>
        <w:rPr>
          <w:b/>
          <w:bCs/>
        </w:rPr>
      </w:pPr>
      <w:r>
        <w:rPr>
          <w:rFonts w:hint="eastAsia"/>
          <w:b/>
          <w:bCs/>
        </w:rPr>
        <w:t>安拆单位管理人员名单、相关资质和执业职格详见附件3</w:t>
      </w:r>
      <w:r>
        <w:rPr>
          <w:b/>
          <w:bCs/>
        </w:rPr>
        <w:t>.</w:t>
      </w:r>
    </w:p>
    <w:p>
      <w:pPr>
        <w:pStyle w:val="4"/>
        <w:spacing w:before="156" w:after="156"/>
      </w:pPr>
      <w:bookmarkStart w:id="419" w:name="_Toc108095508"/>
      <w:bookmarkStart w:id="420" w:name="_Toc121760041"/>
      <w:r>
        <w:rPr>
          <w:rFonts w:hint="eastAsia"/>
        </w:rPr>
        <w:t>作业人员配备及分工</w:t>
      </w:r>
      <w:bookmarkEnd w:id="418"/>
      <w:bookmarkEnd w:id="419"/>
      <w:bookmarkEnd w:id="420"/>
    </w:p>
    <w:p>
      <w:pPr>
        <w:ind w:firstLine="480"/>
      </w:pPr>
      <w:r>
        <w:rPr>
          <w:rFonts w:hint="eastAsia"/>
        </w:rPr>
        <w:t>项目部施工升降机基础及附墙件埋件施工作业人员配置见表7</w:t>
      </w:r>
      <w:r>
        <w:t>.2-1,</w:t>
      </w:r>
      <w:r>
        <w:rPr>
          <w:rFonts w:hint="eastAsia"/>
        </w:rPr>
        <w:t>表7</w:t>
      </w:r>
      <w:r>
        <w:t>.2-2</w:t>
      </w:r>
      <w:r>
        <w:rPr>
          <w:rFonts w:hint="eastAsia"/>
        </w:rPr>
        <w:t>。</w:t>
      </w:r>
    </w:p>
    <w:p>
      <w:pPr>
        <w:pStyle w:val="89"/>
        <w:spacing w:before="156"/>
      </w:pPr>
      <w: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r>
        <w:t xml:space="preserve"> </w:t>
      </w:r>
      <w:bookmarkStart w:id="421" w:name="_Toc87407725"/>
      <w:r>
        <w:rPr>
          <w:rFonts w:hint="eastAsia"/>
        </w:rPr>
        <w:t>特种作业人</w:t>
      </w:r>
      <w:r>
        <w:t>员</w:t>
      </w:r>
      <w:r>
        <w:rPr>
          <w:rFonts w:hint="eastAsia"/>
        </w:rPr>
        <w:t>配备及分工</w:t>
      </w:r>
      <w:bookmarkEnd w:id="421"/>
    </w:p>
    <w:tbl>
      <w:tblPr>
        <w:tblStyle w:val="1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276"/>
        <w:gridCol w:w="709"/>
        <w:gridCol w:w="5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94" w:type="dxa"/>
            <w:shd w:val="clear" w:color="auto" w:fill="auto"/>
            <w:vAlign w:val="center"/>
          </w:tcPr>
          <w:p>
            <w:pPr>
              <w:pStyle w:val="50"/>
              <w:rPr>
                <w:b/>
                <w:bCs/>
                <w:kern w:val="0"/>
              </w:rPr>
            </w:pPr>
            <w:r>
              <w:rPr>
                <w:rFonts w:hint="eastAsia"/>
                <w:b/>
                <w:bCs/>
                <w:kern w:val="0"/>
              </w:rPr>
              <w:t>序号</w:t>
            </w:r>
          </w:p>
        </w:tc>
        <w:tc>
          <w:tcPr>
            <w:tcW w:w="1276" w:type="dxa"/>
            <w:shd w:val="clear" w:color="auto" w:fill="auto"/>
            <w:vAlign w:val="center"/>
          </w:tcPr>
          <w:p>
            <w:pPr>
              <w:pStyle w:val="50"/>
              <w:rPr>
                <w:b/>
                <w:bCs/>
                <w:kern w:val="0"/>
              </w:rPr>
            </w:pPr>
            <w:r>
              <w:rPr>
                <w:rFonts w:hint="eastAsia"/>
                <w:b/>
                <w:bCs/>
                <w:kern w:val="0"/>
              </w:rPr>
              <w:t>岗位</w:t>
            </w:r>
          </w:p>
        </w:tc>
        <w:tc>
          <w:tcPr>
            <w:tcW w:w="709" w:type="dxa"/>
            <w:shd w:val="clear" w:color="auto" w:fill="auto"/>
            <w:vAlign w:val="center"/>
          </w:tcPr>
          <w:p>
            <w:pPr>
              <w:pStyle w:val="50"/>
              <w:rPr>
                <w:b/>
                <w:bCs/>
                <w:kern w:val="0"/>
              </w:rPr>
            </w:pPr>
            <w:r>
              <w:rPr>
                <w:rFonts w:hint="eastAsia"/>
                <w:b/>
                <w:bCs/>
                <w:kern w:val="0"/>
              </w:rPr>
              <w:t>人数</w:t>
            </w:r>
          </w:p>
        </w:tc>
        <w:tc>
          <w:tcPr>
            <w:tcW w:w="5597" w:type="dxa"/>
            <w:shd w:val="clear" w:color="auto" w:fill="auto"/>
            <w:vAlign w:val="center"/>
          </w:tcPr>
          <w:p>
            <w:pPr>
              <w:pStyle w:val="50"/>
              <w:rPr>
                <w:b/>
                <w:bCs/>
                <w:kern w:val="0"/>
              </w:rPr>
            </w:pPr>
            <w:r>
              <w:rPr>
                <w:rFonts w:hint="eastAsia"/>
                <w:b/>
                <w:bCs/>
                <w:kern w:val="0"/>
              </w:rPr>
              <w:t>责任分工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 \r 1</w:instrText>
            </w:r>
            <w:r>
              <w:rPr>
                <w:kern w:val="0"/>
              </w:rPr>
              <w:fldChar w:fldCharType="separate"/>
            </w:r>
            <w:r>
              <w:rPr>
                <w:kern w:val="0"/>
              </w:rPr>
              <w:t>1</w:t>
            </w:r>
            <w:r>
              <w:rPr>
                <w:kern w:val="0"/>
              </w:rPr>
              <w:fldChar w:fldCharType="end"/>
            </w:r>
          </w:p>
        </w:tc>
        <w:tc>
          <w:tcPr>
            <w:tcW w:w="1276" w:type="dxa"/>
            <w:shd w:val="clear" w:color="auto" w:fill="auto"/>
            <w:vAlign w:val="center"/>
          </w:tcPr>
          <w:p>
            <w:pPr>
              <w:pStyle w:val="50"/>
              <w:rPr>
                <w:kern w:val="0"/>
              </w:rPr>
            </w:pPr>
            <w:r>
              <w:rPr>
                <w:rFonts w:hint="eastAsia"/>
                <w:kern w:val="0"/>
              </w:rPr>
              <w:t>起重工</w:t>
            </w:r>
          </w:p>
        </w:tc>
        <w:tc>
          <w:tcPr>
            <w:tcW w:w="709" w:type="dxa"/>
            <w:shd w:val="clear" w:color="auto" w:fill="auto"/>
            <w:vAlign w:val="center"/>
          </w:tcPr>
          <w:p>
            <w:pPr>
              <w:pStyle w:val="50"/>
              <w:rPr>
                <w:kern w:val="0"/>
              </w:rPr>
            </w:pPr>
            <w:r>
              <w:rPr>
                <w:rFonts w:hint="eastAsia"/>
                <w:kern w:val="0"/>
              </w:rPr>
              <w:t>2</w:t>
            </w:r>
          </w:p>
        </w:tc>
        <w:tc>
          <w:tcPr>
            <w:tcW w:w="5597" w:type="dxa"/>
            <w:shd w:val="clear" w:color="auto" w:fill="auto"/>
            <w:vAlign w:val="center"/>
          </w:tcPr>
          <w:p>
            <w:pPr>
              <w:pStyle w:val="50"/>
              <w:rPr>
                <w:kern w:val="0"/>
              </w:rPr>
            </w:pPr>
            <w:r>
              <w:rPr>
                <w:kern w:val="0"/>
              </w:rPr>
              <w:t>起重、吊装作业及指挥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rFonts w:hint="eastAsia"/>
                <w:kern w:val="0"/>
              </w:rPr>
              <w:t>2</w:t>
            </w:r>
          </w:p>
        </w:tc>
        <w:tc>
          <w:tcPr>
            <w:tcW w:w="1276" w:type="dxa"/>
            <w:shd w:val="clear" w:color="auto" w:fill="auto"/>
            <w:vAlign w:val="center"/>
          </w:tcPr>
          <w:p>
            <w:pPr>
              <w:pStyle w:val="50"/>
              <w:rPr>
                <w:kern w:val="0"/>
              </w:rPr>
            </w:pPr>
            <w:r>
              <w:rPr>
                <w:rFonts w:hint="eastAsia"/>
                <w:kern w:val="0"/>
              </w:rPr>
              <w:t>司索</w:t>
            </w:r>
          </w:p>
        </w:tc>
        <w:tc>
          <w:tcPr>
            <w:tcW w:w="709" w:type="dxa"/>
            <w:shd w:val="clear" w:color="auto" w:fill="auto"/>
            <w:vAlign w:val="center"/>
          </w:tcPr>
          <w:p>
            <w:pPr>
              <w:pStyle w:val="50"/>
              <w:rPr>
                <w:kern w:val="0"/>
              </w:rPr>
            </w:pPr>
            <w:r>
              <w:rPr>
                <w:rFonts w:hint="eastAsia"/>
                <w:kern w:val="0"/>
              </w:rPr>
              <w:t>2</w:t>
            </w:r>
          </w:p>
        </w:tc>
        <w:tc>
          <w:tcPr>
            <w:tcW w:w="5597" w:type="dxa"/>
            <w:shd w:val="clear" w:color="auto" w:fill="auto"/>
            <w:vAlign w:val="center"/>
          </w:tcPr>
          <w:p>
            <w:pPr>
              <w:pStyle w:val="50"/>
              <w:rPr>
                <w:kern w:val="0"/>
              </w:rPr>
            </w:pPr>
            <w:r>
              <w:rPr>
                <w:rFonts w:hint="eastAsia"/>
                <w:kern w:val="0"/>
              </w:rPr>
              <w:t>起重司索、信号指挥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t>3</w:t>
            </w:r>
          </w:p>
        </w:tc>
        <w:tc>
          <w:tcPr>
            <w:tcW w:w="1276" w:type="dxa"/>
            <w:shd w:val="clear" w:color="auto" w:fill="auto"/>
            <w:vAlign w:val="center"/>
          </w:tcPr>
          <w:p>
            <w:pPr>
              <w:pStyle w:val="50"/>
              <w:rPr>
                <w:kern w:val="0"/>
              </w:rPr>
            </w:pPr>
            <w:r>
              <w:rPr>
                <w:rFonts w:hint="eastAsia"/>
                <w:kern w:val="0"/>
              </w:rPr>
              <w:t>电工</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kern w:val="0"/>
              </w:rPr>
              <w:t>负责施工用电安装和检查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t>4</w:t>
            </w:r>
          </w:p>
        </w:tc>
        <w:tc>
          <w:tcPr>
            <w:tcW w:w="1276" w:type="dxa"/>
            <w:shd w:val="clear" w:color="auto" w:fill="auto"/>
            <w:vAlign w:val="center"/>
          </w:tcPr>
          <w:p>
            <w:pPr>
              <w:pStyle w:val="50"/>
              <w:rPr>
                <w:kern w:val="0"/>
              </w:rPr>
            </w:pPr>
            <w:r>
              <w:rPr>
                <w:rFonts w:hint="eastAsia"/>
                <w:kern w:val="0"/>
              </w:rPr>
              <w:t>焊接切割工</w:t>
            </w:r>
          </w:p>
        </w:tc>
        <w:tc>
          <w:tcPr>
            <w:tcW w:w="709" w:type="dxa"/>
            <w:shd w:val="clear" w:color="auto" w:fill="auto"/>
            <w:vAlign w:val="center"/>
          </w:tcPr>
          <w:p>
            <w:pPr>
              <w:pStyle w:val="50"/>
              <w:rPr>
                <w:kern w:val="0"/>
              </w:rPr>
            </w:pPr>
            <w:r>
              <w:rPr>
                <w:kern w:val="0"/>
              </w:rPr>
              <w:t>2</w:t>
            </w:r>
          </w:p>
        </w:tc>
        <w:tc>
          <w:tcPr>
            <w:tcW w:w="5597" w:type="dxa"/>
            <w:shd w:val="clear" w:color="auto" w:fill="auto"/>
            <w:vAlign w:val="center"/>
          </w:tcPr>
          <w:p>
            <w:pPr>
              <w:pStyle w:val="50"/>
              <w:rPr>
                <w:kern w:val="0"/>
              </w:rPr>
            </w:pPr>
            <w:r>
              <w:rPr>
                <w:kern w:val="0"/>
              </w:rPr>
              <w:t>钢材焊接及切割作业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gridSpan w:val="2"/>
            <w:shd w:val="clear" w:color="auto" w:fill="auto"/>
            <w:vAlign w:val="center"/>
          </w:tcPr>
          <w:p>
            <w:pPr>
              <w:pStyle w:val="50"/>
              <w:rPr>
                <w:kern w:val="0"/>
              </w:rPr>
            </w:pPr>
            <w:r>
              <w:rPr>
                <w:rFonts w:hint="eastAsia"/>
                <w:kern w:val="0"/>
              </w:rPr>
              <w:t>合计</w:t>
            </w:r>
          </w:p>
        </w:tc>
        <w:tc>
          <w:tcPr>
            <w:tcW w:w="709" w:type="dxa"/>
            <w:shd w:val="clear" w:color="auto" w:fill="auto"/>
            <w:vAlign w:val="center"/>
          </w:tcPr>
          <w:p>
            <w:pPr>
              <w:pStyle w:val="50"/>
              <w:rPr>
                <w:kern w:val="0"/>
              </w:rPr>
            </w:pPr>
            <w:r>
              <w:rPr>
                <w:kern w:val="0"/>
              </w:rPr>
              <w:t>7</w:t>
            </w:r>
          </w:p>
        </w:tc>
        <w:tc>
          <w:tcPr>
            <w:tcW w:w="5597" w:type="dxa"/>
            <w:shd w:val="clear" w:color="auto" w:fill="auto"/>
            <w:vAlign w:val="center"/>
          </w:tcPr>
          <w:p>
            <w:pPr>
              <w:pStyle w:val="50"/>
              <w:rPr>
                <w:kern w:val="0"/>
              </w:rPr>
            </w:pPr>
          </w:p>
        </w:tc>
      </w:tr>
    </w:tbl>
    <w:p>
      <w:pPr>
        <w:pStyle w:val="89"/>
        <w:spacing w:before="156"/>
      </w:pPr>
      <w: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r>
        <w:t xml:space="preserve"> </w:t>
      </w:r>
      <w:r>
        <w:rPr>
          <w:rFonts w:hint="eastAsia"/>
        </w:rPr>
        <w:t>其他作业人</w:t>
      </w:r>
      <w:r>
        <w:t>员</w:t>
      </w:r>
      <w:r>
        <w:rPr>
          <w:rFonts w:hint="eastAsia"/>
        </w:rPr>
        <w:t>配备及分工</w:t>
      </w:r>
    </w:p>
    <w:tbl>
      <w:tblPr>
        <w:tblStyle w:val="1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276"/>
        <w:gridCol w:w="709"/>
        <w:gridCol w:w="5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rFonts w:hint="eastAsia"/>
                <w:kern w:val="0"/>
              </w:rPr>
              <w:t>序号</w:t>
            </w:r>
          </w:p>
        </w:tc>
        <w:tc>
          <w:tcPr>
            <w:tcW w:w="1276" w:type="dxa"/>
            <w:shd w:val="clear" w:color="auto" w:fill="auto"/>
            <w:vAlign w:val="center"/>
          </w:tcPr>
          <w:p>
            <w:pPr>
              <w:pStyle w:val="50"/>
              <w:rPr>
                <w:kern w:val="0"/>
              </w:rPr>
            </w:pPr>
            <w:r>
              <w:rPr>
                <w:rFonts w:hint="eastAsia"/>
                <w:kern w:val="0"/>
              </w:rPr>
              <w:t>岗位</w:t>
            </w:r>
          </w:p>
        </w:tc>
        <w:tc>
          <w:tcPr>
            <w:tcW w:w="709" w:type="dxa"/>
            <w:shd w:val="clear" w:color="auto" w:fill="auto"/>
            <w:vAlign w:val="center"/>
          </w:tcPr>
          <w:p>
            <w:pPr>
              <w:pStyle w:val="50"/>
              <w:rPr>
                <w:kern w:val="0"/>
              </w:rPr>
            </w:pPr>
            <w:r>
              <w:rPr>
                <w:rFonts w:hint="eastAsia"/>
                <w:kern w:val="0"/>
              </w:rPr>
              <w:t>人数</w:t>
            </w:r>
          </w:p>
        </w:tc>
        <w:tc>
          <w:tcPr>
            <w:tcW w:w="5597" w:type="dxa"/>
            <w:shd w:val="clear" w:color="auto" w:fill="auto"/>
            <w:vAlign w:val="center"/>
          </w:tcPr>
          <w:p>
            <w:pPr>
              <w:pStyle w:val="50"/>
              <w:rPr>
                <w:kern w:val="0"/>
              </w:rPr>
            </w:pPr>
            <w:r>
              <w:rPr>
                <w:rFonts w:hint="eastAsia"/>
                <w:kern w:val="0"/>
              </w:rPr>
              <w:t>责任分工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 \r 1</w:instrText>
            </w:r>
            <w:r>
              <w:rPr>
                <w:kern w:val="0"/>
              </w:rPr>
              <w:fldChar w:fldCharType="separate"/>
            </w:r>
            <w:r>
              <w:rPr>
                <w:kern w:val="0"/>
              </w:rPr>
              <w:t>1</w:t>
            </w:r>
            <w:r>
              <w:rPr>
                <w:kern w:val="0"/>
              </w:rPr>
              <w:fldChar w:fldCharType="end"/>
            </w:r>
          </w:p>
        </w:tc>
        <w:tc>
          <w:tcPr>
            <w:tcW w:w="1276" w:type="dxa"/>
            <w:shd w:val="clear" w:color="auto" w:fill="auto"/>
            <w:vAlign w:val="center"/>
          </w:tcPr>
          <w:p>
            <w:pPr>
              <w:pStyle w:val="50"/>
              <w:rPr>
                <w:kern w:val="0"/>
              </w:rPr>
            </w:pPr>
            <w:r>
              <w:rPr>
                <w:rFonts w:hint="eastAsia"/>
                <w:kern w:val="0"/>
              </w:rPr>
              <w:t>普工</w:t>
            </w:r>
          </w:p>
        </w:tc>
        <w:tc>
          <w:tcPr>
            <w:tcW w:w="709" w:type="dxa"/>
            <w:shd w:val="clear" w:color="auto" w:fill="auto"/>
            <w:vAlign w:val="center"/>
          </w:tcPr>
          <w:p>
            <w:pPr>
              <w:pStyle w:val="50"/>
              <w:rPr>
                <w:kern w:val="0"/>
              </w:rPr>
            </w:pPr>
            <w:r>
              <w:rPr>
                <w:rFonts w:hint="eastAsia"/>
                <w:kern w:val="0"/>
              </w:rPr>
              <w:t>2</w:t>
            </w:r>
          </w:p>
        </w:tc>
        <w:tc>
          <w:tcPr>
            <w:tcW w:w="5597" w:type="dxa"/>
            <w:shd w:val="clear" w:color="auto" w:fill="auto"/>
            <w:vAlign w:val="center"/>
          </w:tcPr>
          <w:p>
            <w:pPr>
              <w:pStyle w:val="50"/>
              <w:rPr>
                <w:kern w:val="0"/>
              </w:rPr>
            </w:pPr>
            <w:r>
              <w:rPr>
                <w:rFonts w:hint="eastAsia"/>
                <w:kern w:val="0"/>
              </w:rPr>
              <w:t>协助施工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rFonts w:hint="eastAsia"/>
                <w:kern w:val="0"/>
              </w:rPr>
              <w:t>2</w:t>
            </w:r>
          </w:p>
        </w:tc>
        <w:tc>
          <w:tcPr>
            <w:tcW w:w="1276" w:type="dxa"/>
            <w:shd w:val="clear" w:color="auto" w:fill="auto"/>
            <w:vAlign w:val="center"/>
          </w:tcPr>
          <w:p>
            <w:pPr>
              <w:pStyle w:val="50"/>
              <w:rPr>
                <w:kern w:val="0"/>
              </w:rPr>
            </w:pPr>
            <w:r>
              <w:rPr>
                <w:rFonts w:hint="eastAsia"/>
                <w:kern w:val="0"/>
              </w:rPr>
              <w:t>钢筋工</w:t>
            </w:r>
          </w:p>
        </w:tc>
        <w:tc>
          <w:tcPr>
            <w:tcW w:w="709" w:type="dxa"/>
            <w:shd w:val="clear" w:color="auto" w:fill="auto"/>
            <w:vAlign w:val="center"/>
          </w:tcPr>
          <w:p>
            <w:pPr>
              <w:pStyle w:val="50"/>
              <w:rPr>
                <w:kern w:val="0"/>
              </w:rPr>
            </w:pPr>
            <w:r>
              <w:rPr>
                <w:rFonts w:hint="eastAsia"/>
                <w:kern w:val="0"/>
              </w:rPr>
              <w:t>2</w:t>
            </w:r>
          </w:p>
        </w:tc>
        <w:tc>
          <w:tcPr>
            <w:tcW w:w="5597" w:type="dxa"/>
            <w:shd w:val="clear" w:color="auto" w:fill="auto"/>
            <w:vAlign w:val="center"/>
          </w:tcPr>
          <w:p>
            <w:pPr>
              <w:pStyle w:val="50"/>
              <w:rPr>
                <w:kern w:val="0"/>
              </w:rPr>
            </w:pPr>
            <w:r>
              <w:rPr>
                <w:rFonts w:hint="eastAsia"/>
                <w:kern w:val="0"/>
              </w:rPr>
              <w:t>协助埋件安装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gridSpan w:val="2"/>
            <w:shd w:val="clear" w:color="auto" w:fill="auto"/>
            <w:vAlign w:val="center"/>
          </w:tcPr>
          <w:p>
            <w:pPr>
              <w:pStyle w:val="50"/>
              <w:rPr>
                <w:kern w:val="0"/>
              </w:rPr>
            </w:pPr>
            <w:r>
              <w:rPr>
                <w:rFonts w:hint="eastAsia"/>
                <w:kern w:val="0"/>
              </w:rPr>
              <w:t>合计</w:t>
            </w:r>
          </w:p>
        </w:tc>
        <w:tc>
          <w:tcPr>
            <w:tcW w:w="709" w:type="dxa"/>
            <w:shd w:val="clear" w:color="auto" w:fill="auto"/>
            <w:vAlign w:val="center"/>
          </w:tcPr>
          <w:p>
            <w:pPr>
              <w:pStyle w:val="50"/>
              <w:rPr>
                <w:kern w:val="0"/>
              </w:rPr>
            </w:pPr>
            <w:r>
              <w:rPr>
                <w:kern w:val="0"/>
              </w:rPr>
              <w:t>4</w:t>
            </w:r>
          </w:p>
        </w:tc>
        <w:tc>
          <w:tcPr>
            <w:tcW w:w="5597" w:type="dxa"/>
            <w:shd w:val="clear" w:color="auto" w:fill="auto"/>
            <w:vAlign w:val="center"/>
          </w:tcPr>
          <w:p>
            <w:pPr>
              <w:pStyle w:val="50"/>
              <w:rPr>
                <w:kern w:val="0"/>
              </w:rPr>
            </w:pPr>
          </w:p>
        </w:tc>
      </w:tr>
    </w:tbl>
    <w:p>
      <w:pPr>
        <w:ind w:firstLine="480"/>
        <w:rPr>
          <w:b/>
          <w:bCs/>
        </w:rPr>
      </w:pPr>
      <w:r>
        <w:rPr>
          <w:rFonts w:hint="eastAsia"/>
        </w:rPr>
        <w:t>安拆单位特种作业人员配备及分工见</w:t>
      </w:r>
      <w:r>
        <w:rPr>
          <w:rFonts w:hint="eastAsia"/>
          <w:b/>
          <w:bCs/>
        </w:rPr>
        <w:t>表7</w:t>
      </w:r>
      <w:r>
        <w:rPr>
          <w:b/>
          <w:bCs/>
        </w:rPr>
        <w:t>.2-3.</w:t>
      </w:r>
    </w:p>
    <w:p>
      <w:pPr>
        <w:pStyle w:val="89"/>
        <w:spacing w:before="156"/>
      </w:pPr>
      <w:r>
        <w:rPr>
          <w:rFonts w:hint="eastAsia"/>
        </w:rPr>
        <w:t>表7</w:t>
      </w:r>
      <w:r>
        <w:t>.1-3</w:t>
      </w:r>
      <w:r>
        <w:rPr>
          <w:rFonts w:hint="eastAsia"/>
        </w:rPr>
        <w:t>安拆单位特种作业人员配置及分工</w:t>
      </w:r>
    </w:p>
    <w:tbl>
      <w:tblPr>
        <w:tblStyle w:val="18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276"/>
        <w:gridCol w:w="709"/>
        <w:gridCol w:w="55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rFonts w:hint="eastAsia"/>
                <w:kern w:val="0"/>
              </w:rPr>
              <w:t>序号</w:t>
            </w:r>
          </w:p>
        </w:tc>
        <w:tc>
          <w:tcPr>
            <w:tcW w:w="1276" w:type="dxa"/>
            <w:shd w:val="clear" w:color="auto" w:fill="auto"/>
            <w:vAlign w:val="center"/>
          </w:tcPr>
          <w:p>
            <w:pPr>
              <w:pStyle w:val="50"/>
              <w:rPr>
                <w:kern w:val="0"/>
              </w:rPr>
            </w:pPr>
            <w:r>
              <w:rPr>
                <w:rFonts w:hint="eastAsia"/>
                <w:kern w:val="0"/>
              </w:rPr>
              <w:t>岗位</w:t>
            </w:r>
          </w:p>
        </w:tc>
        <w:tc>
          <w:tcPr>
            <w:tcW w:w="709" w:type="dxa"/>
            <w:shd w:val="clear" w:color="auto" w:fill="auto"/>
            <w:vAlign w:val="center"/>
          </w:tcPr>
          <w:p>
            <w:pPr>
              <w:pStyle w:val="50"/>
              <w:rPr>
                <w:kern w:val="0"/>
              </w:rPr>
            </w:pPr>
            <w:r>
              <w:rPr>
                <w:rFonts w:hint="eastAsia"/>
                <w:kern w:val="0"/>
              </w:rPr>
              <w:t>人数</w:t>
            </w:r>
          </w:p>
        </w:tc>
        <w:tc>
          <w:tcPr>
            <w:tcW w:w="5597" w:type="dxa"/>
            <w:shd w:val="clear" w:color="auto" w:fill="auto"/>
            <w:vAlign w:val="center"/>
          </w:tcPr>
          <w:p>
            <w:pPr>
              <w:pStyle w:val="50"/>
              <w:rPr>
                <w:kern w:val="0"/>
              </w:rPr>
            </w:pPr>
            <w:r>
              <w:rPr>
                <w:rFonts w:hint="eastAsia"/>
                <w:kern w:val="0"/>
              </w:rPr>
              <w:t>责任分工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 \r 1</w:instrText>
            </w:r>
            <w:r>
              <w:rPr>
                <w:kern w:val="0"/>
              </w:rPr>
              <w:fldChar w:fldCharType="separate"/>
            </w:r>
            <w:r>
              <w:rPr>
                <w:kern w:val="0"/>
              </w:rPr>
              <w:t>1</w:t>
            </w:r>
            <w:r>
              <w:rPr>
                <w:kern w:val="0"/>
              </w:rPr>
              <w:fldChar w:fldCharType="end"/>
            </w:r>
          </w:p>
        </w:tc>
        <w:tc>
          <w:tcPr>
            <w:tcW w:w="1276" w:type="dxa"/>
            <w:shd w:val="clear" w:color="auto" w:fill="auto"/>
            <w:vAlign w:val="center"/>
          </w:tcPr>
          <w:p>
            <w:pPr>
              <w:pStyle w:val="50"/>
              <w:rPr>
                <w:kern w:val="0"/>
              </w:rPr>
            </w:pPr>
            <w:r>
              <w:rPr>
                <w:rFonts w:hint="eastAsia"/>
                <w:kern w:val="0"/>
              </w:rPr>
              <w:t>安拆工</w:t>
            </w:r>
          </w:p>
        </w:tc>
        <w:tc>
          <w:tcPr>
            <w:tcW w:w="709" w:type="dxa"/>
            <w:shd w:val="clear" w:color="auto" w:fill="auto"/>
            <w:vAlign w:val="center"/>
          </w:tcPr>
          <w:p>
            <w:pPr>
              <w:pStyle w:val="50"/>
              <w:rPr>
                <w:kern w:val="0"/>
              </w:rPr>
            </w:pPr>
            <w:r>
              <w:rPr>
                <w:kern w:val="0"/>
              </w:rPr>
              <w:t>4</w:t>
            </w:r>
          </w:p>
        </w:tc>
        <w:tc>
          <w:tcPr>
            <w:tcW w:w="5597" w:type="dxa"/>
            <w:shd w:val="clear" w:color="auto" w:fill="auto"/>
            <w:vAlign w:val="center"/>
          </w:tcPr>
          <w:p>
            <w:pPr>
              <w:pStyle w:val="50"/>
              <w:rPr>
                <w:kern w:val="0"/>
              </w:rPr>
            </w:pPr>
            <w:r>
              <w:rPr>
                <w:rFonts w:hint="eastAsia"/>
                <w:kern w:val="0"/>
              </w:rPr>
              <w:t>具体实施升降机安拆作业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shd w:val="clear" w:color="auto" w:fill="auto"/>
            <w:vAlign w:val="center"/>
          </w:tcPr>
          <w:p>
            <w:pPr>
              <w:pStyle w:val="50"/>
              <w:rPr>
                <w:kern w:val="0"/>
              </w:rPr>
            </w:pPr>
            <w:r>
              <w:rPr>
                <w:kern w:val="0"/>
              </w:rPr>
              <w:fldChar w:fldCharType="begin"/>
            </w:r>
            <w:r>
              <w:rPr>
                <w:kern w:val="0"/>
              </w:rPr>
              <w:instrText xml:space="preserve"> seq list</w:instrText>
            </w:r>
            <w:r>
              <w:rPr>
                <w:kern w:val="0"/>
              </w:rPr>
              <w:fldChar w:fldCharType="separate"/>
            </w:r>
            <w:r>
              <w:rPr>
                <w:kern w:val="0"/>
              </w:rPr>
              <w:t>2</w:t>
            </w:r>
            <w:r>
              <w:rPr>
                <w:kern w:val="0"/>
              </w:rPr>
              <w:fldChar w:fldCharType="end"/>
            </w:r>
          </w:p>
        </w:tc>
        <w:tc>
          <w:tcPr>
            <w:tcW w:w="1276" w:type="dxa"/>
            <w:shd w:val="clear" w:color="auto" w:fill="auto"/>
            <w:vAlign w:val="center"/>
          </w:tcPr>
          <w:p>
            <w:pPr>
              <w:pStyle w:val="50"/>
              <w:rPr>
                <w:kern w:val="0"/>
              </w:rPr>
            </w:pPr>
            <w:r>
              <w:rPr>
                <w:rFonts w:hint="eastAsia"/>
                <w:kern w:val="0"/>
              </w:rPr>
              <w:t>电工</w:t>
            </w:r>
          </w:p>
        </w:tc>
        <w:tc>
          <w:tcPr>
            <w:tcW w:w="709" w:type="dxa"/>
            <w:shd w:val="clear" w:color="auto" w:fill="auto"/>
            <w:vAlign w:val="center"/>
          </w:tcPr>
          <w:p>
            <w:pPr>
              <w:pStyle w:val="50"/>
              <w:rPr>
                <w:kern w:val="0"/>
              </w:rPr>
            </w:pPr>
            <w:r>
              <w:rPr>
                <w:rFonts w:hint="eastAsia"/>
                <w:kern w:val="0"/>
              </w:rPr>
              <w:t>1</w:t>
            </w:r>
          </w:p>
        </w:tc>
        <w:tc>
          <w:tcPr>
            <w:tcW w:w="5597" w:type="dxa"/>
            <w:shd w:val="clear" w:color="auto" w:fill="auto"/>
            <w:vAlign w:val="center"/>
          </w:tcPr>
          <w:p>
            <w:pPr>
              <w:pStyle w:val="50"/>
              <w:rPr>
                <w:kern w:val="0"/>
              </w:rPr>
            </w:pPr>
            <w:r>
              <w:rPr>
                <w:rFonts w:hint="eastAsia"/>
                <w:kern w:val="0"/>
              </w:rPr>
              <w:t>配合项目电工安全配电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0" w:type="dxa"/>
            <w:gridSpan w:val="2"/>
            <w:shd w:val="clear" w:color="auto" w:fill="auto"/>
            <w:vAlign w:val="center"/>
          </w:tcPr>
          <w:p>
            <w:pPr>
              <w:pStyle w:val="50"/>
              <w:rPr>
                <w:kern w:val="0"/>
              </w:rPr>
            </w:pPr>
            <w:r>
              <w:rPr>
                <w:rFonts w:hint="eastAsia"/>
                <w:kern w:val="0"/>
              </w:rPr>
              <w:t>合计</w:t>
            </w:r>
          </w:p>
        </w:tc>
        <w:tc>
          <w:tcPr>
            <w:tcW w:w="709" w:type="dxa"/>
            <w:shd w:val="clear" w:color="auto" w:fill="auto"/>
            <w:vAlign w:val="center"/>
          </w:tcPr>
          <w:p>
            <w:pPr>
              <w:pStyle w:val="50"/>
              <w:rPr>
                <w:kern w:val="0"/>
              </w:rPr>
            </w:pPr>
            <w:r>
              <w:rPr>
                <w:kern w:val="0"/>
              </w:rPr>
              <w:t>5</w:t>
            </w:r>
          </w:p>
        </w:tc>
        <w:tc>
          <w:tcPr>
            <w:tcW w:w="5597" w:type="dxa"/>
            <w:shd w:val="clear" w:color="auto" w:fill="auto"/>
            <w:vAlign w:val="center"/>
          </w:tcPr>
          <w:p>
            <w:pPr>
              <w:pStyle w:val="50"/>
              <w:rPr>
                <w:kern w:val="0"/>
              </w:rPr>
            </w:pPr>
          </w:p>
        </w:tc>
      </w:tr>
    </w:tbl>
    <w:p>
      <w:pPr>
        <w:ind w:firstLine="482"/>
        <w:rPr>
          <w:rFonts w:hint="eastAsia"/>
          <w:b/>
          <w:bCs/>
        </w:rPr>
      </w:pPr>
      <w:r>
        <w:rPr>
          <w:rFonts w:hint="eastAsia"/>
          <w:b/>
          <w:bCs/>
        </w:rPr>
        <w:t>安拆单位特种作业名单、相关资质和执业职格证详见附件</w:t>
      </w:r>
    </w:p>
    <w:p>
      <w:pPr>
        <w:ind w:firstLine="480"/>
        <w:rPr>
          <w:color w:val="000000" w:themeColor="text1"/>
          <w14:textFill>
            <w14:solidFill>
              <w14:schemeClr w14:val="tx1"/>
            </w14:solidFill>
          </w14:textFill>
        </w:rPr>
      </w:pPr>
    </w:p>
    <w:p>
      <w:pPr>
        <w:widowControl/>
        <w:ind w:firstLine="0" w:firstLineChars="0"/>
        <w:jc w:val="left"/>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3"/>
        <w:spacing w:before="156" w:after="156"/>
      </w:pPr>
      <w:bookmarkStart w:id="422" w:name="_Toc121760042"/>
      <w:bookmarkStart w:id="423" w:name="_Toc55223377"/>
      <w:bookmarkStart w:id="424" w:name="_Toc6639"/>
      <w:bookmarkStart w:id="425" w:name="_Toc40778448"/>
      <w:bookmarkStart w:id="426" w:name="_Toc28613973"/>
      <w:r>
        <w:rPr>
          <w:rFonts w:hint="eastAsia"/>
          <w:color w:val="000000" w:themeColor="text1"/>
          <w14:textFill>
            <w14:solidFill>
              <w14:schemeClr w14:val="tx1"/>
            </w14:solidFill>
          </w14:textFill>
        </w:rPr>
        <w:t>验收要求</w:t>
      </w:r>
      <w:bookmarkEnd w:id="422"/>
      <w:bookmarkEnd w:id="423"/>
      <w:bookmarkEnd w:id="424"/>
      <w:bookmarkEnd w:id="425"/>
      <w:bookmarkEnd w:id="426"/>
    </w:p>
    <w:p>
      <w:pPr>
        <w:pStyle w:val="4"/>
        <w:spacing w:before="156" w:after="156"/>
      </w:pPr>
      <w:bookmarkStart w:id="427" w:name="_Toc19886"/>
      <w:bookmarkStart w:id="428" w:name="_Toc3316"/>
      <w:bookmarkStart w:id="429" w:name="_Toc121760043"/>
      <w:bookmarkStart w:id="430" w:name="_Toc19530"/>
      <w:bookmarkStart w:id="431" w:name="_Toc25687"/>
      <w:bookmarkStart w:id="432" w:name="_Toc18702"/>
      <w:bookmarkStart w:id="433" w:name="_Toc19204"/>
      <w:bookmarkStart w:id="434" w:name="_Toc11587"/>
      <w:bookmarkStart w:id="435" w:name="_Toc9852"/>
      <w:bookmarkStart w:id="436" w:name="_Toc28613976"/>
      <w:bookmarkStart w:id="437" w:name="_Toc40778453"/>
      <w:bookmarkStart w:id="438" w:name="_Toc20052"/>
      <w:r>
        <w:rPr>
          <w:rFonts w:hint="eastAsia"/>
        </w:rPr>
        <w:t>验收标准</w:t>
      </w:r>
      <w:bookmarkEnd w:id="427"/>
      <w:bookmarkEnd w:id="428"/>
      <w:bookmarkEnd w:id="429"/>
      <w:bookmarkEnd w:id="430"/>
      <w:bookmarkEnd w:id="431"/>
      <w:bookmarkEnd w:id="432"/>
      <w:bookmarkEnd w:id="433"/>
      <w:bookmarkEnd w:id="434"/>
      <w:bookmarkEnd w:id="435"/>
    </w:p>
    <w:p>
      <w:pPr>
        <w:pStyle w:val="16"/>
        <w:ind w:firstLine="422"/>
        <w:rPr>
          <w:rFonts w:ascii="宋体" w:hAnsi="宋体" w:cs="宋体"/>
          <w:b w:val="0"/>
          <w:bCs/>
        </w:rPr>
      </w:pPr>
      <w:r>
        <w:rPr>
          <w:rFonts w:hint="eastAsia" w:ascii="宋体" w:hAnsi="宋体" w:cs="宋体"/>
          <w:bCs/>
        </w:rPr>
        <w:t>表</w:t>
      </w:r>
      <w:r>
        <w:rPr>
          <w:rFonts w:hint="eastAsia" w:ascii="宋体" w:hAnsi="宋体" w:cs="宋体"/>
          <w:b w:val="0"/>
          <w:bCs/>
        </w:rPr>
        <w:fldChar w:fldCharType="begin"/>
      </w:r>
      <w:r>
        <w:rPr>
          <w:rFonts w:hint="eastAsia" w:ascii="宋体" w:hAnsi="宋体" w:cs="宋体"/>
          <w:bCs/>
        </w:rPr>
        <w:instrText xml:space="preserve"> STYLEREF 2 \s </w:instrText>
      </w:r>
      <w:r>
        <w:rPr>
          <w:rFonts w:hint="eastAsia" w:ascii="宋体" w:hAnsi="宋体" w:cs="宋体"/>
          <w:b w:val="0"/>
          <w:bCs/>
        </w:rPr>
        <w:fldChar w:fldCharType="separate"/>
      </w:r>
      <w:r>
        <w:rPr>
          <w:rFonts w:ascii="宋体" w:hAnsi="宋体" w:cs="宋体"/>
          <w:bCs/>
        </w:rPr>
        <w:t>8</w:t>
      </w:r>
      <w:r>
        <w:rPr>
          <w:rFonts w:hint="eastAsia" w:ascii="宋体" w:hAnsi="宋体" w:cs="宋体"/>
          <w:bCs/>
        </w:rPr>
        <w:t>.1</w:t>
      </w:r>
      <w:r>
        <w:rPr>
          <w:rFonts w:hint="eastAsia" w:ascii="宋体" w:hAnsi="宋体" w:cs="宋体"/>
          <w:b w:val="0"/>
          <w:bCs/>
        </w:rPr>
        <w:fldChar w:fldCharType="end"/>
      </w:r>
      <w:r>
        <w:rPr>
          <w:rFonts w:hint="eastAsia" w:ascii="宋体" w:hAnsi="宋体" w:cs="宋体"/>
          <w:bCs/>
        </w:rPr>
        <w:t>-</w:t>
      </w:r>
      <w:r>
        <w:rPr>
          <w:rFonts w:hint="eastAsia" w:ascii="宋体" w:hAnsi="宋体" w:cs="宋体"/>
          <w:b w:val="0"/>
          <w:bCs/>
        </w:rPr>
        <w:fldChar w:fldCharType="begin"/>
      </w:r>
      <w:r>
        <w:rPr>
          <w:rFonts w:hint="eastAsia" w:ascii="宋体" w:hAnsi="宋体" w:cs="宋体"/>
          <w:bCs/>
        </w:rPr>
        <w:instrText xml:space="preserve"> SEQ 表 \* ARABIC \s 2 </w:instrText>
      </w:r>
      <w:r>
        <w:rPr>
          <w:rFonts w:hint="eastAsia" w:ascii="宋体" w:hAnsi="宋体" w:cs="宋体"/>
          <w:b w:val="0"/>
          <w:bCs/>
        </w:rPr>
        <w:fldChar w:fldCharType="separate"/>
      </w:r>
      <w:r>
        <w:rPr>
          <w:rFonts w:hint="eastAsia" w:ascii="宋体" w:hAnsi="宋体" w:cs="宋体"/>
          <w:bCs/>
        </w:rPr>
        <w:t>1</w:t>
      </w:r>
      <w:r>
        <w:rPr>
          <w:rFonts w:hint="eastAsia" w:ascii="宋体" w:hAnsi="宋体" w:cs="宋体"/>
          <w:b w:val="0"/>
          <w:bCs/>
        </w:rPr>
        <w:fldChar w:fldCharType="end"/>
      </w:r>
      <w:r>
        <w:rPr>
          <w:rFonts w:hint="eastAsia" w:ascii="宋体" w:hAnsi="宋体" w:cs="宋体"/>
          <w:bCs/>
        </w:rPr>
        <w:t xml:space="preserve"> 验收标准</w:t>
      </w:r>
    </w:p>
    <w:tbl>
      <w:tblPr>
        <w:tblStyle w:val="44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2280"/>
        <w:gridCol w:w="5088"/>
        <w:gridCol w:w="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59" w:type="pct"/>
            <w:vAlign w:val="center"/>
          </w:tcPr>
          <w:p>
            <w:pPr>
              <w:pStyle w:val="63"/>
              <w:rPr>
                <w:b w:val="0"/>
                <w:kern w:val="0"/>
              </w:rPr>
            </w:pPr>
            <w:r>
              <w:rPr>
                <w:rFonts w:hint="eastAsia"/>
                <w:b/>
                <w:kern w:val="0"/>
              </w:rPr>
              <w:t>序号</w:t>
            </w:r>
          </w:p>
        </w:tc>
        <w:tc>
          <w:tcPr>
            <w:tcW w:w="1337" w:type="pct"/>
            <w:vAlign w:val="center"/>
          </w:tcPr>
          <w:p>
            <w:pPr>
              <w:pStyle w:val="63"/>
              <w:rPr>
                <w:b w:val="0"/>
                <w:kern w:val="0"/>
              </w:rPr>
            </w:pPr>
            <w:r>
              <w:rPr>
                <w:rFonts w:hint="eastAsia"/>
                <w:b/>
                <w:kern w:val="0"/>
              </w:rPr>
              <w:t>文号/标准号</w:t>
            </w:r>
          </w:p>
        </w:tc>
        <w:tc>
          <w:tcPr>
            <w:tcW w:w="2984" w:type="pct"/>
            <w:vAlign w:val="center"/>
          </w:tcPr>
          <w:p>
            <w:pPr>
              <w:pStyle w:val="63"/>
              <w:rPr>
                <w:b w:val="0"/>
                <w:kern w:val="0"/>
              </w:rPr>
            </w:pPr>
            <w:r>
              <w:rPr>
                <w:rFonts w:hint="eastAsia"/>
                <w:b/>
                <w:kern w:val="0"/>
              </w:rPr>
              <w:t>依据名称</w:t>
            </w:r>
          </w:p>
        </w:tc>
        <w:tc>
          <w:tcPr>
            <w:tcW w:w="418" w:type="pct"/>
            <w:shd w:val="clear" w:color="auto" w:fill="auto"/>
            <w:vAlign w:val="center"/>
          </w:tcPr>
          <w:p>
            <w:pPr>
              <w:pStyle w:val="63"/>
              <w:rPr>
                <w:b w:val="0"/>
                <w:kern w:val="0"/>
              </w:rPr>
            </w:pPr>
            <w:r>
              <w:rPr>
                <w:rFonts w:hint="eastAsia"/>
                <w:b/>
                <w:kern w:val="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9" w:type="pct"/>
            <w:vAlign w:val="center"/>
          </w:tcPr>
          <w:p>
            <w:pPr>
              <w:pStyle w:val="63"/>
              <w:rPr>
                <w:color w:val="FF0000"/>
                <w:kern w:val="0"/>
              </w:rPr>
            </w:pPr>
            <w:r>
              <w:rPr>
                <w:rFonts w:hint="eastAsia"/>
                <w:kern w:val="0"/>
              </w:rPr>
              <w:fldChar w:fldCharType="begin"/>
            </w:r>
            <w:r>
              <w:rPr>
                <w:rFonts w:hint="eastAsia"/>
                <w:kern w:val="0"/>
              </w:rPr>
              <w:instrText xml:space="preserve"> seq list \r 1</w:instrText>
            </w:r>
            <w:r>
              <w:rPr>
                <w:rFonts w:hint="eastAsia"/>
                <w:kern w:val="0"/>
              </w:rPr>
              <w:fldChar w:fldCharType="separate"/>
            </w:r>
            <w:r>
              <w:rPr>
                <w:rFonts w:hint="eastAsia"/>
                <w:kern w:val="0"/>
              </w:rPr>
              <w:t>1</w:t>
            </w:r>
            <w:r>
              <w:rPr>
                <w:rFonts w:hint="eastAsia"/>
                <w:kern w:val="0"/>
              </w:rPr>
              <w:fldChar w:fldCharType="end"/>
            </w:r>
          </w:p>
        </w:tc>
        <w:tc>
          <w:tcPr>
            <w:tcW w:w="1337" w:type="pct"/>
            <w:shd w:val="clear" w:color="auto" w:fill="auto"/>
            <w:vAlign w:val="center"/>
          </w:tcPr>
          <w:p>
            <w:pPr>
              <w:pStyle w:val="63"/>
              <w:rPr>
                <w:color w:val="FF0000"/>
                <w:kern w:val="0"/>
              </w:rPr>
            </w:pPr>
            <w:r>
              <w:rPr>
                <w:rFonts w:hint="eastAsia"/>
                <w:kern w:val="0"/>
              </w:rPr>
              <w:t>JGJ215-2010</w:t>
            </w:r>
          </w:p>
        </w:tc>
        <w:tc>
          <w:tcPr>
            <w:tcW w:w="2984" w:type="pct"/>
            <w:shd w:val="clear" w:color="auto" w:fill="auto"/>
            <w:vAlign w:val="center"/>
          </w:tcPr>
          <w:p>
            <w:pPr>
              <w:pStyle w:val="63"/>
              <w:rPr>
                <w:color w:val="FF0000"/>
                <w:kern w:val="0"/>
              </w:rPr>
            </w:pPr>
            <w:r>
              <w:rPr>
                <w:rFonts w:hint="eastAsia"/>
                <w:kern w:val="0"/>
              </w:rPr>
              <w:t>建筑施工升降机安装、使用、拆卸安全技术规程</w:t>
            </w:r>
          </w:p>
        </w:tc>
        <w:tc>
          <w:tcPr>
            <w:tcW w:w="418" w:type="pct"/>
            <w:vMerge w:val="restart"/>
            <w:shd w:val="clear" w:color="auto" w:fill="auto"/>
            <w:vAlign w:val="center"/>
          </w:tcPr>
          <w:p>
            <w:pPr>
              <w:pStyle w:val="63"/>
              <w:rPr>
                <w:color w:val="FF0000"/>
                <w:kern w:val="0"/>
              </w:rPr>
            </w:pPr>
            <w:r>
              <w:rPr>
                <w:rFonts w:hint="eastAsia"/>
                <w:kern w:val="0"/>
              </w:rPr>
              <w:t>施工升降机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9" w:type="pct"/>
            <w:vAlign w:val="center"/>
          </w:tcPr>
          <w:p>
            <w:pPr>
              <w:pStyle w:val="63"/>
              <w:rPr>
                <w:kern w:val="0"/>
              </w:rPr>
            </w:pPr>
            <w:r>
              <w:rPr>
                <w:rFonts w:hint="eastAsia"/>
                <w:kern w:val="0"/>
              </w:rPr>
              <w:fldChar w:fldCharType="begin"/>
            </w:r>
            <w:r>
              <w:rPr>
                <w:rFonts w:hint="eastAsia"/>
                <w:kern w:val="0"/>
              </w:rPr>
              <w:instrText xml:space="preserve"> seq list</w:instrText>
            </w:r>
            <w:r>
              <w:rPr>
                <w:rFonts w:hint="eastAsia"/>
                <w:kern w:val="0"/>
              </w:rPr>
              <w:fldChar w:fldCharType="separate"/>
            </w:r>
            <w:r>
              <w:rPr>
                <w:rFonts w:hint="eastAsia"/>
                <w:kern w:val="0"/>
              </w:rPr>
              <w:t>2</w:t>
            </w:r>
            <w:r>
              <w:rPr>
                <w:rFonts w:hint="eastAsia"/>
                <w:kern w:val="0"/>
              </w:rPr>
              <w:fldChar w:fldCharType="end"/>
            </w:r>
          </w:p>
        </w:tc>
        <w:tc>
          <w:tcPr>
            <w:tcW w:w="1337" w:type="pct"/>
            <w:shd w:val="clear" w:color="auto" w:fill="auto"/>
            <w:vAlign w:val="center"/>
          </w:tcPr>
          <w:p>
            <w:pPr>
              <w:pStyle w:val="63"/>
              <w:rPr>
                <w:kern w:val="0"/>
              </w:rPr>
            </w:pPr>
            <w:r>
              <w:rPr>
                <w:rFonts w:hint="eastAsia"/>
                <w:kern w:val="0"/>
              </w:rPr>
              <w:t>JGJ.305-2013</w:t>
            </w:r>
          </w:p>
        </w:tc>
        <w:tc>
          <w:tcPr>
            <w:tcW w:w="2984" w:type="pct"/>
            <w:shd w:val="clear" w:color="auto" w:fill="auto"/>
            <w:vAlign w:val="center"/>
          </w:tcPr>
          <w:p>
            <w:pPr>
              <w:pStyle w:val="63"/>
              <w:rPr>
                <w:color w:val="FF0000"/>
                <w:kern w:val="0"/>
              </w:rPr>
            </w:pPr>
            <w:r>
              <w:rPr>
                <w:rFonts w:hint="eastAsia"/>
                <w:kern w:val="0"/>
              </w:rPr>
              <w:t>建筑施工升降设备设施检验标准</w:t>
            </w:r>
          </w:p>
        </w:tc>
        <w:tc>
          <w:tcPr>
            <w:tcW w:w="418" w:type="pct"/>
            <w:vMerge w:val="continue"/>
            <w:shd w:val="clear" w:color="auto" w:fill="auto"/>
            <w:vAlign w:val="center"/>
          </w:tcPr>
          <w:p>
            <w:pPr>
              <w:pStyle w:val="63"/>
              <w:rPr>
                <w:color w:val="FF0000"/>
                <w:kern w:val="0"/>
              </w:rPr>
            </w:pPr>
          </w:p>
        </w:tc>
      </w:tr>
    </w:tbl>
    <w:p>
      <w:pPr>
        <w:pStyle w:val="4"/>
        <w:spacing w:before="156" w:after="156"/>
      </w:pPr>
      <w:bookmarkStart w:id="439" w:name="_Toc5287"/>
      <w:bookmarkStart w:id="440" w:name="_Toc5944"/>
      <w:bookmarkStart w:id="441" w:name="_Toc31197"/>
      <w:bookmarkStart w:id="442" w:name="_Toc121760044"/>
      <w:r>
        <w:rPr>
          <w:rFonts w:hint="eastAsia"/>
        </w:rPr>
        <w:t>验收程序</w:t>
      </w:r>
      <w:bookmarkEnd w:id="439"/>
      <w:bookmarkEnd w:id="440"/>
      <w:bookmarkEnd w:id="441"/>
      <w:bookmarkEnd w:id="442"/>
    </w:p>
    <w:p>
      <w:pPr>
        <w:pStyle w:val="445"/>
        <w:numPr>
          <w:ilvl w:val="0"/>
          <w:numId w:val="45"/>
        </w:numPr>
        <w:spacing w:line="360" w:lineRule="auto"/>
        <w:ind w:left="0" w:firstLine="480"/>
        <w:rPr>
          <w:rFonts w:hAnsi="宋体" w:cs="宋体"/>
          <w:sz w:val="24"/>
          <w:szCs w:val="24"/>
        </w:rPr>
      </w:pPr>
      <w:bookmarkStart w:id="443" w:name="_Toc26128"/>
      <w:bookmarkStart w:id="444" w:name="_Toc27943"/>
      <w:r>
        <w:rPr>
          <w:rFonts w:hint="eastAsia" w:hAnsi="宋体" w:cs="宋体"/>
          <w:sz w:val="24"/>
          <w:szCs w:val="24"/>
        </w:rPr>
        <w:t>设备进场需租赁单位、安装单位、使用单位联合验收，按&lt;施工升降机构配件进场验收表&gt;中各项内容及要求逐项检验记录，签字确认设备符合使用要求。</w:t>
      </w:r>
    </w:p>
    <w:p>
      <w:pPr>
        <w:pStyle w:val="445"/>
        <w:numPr>
          <w:ilvl w:val="0"/>
          <w:numId w:val="45"/>
        </w:numPr>
        <w:spacing w:line="360" w:lineRule="auto"/>
        <w:ind w:left="0" w:firstLine="480"/>
        <w:rPr>
          <w:rFonts w:hAnsi="宋体" w:cs="宋体"/>
          <w:sz w:val="24"/>
          <w:szCs w:val="24"/>
        </w:rPr>
      </w:pPr>
      <w:r>
        <w:rPr>
          <w:rFonts w:hint="eastAsia" w:hAnsi="宋体" w:cs="宋体"/>
          <w:sz w:val="24"/>
          <w:szCs w:val="24"/>
        </w:rPr>
        <w:t>安装前，需安拆单位、使用单位、签字盖章同意并由使用单位向质安站告知（提交告知表）。</w:t>
      </w:r>
    </w:p>
    <w:p>
      <w:pPr>
        <w:pStyle w:val="445"/>
        <w:numPr>
          <w:ilvl w:val="0"/>
          <w:numId w:val="45"/>
        </w:numPr>
        <w:spacing w:line="360" w:lineRule="auto"/>
        <w:ind w:left="0" w:firstLine="480"/>
        <w:rPr>
          <w:rFonts w:hAnsi="宋体" w:cs="宋体"/>
          <w:sz w:val="24"/>
          <w:szCs w:val="24"/>
        </w:rPr>
      </w:pPr>
      <w:bookmarkStart w:id="445" w:name="_Hlk108077563"/>
      <w:r>
        <w:rPr>
          <w:rFonts w:hint="eastAsia" w:hAnsi="宋体" w:cs="宋体"/>
          <w:sz w:val="24"/>
          <w:szCs w:val="24"/>
        </w:rPr>
        <w:t>基础施工完毕，待达到安装要求强度时，经施工单位、安拆单位、租赁单位联合验收合格并签字盖章确认，方可进行</w:t>
      </w:r>
      <w:r>
        <w:rPr>
          <w:rFonts w:hint="eastAsia" w:hAnsi="宋体" w:cs="宋体"/>
          <w:sz w:val="24"/>
          <w:szCs w:val="24"/>
          <w:lang w:eastAsia="zh-CN"/>
        </w:rPr>
        <w:t>施工升降机</w:t>
      </w:r>
      <w:r>
        <w:rPr>
          <w:rFonts w:hint="eastAsia" w:hAnsi="宋体" w:cs="宋体"/>
          <w:sz w:val="24"/>
          <w:szCs w:val="24"/>
        </w:rPr>
        <w:t>安装。</w:t>
      </w:r>
    </w:p>
    <w:bookmarkEnd w:id="445"/>
    <w:p>
      <w:pPr>
        <w:pStyle w:val="445"/>
        <w:numPr>
          <w:ilvl w:val="0"/>
          <w:numId w:val="45"/>
        </w:numPr>
        <w:spacing w:line="360" w:lineRule="auto"/>
        <w:ind w:left="0" w:firstLine="480"/>
        <w:rPr>
          <w:rFonts w:hAnsi="宋体" w:cs="宋体"/>
          <w:sz w:val="24"/>
          <w:szCs w:val="24"/>
        </w:rPr>
      </w:pPr>
      <w:r>
        <w:rPr>
          <w:rFonts w:hint="eastAsia" w:hAnsi="宋体" w:cs="宋体"/>
          <w:sz w:val="24"/>
          <w:szCs w:val="24"/>
          <w:lang w:eastAsia="zh-CN"/>
        </w:rPr>
        <w:t>施工升降机</w:t>
      </w:r>
      <w:r>
        <w:rPr>
          <w:rFonts w:hint="eastAsia" w:hAnsi="宋体" w:cs="宋体"/>
          <w:sz w:val="24"/>
          <w:szCs w:val="24"/>
        </w:rPr>
        <w:t>安装完，安装单位自检合格后报特种设备检测院检测，检测合格，需经总承包单位、使用单位、安拆单位、租赁单位联合验收，并签字盖章确认。</w:t>
      </w:r>
    </w:p>
    <w:p>
      <w:pPr>
        <w:pStyle w:val="445"/>
        <w:numPr>
          <w:ilvl w:val="0"/>
          <w:numId w:val="45"/>
        </w:numPr>
        <w:spacing w:line="360" w:lineRule="auto"/>
        <w:ind w:left="0" w:firstLine="480"/>
        <w:rPr>
          <w:rFonts w:hAnsi="宋体" w:cs="宋体"/>
          <w:sz w:val="24"/>
          <w:szCs w:val="24"/>
        </w:rPr>
      </w:pPr>
      <w:r>
        <w:rPr>
          <w:rFonts w:hint="eastAsia" w:hAnsi="宋体" w:cs="宋体"/>
          <w:sz w:val="24"/>
          <w:szCs w:val="24"/>
        </w:rPr>
        <w:t>导轨架升高加节、安装附着前，需安拆单位、使用单位、租赁单位签字盖章同意并由使用单位向质安站告知；按&lt;施工升降机升（降）节附着验收记录&gt;中各项内容及要求逐项检验记录，检查合格后，需安拆单位、使用单位租赁单位联合验收，并签字盖章确认。</w:t>
      </w:r>
    </w:p>
    <w:p>
      <w:pPr>
        <w:pStyle w:val="445"/>
        <w:numPr>
          <w:ilvl w:val="0"/>
          <w:numId w:val="45"/>
        </w:numPr>
        <w:spacing w:line="360" w:lineRule="auto"/>
        <w:ind w:left="0" w:firstLine="480"/>
        <w:rPr>
          <w:rFonts w:hAnsi="宋体" w:cs="宋体"/>
          <w:sz w:val="24"/>
          <w:szCs w:val="24"/>
        </w:rPr>
      </w:pPr>
      <w:r>
        <w:rPr>
          <w:rFonts w:hint="eastAsia" w:hAnsi="宋体" w:cs="宋体"/>
          <w:sz w:val="24"/>
          <w:szCs w:val="24"/>
        </w:rPr>
        <w:t>拆卸前两天需租赁单位、安拆单位、使用单位签字盖章同意并由使用单位向质安站告知并办理使用登记备案注销手续，注销表由使用单位签字盖章、安全监察员签字；拆卸完带使用登记证、告知表及注销表一式两份报当地质安站综合科办理使用登记备案注销。</w:t>
      </w:r>
    </w:p>
    <w:p>
      <w:pPr>
        <w:pStyle w:val="4"/>
        <w:spacing w:before="156" w:after="156"/>
      </w:pPr>
      <w:bookmarkStart w:id="446" w:name="_Toc121760045"/>
      <w:bookmarkStart w:id="447" w:name="_Toc696"/>
      <w:r>
        <w:rPr>
          <w:rFonts w:hint="eastAsia"/>
        </w:rPr>
        <w:t>验收人员</w:t>
      </w:r>
      <w:bookmarkEnd w:id="443"/>
      <w:bookmarkEnd w:id="444"/>
      <w:bookmarkEnd w:id="446"/>
      <w:bookmarkEnd w:id="447"/>
    </w:p>
    <w:p>
      <w:pPr>
        <w:pStyle w:val="59"/>
        <w:ind w:firstLine="472"/>
        <w:rPr>
          <w:color w:val="auto"/>
          <w:spacing w:val="-2"/>
          <w:kern w:val="2"/>
        </w:rPr>
      </w:pPr>
      <w:r>
        <w:rPr>
          <w:rFonts w:hint="eastAsia"/>
          <w:color w:val="auto"/>
          <w:spacing w:val="-2"/>
          <w:kern w:val="2"/>
        </w:rPr>
        <w:t>1、安装单位自检。</w:t>
      </w:r>
      <w:r>
        <w:rPr>
          <w:rFonts w:hint="eastAsia"/>
          <w:color w:val="auto"/>
          <w:spacing w:val="-2"/>
          <w:kern w:val="2"/>
          <w:lang w:eastAsia="zh-CN"/>
        </w:rPr>
        <w:t>施工升降机</w:t>
      </w:r>
      <w:r>
        <w:rPr>
          <w:rFonts w:hint="eastAsia"/>
          <w:color w:val="auto"/>
          <w:spacing w:val="-2"/>
          <w:kern w:val="2"/>
        </w:rPr>
        <w:t>安装完成之后，安装单位应及时组织单位技术人员、安全人员、安装人员对</w:t>
      </w:r>
      <w:r>
        <w:rPr>
          <w:rFonts w:hint="eastAsia"/>
          <w:color w:val="auto"/>
          <w:spacing w:val="-2"/>
          <w:kern w:val="2"/>
          <w:lang w:eastAsia="zh-CN"/>
        </w:rPr>
        <w:t>施工升降机</w:t>
      </w:r>
      <w:r>
        <w:rPr>
          <w:rFonts w:hint="eastAsia"/>
          <w:color w:val="auto"/>
          <w:spacing w:val="-2"/>
          <w:kern w:val="2"/>
        </w:rPr>
        <w:t>进行验收。</w:t>
      </w:r>
    </w:p>
    <w:p>
      <w:pPr>
        <w:pStyle w:val="59"/>
        <w:ind w:firstLine="472"/>
        <w:rPr>
          <w:color w:val="auto"/>
          <w:spacing w:val="-2"/>
          <w:kern w:val="2"/>
        </w:rPr>
      </w:pPr>
      <w:r>
        <w:rPr>
          <w:rFonts w:hint="eastAsia"/>
          <w:color w:val="auto"/>
          <w:spacing w:val="-2"/>
          <w:kern w:val="2"/>
        </w:rPr>
        <w:t>2、特种设备检测院检验。检测单位检测完成之后，出具的检测报告是整机合格，可能存在部分一般项目不合格；设备供应方应对不合格项目进行整改，并出具整改报告。</w:t>
      </w:r>
    </w:p>
    <w:p>
      <w:pPr>
        <w:pStyle w:val="59"/>
        <w:ind w:firstLine="472"/>
      </w:pPr>
      <w:r>
        <w:rPr>
          <w:rFonts w:hint="eastAsia"/>
          <w:color w:val="auto"/>
          <w:spacing w:val="-2"/>
          <w:kern w:val="2"/>
        </w:rPr>
        <w:t>3、资料审核。项目部对施工升降机安装相关资料原件进行审核，审核通过后，留存加盖单位公章的复印件，项目部组织联合验收。</w:t>
      </w:r>
    </w:p>
    <w:p>
      <w:pPr>
        <w:pStyle w:val="4"/>
        <w:spacing w:before="156" w:after="156"/>
      </w:pPr>
      <w:bookmarkStart w:id="448" w:name="_Toc28518"/>
      <w:bookmarkStart w:id="449" w:name="_Toc1167"/>
      <w:bookmarkStart w:id="450" w:name="_Toc29073"/>
      <w:bookmarkStart w:id="451" w:name="_Toc121760046"/>
      <w:r>
        <w:rPr>
          <w:rFonts w:hint="eastAsia"/>
        </w:rPr>
        <w:t>验收内容</w:t>
      </w:r>
      <w:bookmarkEnd w:id="448"/>
      <w:bookmarkEnd w:id="449"/>
      <w:bookmarkEnd w:id="450"/>
      <w:bookmarkEnd w:id="451"/>
    </w:p>
    <w:p>
      <w:pPr>
        <w:ind w:firstLine="480"/>
        <w:rPr>
          <w:rFonts w:ascii="宋体" w:hAnsi="宋体" w:cs="宋体"/>
          <w:color w:val="111F2C"/>
          <w:szCs w:val="24"/>
          <w:shd w:val="clear" w:color="auto" w:fill="FFFFFF"/>
        </w:rPr>
      </w:pPr>
      <w:r>
        <w:rPr>
          <w:rFonts w:hint="eastAsia" w:ascii="宋体" w:hAnsi="宋体" w:cs="宋体"/>
          <w:szCs w:val="24"/>
        </w:rPr>
        <w:t>1）整台设备安装完毕后，应再检查标准节安装的垂直度，</w:t>
      </w:r>
      <w:r>
        <w:rPr>
          <w:rFonts w:hint="eastAsia" w:ascii="宋体" w:hAnsi="宋体" w:cs="宋体"/>
          <w:szCs w:val="24"/>
          <w:shd w:val="clear" w:color="auto" w:fill="FFFFFF"/>
        </w:rPr>
        <w:t>每次安装附着装置时，也需监控垂直度，若有超标及时纠正整改，先将附着斜撑杆调整合格再装。安装标节时清理结口，拧紧螺栓，并在用径纬仪检查垂直合格后，再拧紧附着螺栓。另使用过程中也应定期观测垂直度偏差不可超标，垂直度要求如下表</w:t>
      </w:r>
      <w:r>
        <w:rPr>
          <w:rFonts w:hint="eastAsia" w:ascii="宋体" w:hAnsi="宋体" w:cs="宋体"/>
          <w:szCs w:val="24"/>
        </w:rPr>
        <w:drawing>
          <wp:inline distT="0" distB="0" distL="0" distR="0">
            <wp:extent cx="5278120" cy="4394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319317" cy="443324"/>
                    </a:xfrm>
                    <a:prstGeom prst="rect">
                      <a:avLst/>
                    </a:prstGeom>
                    <a:noFill/>
                  </pic:spPr>
                </pic:pic>
              </a:graphicData>
            </a:graphic>
          </wp:inline>
        </w:drawing>
      </w:r>
    </w:p>
    <w:p>
      <w:pPr>
        <w:widowControl/>
        <w:numPr>
          <w:ilvl w:val="0"/>
          <w:numId w:val="46"/>
        </w:numPr>
        <w:ind w:left="900" w:firstLine="480"/>
        <w:jc w:val="left"/>
        <w:rPr>
          <w:rFonts w:ascii="宋体" w:hAnsi="宋体" w:cs="宋体"/>
          <w:szCs w:val="24"/>
        </w:rPr>
      </w:pPr>
      <w:r>
        <w:rPr>
          <w:rFonts w:hint="eastAsia" w:ascii="宋体" w:hAnsi="宋体" w:cs="宋体"/>
          <w:szCs w:val="24"/>
        </w:rPr>
        <w:t>各电器、机械联锁装置应灵敏可靠。</w:t>
      </w:r>
    </w:p>
    <w:p>
      <w:pPr>
        <w:widowControl/>
        <w:numPr>
          <w:ilvl w:val="0"/>
          <w:numId w:val="46"/>
        </w:numPr>
        <w:ind w:left="900" w:firstLine="480"/>
        <w:jc w:val="left"/>
        <w:rPr>
          <w:rFonts w:ascii="宋体" w:hAnsi="宋体" w:cs="宋体"/>
          <w:szCs w:val="24"/>
        </w:rPr>
      </w:pPr>
      <w:r>
        <w:rPr>
          <w:rFonts w:hint="eastAsia" w:ascii="宋体" w:hAnsi="宋体" w:cs="宋体"/>
          <w:szCs w:val="24"/>
        </w:rPr>
        <w:t>最后对照设备移交报告逐项检查，检查合格后方可投入运行。</w:t>
      </w:r>
    </w:p>
    <w:p>
      <w:pPr>
        <w:ind w:firstLine="480"/>
        <w:rPr>
          <w:rFonts w:ascii="宋体" w:hAnsi="宋体" w:cs="宋体"/>
          <w:szCs w:val="24"/>
        </w:rPr>
      </w:pPr>
      <w:r>
        <w:rPr>
          <w:rFonts w:hint="eastAsia" w:ascii="宋体" w:hAnsi="宋体" w:cs="宋体"/>
          <w:szCs w:val="24"/>
        </w:rPr>
        <w:t>施工升降机安装完成后检查验收流程：进行自检→安装单位检查验收→检测机构检查→发检测报告→施工总承包单位组织安装单位等进行验收→向质安站办理使用登记→符合要求、下发《使用登记证》。</w:t>
      </w:r>
    </w:p>
    <w:p>
      <w:pPr>
        <w:spacing w:line="400" w:lineRule="exact"/>
        <w:ind w:firstLine="480"/>
        <w:jc w:val="center"/>
        <w:rPr>
          <w:rFonts w:ascii="宋体" w:hAnsi="宋体" w:cs="宋体"/>
          <w:szCs w:val="24"/>
        </w:rPr>
      </w:pPr>
      <w:r>
        <w:rPr>
          <w:rFonts w:hint="eastAsia" w:ascii="宋体" w:hAnsi="宋体" w:cs="宋体"/>
          <w:szCs w:val="24"/>
        </w:rPr>
        <w:t>表B  施工升降机安装自检表</w:t>
      </w:r>
    </w:p>
    <w:tbl>
      <w:tblPr>
        <w:tblStyle w:val="44"/>
        <w:tblW w:w="90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558"/>
        <w:gridCol w:w="997"/>
        <w:gridCol w:w="853"/>
        <w:gridCol w:w="866"/>
        <w:gridCol w:w="1192"/>
        <w:gridCol w:w="332"/>
        <w:gridCol w:w="1796"/>
        <w:gridCol w:w="140"/>
        <w:gridCol w:w="706"/>
        <w:gridCol w:w="1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210" w:type="dxa"/>
            <w:gridSpan w:val="2"/>
            <w:tcBorders>
              <w:tl2br w:val="nil"/>
              <w:tr2bl w:val="nil"/>
            </w:tcBorders>
            <w:vAlign w:val="center"/>
          </w:tcPr>
          <w:p>
            <w:pPr>
              <w:pStyle w:val="63"/>
            </w:pPr>
            <w:bookmarkStart w:id="452" w:name="_Hlk108078009"/>
            <w:r>
              <w:rPr>
                <w:rFonts w:hint="eastAsia"/>
              </w:rPr>
              <w:t>工程名称</w:t>
            </w:r>
          </w:p>
        </w:tc>
        <w:tc>
          <w:tcPr>
            <w:tcW w:w="2716" w:type="dxa"/>
            <w:gridSpan w:val="3"/>
            <w:tcBorders>
              <w:tl2br w:val="nil"/>
              <w:tr2bl w:val="nil"/>
            </w:tcBorders>
            <w:vAlign w:val="center"/>
          </w:tcPr>
          <w:p>
            <w:pPr>
              <w:pStyle w:val="63"/>
            </w:pPr>
            <w:r>
              <w:rPr>
                <w:rFonts w:hint="eastAsia"/>
                <w:lang w:eastAsia="zh-CN"/>
              </w:rPr>
              <w:t>梧州-玉林-钦州公路（苍梧至容县段）</w:t>
            </w:r>
            <w:r>
              <w:rPr>
                <w:rFonts w:hint="eastAsia"/>
              </w:rPr>
              <w:t>工程</w:t>
            </w:r>
          </w:p>
        </w:tc>
        <w:tc>
          <w:tcPr>
            <w:tcW w:w="1524" w:type="dxa"/>
            <w:gridSpan w:val="2"/>
            <w:tcBorders>
              <w:tl2br w:val="nil"/>
              <w:tr2bl w:val="nil"/>
            </w:tcBorders>
            <w:vAlign w:val="center"/>
          </w:tcPr>
          <w:p>
            <w:pPr>
              <w:pStyle w:val="63"/>
            </w:pPr>
            <w:r>
              <w:rPr>
                <w:rFonts w:hint="eastAsia"/>
              </w:rPr>
              <w:t>工程地址</w:t>
            </w:r>
          </w:p>
        </w:tc>
        <w:tc>
          <w:tcPr>
            <w:tcW w:w="3648" w:type="dxa"/>
            <w:gridSpan w:val="4"/>
            <w:tcBorders>
              <w:tl2br w:val="nil"/>
              <w:tr2bl w:val="nil"/>
            </w:tcBorders>
            <w:vAlign w:val="center"/>
          </w:tcPr>
          <w:p>
            <w:pPr>
              <w:pStyle w:val="63"/>
            </w:pPr>
            <w:r>
              <w:rPr>
                <w:rFonts w:hint="eastAsia"/>
                <w:lang w:eastAsia="zh-CN"/>
              </w:rPr>
              <w:t>梧州-玉林-钦州公路（苍梧至容县段）</w:t>
            </w:r>
            <w:r>
              <w:rPr>
                <w:rFonts w:hint="eastAsia"/>
              </w:rPr>
              <w:t>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210" w:type="dxa"/>
            <w:gridSpan w:val="2"/>
            <w:tcBorders>
              <w:tl2br w:val="nil"/>
              <w:tr2bl w:val="nil"/>
            </w:tcBorders>
            <w:vAlign w:val="center"/>
          </w:tcPr>
          <w:p>
            <w:pPr>
              <w:pStyle w:val="63"/>
            </w:pPr>
            <w:r>
              <w:rPr>
                <w:rFonts w:hint="eastAsia"/>
              </w:rPr>
              <w:t>安装单位</w:t>
            </w:r>
          </w:p>
        </w:tc>
        <w:tc>
          <w:tcPr>
            <w:tcW w:w="2716" w:type="dxa"/>
            <w:gridSpan w:val="3"/>
            <w:tcBorders>
              <w:tl2br w:val="nil"/>
              <w:tr2bl w:val="nil"/>
            </w:tcBorders>
            <w:vAlign w:val="center"/>
          </w:tcPr>
          <w:p>
            <w:pPr>
              <w:pStyle w:val="63"/>
            </w:pPr>
            <w:r>
              <w:rPr>
                <w:rFonts w:hint="eastAsia"/>
              </w:rPr>
              <w:t>重庆钱桥建筑设备租赁有限公司</w:t>
            </w:r>
          </w:p>
        </w:tc>
        <w:tc>
          <w:tcPr>
            <w:tcW w:w="1524" w:type="dxa"/>
            <w:gridSpan w:val="2"/>
            <w:tcBorders>
              <w:tl2br w:val="nil"/>
              <w:tr2bl w:val="nil"/>
            </w:tcBorders>
            <w:vAlign w:val="center"/>
          </w:tcPr>
          <w:p>
            <w:pPr>
              <w:pStyle w:val="63"/>
            </w:pPr>
            <w:r>
              <w:rPr>
                <w:rFonts w:hint="eastAsia"/>
              </w:rPr>
              <w:t>安装资质等级</w:t>
            </w:r>
          </w:p>
        </w:tc>
        <w:tc>
          <w:tcPr>
            <w:tcW w:w="3648" w:type="dxa"/>
            <w:gridSpan w:val="4"/>
            <w:tcBorders>
              <w:tl2br w:val="nil"/>
              <w:tr2bl w:val="nil"/>
            </w:tcBorders>
            <w:vAlign w:val="center"/>
          </w:tcPr>
          <w:p>
            <w:pPr>
              <w:pStyle w:val="63"/>
            </w:pPr>
            <w:r>
              <w:rPr>
                <w:rFonts w:hint="eastAsia"/>
              </w:rPr>
              <w:t>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gridSpan w:val="2"/>
            <w:tcBorders>
              <w:tl2br w:val="nil"/>
              <w:tr2bl w:val="nil"/>
            </w:tcBorders>
            <w:vAlign w:val="center"/>
          </w:tcPr>
          <w:p>
            <w:pPr>
              <w:pStyle w:val="63"/>
            </w:pPr>
            <w:r>
              <w:rPr>
                <w:rFonts w:hint="eastAsia"/>
              </w:rPr>
              <w:t>制造单位</w:t>
            </w:r>
          </w:p>
        </w:tc>
        <w:tc>
          <w:tcPr>
            <w:tcW w:w="2716" w:type="dxa"/>
            <w:gridSpan w:val="3"/>
            <w:tcBorders>
              <w:tl2br w:val="nil"/>
              <w:tr2bl w:val="nil"/>
            </w:tcBorders>
            <w:vAlign w:val="center"/>
          </w:tcPr>
          <w:p>
            <w:pPr>
              <w:pStyle w:val="63"/>
            </w:pPr>
            <w:r>
              <w:rPr>
                <w:rFonts w:hint="eastAsia"/>
              </w:rPr>
              <w:t>中联重科股份有限公司</w:t>
            </w:r>
          </w:p>
        </w:tc>
        <w:tc>
          <w:tcPr>
            <w:tcW w:w="1524" w:type="dxa"/>
            <w:gridSpan w:val="2"/>
            <w:tcBorders>
              <w:tl2br w:val="nil"/>
              <w:tr2bl w:val="nil"/>
            </w:tcBorders>
            <w:vAlign w:val="center"/>
          </w:tcPr>
          <w:p>
            <w:pPr>
              <w:pStyle w:val="63"/>
            </w:pPr>
            <w:r>
              <w:rPr>
                <w:rFonts w:hint="eastAsia"/>
              </w:rPr>
              <w:t>使用单位</w:t>
            </w:r>
          </w:p>
        </w:tc>
        <w:tc>
          <w:tcPr>
            <w:tcW w:w="3648" w:type="dxa"/>
            <w:gridSpan w:val="4"/>
            <w:tcBorders>
              <w:tl2br w:val="nil"/>
              <w:tr2bl w:val="nil"/>
            </w:tcBorders>
            <w:vAlign w:val="center"/>
          </w:tcPr>
          <w:p>
            <w:pPr>
              <w:pStyle w:val="63"/>
            </w:pPr>
            <w:r>
              <w:rPr>
                <w:rFonts w:hint="eastAsia"/>
              </w:rPr>
              <w:t>中交第二航务工程局有限公司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gridSpan w:val="2"/>
            <w:tcBorders>
              <w:tl2br w:val="nil"/>
              <w:tr2bl w:val="nil"/>
            </w:tcBorders>
            <w:vAlign w:val="center"/>
          </w:tcPr>
          <w:p>
            <w:pPr>
              <w:pStyle w:val="63"/>
            </w:pPr>
            <w:r>
              <w:rPr>
                <w:rFonts w:hint="eastAsia"/>
              </w:rPr>
              <w:t>设备型号</w:t>
            </w:r>
          </w:p>
        </w:tc>
        <w:tc>
          <w:tcPr>
            <w:tcW w:w="2716" w:type="dxa"/>
            <w:gridSpan w:val="3"/>
            <w:tcBorders>
              <w:tl2br w:val="nil"/>
              <w:tr2bl w:val="nil"/>
            </w:tcBorders>
            <w:vAlign w:val="center"/>
          </w:tcPr>
          <w:p>
            <w:pPr>
              <w:pStyle w:val="63"/>
            </w:pPr>
            <w:r>
              <w:rPr>
                <w:rFonts w:hint="eastAsia"/>
              </w:rPr>
              <w:t>SC200</w:t>
            </w:r>
          </w:p>
        </w:tc>
        <w:tc>
          <w:tcPr>
            <w:tcW w:w="1524" w:type="dxa"/>
            <w:gridSpan w:val="2"/>
            <w:tcBorders>
              <w:tl2br w:val="nil"/>
              <w:tr2bl w:val="nil"/>
            </w:tcBorders>
            <w:vAlign w:val="center"/>
          </w:tcPr>
          <w:p>
            <w:pPr>
              <w:pStyle w:val="63"/>
            </w:pPr>
            <w:r>
              <w:rPr>
                <w:rFonts w:hint="eastAsia"/>
              </w:rPr>
              <w:t>备案登记号</w:t>
            </w:r>
          </w:p>
        </w:tc>
        <w:tc>
          <w:tcPr>
            <w:tcW w:w="3648" w:type="dxa"/>
            <w:gridSpan w:val="4"/>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gridSpan w:val="2"/>
            <w:tcBorders>
              <w:tl2br w:val="nil"/>
              <w:tr2bl w:val="nil"/>
            </w:tcBorders>
            <w:vAlign w:val="center"/>
          </w:tcPr>
          <w:p>
            <w:pPr>
              <w:pStyle w:val="63"/>
            </w:pPr>
            <w:r>
              <w:rPr>
                <w:rFonts w:hint="eastAsia"/>
              </w:rPr>
              <w:t>安装日期</w:t>
            </w:r>
          </w:p>
        </w:tc>
        <w:tc>
          <w:tcPr>
            <w:tcW w:w="997" w:type="dxa"/>
            <w:tcBorders>
              <w:tl2br w:val="nil"/>
              <w:tr2bl w:val="nil"/>
            </w:tcBorders>
            <w:vAlign w:val="center"/>
          </w:tcPr>
          <w:p>
            <w:pPr>
              <w:pStyle w:val="63"/>
            </w:pPr>
          </w:p>
        </w:tc>
        <w:tc>
          <w:tcPr>
            <w:tcW w:w="1719" w:type="dxa"/>
            <w:gridSpan w:val="2"/>
            <w:tcBorders>
              <w:tl2br w:val="nil"/>
              <w:tr2bl w:val="nil"/>
            </w:tcBorders>
            <w:vAlign w:val="center"/>
          </w:tcPr>
          <w:p>
            <w:pPr>
              <w:pStyle w:val="63"/>
            </w:pPr>
            <w:r>
              <w:rPr>
                <w:rFonts w:hint="eastAsia"/>
              </w:rPr>
              <w:t>初始安装高度</w:t>
            </w:r>
          </w:p>
        </w:tc>
        <w:tc>
          <w:tcPr>
            <w:tcW w:w="1524" w:type="dxa"/>
            <w:gridSpan w:val="2"/>
            <w:tcBorders>
              <w:tl2br w:val="nil"/>
              <w:tr2bl w:val="nil"/>
            </w:tcBorders>
            <w:vAlign w:val="center"/>
          </w:tcPr>
          <w:p>
            <w:pPr>
              <w:pStyle w:val="63"/>
            </w:pPr>
            <w:r>
              <w:rPr>
                <w:rFonts w:hint="eastAsia"/>
              </w:rPr>
              <w:t>m</w:t>
            </w:r>
          </w:p>
        </w:tc>
        <w:tc>
          <w:tcPr>
            <w:tcW w:w="1796" w:type="dxa"/>
            <w:tcBorders>
              <w:tl2br w:val="nil"/>
              <w:tr2bl w:val="nil"/>
            </w:tcBorders>
            <w:vAlign w:val="center"/>
          </w:tcPr>
          <w:p>
            <w:pPr>
              <w:pStyle w:val="63"/>
            </w:pPr>
            <w:r>
              <w:rPr>
                <w:rFonts w:hint="eastAsia"/>
              </w:rPr>
              <w:t>最高安装高度</w:t>
            </w:r>
          </w:p>
        </w:tc>
        <w:tc>
          <w:tcPr>
            <w:tcW w:w="1852" w:type="dxa"/>
            <w:gridSpan w:val="3"/>
            <w:tcBorders>
              <w:tl2br w:val="nil"/>
              <w:tr2bl w:val="nil"/>
            </w:tcBorders>
            <w:vAlign w:val="center"/>
          </w:tcPr>
          <w:p>
            <w:pPr>
              <w:pStyle w:val="63"/>
            </w:pPr>
            <w:r>
              <w:rPr>
                <w:rFonts w:hint="eastAsi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gridSpan w:val="2"/>
            <w:tcBorders>
              <w:tl2br w:val="nil"/>
              <w:tr2bl w:val="nil"/>
            </w:tcBorders>
            <w:vAlign w:val="center"/>
          </w:tcPr>
          <w:p>
            <w:pPr>
              <w:pStyle w:val="63"/>
            </w:pPr>
            <w:r>
              <w:rPr>
                <w:rFonts w:hint="eastAsia"/>
              </w:rPr>
              <w:t>检查结果</w:t>
            </w:r>
          </w:p>
          <w:p>
            <w:pPr>
              <w:pStyle w:val="63"/>
            </w:pPr>
            <w:r>
              <w:rPr>
                <w:rFonts w:hint="eastAsia"/>
              </w:rPr>
              <w:t>代号说明</w:t>
            </w:r>
          </w:p>
        </w:tc>
        <w:tc>
          <w:tcPr>
            <w:tcW w:w="7888" w:type="dxa"/>
            <w:gridSpan w:val="9"/>
            <w:tcBorders>
              <w:tl2br w:val="nil"/>
              <w:tr2bl w:val="nil"/>
            </w:tcBorders>
            <w:vAlign w:val="center"/>
          </w:tcPr>
          <w:p>
            <w:pPr>
              <w:pStyle w:val="63"/>
            </w:pPr>
            <w:r>
              <w:rPr>
                <w:rFonts w:hint="eastAsia"/>
              </w:rPr>
              <w:t>合格=√    整改后合格=○    不合格=×   无此项=无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52" w:type="dxa"/>
            <w:tcBorders>
              <w:tl2br w:val="nil"/>
              <w:tr2bl w:val="nil"/>
            </w:tcBorders>
            <w:vAlign w:val="center"/>
          </w:tcPr>
          <w:p>
            <w:pPr>
              <w:pStyle w:val="63"/>
            </w:pPr>
            <w:r>
              <w:rPr>
                <w:rFonts w:hint="eastAsia"/>
              </w:rPr>
              <w:t>名称</w:t>
            </w:r>
          </w:p>
        </w:tc>
        <w:tc>
          <w:tcPr>
            <w:tcW w:w="558" w:type="dxa"/>
            <w:tcBorders>
              <w:tl2br w:val="nil"/>
              <w:tr2bl w:val="nil"/>
            </w:tcBorders>
            <w:tcMar>
              <w:left w:w="85" w:type="dxa"/>
              <w:right w:w="85" w:type="dxa"/>
            </w:tcMar>
            <w:vAlign w:val="center"/>
          </w:tcPr>
          <w:p>
            <w:pPr>
              <w:pStyle w:val="63"/>
            </w:pPr>
            <w:r>
              <w:rPr>
                <w:rFonts w:hint="eastAsia"/>
              </w:rPr>
              <w:t>序号</w:t>
            </w:r>
          </w:p>
        </w:tc>
        <w:tc>
          <w:tcPr>
            <w:tcW w:w="1850" w:type="dxa"/>
            <w:gridSpan w:val="2"/>
            <w:tcBorders>
              <w:tl2br w:val="nil"/>
              <w:tr2bl w:val="nil"/>
            </w:tcBorders>
            <w:vAlign w:val="center"/>
          </w:tcPr>
          <w:p>
            <w:pPr>
              <w:pStyle w:val="63"/>
            </w:pPr>
            <w:r>
              <w:rPr>
                <w:rFonts w:hint="eastAsia"/>
              </w:rPr>
              <w:t>检查项目</w:t>
            </w:r>
          </w:p>
        </w:tc>
        <w:tc>
          <w:tcPr>
            <w:tcW w:w="4326" w:type="dxa"/>
            <w:gridSpan w:val="5"/>
            <w:tcBorders>
              <w:tl2br w:val="nil"/>
              <w:tr2bl w:val="nil"/>
            </w:tcBorders>
            <w:vAlign w:val="center"/>
          </w:tcPr>
          <w:p>
            <w:pPr>
              <w:pStyle w:val="63"/>
            </w:pPr>
            <w:r>
              <w:rPr>
                <w:rFonts w:hint="eastAsia"/>
              </w:rPr>
              <w:t>要求</w:t>
            </w:r>
          </w:p>
        </w:tc>
        <w:tc>
          <w:tcPr>
            <w:tcW w:w="706" w:type="dxa"/>
            <w:tcBorders>
              <w:tl2br w:val="nil"/>
              <w:tr2bl w:val="nil"/>
            </w:tcBorders>
            <w:vAlign w:val="center"/>
          </w:tcPr>
          <w:p>
            <w:pPr>
              <w:pStyle w:val="63"/>
            </w:pPr>
            <w:r>
              <w:rPr>
                <w:rFonts w:hint="eastAsia"/>
              </w:rPr>
              <w:t>检查结果</w:t>
            </w:r>
          </w:p>
        </w:tc>
        <w:tc>
          <w:tcPr>
            <w:tcW w:w="1006" w:type="dxa"/>
            <w:tcBorders>
              <w:tl2br w:val="nil"/>
              <w:tr2bl w:val="nil"/>
            </w:tcBorders>
            <w:vAlign w:val="center"/>
          </w:tcPr>
          <w:p>
            <w:pPr>
              <w:pStyle w:val="63"/>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52" w:type="dxa"/>
            <w:vMerge w:val="restart"/>
            <w:tcBorders>
              <w:tl2br w:val="nil"/>
              <w:tr2bl w:val="nil"/>
            </w:tcBorders>
            <w:vAlign w:val="center"/>
          </w:tcPr>
          <w:p>
            <w:pPr>
              <w:pStyle w:val="63"/>
            </w:pPr>
            <w:r>
              <w:rPr>
                <w:rFonts w:hint="eastAsia"/>
              </w:rPr>
              <w:t>资料</w:t>
            </w:r>
          </w:p>
          <w:p>
            <w:pPr>
              <w:pStyle w:val="63"/>
            </w:pPr>
            <w:r>
              <w:rPr>
                <w:rFonts w:hint="eastAsia"/>
              </w:rPr>
              <w:t>检查</w:t>
            </w:r>
          </w:p>
        </w:tc>
        <w:tc>
          <w:tcPr>
            <w:tcW w:w="558" w:type="dxa"/>
            <w:tcBorders>
              <w:tl2br w:val="nil"/>
              <w:tr2bl w:val="nil"/>
            </w:tcBorders>
            <w:vAlign w:val="center"/>
          </w:tcPr>
          <w:p>
            <w:pPr>
              <w:pStyle w:val="63"/>
            </w:pPr>
            <w:r>
              <w:rPr>
                <w:rFonts w:hint="eastAsia"/>
              </w:rPr>
              <w:t>1</w:t>
            </w:r>
          </w:p>
        </w:tc>
        <w:tc>
          <w:tcPr>
            <w:tcW w:w="1850" w:type="dxa"/>
            <w:gridSpan w:val="2"/>
            <w:tcBorders>
              <w:tl2br w:val="nil"/>
              <w:tr2bl w:val="nil"/>
            </w:tcBorders>
            <w:vAlign w:val="center"/>
          </w:tcPr>
          <w:p>
            <w:pPr>
              <w:pStyle w:val="63"/>
            </w:pPr>
            <w:r>
              <w:rPr>
                <w:rFonts w:hint="eastAsia"/>
              </w:rPr>
              <w:t>基础验收表、</w:t>
            </w:r>
          </w:p>
          <w:p>
            <w:pPr>
              <w:pStyle w:val="63"/>
            </w:pPr>
            <w:r>
              <w:rPr>
                <w:rFonts w:hint="eastAsia"/>
              </w:rPr>
              <w:t>隐蔽工程验收单</w:t>
            </w:r>
          </w:p>
        </w:tc>
        <w:tc>
          <w:tcPr>
            <w:tcW w:w="4326" w:type="dxa"/>
            <w:gridSpan w:val="5"/>
            <w:tcBorders>
              <w:tl2br w:val="nil"/>
              <w:tr2bl w:val="nil"/>
            </w:tcBorders>
            <w:vAlign w:val="center"/>
          </w:tcPr>
          <w:p>
            <w:pPr>
              <w:pStyle w:val="63"/>
            </w:pPr>
            <w:r>
              <w:rPr>
                <w:rFonts w:hint="eastAsia"/>
              </w:rPr>
              <w:t>应齐全</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w:t>
            </w:r>
          </w:p>
        </w:tc>
        <w:tc>
          <w:tcPr>
            <w:tcW w:w="1850" w:type="dxa"/>
            <w:gridSpan w:val="2"/>
            <w:tcBorders>
              <w:tl2br w:val="nil"/>
              <w:tr2bl w:val="nil"/>
            </w:tcBorders>
            <w:vAlign w:val="center"/>
          </w:tcPr>
          <w:p>
            <w:pPr>
              <w:pStyle w:val="63"/>
            </w:pPr>
            <w:r>
              <w:rPr>
                <w:rFonts w:hint="eastAsia"/>
              </w:rPr>
              <w:t>安装方案</w:t>
            </w:r>
          </w:p>
          <w:p>
            <w:pPr>
              <w:pStyle w:val="63"/>
            </w:pPr>
            <w:r>
              <w:rPr>
                <w:rFonts w:hint="eastAsia"/>
              </w:rPr>
              <w:t>安全技术交底</w:t>
            </w:r>
          </w:p>
        </w:tc>
        <w:tc>
          <w:tcPr>
            <w:tcW w:w="4326" w:type="dxa"/>
            <w:gridSpan w:val="5"/>
            <w:tcBorders>
              <w:tl2br w:val="nil"/>
              <w:tr2bl w:val="nil"/>
            </w:tcBorders>
            <w:vAlign w:val="center"/>
          </w:tcPr>
          <w:p>
            <w:pPr>
              <w:pStyle w:val="63"/>
            </w:pPr>
            <w:r>
              <w:rPr>
                <w:rFonts w:hint="eastAsia"/>
              </w:rPr>
              <w:t>应齐全</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w:t>
            </w:r>
          </w:p>
        </w:tc>
        <w:tc>
          <w:tcPr>
            <w:tcW w:w="1850" w:type="dxa"/>
            <w:gridSpan w:val="2"/>
            <w:tcBorders>
              <w:tl2br w:val="nil"/>
              <w:tr2bl w:val="nil"/>
            </w:tcBorders>
            <w:vAlign w:val="center"/>
          </w:tcPr>
          <w:p>
            <w:pPr>
              <w:pStyle w:val="63"/>
            </w:pPr>
            <w:r>
              <w:rPr>
                <w:rFonts w:hint="eastAsia"/>
              </w:rPr>
              <w:t>转场保养作业单</w:t>
            </w:r>
          </w:p>
        </w:tc>
        <w:tc>
          <w:tcPr>
            <w:tcW w:w="4326" w:type="dxa"/>
            <w:gridSpan w:val="5"/>
            <w:tcBorders>
              <w:tl2br w:val="nil"/>
              <w:tr2bl w:val="nil"/>
            </w:tcBorders>
            <w:vAlign w:val="center"/>
          </w:tcPr>
          <w:p>
            <w:pPr>
              <w:pStyle w:val="63"/>
            </w:pPr>
            <w:r>
              <w:rPr>
                <w:rFonts w:hint="eastAsia"/>
              </w:rPr>
              <w:t>应齐全</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tcBorders>
              <w:tl2br w:val="nil"/>
              <w:tr2bl w:val="nil"/>
            </w:tcBorders>
            <w:vAlign w:val="center"/>
          </w:tcPr>
          <w:p>
            <w:pPr>
              <w:pStyle w:val="63"/>
            </w:pPr>
            <w:r>
              <w:rPr>
                <w:rFonts w:hint="eastAsia"/>
              </w:rPr>
              <w:t>标志</w:t>
            </w:r>
          </w:p>
        </w:tc>
        <w:tc>
          <w:tcPr>
            <w:tcW w:w="558" w:type="dxa"/>
            <w:tcBorders>
              <w:tl2br w:val="nil"/>
              <w:tr2bl w:val="nil"/>
            </w:tcBorders>
            <w:vAlign w:val="center"/>
          </w:tcPr>
          <w:p>
            <w:pPr>
              <w:pStyle w:val="63"/>
            </w:pPr>
            <w:r>
              <w:rPr>
                <w:rFonts w:hint="eastAsia"/>
              </w:rPr>
              <w:t>4</w:t>
            </w:r>
          </w:p>
        </w:tc>
        <w:tc>
          <w:tcPr>
            <w:tcW w:w="1850" w:type="dxa"/>
            <w:gridSpan w:val="2"/>
            <w:tcBorders>
              <w:tl2br w:val="nil"/>
              <w:tr2bl w:val="nil"/>
            </w:tcBorders>
            <w:vAlign w:val="center"/>
          </w:tcPr>
          <w:p>
            <w:pPr>
              <w:pStyle w:val="63"/>
            </w:pPr>
            <w:r>
              <w:rPr>
                <w:rFonts w:hint="eastAsia"/>
              </w:rPr>
              <w:t>统一编号牌</w:t>
            </w:r>
          </w:p>
        </w:tc>
        <w:tc>
          <w:tcPr>
            <w:tcW w:w="4326" w:type="dxa"/>
            <w:gridSpan w:val="5"/>
            <w:tcBorders>
              <w:tl2br w:val="nil"/>
              <w:tr2bl w:val="nil"/>
            </w:tcBorders>
            <w:vAlign w:val="center"/>
          </w:tcPr>
          <w:p>
            <w:pPr>
              <w:pStyle w:val="63"/>
            </w:pPr>
            <w:r>
              <w:rPr>
                <w:rFonts w:hint="eastAsia"/>
              </w:rPr>
              <w:t>应设置在规定位置</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5</w:t>
            </w:r>
          </w:p>
        </w:tc>
        <w:tc>
          <w:tcPr>
            <w:tcW w:w="1850" w:type="dxa"/>
            <w:gridSpan w:val="2"/>
            <w:tcBorders>
              <w:tl2br w:val="nil"/>
              <w:tr2bl w:val="nil"/>
            </w:tcBorders>
            <w:vAlign w:val="center"/>
          </w:tcPr>
          <w:p>
            <w:pPr>
              <w:pStyle w:val="63"/>
            </w:pPr>
            <w:r>
              <w:rPr>
                <w:rFonts w:hint="eastAsia"/>
              </w:rPr>
              <w:t>警示标志</w:t>
            </w:r>
          </w:p>
        </w:tc>
        <w:tc>
          <w:tcPr>
            <w:tcW w:w="4326" w:type="dxa"/>
            <w:gridSpan w:val="5"/>
            <w:tcBorders>
              <w:tl2br w:val="nil"/>
              <w:tr2bl w:val="nil"/>
            </w:tcBorders>
            <w:vAlign w:val="center"/>
          </w:tcPr>
          <w:p>
            <w:pPr>
              <w:pStyle w:val="63"/>
            </w:pPr>
            <w:r>
              <w:rPr>
                <w:rFonts w:hint="eastAsia"/>
              </w:rPr>
              <w:t>吊笼内应有安全操作规程，操作按钮及其他危险处应有醒目的警示标志，施工升降机应设限载和楼层标志</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tcBorders>
              <w:tl2br w:val="nil"/>
              <w:tr2bl w:val="nil"/>
            </w:tcBorders>
            <w:vAlign w:val="center"/>
          </w:tcPr>
          <w:p>
            <w:pPr>
              <w:pStyle w:val="63"/>
            </w:pPr>
            <w:r>
              <w:rPr>
                <w:rFonts w:hint="eastAsia"/>
              </w:rPr>
              <w:t>基础</w:t>
            </w:r>
          </w:p>
          <w:p>
            <w:pPr>
              <w:pStyle w:val="63"/>
            </w:pPr>
            <w:r>
              <w:rPr>
                <w:rFonts w:hint="eastAsia"/>
              </w:rPr>
              <w:t>和</w:t>
            </w:r>
          </w:p>
          <w:p>
            <w:pPr>
              <w:pStyle w:val="63"/>
            </w:pPr>
            <w:r>
              <w:rPr>
                <w:rFonts w:hint="eastAsia"/>
              </w:rPr>
              <w:t>维护</w:t>
            </w:r>
          </w:p>
          <w:p>
            <w:pPr>
              <w:pStyle w:val="63"/>
            </w:pPr>
            <w:r>
              <w:rPr>
                <w:rFonts w:hint="eastAsia"/>
              </w:rPr>
              <w:t>设施</w:t>
            </w:r>
          </w:p>
        </w:tc>
        <w:tc>
          <w:tcPr>
            <w:tcW w:w="558" w:type="dxa"/>
            <w:tcBorders>
              <w:tl2br w:val="nil"/>
              <w:tr2bl w:val="nil"/>
            </w:tcBorders>
            <w:vAlign w:val="center"/>
          </w:tcPr>
          <w:p>
            <w:pPr>
              <w:pStyle w:val="63"/>
            </w:pPr>
            <w:r>
              <w:rPr>
                <w:rFonts w:hint="eastAsia"/>
              </w:rPr>
              <w:t>6</w:t>
            </w:r>
          </w:p>
        </w:tc>
        <w:tc>
          <w:tcPr>
            <w:tcW w:w="1850" w:type="dxa"/>
            <w:gridSpan w:val="2"/>
            <w:tcBorders>
              <w:tl2br w:val="nil"/>
              <w:tr2bl w:val="nil"/>
            </w:tcBorders>
            <w:vAlign w:val="center"/>
          </w:tcPr>
          <w:p>
            <w:pPr>
              <w:pStyle w:val="63"/>
            </w:pPr>
            <w:r>
              <w:rPr>
                <w:rFonts w:hint="eastAsia"/>
              </w:rPr>
              <w:t>地面防护围栏</w:t>
            </w:r>
          </w:p>
        </w:tc>
        <w:tc>
          <w:tcPr>
            <w:tcW w:w="4326" w:type="dxa"/>
            <w:gridSpan w:val="5"/>
            <w:tcBorders>
              <w:tl2br w:val="nil"/>
              <w:tr2bl w:val="nil"/>
            </w:tcBorders>
            <w:vAlign w:val="center"/>
          </w:tcPr>
          <w:p>
            <w:pPr>
              <w:pStyle w:val="63"/>
            </w:pPr>
            <w:r>
              <w:rPr>
                <w:rFonts w:hint="eastAsia"/>
              </w:rPr>
              <w:t>应装机电联锁装置，吊笼位于底部规定位置时，地面防护围栏门才能打开。地面防护围栏门开启后吊笼不能启动</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7</w:t>
            </w:r>
          </w:p>
        </w:tc>
        <w:tc>
          <w:tcPr>
            <w:tcW w:w="1850" w:type="dxa"/>
            <w:gridSpan w:val="2"/>
            <w:tcBorders>
              <w:tl2br w:val="nil"/>
              <w:tr2bl w:val="nil"/>
            </w:tcBorders>
            <w:vAlign w:val="center"/>
          </w:tcPr>
          <w:p>
            <w:pPr>
              <w:pStyle w:val="63"/>
            </w:pPr>
            <w:r>
              <w:rPr>
                <w:rFonts w:hint="eastAsia"/>
              </w:rPr>
              <w:t>地面防护围栏</w:t>
            </w:r>
          </w:p>
        </w:tc>
        <w:tc>
          <w:tcPr>
            <w:tcW w:w="4326" w:type="dxa"/>
            <w:gridSpan w:val="5"/>
            <w:tcBorders>
              <w:tl2br w:val="nil"/>
              <w:tr2bl w:val="nil"/>
            </w:tcBorders>
            <w:vAlign w:val="center"/>
          </w:tcPr>
          <w:p>
            <w:pPr>
              <w:pStyle w:val="63"/>
            </w:pPr>
            <w:r>
              <w:rPr>
                <w:rFonts w:hint="eastAsia"/>
              </w:rPr>
              <w:t>基础上吊笼和对重升降通道周围应设置地面防护围栏，高度≥1.8m</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8</w:t>
            </w:r>
          </w:p>
        </w:tc>
        <w:tc>
          <w:tcPr>
            <w:tcW w:w="1850" w:type="dxa"/>
            <w:gridSpan w:val="2"/>
            <w:tcBorders>
              <w:tl2br w:val="nil"/>
              <w:tr2bl w:val="nil"/>
            </w:tcBorders>
            <w:vAlign w:val="center"/>
          </w:tcPr>
          <w:p>
            <w:pPr>
              <w:pStyle w:val="63"/>
            </w:pPr>
            <w:r>
              <w:rPr>
                <w:rFonts w:hint="eastAsia"/>
              </w:rPr>
              <w:t>安全防护区</w:t>
            </w:r>
          </w:p>
        </w:tc>
        <w:tc>
          <w:tcPr>
            <w:tcW w:w="4326" w:type="dxa"/>
            <w:gridSpan w:val="5"/>
            <w:tcBorders>
              <w:tl2br w:val="nil"/>
              <w:tr2bl w:val="nil"/>
            </w:tcBorders>
            <w:vAlign w:val="center"/>
          </w:tcPr>
          <w:p>
            <w:pPr>
              <w:pStyle w:val="63"/>
            </w:pPr>
            <w:r>
              <w:rPr>
                <w:rFonts w:hint="eastAsia"/>
              </w:rPr>
              <w:t>当施工升降机基础下方有施工作业区时，应加设对重坠落伤人的安全防护区及其安全防护措施</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tcBorders>
              <w:tl2br w:val="nil"/>
              <w:tr2bl w:val="nil"/>
            </w:tcBorders>
            <w:textDirection w:val="tbRlV"/>
            <w:vAlign w:val="center"/>
          </w:tcPr>
          <w:p>
            <w:pPr>
              <w:pStyle w:val="63"/>
            </w:pPr>
            <w:r>
              <w:rPr>
                <w:rFonts w:hint="eastAsia"/>
              </w:rPr>
              <w:t>金 属 结 构 件</w:t>
            </w:r>
          </w:p>
        </w:tc>
        <w:tc>
          <w:tcPr>
            <w:tcW w:w="558" w:type="dxa"/>
            <w:tcBorders>
              <w:tl2br w:val="nil"/>
              <w:tr2bl w:val="nil"/>
            </w:tcBorders>
            <w:vAlign w:val="center"/>
          </w:tcPr>
          <w:p>
            <w:pPr>
              <w:pStyle w:val="63"/>
            </w:pPr>
            <w:r>
              <w:rPr>
                <w:rFonts w:hint="eastAsia"/>
              </w:rPr>
              <w:t>9</w:t>
            </w:r>
          </w:p>
        </w:tc>
        <w:tc>
          <w:tcPr>
            <w:tcW w:w="1850" w:type="dxa"/>
            <w:gridSpan w:val="2"/>
            <w:tcBorders>
              <w:tl2br w:val="nil"/>
              <w:tr2bl w:val="nil"/>
            </w:tcBorders>
            <w:vAlign w:val="center"/>
          </w:tcPr>
          <w:p>
            <w:pPr>
              <w:pStyle w:val="63"/>
            </w:pPr>
            <w:r>
              <w:rPr>
                <w:rFonts w:hint="eastAsia"/>
              </w:rPr>
              <w:t>金属结构件外观</w:t>
            </w:r>
          </w:p>
        </w:tc>
        <w:tc>
          <w:tcPr>
            <w:tcW w:w="4326" w:type="dxa"/>
            <w:gridSpan w:val="5"/>
            <w:tcBorders>
              <w:tl2br w:val="nil"/>
              <w:tr2bl w:val="nil"/>
            </w:tcBorders>
            <w:vAlign w:val="center"/>
          </w:tcPr>
          <w:p>
            <w:pPr>
              <w:pStyle w:val="63"/>
            </w:pPr>
            <w:r>
              <w:rPr>
                <w:rFonts w:hint="eastAsia"/>
              </w:rPr>
              <w:t>无明显变形、脱焊、开裂和锈蚀</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10</w:t>
            </w:r>
          </w:p>
        </w:tc>
        <w:tc>
          <w:tcPr>
            <w:tcW w:w="1850" w:type="dxa"/>
            <w:gridSpan w:val="2"/>
            <w:tcBorders>
              <w:tl2br w:val="nil"/>
              <w:tr2bl w:val="nil"/>
            </w:tcBorders>
            <w:vAlign w:val="center"/>
          </w:tcPr>
          <w:p>
            <w:pPr>
              <w:pStyle w:val="63"/>
            </w:pPr>
            <w:r>
              <w:rPr>
                <w:rFonts w:hint="eastAsia"/>
              </w:rPr>
              <w:t>螺栓连接</w:t>
            </w:r>
          </w:p>
        </w:tc>
        <w:tc>
          <w:tcPr>
            <w:tcW w:w="4326" w:type="dxa"/>
            <w:gridSpan w:val="5"/>
            <w:tcBorders>
              <w:tl2br w:val="nil"/>
              <w:tr2bl w:val="nil"/>
            </w:tcBorders>
            <w:vAlign w:val="center"/>
          </w:tcPr>
          <w:p>
            <w:pPr>
              <w:pStyle w:val="63"/>
            </w:pPr>
            <w:r>
              <w:rPr>
                <w:rFonts w:hint="eastAsia"/>
              </w:rPr>
              <w:t>紧固件安装准确、紧固可靠</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11</w:t>
            </w:r>
          </w:p>
        </w:tc>
        <w:tc>
          <w:tcPr>
            <w:tcW w:w="1850" w:type="dxa"/>
            <w:gridSpan w:val="2"/>
            <w:tcBorders>
              <w:tl2br w:val="nil"/>
              <w:tr2bl w:val="nil"/>
            </w:tcBorders>
            <w:vAlign w:val="center"/>
          </w:tcPr>
          <w:p>
            <w:pPr>
              <w:pStyle w:val="63"/>
            </w:pPr>
            <w:r>
              <w:rPr>
                <w:rFonts w:hint="eastAsia"/>
              </w:rPr>
              <w:t>销轴连接</w:t>
            </w:r>
          </w:p>
        </w:tc>
        <w:tc>
          <w:tcPr>
            <w:tcW w:w="4326" w:type="dxa"/>
            <w:gridSpan w:val="5"/>
            <w:tcBorders>
              <w:tl2br w:val="nil"/>
              <w:tr2bl w:val="nil"/>
            </w:tcBorders>
            <w:vAlign w:val="center"/>
          </w:tcPr>
          <w:p>
            <w:pPr>
              <w:pStyle w:val="63"/>
            </w:pPr>
            <w:r>
              <w:rPr>
                <w:rFonts w:hint="eastAsia"/>
              </w:rPr>
              <w:t>销轴连接定位可开</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652" w:type="dxa"/>
            <w:vMerge w:val="continue"/>
            <w:tcBorders>
              <w:tl2br w:val="nil"/>
              <w:tr2bl w:val="nil"/>
            </w:tcBorders>
            <w:vAlign w:val="center"/>
          </w:tcPr>
          <w:p>
            <w:pPr>
              <w:pStyle w:val="63"/>
            </w:pPr>
          </w:p>
        </w:tc>
        <w:tc>
          <w:tcPr>
            <w:tcW w:w="558" w:type="dxa"/>
            <w:vMerge w:val="restart"/>
            <w:tcBorders>
              <w:tl2br w:val="nil"/>
              <w:tr2bl w:val="nil"/>
            </w:tcBorders>
            <w:vAlign w:val="center"/>
          </w:tcPr>
          <w:p>
            <w:pPr>
              <w:pStyle w:val="63"/>
            </w:pPr>
            <w:r>
              <w:rPr>
                <w:rFonts w:hint="eastAsia"/>
              </w:rPr>
              <w:t>12</w:t>
            </w:r>
          </w:p>
        </w:tc>
        <w:tc>
          <w:tcPr>
            <w:tcW w:w="1850" w:type="dxa"/>
            <w:gridSpan w:val="2"/>
            <w:vMerge w:val="restart"/>
            <w:tcBorders>
              <w:tl2br w:val="nil"/>
              <w:tr2bl w:val="nil"/>
            </w:tcBorders>
            <w:vAlign w:val="center"/>
          </w:tcPr>
          <w:p>
            <w:pPr>
              <w:pStyle w:val="63"/>
            </w:pPr>
            <w:r>
              <w:rPr>
                <w:rFonts w:hint="eastAsia"/>
              </w:rPr>
              <w:t>导轨架垂直度</w:t>
            </w:r>
          </w:p>
        </w:tc>
        <w:tc>
          <w:tcPr>
            <w:tcW w:w="2058" w:type="dxa"/>
            <w:gridSpan w:val="2"/>
            <w:tcBorders>
              <w:tl2br w:val="nil"/>
              <w:tr2bl w:val="nil"/>
            </w:tcBorders>
            <w:vAlign w:val="center"/>
          </w:tcPr>
          <w:p>
            <w:pPr>
              <w:pStyle w:val="63"/>
            </w:pPr>
            <w:r>
              <w:rPr>
                <w:rFonts w:hint="eastAsia"/>
              </w:rPr>
              <w:t>架设高度h(m)                  h≤70</w:t>
            </w:r>
          </w:p>
          <w:p>
            <w:pPr>
              <w:pStyle w:val="63"/>
            </w:pPr>
            <w:r>
              <w:rPr>
                <w:rFonts w:hint="eastAsia"/>
              </w:rPr>
              <w:t>70＜h≤100</w:t>
            </w:r>
          </w:p>
          <w:p>
            <w:pPr>
              <w:pStyle w:val="63"/>
            </w:pPr>
            <w:r>
              <w:rPr>
                <w:rFonts w:hint="eastAsia"/>
              </w:rPr>
              <w:t>100＜h≤150</w:t>
            </w:r>
          </w:p>
          <w:p>
            <w:pPr>
              <w:pStyle w:val="63"/>
            </w:pPr>
            <w:r>
              <w:rPr>
                <w:rFonts w:hint="eastAsia"/>
              </w:rPr>
              <w:t>150＜h≤200</w:t>
            </w:r>
          </w:p>
          <w:p>
            <w:pPr>
              <w:pStyle w:val="63"/>
            </w:pPr>
            <w:r>
              <w:rPr>
                <w:rFonts w:hint="eastAsia"/>
              </w:rPr>
              <w:t>h＞200</w:t>
            </w:r>
          </w:p>
        </w:tc>
        <w:tc>
          <w:tcPr>
            <w:tcW w:w="2268" w:type="dxa"/>
            <w:gridSpan w:val="3"/>
            <w:tcBorders>
              <w:tl2br w:val="nil"/>
              <w:tr2bl w:val="nil"/>
            </w:tcBorders>
            <w:vAlign w:val="center"/>
          </w:tcPr>
          <w:p>
            <w:pPr>
              <w:pStyle w:val="63"/>
            </w:pPr>
            <w:r>
              <w:rPr>
                <w:rFonts w:hint="eastAsia"/>
              </w:rPr>
              <w:t>垂直度偏差（mm）</w:t>
            </w:r>
          </w:p>
          <w:p>
            <w:pPr>
              <w:pStyle w:val="63"/>
            </w:pPr>
            <w:r>
              <w:rPr>
                <w:rFonts w:hint="eastAsia"/>
              </w:rPr>
              <w:t>≤﹙1/1000﹚h</w:t>
            </w:r>
          </w:p>
          <w:p>
            <w:pPr>
              <w:pStyle w:val="63"/>
            </w:pPr>
            <w:r>
              <w:rPr>
                <w:rFonts w:hint="eastAsia"/>
              </w:rPr>
              <w:t>≤70</w:t>
            </w:r>
          </w:p>
          <w:p>
            <w:pPr>
              <w:pStyle w:val="63"/>
            </w:pPr>
            <w:r>
              <w:rPr>
                <w:rFonts w:hint="eastAsia"/>
              </w:rPr>
              <w:t>≤90</w:t>
            </w:r>
          </w:p>
          <w:p>
            <w:pPr>
              <w:pStyle w:val="63"/>
            </w:pPr>
            <w:r>
              <w:rPr>
                <w:rFonts w:hint="eastAsia"/>
              </w:rPr>
              <w:t>≤110</w:t>
            </w:r>
          </w:p>
          <w:p>
            <w:pPr>
              <w:pStyle w:val="63"/>
            </w:pPr>
            <w:r>
              <w:rPr>
                <w:rFonts w:hint="eastAsia"/>
              </w:rPr>
              <w:t>≤130</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Merge w:val="continue"/>
            <w:tcBorders>
              <w:tl2br w:val="nil"/>
              <w:tr2bl w:val="nil"/>
            </w:tcBorders>
            <w:vAlign w:val="center"/>
          </w:tcPr>
          <w:p>
            <w:pPr>
              <w:pStyle w:val="63"/>
            </w:pPr>
          </w:p>
        </w:tc>
        <w:tc>
          <w:tcPr>
            <w:tcW w:w="558" w:type="dxa"/>
            <w:vMerge w:val="continue"/>
            <w:tcBorders>
              <w:tl2br w:val="nil"/>
              <w:tr2bl w:val="nil"/>
            </w:tcBorders>
            <w:vAlign w:val="center"/>
          </w:tcPr>
          <w:p>
            <w:pPr>
              <w:pStyle w:val="63"/>
            </w:pPr>
          </w:p>
        </w:tc>
        <w:tc>
          <w:tcPr>
            <w:tcW w:w="1850" w:type="dxa"/>
            <w:gridSpan w:val="2"/>
            <w:vMerge w:val="continue"/>
            <w:tcBorders>
              <w:tl2br w:val="nil"/>
              <w:tr2bl w:val="nil"/>
            </w:tcBorders>
            <w:vAlign w:val="center"/>
          </w:tcPr>
          <w:p>
            <w:pPr>
              <w:pStyle w:val="63"/>
            </w:pPr>
          </w:p>
        </w:tc>
        <w:tc>
          <w:tcPr>
            <w:tcW w:w="4326" w:type="dxa"/>
            <w:gridSpan w:val="5"/>
            <w:tcBorders>
              <w:tl2br w:val="nil"/>
              <w:tr2bl w:val="nil"/>
            </w:tcBorders>
            <w:vAlign w:val="center"/>
          </w:tcPr>
          <w:p>
            <w:pPr>
              <w:pStyle w:val="63"/>
            </w:pP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52" w:type="dxa"/>
            <w:vMerge w:val="restart"/>
            <w:tcBorders>
              <w:tl2br w:val="nil"/>
              <w:tr2bl w:val="nil"/>
            </w:tcBorders>
            <w:vAlign w:val="center"/>
          </w:tcPr>
          <w:p>
            <w:pPr>
              <w:pStyle w:val="63"/>
            </w:pPr>
            <w:r>
              <w:rPr>
                <w:rFonts w:hint="eastAsia"/>
              </w:rPr>
              <w:t>吊笼</w:t>
            </w:r>
          </w:p>
        </w:tc>
        <w:tc>
          <w:tcPr>
            <w:tcW w:w="558" w:type="dxa"/>
            <w:tcBorders>
              <w:tl2br w:val="nil"/>
              <w:tr2bl w:val="nil"/>
            </w:tcBorders>
            <w:vAlign w:val="center"/>
          </w:tcPr>
          <w:p>
            <w:pPr>
              <w:pStyle w:val="63"/>
            </w:pPr>
            <w:r>
              <w:rPr>
                <w:rFonts w:hint="eastAsia"/>
              </w:rPr>
              <w:t>13</w:t>
            </w:r>
          </w:p>
        </w:tc>
        <w:tc>
          <w:tcPr>
            <w:tcW w:w="1850" w:type="dxa"/>
            <w:gridSpan w:val="2"/>
            <w:tcBorders>
              <w:tl2br w:val="nil"/>
              <w:tr2bl w:val="nil"/>
            </w:tcBorders>
            <w:vAlign w:val="center"/>
          </w:tcPr>
          <w:p>
            <w:pPr>
              <w:pStyle w:val="63"/>
            </w:pPr>
            <w:r>
              <w:rPr>
                <w:rFonts w:hint="eastAsia"/>
              </w:rPr>
              <w:t>紧急逃离门</w:t>
            </w:r>
          </w:p>
        </w:tc>
        <w:tc>
          <w:tcPr>
            <w:tcW w:w="4326" w:type="dxa"/>
            <w:gridSpan w:val="5"/>
            <w:tcBorders>
              <w:tl2br w:val="nil"/>
              <w:tr2bl w:val="nil"/>
            </w:tcBorders>
            <w:vAlign w:val="center"/>
          </w:tcPr>
          <w:p>
            <w:pPr>
              <w:pStyle w:val="63"/>
            </w:pPr>
            <w:r>
              <w:rPr>
                <w:rFonts w:hint="eastAsia"/>
              </w:rPr>
              <w:t>吊笼顶部应有紧急出口，装有向外开启活动板门，并配有专用扶梯。活动板门应设有安全开关，当开门时，吊笼不能启动</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14</w:t>
            </w:r>
          </w:p>
        </w:tc>
        <w:tc>
          <w:tcPr>
            <w:tcW w:w="1850" w:type="dxa"/>
            <w:gridSpan w:val="2"/>
            <w:tcBorders>
              <w:tl2br w:val="nil"/>
              <w:tr2bl w:val="nil"/>
            </w:tcBorders>
            <w:vAlign w:val="center"/>
          </w:tcPr>
          <w:p>
            <w:pPr>
              <w:pStyle w:val="63"/>
            </w:pPr>
            <w:r>
              <w:rPr>
                <w:rFonts w:hint="eastAsia"/>
              </w:rPr>
              <w:t>吊笼顶部护栏</w:t>
            </w:r>
          </w:p>
        </w:tc>
        <w:tc>
          <w:tcPr>
            <w:tcW w:w="4326" w:type="dxa"/>
            <w:gridSpan w:val="5"/>
            <w:tcBorders>
              <w:tl2br w:val="nil"/>
              <w:tr2bl w:val="nil"/>
            </w:tcBorders>
            <w:vAlign w:val="center"/>
          </w:tcPr>
          <w:p>
            <w:pPr>
              <w:pStyle w:val="63"/>
            </w:pPr>
            <w:r>
              <w:rPr>
                <w:rFonts w:hint="eastAsia"/>
              </w:rPr>
              <w:t>吊笼顶周围应设置护栏，高度≥1.05m</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tcBorders>
              <w:tl2br w:val="nil"/>
              <w:tr2bl w:val="nil"/>
            </w:tcBorders>
            <w:vAlign w:val="center"/>
          </w:tcPr>
          <w:p>
            <w:pPr>
              <w:pStyle w:val="63"/>
            </w:pPr>
            <w:r>
              <w:rPr>
                <w:rFonts w:hint="eastAsia"/>
              </w:rPr>
              <w:t>层门</w:t>
            </w:r>
          </w:p>
        </w:tc>
        <w:tc>
          <w:tcPr>
            <w:tcW w:w="558" w:type="dxa"/>
            <w:tcBorders>
              <w:tl2br w:val="nil"/>
              <w:tr2bl w:val="nil"/>
            </w:tcBorders>
            <w:vAlign w:val="center"/>
          </w:tcPr>
          <w:p>
            <w:pPr>
              <w:pStyle w:val="63"/>
            </w:pPr>
            <w:r>
              <w:rPr>
                <w:rFonts w:hint="eastAsia"/>
              </w:rPr>
              <w:t>15</w:t>
            </w:r>
          </w:p>
        </w:tc>
        <w:tc>
          <w:tcPr>
            <w:tcW w:w="1850" w:type="dxa"/>
            <w:gridSpan w:val="2"/>
            <w:tcBorders>
              <w:tl2br w:val="nil"/>
              <w:tr2bl w:val="nil"/>
            </w:tcBorders>
            <w:vAlign w:val="center"/>
          </w:tcPr>
          <w:p>
            <w:pPr>
              <w:pStyle w:val="63"/>
            </w:pPr>
            <w:r>
              <w:rPr>
                <w:rFonts w:hint="eastAsia"/>
              </w:rPr>
              <w:t>层站层门</w:t>
            </w:r>
          </w:p>
        </w:tc>
        <w:tc>
          <w:tcPr>
            <w:tcW w:w="4326" w:type="dxa"/>
            <w:gridSpan w:val="5"/>
            <w:tcBorders>
              <w:tl2br w:val="nil"/>
              <w:tr2bl w:val="nil"/>
            </w:tcBorders>
            <w:vAlign w:val="center"/>
          </w:tcPr>
          <w:p>
            <w:pPr>
              <w:pStyle w:val="63"/>
            </w:pPr>
            <w:r>
              <w:rPr>
                <w:rFonts w:hint="eastAsia"/>
              </w:rPr>
              <w:t>应设置层站层门，层门只能有司机启闭，吊笼门与层站边缘水平距离≤50mm</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restart"/>
            <w:tcBorders>
              <w:tl2br w:val="nil"/>
              <w:tr2bl w:val="nil"/>
            </w:tcBorders>
            <w:vAlign w:val="center"/>
          </w:tcPr>
          <w:p>
            <w:pPr>
              <w:pStyle w:val="63"/>
            </w:pPr>
            <w:r>
              <w:rPr>
                <w:rFonts w:hint="eastAsia"/>
              </w:rPr>
              <w:t>传动及</w:t>
            </w:r>
          </w:p>
          <w:p>
            <w:pPr>
              <w:pStyle w:val="63"/>
            </w:pPr>
            <w:r>
              <w:rPr>
                <w:rFonts w:hint="eastAsia"/>
              </w:rPr>
              <w:t>导向</w:t>
            </w:r>
          </w:p>
        </w:tc>
        <w:tc>
          <w:tcPr>
            <w:tcW w:w="558" w:type="dxa"/>
            <w:tcBorders>
              <w:tl2br w:val="nil"/>
              <w:tr2bl w:val="nil"/>
            </w:tcBorders>
            <w:vAlign w:val="center"/>
          </w:tcPr>
          <w:p>
            <w:pPr>
              <w:pStyle w:val="63"/>
            </w:pPr>
            <w:r>
              <w:rPr>
                <w:rFonts w:hint="eastAsia"/>
              </w:rPr>
              <w:t>16</w:t>
            </w:r>
          </w:p>
        </w:tc>
        <w:tc>
          <w:tcPr>
            <w:tcW w:w="1850" w:type="dxa"/>
            <w:gridSpan w:val="2"/>
            <w:tcBorders>
              <w:tl2br w:val="nil"/>
              <w:tr2bl w:val="nil"/>
            </w:tcBorders>
            <w:vAlign w:val="center"/>
          </w:tcPr>
          <w:p>
            <w:pPr>
              <w:pStyle w:val="63"/>
            </w:pPr>
            <w:r>
              <w:rPr>
                <w:rFonts w:hint="eastAsia"/>
              </w:rPr>
              <w:t>防护装置</w:t>
            </w:r>
          </w:p>
        </w:tc>
        <w:tc>
          <w:tcPr>
            <w:tcW w:w="4326" w:type="dxa"/>
            <w:gridSpan w:val="5"/>
            <w:tcBorders>
              <w:tl2br w:val="nil"/>
              <w:tr2bl w:val="nil"/>
            </w:tcBorders>
            <w:vAlign w:val="center"/>
          </w:tcPr>
          <w:p>
            <w:pPr>
              <w:pStyle w:val="63"/>
            </w:pPr>
            <w:r>
              <w:rPr>
                <w:rFonts w:hint="eastAsia"/>
              </w:rPr>
              <w:t>转动零部件的外露部分应有防护罩等防护装置</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17</w:t>
            </w:r>
          </w:p>
        </w:tc>
        <w:tc>
          <w:tcPr>
            <w:tcW w:w="1850" w:type="dxa"/>
            <w:gridSpan w:val="2"/>
            <w:tcBorders>
              <w:tl2br w:val="nil"/>
              <w:tr2bl w:val="nil"/>
            </w:tcBorders>
            <w:vAlign w:val="center"/>
          </w:tcPr>
          <w:p>
            <w:pPr>
              <w:pStyle w:val="63"/>
            </w:pPr>
            <w:r>
              <w:rPr>
                <w:rFonts w:hint="eastAsia"/>
              </w:rPr>
              <w:t>制动器</w:t>
            </w:r>
          </w:p>
        </w:tc>
        <w:tc>
          <w:tcPr>
            <w:tcW w:w="4326" w:type="dxa"/>
            <w:gridSpan w:val="5"/>
            <w:tcBorders>
              <w:tl2br w:val="nil"/>
              <w:tr2bl w:val="nil"/>
            </w:tcBorders>
            <w:vAlign w:val="center"/>
          </w:tcPr>
          <w:p>
            <w:pPr>
              <w:pStyle w:val="63"/>
            </w:pPr>
            <w:r>
              <w:rPr>
                <w:rFonts w:hint="eastAsia"/>
              </w:rPr>
              <w:t>制动性能良好，有手动松闸功能</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18</w:t>
            </w:r>
          </w:p>
        </w:tc>
        <w:tc>
          <w:tcPr>
            <w:tcW w:w="1850" w:type="dxa"/>
            <w:gridSpan w:val="2"/>
            <w:tcBorders>
              <w:tl2br w:val="nil"/>
              <w:tr2bl w:val="nil"/>
            </w:tcBorders>
            <w:vAlign w:val="center"/>
          </w:tcPr>
          <w:p>
            <w:pPr>
              <w:pStyle w:val="63"/>
            </w:pPr>
            <w:r>
              <w:rPr>
                <w:rFonts w:hint="eastAsia"/>
              </w:rPr>
              <w:t>齿条对接</w:t>
            </w:r>
          </w:p>
        </w:tc>
        <w:tc>
          <w:tcPr>
            <w:tcW w:w="4326" w:type="dxa"/>
            <w:gridSpan w:val="5"/>
            <w:tcBorders>
              <w:tl2br w:val="nil"/>
              <w:tr2bl w:val="nil"/>
            </w:tcBorders>
            <w:vAlign w:val="center"/>
          </w:tcPr>
          <w:p>
            <w:pPr>
              <w:pStyle w:val="63"/>
            </w:pPr>
            <w:r>
              <w:rPr>
                <w:rFonts w:hint="eastAsia"/>
              </w:rPr>
              <w:t>相邻两齿条的对接处沿齿高方向的阶差应≤0.3mm，沿长度的齿差应≤0.6mm</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19</w:t>
            </w:r>
          </w:p>
        </w:tc>
        <w:tc>
          <w:tcPr>
            <w:tcW w:w="1850" w:type="dxa"/>
            <w:gridSpan w:val="2"/>
            <w:tcBorders>
              <w:tl2br w:val="nil"/>
              <w:tr2bl w:val="nil"/>
            </w:tcBorders>
            <w:vAlign w:val="center"/>
          </w:tcPr>
          <w:p>
            <w:pPr>
              <w:pStyle w:val="63"/>
            </w:pPr>
            <w:r>
              <w:rPr>
                <w:rFonts w:hint="eastAsia"/>
              </w:rPr>
              <w:t>齿轮齿条齿啮合</w:t>
            </w:r>
          </w:p>
        </w:tc>
        <w:tc>
          <w:tcPr>
            <w:tcW w:w="4326" w:type="dxa"/>
            <w:gridSpan w:val="5"/>
            <w:tcBorders>
              <w:tl2br w:val="nil"/>
              <w:tr2bl w:val="nil"/>
            </w:tcBorders>
            <w:vAlign w:val="center"/>
          </w:tcPr>
          <w:p>
            <w:pPr>
              <w:pStyle w:val="63"/>
            </w:pPr>
            <w:r>
              <w:rPr>
                <w:rFonts w:hint="eastAsia"/>
              </w:rPr>
              <w:t>齿条应有90%以上的计算宽度参合啮合，且与齿轮的啮合侧应为0.2mm-0.5mm</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20</w:t>
            </w:r>
          </w:p>
        </w:tc>
        <w:tc>
          <w:tcPr>
            <w:tcW w:w="1850" w:type="dxa"/>
            <w:gridSpan w:val="2"/>
            <w:tcBorders>
              <w:tl2br w:val="nil"/>
              <w:tr2bl w:val="nil"/>
            </w:tcBorders>
            <w:vAlign w:val="center"/>
          </w:tcPr>
          <w:p>
            <w:pPr>
              <w:pStyle w:val="63"/>
            </w:pPr>
            <w:r>
              <w:rPr>
                <w:rFonts w:hint="eastAsia"/>
              </w:rPr>
              <w:t>导向轮及背轮</w:t>
            </w:r>
          </w:p>
        </w:tc>
        <w:tc>
          <w:tcPr>
            <w:tcW w:w="4326" w:type="dxa"/>
            <w:gridSpan w:val="5"/>
            <w:tcBorders>
              <w:tl2br w:val="nil"/>
              <w:tr2bl w:val="nil"/>
            </w:tcBorders>
            <w:vAlign w:val="center"/>
          </w:tcPr>
          <w:p>
            <w:pPr>
              <w:pStyle w:val="63"/>
            </w:pPr>
            <w:r>
              <w:rPr>
                <w:rFonts w:hint="eastAsia"/>
              </w:rPr>
              <w:t>连接及润滑应良好、导向灵活、无明显倾侧现象</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restart"/>
            <w:tcBorders>
              <w:tl2br w:val="nil"/>
              <w:tr2bl w:val="nil"/>
            </w:tcBorders>
            <w:vAlign w:val="center"/>
          </w:tcPr>
          <w:p>
            <w:pPr>
              <w:pStyle w:val="63"/>
            </w:pPr>
            <w:r>
              <w:rPr>
                <w:rFonts w:hint="eastAsia"/>
              </w:rPr>
              <w:t>附着装置</w:t>
            </w:r>
          </w:p>
        </w:tc>
        <w:tc>
          <w:tcPr>
            <w:tcW w:w="558" w:type="dxa"/>
            <w:tcBorders>
              <w:tl2br w:val="nil"/>
              <w:tr2bl w:val="nil"/>
            </w:tcBorders>
            <w:vAlign w:val="center"/>
          </w:tcPr>
          <w:p>
            <w:pPr>
              <w:pStyle w:val="63"/>
            </w:pPr>
            <w:r>
              <w:rPr>
                <w:rFonts w:hint="eastAsia"/>
              </w:rPr>
              <w:t>21</w:t>
            </w:r>
          </w:p>
        </w:tc>
        <w:tc>
          <w:tcPr>
            <w:tcW w:w="1850" w:type="dxa"/>
            <w:gridSpan w:val="2"/>
            <w:tcBorders>
              <w:tl2br w:val="nil"/>
              <w:tr2bl w:val="nil"/>
            </w:tcBorders>
            <w:vAlign w:val="center"/>
          </w:tcPr>
          <w:p>
            <w:pPr>
              <w:pStyle w:val="63"/>
            </w:pPr>
            <w:r>
              <w:rPr>
                <w:rFonts w:hint="eastAsia"/>
              </w:rPr>
              <w:t>附着装置</w:t>
            </w:r>
          </w:p>
        </w:tc>
        <w:tc>
          <w:tcPr>
            <w:tcW w:w="4326" w:type="dxa"/>
            <w:gridSpan w:val="5"/>
            <w:tcBorders>
              <w:tl2br w:val="nil"/>
              <w:tr2bl w:val="nil"/>
            </w:tcBorders>
            <w:vAlign w:val="center"/>
          </w:tcPr>
          <w:p>
            <w:pPr>
              <w:pStyle w:val="63"/>
            </w:pPr>
            <w:r>
              <w:rPr>
                <w:rFonts w:hint="eastAsia"/>
              </w:rPr>
              <w:t>应采用配套标准产品</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22</w:t>
            </w:r>
          </w:p>
        </w:tc>
        <w:tc>
          <w:tcPr>
            <w:tcW w:w="1850" w:type="dxa"/>
            <w:gridSpan w:val="2"/>
            <w:tcBorders>
              <w:tl2br w:val="nil"/>
              <w:tr2bl w:val="nil"/>
            </w:tcBorders>
            <w:vAlign w:val="center"/>
          </w:tcPr>
          <w:p>
            <w:pPr>
              <w:pStyle w:val="63"/>
            </w:pPr>
            <w:r>
              <w:rPr>
                <w:rFonts w:hint="eastAsia"/>
              </w:rPr>
              <w:t>附着间距</w:t>
            </w:r>
          </w:p>
        </w:tc>
        <w:tc>
          <w:tcPr>
            <w:tcW w:w="4326" w:type="dxa"/>
            <w:gridSpan w:val="5"/>
            <w:tcBorders>
              <w:tl2br w:val="nil"/>
              <w:tr2bl w:val="nil"/>
            </w:tcBorders>
            <w:vAlign w:val="center"/>
          </w:tcPr>
          <w:p>
            <w:pPr>
              <w:pStyle w:val="63"/>
            </w:pPr>
            <w:r>
              <w:rPr>
                <w:rFonts w:hint="eastAsia"/>
              </w:rPr>
              <w:t>应符合使用说明书要求或设计要求</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23</w:t>
            </w:r>
          </w:p>
        </w:tc>
        <w:tc>
          <w:tcPr>
            <w:tcW w:w="1850" w:type="dxa"/>
            <w:gridSpan w:val="2"/>
            <w:tcBorders>
              <w:tl2br w:val="nil"/>
              <w:tr2bl w:val="nil"/>
            </w:tcBorders>
            <w:vAlign w:val="center"/>
          </w:tcPr>
          <w:p>
            <w:pPr>
              <w:pStyle w:val="63"/>
            </w:pPr>
            <w:r>
              <w:rPr>
                <w:rFonts w:hint="eastAsia"/>
              </w:rPr>
              <w:t>自由端高度</w:t>
            </w:r>
          </w:p>
        </w:tc>
        <w:tc>
          <w:tcPr>
            <w:tcW w:w="4326" w:type="dxa"/>
            <w:gridSpan w:val="5"/>
            <w:tcBorders>
              <w:tl2br w:val="nil"/>
              <w:tr2bl w:val="nil"/>
            </w:tcBorders>
            <w:vAlign w:val="center"/>
          </w:tcPr>
          <w:p>
            <w:pPr>
              <w:pStyle w:val="63"/>
            </w:pPr>
            <w:r>
              <w:rPr>
                <w:rFonts w:hint="eastAsia"/>
              </w:rPr>
              <w:t>应符合使用说明书要求</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24</w:t>
            </w:r>
          </w:p>
        </w:tc>
        <w:tc>
          <w:tcPr>
            <w:tcW w:w="1850" w:type="dxa"/>
            <w:gridSpan w:val="2"/>
            <w:tcBorders>
              <w:tl2br w:val="nil"/>
              <w:tr2bl w:val="nil"/>
            </w:tcBorders>
            <w:vAlign w:val="center"/>
          </w:tcPr>
          <w:p>
            <w:pPr>
              <w:pStyle w:val="63"/>
            </w:pPr>
            <w:r>
              <w:rPr>
                <w:rFonts w:hint="eastAsia"/>
              </w:rPr>
              <w:t>与构筑物连接</w:t>
            </w:r>
          </w:p>
        </w:tc>
        <w:tc>
          <w:tcPr>
            <w:tcW w:w="4326" w:type="dxa"/>
            <w:gridSpan w:val="5"/>
            <w:tcBorders>
              <w:tl2br w:val="nil"/>
              <w:tr2bl w:val="nil"/>
            </w:tcBorders>
            <w:vAlign w:val="center"/>
          </w:tcPr>
          <w:p>
            <w:pPr>
              <w:pStyle w:val="63"/>
            </w:pPr>
            <w:r>
              <w:rPr>
                <w:rFonts w:hint="eastAsia"/>
              </w:rPr>
              <w:t>应牢固可靠</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restart"/>
            <w:tcBorders>
              <w:tl2br w:val="nil"/>
              <w:tr2bl w:val="nil"/>
            </w:tcBorders>
            <w:vAlign w:val="center"/>
          </w:tcPr>
          <w:p>
            <w:pPr>
              <w:pStyle w:val="63"/>
            </w:pPr>
            <w:r>
              <w:rPr>
                <w:rFonts w:hint="eastAsia"/>
              </w:rPr>
              <w:t>安</w:t>
            </w:r>
          </w:p>
          <w:p>
            <w:pPr>
              <w:pStyle w:val="63"/>
            </w:pPr>
            <w:r>
              <w:rPr>
                <w:rFonts w:hint="eastAsia"/>
              </w:rPr>
              <w:t>全</w:t>
            </w:r>
          </w:p>
          <w:p>
            <w:pPr>
              <w:pStyle w:val="63"/>
            </w:pPr>
            <w:r>
              <w:rPr>
                <w:rFonts w:hint="eastAsia"/>
              </w:rPr>
              <w:t>装</w:t>
            </w:r>
          </w:p>
          <w:p>
            <w:pPr>
              <w:pStyle w:val="63"/>
            </w:pPr>
            <w:r>
              <w:rPr>
                <w:rFonts w:hint="eastAsia"/>
              </w:rPr>
              <w:t>置</w:t>
            </w:r>
          </w:p>
        </w:tc>
        <w:tc>
          <w:tcPr>
            <w:tcW w:w="558" w:type="dxa"/>
            <w:tcBorders>
              <w:tl2br w:val="nil"/>
              <w:tr2bl w:val="nil"/>
            </w:tcBorders>
            <w:vAlign w:val="center"/>
          </w:tcPr>
          <w:p>
            <w:pPr>
              <w:pStyle w:val="63"/>
            </w:pPr>
            <w:r>
              <w:rPr>
                <w:rFonts w:hint="eastAsia"/>
              </w:rPr>
              <w:t>25</w:t>
            </w:r>
          </w:p>
        </w:tc>
        <w:tc>
          <w:tcPr>
            <w:tcW w:w="1850" w:type="dxa"/>
            <w:gridSpan w:val="2"/>
            <w:tcBorders>
              <w:tl2br w:val="nil"/>
              <w:tr2bl w:val="nil"/>
            </w:tcBorders>
            <w:vAlign w:val="center"/>
          </w:tcPr>
          <w:p>
            <w:pPr>
              <w:pStyle w:val="63"/>
            </w:pPr>
            <w:r>
              <w:rPr>
                <w:rFonts w:hint="eastAsia"/>
              </w:rPr>
              <w:t>防坠安全器</w:t>
            </w:r>
          </w:p>
        </w:tc>
        <w:tc>
          <w:tcPr>
            <w:tcW w:w="4326" w:type="dxa"/>
            <w:gridSpan w:val="5"/>
            <w:tcBorders>
              <w:tl2br w:val="nil"/>
              <w:tr2bl w:val="nil"/>
            </w:tcBorders>
            <w:vAlign w:val="center"/>
          </w:tcPr>
          <w:p>
            <w:pPr>
              <w:pStyle w:val="63"/>
            </w:pPr>
            <w:r>
              <w:rPr>
                <w:rFonts w:hint="eastAsia"/>
              </w:rPr>
              <w:t>只能在有效标定周期内使用（应提供检测合格证）</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26</w:t>
            </w:r>
          </w:p>
        </w:tc>
        <w:tc>
          <w:tcPr>
            <w:tcW w:w="1850" w:type="dxa"/>
            <w:gridSpan w:val="2"/>
            <w:tcBorders>
              <w:tl2br w:val="nil"/>
              <w:tr2bl w:val="nil"/>
            </w:tcBorders>
            <w:vAlign w:val="center"/>
          </w:tcPr>
          <w:p>
            <w:pPr>
              <w:pStyle w:val="63"/>
            </w:pPr>
            <w:r>
              <w:rPr>
                <w:rFonts w:hint="eastAsia"/>
              </w:rPr>
              <w:t>防送绳开关</w:t>
            </w:r>
          </w:p>
        </w:tc>
        <w:tc>
          <w:tcPr>
            <w:tcW w:w="4326" w:type="dxa"/>
            <w:gridSpan w:val="5"/>
            <w:tcBorders>
              <w:tl2br w:val="nil"/>
              <w:tr2bl w:val="nil"/>
            </w:tcBorders>
            <w:vAlign w:val="center"/>
          </w:tcPr>
          <w:p>
            <w:pPr>
              <w:pStyle w:val="63"/>
            </w:pPr>
            <w:r>
              <w:rPr>
                <w:rFonts w:hint="eastAsia"/>
              </w:rPr>
              <w:t>对重应设置松绳开关</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609"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27</w:t>
            </w:r>
          </w:p>
        </w:tc>
        <w:tc>
          <w:tcPr>
            <w:tcW w:w="1850" w:type="dxa"/>
            <w:gridSpan w:val="2"/>
            <w:tcBorders>
              <w:tl2br w:val="nil"/>
              <w:tr2bl w:val="nil"/>
            </w:tcBorders>
            <w:vAlign w:val="center"/>
          </w:tcPr>
          <w:p>
            <w:pPr>
              <w:pStyle w:val="63"/>
            </w:pPr>
            <w:r>
              <w:rPr>
                <w:rFonts w:hint="eastAsia"/>
              </w:rPr>
              <w:t>安全钩</w:t>
            </w:r>
          </w:p>
        </w:tc>
        <w:tc>
          <w:tcPr>
            <w:tcW w:w="4326" w:type="dxa"/>
            <w:gridSpan w:val="5"/>
            <w:tcBorders>
              <w:tl2br w:val="nil"/>
              <w:tr2bl w:val="nil"/>
            </w:tcBorders>
            <w:vAlign w:val="center"/>
          </w:tcPr>
          <w:p>
            <w:pPr>
              <w:pStyle w:val="63"/>
            </w:pPr>
            <w:r>
              <w:rPr>
                <w:rFonts w:hint="eastAsia"/>
              </w:rPr>
              <w:t>安装位置及结构应能防止吊笼脱离导轨架或安全器的输出齿轮脱离齿条</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912"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28</w:t>
            </w:r>
          </w:p>
        </w:tc>
        <w:tc>
          <w:tcPr>
            <w:tcW w:w="1850" w:type="dxa"/>
            <w:gridSpan w:val="2"/>
            <w:tcBorders>
              <w:tl2br w:val="nil"/>
              <w:tr2bl w:val="nil"/>
            </w:tcBorders>
            <w:vAlign w:val="center"/>
          </w:tcPr>
          <w:p>
            <w:pPr>
              <w:pStyle w:val="63"/>
            </w:pPr>
            <w:r>
              <w:rPr>
                <w:rFonts w:hint="eastAsia"/>
              </w:rPr>
              <w:t>上限位</w:t>
            </w:r>
          </w:p>
        </w:tc>
        <w:tc>
          <w:tcPr>
            <w:tcW w:w="4326" w:type="dxa"/>
            <w:gridSpan w:val="5"/>
            <w:tcBorders>
              <w:tl2br w:val="nil"/>
              <w:tr2bl w:val="nil"/>
            </w:tcBorders>
            <w:vAlign w:val="center"/>
          </w:tcPr>
          <w:p>
            <w:pPr>
              <w:pStyle w:val="63"/>
            </w:pPr>
            <w:r>
              <w:rPr>
                <w:rFonts w:hint="eastAsia"/>
              </w:rPr>
              <w:t>安装位置，提升速度V＜0.8（m/s）时，留有上部安全距离应≥1.8（m）;V≥0.8(m/s)时，留有上部安全距离应≥1.8+0.1V²（m）</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29</w:t>
            </w:r>
          </w:p>
        </w:tc>
        <w:tc>
          <w:tcPr>
            <w:tcW w:w="1850" w:type="dxa"/>
            <w:gridSpan w:val="2"/>
            <w:tcBorders>
              <w:tl2br w:val="nil"/>
              <w:tr2bl w:val="nil"/>
            </w:tcBorders>
            <w:vAlign w:val="center"/>
          </w:tcPr>
          <w:p>
            <w:pPr>
              <w:pStyle w:val="63"/>
            </w:pPr>
            <w:r>
              <w:rPr>
                <w:rFonts w:hint="eastAsia"/>
              </w:rPr>
              <w:t>上极限开关</w:t>
            </w:r>
          </w:p>
        </w:tc>
        <w:tc>
          <w:tcPr>
            <w:tcW w:w="4326" w:type="dxa"/>
            <w:gridSpan w:val="5"/>
            <w:tcBorders>
              <w:tl2br w:val="nil"/>
              <w:tr2bl w:val="nil"/>
            </w:tcBorders>
            <w:vAlign w:val="center"/>
          </w:tcPr>
          <w:p>
            <w:pPr>
              <w:pStyle w:val="63"/>
            </w:pPr>
            <w:r>
              <w:rPr>
                <w:rFonts w:hint="eastAsia"/>
              </w:rPr>
              <w:t>极限位开关应为非自动复位型，动作时能切断总电源，动作后须手动复位才能使吊笼启动</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30</w:t>
            </w:r>
          </w:p>
        </w:tc>
        <w:tc>
          <w:tcPr>
            <w:tcW w:w="1850" w:type="dxa"/>
            <w:gridSpan w:val="2"/>
            <w:tcBorders>
              <w:tl2br w:val="nil"/>
              <w:tr2bl w:val="nil"/>
            </w:tcBorders>
            <w:vAlign w:val="center"/>
          </w:tcPr>
          <w:p>
            <w:pPr>
              <w:pStyle w:val="63"/>
            </w:pPr>
            <w:r>
              <w:rPr>
                <w:rFonts w:hint="eastAsia"/>
              </w:rPr>
              <w:t>越程距离</w:t>
            </w:r>
          </w:p>
        </w:tc>
        <w:tc>
          <w:tcPr>
            <w:tcW w:w="4326" w:type="dxa"/>
            <w:gridSpan w:val="5"/>
            <w:tcBorders>
              <w:tl2br w:val="nil"/>
              <w:tr2bl w:val="nil"/>
            </w:tcBorders>
            <w:vAlign w:val="center"/>
          </w:tcPr>
          <w:p>
            <w:pPr>
              <w:pStyle w:val="63"/>
            </w:pPr>
            <w:r>
              <w:rPr>
                <w:rFonts w:hint="eastAsia"/>
              </w:rPr>
              <w:t>上限位和上极限开关之间的越程距离应≥0.15m</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31</w:t>
            </w:r>
          </w:p>
        </w:tc>
        <w:tc>
          <w:tcPr>
            <w:tcW w:w="1850" w:type="dxa"/>
            <w:gridSpan w:val="2"/>
            <w:tcBorders>
              <w:tl2br w:val="nil"/>
              <w:tr2bl w:val="nil"/>
            </w:tcBorders>
            <w:vAlign w:val="center"/>
          </w:tcPr>
          <w:p>
            <w:pPr>
              <w:pStyle w:val="63"/>
            </w:pPr>
            <w:r>
              <w:rPr>
                <w:rFonts w:hint="eastAsia"/>
              </w:rPr>
              <w:t>下限位</w:t>
            </w:r>
          </w:p>
        </w:tc>
        <w:tc>
          <w:tcPr>
            <w:tcW w:w="4326" w:type="dxa"/>
            <w:gridSpan w:val="5"/>
            <w:tcBorders>
              <w:tl2br w:val="nil"/>
              <w:tr2bl w:val="nil"/>
            </w:tcBorders>
            <w:vAlign w:val="center"/>
          </w:tcPr>
          <w:p>
            <w:pPr>
              <w:pStyle w:val="63"/>
            </w:pPr>
            <w:r>
              <w:rPr>
                <w:rFonts w:hint="eastAsia"/>
              </w:rPr>
              <w:t>安装位置，应在吊笼制停时，距下限位开关一定距离</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620"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32</w:t>
            </w:r>
          </w:p>
        </w:tc>
        <w:tc>
          <w:tcPr>
            <w:tcW w:w="1850" w:type="dxa"/>
            <w:gridSpan w:val="2"/>
            <w:tcBorders>
              <w:tl2br w:val="nil"/>
              <w:tr2bl w:val="nil"/>
            </w:tcBorders>
            <w:vAlign w:val="center"/>
          </w:tcPr>
          <w:p>
            <w:pPr>
              <w:pStyle w:val="63"/>
            </w:pPr>
            <w:r>
              <w:rPr>
                <w:rFonts w:hint="eastAsia"/>
              </w:rPr>
              <w:t>下极限位开关</w:t>
            </w:r>
          </w:p>
        </w:tc>
        <w:tc>
          <w:tcPr>
            <w:tcW w:w="4326" w:type="dxa"/>
            <w:gridSpan w:val="5"/>
            <w:tcBorders>
              <w:tl2br w:val="nil"/>
              <w:tr2bl w:val="nil"/>
            </w:tcBorders>
            <w:vAlign w:val="center"/>
          </w:tcPr>
          <w:p>
            <w:pPr>
              <w:pStyle w:val="63"/>
            </w:pPr>
            <w:r>
              <w:rPr>
                <w:rFonts w:hint="eastAsia"/>
              </w:rPr>
              <w:t>在正常工作情况下，吊笼碰到缓冲器之前，下极限开关应首先动作</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restart"/>
            <w:tcBorders>
              <w:tl2br w:val="nil"/>
              <w:tr2bl w:val="nil"/>
            </w:tcBorders>
            <w:vAlign w:val="center"/>
          </w:tcPr>
          <w:p>
            <w:pPr>
              <w:pStyle w:val="63"/>
            </w:pPr>
            <w:r>
              <w:rPr>
                <w:rFonts w:hint="eastAsia"/>
              </w:rPr>
              <w:t>电</w:t>
            </w:r>
          </w:p>
          <w:p>
            <w:pPr>
              <w:pStyle w:val="63"/>
            </w:pPr>
            <w:r>
              <w:rPr>
                <w:rFonts w:hint="eastAsia"/>
              </w:rPr>
              <w:t>气</w:t>
            </w:r>
          </w:p>
          <w:p>
            <w:pPr>
              <w:pStyle w:val="63"/>
            </w:pPr>
            <w:r>
              <w:rPr>
                <w:rFonts w:hint="eastAsia"/>
              </w:rPr>
              <w:t>系</w:t>
            </w:r>
          </w:p>
          <w:p>
            <w:pPr>
              <w:pStyle w:val="63"/>
            </w:pPr>
            <w:r>
              <w:rPr>
                <w:rFonts w:hint="eastAsia"/>
              </w:rPr>
              <w:t>统</w:t>
            </w:r>
          </w:p>
        </w:tc>
        <w:tc>
          <w:tcPr>
            <w:tcW w:w="558" w:type="dxa"/>
            <w:tcBorders>
              <w:tl2br w:val="nil"/>
              <w:tr2bl w:val="nil"/>
            </w:tcBorders>
            <w:vAlign w:val="center"/>
          </w:tcPr>
          <w:p>
            <w:pPr>
              <w:pStyle w:val="63"/>
            </w:pPr>
            <w:r>
              <w:rPr>
                <w:rFonts w:hint="eastAsia"/>
              </w:rPr>
              <w:t>33</w:t>
            </w:r>
          </w:p>
        </w:tc>
        <w:tc>
          <w:tcPr>
            <w:tcW w:w="1850" w:type="dxa"/>
            <w:gridSpan w:val="2"/>
            <w:tcBorders>
              <w:tl2br w:val="nil"/>
              <w:tr2bl w:val="nil"/>
            </w:tcBorders>
            <w:vAlign w:val="center"/>
          </w:tcPr>
          <w:p>
            <w:pPr>
              <w:pStyle w:val="63"/>
            </w:pPr>
            <w:r>
              <w:rPr>
                <w:rFonts w:hint="eastAsia"/>
              </w:rPr>
              <w:t>急停开关</w:t>
            </w:r>
          </w:p>
        </w:tc>
        <w:tc>
          <w:tcPr>
            <w:tcW w:w="4326" w:type="dxa"/>
            <w:gridSpan w:val="5"/>
            <w:tcBorders>
              <w:tl2br w:val="nil"/>
              <w:tr2bl w:val="nil"/>
            </w:tcBorders>
            <w:vAlign w:val="center"/>
          </w:tcPr>
          <w:p>
            <w:pPr>
              <w:pStyle w:val="63"/>
            </w:pPr>
            <w:r>
              <w:rPr>
                <w:rFonts w:hint="eastAsia"/>
              </w:rPr>
              <w:t>应在便于操作处装设非自行复位的急停开关</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502"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34</w:t>
            </w:r>
          </w:p>
        </w:tc>
        <w:tc>
          <w:tcPr>
            <w:tcW w:w="1850" w:type="dxa"/>
            <w:gridSpan w:val="2"/>
            <w:tcBorders>
              <w:tl2br w:val="nil"/>
              <w:tr2bl w:val="nil"/>
            </w:tcBorders>
            <w:vAlign w:val="center"/>
          </w:tcPr>
          <w:p>
            <w:pPr>
              <w:pStyle w:val="63"/>
            </w:pPr>
            <w:r>
              <w:rPr>
                <w:rFonts w:hint="eastAsia"/>
              </w:rPr>
              <w:t>绝缘电阻</w:t>
            </w:r>
          </w:p>
        </w:tc>
        <w:tc>
          <w:tcPr>
            <w:tcW w:w="4326" w:type="dxa"/>
            <w:gridSpan w:val="5"/>
            <w:tcBorders>
              <w:tl2br w:val="nil"/>
              <w:tr2bl w:val="nil"/>
            </w:tcBorders>
            <w:vAlign w:val="center"/>
          </w:tcPr>
          <w:p>
            <w:pPr>
              <w:pStyle w:val="63"/>
            </w:pPr>
            <w:r>
              <w:rPr>
                <w:rFonts w:hint="eastAsia"/>
              </w:rPr>
              <w:t>电动机及电子元件（电子元器件部分除外）的对地绝缘电阻应≥0.5MΩ</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35</w:t>
            </w:r>
          </w:p>
        </w:tc>
        <w:tc>
          <w:tcPr>
            <w:tcW w:w="1850" w:type="dxa"/>
            <w:gridSpan w:val="2"/>
            <w:tcBorders>
              <w:tl2br w:val="nil"/>
              <w:tr2bl w:val="nil"/>
            </w:tcBorders>
            <w:vAlign w:val="center"/>
          </w:tcPr>
          <w:p>
            <w:pPr>
              <w:pStyle w:val="63"/>
            </w:pPr>
            <w:r>
              <w:rPr>
                <w:rFonts w:hint="eastAsia"/>
              </w:rPr>
              <w:t>接地保护</w:t>
            </w:r>
          </w:p>
        </w:tc>
        <w:tc>
          <w:tcPr>
            <w:tcW w:w="4326" w:type="dxa"/>
            <w:gridSpan w:val="5"/>
            <w:tcBorders>
              <w:tl2br w:val="nil"/>
              <w:tr2bl w:val="nil"/>
            </w:tcBorders>
            <w:vAlign w:val="center"/>
          </w:tcPr>
          <w:p>
            <w:pPr>
              <w:pStyle w:val="63"/>
            </w:pPr>
            <w:r>
              <w:rPr>
                <w:rFonts w:hint="eastAsia"/>
              </w:rPr>
              <w:t>电动机与电气设备金属外壳均应接地，接地电阻应≤4Ω</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36</w:t>
            </w:r>
          </w:p>
        </w:tc>
        <w:tc>
          <w:tcPr>
            <w:tcW w:w="1850" w:type="dxa"/>
            <w:gridSpan w:val="2"/>
            <w:tcBorders>
              <w:tl2br w:val="nil"/>
              <w:tr2bl w:val="nil"/>
            </w:tcBorders>
            <w:vAlign w:val="center"/>
          </w:tcPr>
          <w:p>
            <w:pPr>
              <w:pStyle w:val="63"/>
            </w:pPr>
            <w:r>
              <w:rPr>
                <w:rFonts w:hint="eastAsia"/>
              </w:rPr>
              <w:t>失压、零位保护</w:t>
            </w:r>
          </w:p>
        </w:tc>
        <w:tc>
          <w:tcPr>
            <w:tcW w:w="4326" w:type="dxa"/>
            <w:gridSpan w:val="5"/>
            <w:tcBorders>
              <w:tl2br w:val="nil"/>
              <w:tr2bl w:val="nil"/>
            </w:tcBorders>
            <w:vAlign w:val="center"/>
          </w:tcPr>
          <w:p>
            <w:pPr>
              <w:pStyle w:val="63"/>
            </w:pPr>
            <w:r>
              <w:rPr>
                <w:rFonts w:hint="eastAsia"/>
              </w:rPr>
              <w:t>灵敏、正确</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37</w:t>
            </w:r>
          </w:p>
        </w:tc>
        <w:tc>
          <w:tcPr>
            <w:tcW w:w="1850" w:type="dxa"/>
            <w:gridSpan w:val="2"/>
            <w:tcBorders>
              <w:tl2br w:val="nil"/>
              <w:tr2bl w:val="nil"/>
            </w:tcBorders>
            <w:vAlign w:val="center"/>
          </w:tcPr>
          <w:p>
            <w:pPr>
              <w:pStyle w:val="63"/>
            </w:pPr>
            <w:r>
              <w:rPr>
                <w:rFonts w:hint="eastAsia"/>
              </w:rPr>
              <w:t>电气线路</w:t>
            </w:r>
          </w:p>
        </w:tc>
        <w:tc>
          <w:tcPr>
            <w:tcW w:w="4326" w:type="dxa"/>
            <w:gridSpan w:val="5"/>
            <w:tcBorders>
              <w:tl2br w:val="nil"/>
              <w:tr2bl w:val="nil"/>
            </w:tcBorders>
            <w:vAlign w:val="center"/>
          </w:tcPr>
          <w:p>
            <w:pPr>
              <w:pStyle w:val="63"/>
            </w:pPr>
            <w:r>
              <w:rPr>
                <w:rFonts w:hint="eastAsia"/>
              </w:rPr>
              <w:t>排列整齐，接地，零线分开</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150"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38</w:t>
            </w:r>
          </w:p>
        </w:tc>
        <w:tc>
          <w:tcPr>
            <w:tcW w:w="1850" w:type="dxa"/>
            <w:gridSpan w:val="2"/>
            <w:tcBorders>
              <w:tl2br w:val="nil"/>
              <w:tr2bl w:val="nil"/>
            </w:tcBorders>
            <w:vAlign w:val="center"/>
          </w:tcPr>
          <w:p>
            <w:pPr>
              <w:pStyle w:val="63"/>
            </w:pPr>
            <w:r>
              <w:rPr>
                <w:rFonts w:hint="eastAsia"/>
              </w:rPr>
              <w:t>相序保护装置</w:t>
            </w:r>
          </w:p>
        </w:tc>
        <w:tc>
          <w:tcPr>
            <w:tcW w:w="4326" w:type="dxa"/>
            <w:gridSpan w:val="5"/>
            <w:tcBorders>
              <w:tl2br w:val="nil"/>
              <w:tr2bl w:val="nil"/>
            </w:tcBorders>
            <w:vAlign w:val="center"/>
          </w:tcPr>
          <w:p>
            <w:pPr>
              <w:pStyle w:val="63"/>
            </w:pPr>
            <w:r>
              <w:rPr>
                <w:rFonts w:hint="eastAsia"/>
              </w:rPr>
              <w:t>应设置</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43"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39</w:t>
            </w:r>
          </w:p>
        </w:tc>
        <w:tc>
          <w:tcPr>
            <w:tcW w:w="1850" w:type="dxa"/>
            <w:gridSpan w:val="2"/>
            <w:tcBorders>
              <w:tl2br w:val="nil"/>
              <w:tr2bl w:val="nil"/>
            </w:tcBorders>
            <w:vAlign w:val="center"/>
          </w:tcPr>
          <w:p>
            <w:pPr>
              <w:pStyle w:val="63"/>
            </w:pPr>
            <w:r>
              <w:rPr>
                <w:rFonts w:hint="eastAsia"/>
              </w:rPr>
              <w:t>通信联络装置</w:t>
            </w:r>
          </w:p>
        </w:tc>
        <w:tc>
          <w:tcPr>
            <w:tcW w:w="4326" w:type="dxa"/>
            <w:gridSpan w:val="5"/>
            <w:tcBorders>
              <w:tl2br w:val="nil"/>
              <w:tr2bl w:val="nil"/>
            </w:tcBorders>
            <w:vAlign w:val="center"/>
          </w:tcPr>
          <w:p>
            <w:pPr>
              <w:pStyle w:val="63"/>
            </w:pPr>
            <w:r>
              <w:rPr>
                <w:rFonts w:hint="eastAsia"/>
              </w:rPr>
              <w:t>应设置</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85" w:type="dxa"/>
            <w:bottom w:w="0" w:type="dxa"/>
            <w:right w:w="85" w:type="dxa"/>
          </w:tblCellMar>
        </w:tblPrEx>
        <w:trPr>
          <w:trHeight w:val="390"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40</w:t>
            </w:r>
          </w:p>
        </w:tc>
        <w:tc>
          <w:tcPr>
            <w:tcW w:w="1850" w:type="dxa"/>
            <w:gridSpan w:val="2"/>
            <w:tcBorders>
              <w:tl2br w:val="nil"/>
              <w:tr2bl w:val="nil"/>
            </w:tcBorders>
            <w:vAlign w:val="center"/>
          </w:tcPr>
          <w:p>
            <w:pPr>
              <w:pStyle w:val="63"/>
            </w:pPr>
            <w:r>
              <w:rPr>
                <w:rFonts w:hint="eastAsia"/>
              </w:rPr>
              <w:t>电缆与电缆导向</w:t>
            </w:r>
          </w:p>
        </w:tc>
        <w:tc>
          <w:tcPr>
            <w:tcW w:w="4326" w:type="dxa"/>
            <w:gridSpan w:val="5"/>
            <w:tcBorders>
              <w:tl2br w:val="nil"/>
              <w:tr2bl w:val="nil"/>
            </w:tcBorders>
            <w:vAlign w:val="center"/>
          </w:tcPr>
          <w:p>
            <w:pPr>
              <w:pStyle w:val="63"/>
            </w:pPr>
            <w:r>
              <w:rPr>
                <w:rFonts w:hint="eastAsia"/>
              </w:rPr>
              <w:t>电缆应完好无破损，电缆导向架按规定设置</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52" w:type="dxa"/>
            <w:vMerge w:val="restart"/>
            <w:tcBorders>
              <w:tl2br w:val="nil"/>
              <w:tr2bl w:val="nil"/>
            </w:tcBorders>
            <w:vAlign w:val="center"/>
          </w:tcPr>
          <w:p>
            <w:pPr>
              <w:pStyle w:val="63"/>
            </w:pPr>
            <w:r>
              <w:rPr>
                <w:rFonts w:hint="eastAsia"/>
              </w:rPr>
              <w:t>对重</w:t>
            </w:r>
          </w:p>
          <w:p>
            <w:pPr>
              <w:pStyle w:val="63"/>
            </w:pPr>
            <w:r>
              <w:rPr>
                <w:rFonts w:hint="eastAsia"/>
              </w:rPr>
              <w:t>和</w:t>
            </w:r>
          </w:p>
          <w:p>
            <w:pPr>
              <w:pStyle w:val="63"/>
            </w:pPr>
            <w:r>
              <w:rPr>
                <w:rFonts w:hint="eastAsia"/>
              </w:rPr>
              <w:t>钢丝绳</w:t>
            </w:r>
          </w:p>
        </w:tc>
        <w:tc>
          <w:tcPr>
            <w:tcW w:w="558" w:type="dxa"/>
            <w:tcBorders>
              <w:tl2br w:val="nil"/>
              <w:tr2bl w:val="nil"/>
            </w:tcBorders>
            <w:vAlign w:val="center"/>
          </w:tcPr>
          <w:p>
            <w:pPr>
              <w:pStyle w:val="63"/>
            </w:pPr>
            <w:r>
              <w:rPr>
                <w:rFonts w:hint="eastAsia"/>
              </w:rPr>
              <w:t>41</w:t>
            </w:r>
          </w:p>
        </w:tc>
        <w:tc>
          <w:tcPr>
            <w:tcW w:w="1850" w:type="dxa"/>
            <w:gridSpan w:val="2"/>
            <w:tcBorders>
              <w:tl2br w:val="nil"/>
              <w:tr2bl w:val="nil"/>
            </w:tcBorders>
            <w:vAlign w:val="center"/>
          </w:tcPr>
          <w:p>
            <w:pPr>
              <w:pStyle w:val="63"/>
            </w:pPr>
            <w:r>
              <w:rPr>
                <w:rFonts w:hint="eastAsia"/>
              </w:rPr>
              <w:t>钢丝绳</w:t>
            </w:r>
          </w:p>
        </w:tc>
        <w:tc>
          <w:tcPr>
            <w:tcW w:w="4326" w:type="dxa"/>
            <w:gridSpan w:val="5"/>
            <w:tcBorders>
              <w:tl2br w:val="nil"/>
              <w:tr2bl w:val="nil"/>
            </w:tcBorders>
            <w:vAlign w:val="center"/>
          </w:tcPr>
          <w:p>
            <w:pPr>
              <w:pStyle w:val="63"/>
            </w:pPr>
            <w:r>
              <w:rPr>
                <w:rFonts w:hint="eastAsia"/>
              </w:rPr>
              <w:t>应规格正确，且未达到报废标准</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42</w:t>
            </w:r>
          </w:p>
        </w:tc>
        <w:tc>
          <w:tcPr>
            <w:tcW w:w="1850" w:type="dxa"/>
            <w:gridSpan w:val="2"/>
            <w:tcBorders>
              <w:tl2br w:val="nil"/>
              <w:tr2bl w:val="nil"/>
            </w:tcBorders>
            <w:vAlign w:val="center"/>
          </w:tcPr>
          <w:p>
            <w:pPr>
              <w:pStyle w:val="63"/>
            </w:pPr>
            <w:r>
              <w:rPr>
                <w:rFonts w:hint="eastAsia"/>
              </w:rPr>
              <w:t>对重安装</w:t>
            </w:r>
          </w:p>
        </w:tc>
        <w:tc>
          <w:tcPr>
            <w:tcW w:w="4326" w:type="dxa"/>
            <w:gridSpan w:val="5"/>
            <w:tcBorders>
              <w:tl2br w:val="nil"/>
              <w:tr2bl w:val="nil"/>
            </w:tcBorders>
            <w:vAlign w:val="center"/>
          </w:tcPr>
          <w:p>
            <w:pPr>
              <w:pStyle w:val="63"/>
            </w:pPr>
            <w:r>
              <w:rPr>
                <w:rFonts w:hint="eastAsia"/>
              </w:rPr>
              <w:t>应按使用说明书设置</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43</w:t>
            </w:r>
          </w:p>
        </w:tc>
        <w:tc>
          <w:tcPr>
            <w:tcW w:w="1850" w:type="dxa"/>
            <w:gridSpan w:val="2"/>
            <w:tcBorders>
              <w:tl2br w:val="nil"/>
              <w:tr2bl w:val="nil"/>
            </w:tcBorders>
            <w:vAlign w:val="center"/>
          </w:tcPr>
          <w:p>
            <w:pPr>
              <w:pStyle w:val="63"/>
            </w:pPr>
            <w:r>
              <w:rPr>
                <w:rFonts w:hint="eastAsia"/>
              </w:rPr>
              <w:t>对重导轨</w:t>
            </w:r>
          </w:p>
        </w:tc>
        <w:tc>
          <w:tcPr>
            <w:tcW w:w="4326" w:type="dxa"/>
            <w:gridSpan w:val="5"/>
            <w:tcBorders>
              <w:tl2br w:val="nil"/>
              <w:tr2bl w:val="nil"/>
            </w:tcBorders>
            <w:vAlign w:val="center"/>
          </w:tcPr>
          <w:p>
            <w:pPr>
              <w:pStyle w:val="63"/>
            </w:pPr>
            <w:r>
              <w:rPr>
                <w:rFonts w:hint="eastAsia"/>
              </w:rPr>
              <w:t>接缝平整，导向良好</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tcBorders>
              <w:tl2br w:val="nil"/>
              <w:tr2bl w:val="nil"/>
            </w:tcBorders>
            <w:vAlign w:val="center"/>
          </w:tcPr>
          <w:p>
            <w:pPr>
              <w:pStyle w:val="63"/>
            </w:pPr>
          </w:p>
        </w:tc>
        <w:tc>
          <w:tcPr>
            <w:tcW w:w="558" w:type="dxa"/>
            <w:tcBorders>
              <w:tl2br w:val="nil"/>
              <w:tr2bl w:val="nil"/>
            </w:tcBorders>
            <w:vAlign w:val="center"/>
          </w:tcPr>
          <w:p>
            <w:pPr>
              <w:pStyle w:val="63"/>
            </w:pPr>
            <w:r>
              <w:rPr>
                <w:rFonts w:hint="eastAsia"/>
              </w:rPr>
              <w:t>44</w:t>
            </w:r>
          </w:p>
        </w:tc>
        <w:tc>
          <w:tcPr>
            <w:tcW w:w="1850" w:type="dxa"/>
            <w:gridSpan w:val="2"/>
            <w:tcBorders>
              <w:tl2br w:val="nil"/>
              <w:tr2bl w:val="nil"/>
            </w:tcBorders>
            <w:vAlign w:val="center"/>
          </w:tcPr>
          <w:p>
            <w:pPr>
              <w:pStyle w:val="63"/>
            </w:pPr>
            <w:r>
              <w:rPr>
                <w:rFonts w:hint="eastAsia"/>
              </w:rPr>
              <w:t>钢丝绳端部固结</w:t>
            </w:r>
          </w:p>
        </w:tc>
        <w:tc>
          <w:tcPr>
            <w:tcW w:w="4326" w:type="dxa"/>
            <w:gridSpan w:val="5"/>
            <w:tcBorders>
              <w:tl2br w:val="nil"/>
              <w:tr2bl w:val="nil"/>
            </w:tcBorders>
            <w:vAlign w:val="center"/>
          </w:tcPr>
          <w:p>
            <w:pPr>
              <w:pStyle w:val="63"/>
            </w:pPr>
            <w:r>
              <w:rPr>
                <w:rFonts w:hint="eastAsia"/>
              </w:rPr>
              <w:t>应固结可靠。绳卡规格应与绳径匹配，其数量不得少于3个，间距不小于绳径的6倍，滑鞍应放在受力一侧</w:t>
            </w:r>
          </w:p>
        </w:tc>
        <w:tc>
          <w:tcPr>
            <w:tcW w:w="706" w:type="dxa"/>
            <w:tcBorders>
              <w:tl2br w:val="nil"/>
              <w:tr2bl w:val="nil"/>
            </w:tcBorders>
            <w:vAlign w:val="center"/>
          </w:tcPr>
          <w:p>
            <w:pPr>
              <w:pStyle w:val="63"/>
            </w:pPr>
          </w:p>
        </w:tc>
        <w:tc>
          <w:tcPr>
            <w:tcW w:w="1006" w:type="dxa"/>
            <w:tcBorders>
              <w:tl2br w:val="nil"/>
              <w:tr2bl w:val="nil"/>
            </w:tcBorders>
            <w:vAlign w:val="center"/>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9098" w:type="dxa"/>
            <w:gridSpan w:val="11"/>
            <w:tcBorders>
              <w:tl2br w:val="nil"/>
              <w:tr2bl w:val="nil"/>
            </w:tcBorders>
            <w:vAlign w:val="center"/>
          </w:tcPr>
          <w:p>
            <w:pPr>
              <w:ind w:firstLine="420"/>
              <w:rPr>
                <w:rFonts w:ascii="宋体" w:hAnsi="宋体" w:cs="宋体"/>
                <w:sz w:val="21"/>
              </w:rPr>
            </w:pPr>
            <w:r>
              <w:rPr>
                <w:rFonts w:hint="eastAsia" w:ascii="宋体" w:hAnsi="宋体" w:cs="宋体"/>
                <w:sz w:val="21"/>
              </w:rPr>
              <w:t>出租单位自检结论：</w:t>
            </w:r>
          </w:p>
          <w:p>
            <w:pPr>
              <w:ind w:firstLine="420"/>
              <w:jc w:val="center"/>
              <w:rPr>
                <w:rFonts w:ascii="宋体" w:hAnsi="宋体" w:cs="宋体"/>
                <w:sz w:val="21"/>
              </w:rPr>
            </w:pPr>
          </w:p>
          <w:p>
            <w:pPr>
              <w:ind w:firstLine="420"/>
              <w:jc w:val="center"/>
              <w:rPr>
                <w:rFonts w:ascii="宋体" w:hAnsi="宋体" w:cs="宋体"/>
                <w:sz w:val="21"/>
              </w:rPr>
            </w:pPr>
            <w:r>
              <w:rPr>
                <w:rFonts w:hint="eastAsia" w:ascii="宋体" w:hAnsi="宋体" w:cs="宋体"/>
                <w:sz w:val="21"/>
              </w:rPr>
              <w:t>检查人员签字：                                            检查日期：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0" w:hRule="atLeast"/>
          <w:jc w:val="center"/>
        </w:trPr>
        <w:tc>
          <w:tcPr>
            <w:tcW w:w="9098" w:type="dxa"/>
            <w:gridSpan w:val="11"/>
            <w:tcBorders>
              <w:tl2br w:val="nil"/>
              <w:tr2bl w:val="nil"/>
            </w:tcBorders>
            <w:vAlign w:val="center"/>
          </w:tcPr>
          <w:p>
            <w:pPr>
              <w:ind w:firstLine="420"/>
              <w:rPr>
                <w:rFonts w:ascii="宋体" w:hAnsi="宋体" w:cs="宋体"/>
                <w:sz w:val="21"/>
              </w:rPr>
            </w:pPr>
            <w:r>
              <w:rPr>
                <w:rFonts w:hint="eastAsia" w:ascii="宋体" w:hAnsi="宋体" w:cs="宋体"/>
                <w:sz w:val="21"/>
              </w:rPr>
              <w:t>安装单位自检结论：</w:t>
            </w:r>
          </w:p>
          <w:p>
            <w:pPr>
              <w:ind w:firstLine="420"/>
              <w:jc w:val="center"/>
              <w:rPr>
                <w:rFonts w:ascii="宋体" w:hAnsi="宋体" w:cs="宋体"/>
                <w:sz w:val="21"/>
              </w:rPr>
            </w:pPr>
          </w:p>
          <w:p>
            <w:pPr>
              <w:ind w:firstLine="420"/>
              <w:jc w:val="center"/>
              <w:rPr>
                <w:rFonts w:ascii="宋体" w:hAnsi="宋体" w:cs="宋体"/>
                <w:sz w:val="21"/>
              </w:rPr>
            </w:pPr>
          </w:p>
          <w:p>
            <w:pPr>
              <w:ind w:firstLine="420"/>
              <w:rPr>
                <w:rFonts w:ascii="宋体" w:hAnsi="宋体" w:cs="宋体"/>
                <w:sz w:val="21"/>
              </w:rPr>
            </w:pPr>
            <w:r>
              <w:rPr>
                <w:rFonts w:hint="eastAsia" w:ascii="宋体" w:hAnsi="宋体" w:cs="宋体"/>
                <w:sz w:val="21"/>
              </w:rPr>
              <w:t>安装单位（盖章）安装单位责任人：                              日 期：    年    月   日</w:t>
            </w:r>
          </w:p>
        </w:tc>
      </w:tr>
      <w:bookmarkEnd w:id="452"/>
    </w:tbl>
    <w:p>
      <w:pPr>
        <w:spacing w:line="400" w:lineRule="exact"/>
        <w:ind w:firstLine="480"/>
        <w:jc w:val="center"/>
        <w:rPr>
          <w:rFonts w:ascii="宋体" w:hAnsi="宋体" w:cs="宋体"/>
          <w:szCs w:val="24"/>
        </w:rPr>
      </w:pPr>
      <w:r>
        <w:rPr>
          <w:rFonts w:hint="eastAsia" w:ascii="宋体" w:hAnsi="宋体" w:cs="宋体"/>
          <w:szCs w:val="24"/>
        </w:rPr>
        <w:t>表C  施工升降机安装验收表</w:t>
      </w:r>
    </w:p>
    <w:tbl>
      <w:tblPr>
        <w:tblStyle w:val="44"/>
        <w:tblpPr w:leftFromText="180" w:rightFromText="180" w:vertAnchor="text" w:horzAnchor="page" w:tblpX="1609" w:tblpY="377"/>
        <w:tblOverlap w:val="never"/>
        <w:tblW w:w="90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286"/>
        <w:gridCol w:w="833"/>
        <w:gridCol w:w="2000"/>
        <w:gridCol w:w="141"/>
        <w:gridCol w:w="325"/>
        <w:gridCol w:w="1201"/>
        <w:gridCol w:w="1019"/>
        <w:gridCol w:w="1059"/>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27" w:hRule="atLeast"/>
        </w:trPr>
        <w:tc>
          <w:tcPr>
            <w:tcW w:w="1286" w:type="dxa"/>
            <w:tcBorders>
              <w:tl2br w:val="nil"/>
              <w:tr2bl w:val="nil"/>
            </w:tcBorders>
            <w:vAlign w:val="center"/>
          </w:tcPr>
          <w:p>
            <w:pPr>
              <w:pStyle w:val="63"/>
            </w:pPr>
            <w:bookmarkStart w:id="453" w:name="_Hlk108078196"/>
            <w:r>
              <w:rPr>
                <w:rFonts w:hint="eastAsia"/>
              </w:rPr>
              <w:t>工程名称</w:t>
            </w:r>
          </w:p>
        </w:tc>
        <w:tc>
          <w:tcPr>
            <w:tcW w:w="3299" w:type="dxa"/>
            <w:gridSpan w:val="4"/>
            <w:tcBorders>
              <w:tl2br w:val="nil"/>
              <w:tr2bl w:val="nil"/>
            </w:tcBorders>
            <w:vAlign w:val="center"/>
          </w:tcPr>
          <w:p>
            <w:pPr>
              <w:pStyle w:val="63"/>
            </w:pPr>
            <w:r>
              <w:rPr>
                <w:rFonts w:hint="eastAsia"/>
                <w:lang w:eastAsia="zh-CN"/>
              </w:rPr>
              <w:t>梧州-玉林-钦州公路（苍梧至容县段）</w:t>
            </w:r>
            <w:r>
              <w:rPr>
                <w:rFonts w:hint="eastAsia"/>
              </w:rPr>
              <w:t>工程</w:t>
            </w:r>
          </w:p>
        </w:tc>
        <w:tc>
          <w:tcPr>
            <w:tcW w:w="1201" w:type="dxa"/>
            <w:tcBorders>
              <w:tl2br w:val="nil"/>
              <w:tr2bl w:val="nil"/>
            </w:tcBorders>
            <w:vAlign w:val="center"/>
          </w:tcPr>
          <w:p>
            <w:pPr>
              <w:pStyle w:val="63"/>
            </w:pPr>
            <w:r>
              <w:rPr>
                <w:rFonts w:hint="eastAsia"/>
              </w:rPr>
              <w:t>工程地址</w:t>
            </w:r>
          </w:p>
        </w:tc>
        <w:tc>
          <w:tcPr>
            <w:tcW w:w="3289" w:type="dxa"/>
            <w:gridSpan w:val="3"/>
            <w:tcBorders>
              <w:tl2br w:val="nil"/>
              <w:tr2bl w:val="nil"/>
            </w:tcBorders>
            <w:vAlign w:val="center"/>
          </w:tcPr>
          <w:p>
            <w:pPr>
              <w:pStyle w:val="63"/>
            </w:pPr>
            <w:r>
              <w:rPr>
                <w:rFonts w:hint="eastAsia"/>
                <w:lang w:eastAsia="zh-CN"/>
              </w:rPr>
              <w:t>梧州-玉林-钦州公路（苍梧至容县段）</w:t>
            </w:r>
            <w:r>
              <w:rPr>
                <w:rFonts w:hint="eastAsia"/>
              </w:rPr>
              <w:t>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6" w:hRule="atLeast"/>
        </w:trPr>
        <w:tc>
          <w:tcPr>
            <w:tcW w:w="1286" w:type="dxa"/>
            <w:tcBorders>
              <w:tl2br w:val="nil"/>
              <w:tr2bl w:val="nil"/>
            </w:tcBorders>
          </w:tcPr>
          <w:p>
            <w:pPr>
              <w:pStyle w:val="63"/>
            </w:pPr>
            <w:r>
              <w:rPr>
                <w:rFonts w:hint="eastAsia"/>
              </w:rPr>
              <w:t>设备型号</w:t>
            </w:r>
          </w:p>
        </w:tc>
        <w:tc>
          <w:tcPr>
            <w:tcW w:w="3299" w:type="dxa"/>
            <w:gridSpan w:val="4"/>
            <w:tcBorders>
              <w:tl2br w:val="nil"/>
              <w:tr2bl w:val="nil"/>
            </w:tcBorders>
          </w:tcPr>
          <w:p>
            <w:pPr>
              <w:pStyle w:val="63"/>
            </w:pPr>
            <w:r>
              <w:rPr>
                <w:rFonts w:hint="eastAsia"/>
              </w:rPr>
              <w:t>SC200</w:t>
            </w:r>
          </w:p>
        </w:tc>
        <w:tc>
          <w:tcPr>
            <w:tcW w:w="1201" w:type="dxa"/>
            <w:tcBorders>
              <w:tl2br w:val="nil"/>
              <w:tr2bl w:val="nil"/>
            </w:tcBorders>
          </w:tcPr>
          <w:p>
            <w:pPr>
              <w:pStyle w:val="63"/>
            </w:pPr>
            <w:r>
              <w:rPr>
                <w:rFonts w:hint="eastAsia"/>
              </w:rPr>
              <w:t>备案登记号</w:t>
            </w:r>
          </w:p>
        </w:tc>
        <w:tc>
          <w:tcPr>
            <w:tcW w:w="3289" w:type="dxa"/>
            <w:gridSpan w:val="3"/>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6" w:hRule="atLeast"/>
        </w:trPr>
        <w:tc>
          <w:tcPr>
            <w:tcW w:w="1286" w:type="dxa"/>
            <w:tcBorders>
              <w:tl2br w:val="nil"/>
              <w:tr2bl w:val="nil"/>
            </w:tcBorders>
          </w:tcPr>
          <w:p>
            <w:pPr>
              <w:pStyle w:val="63"/>
            </w:pPr>
            <w:r>
              <w:rPr>
                <w:rFonts w:hint="eastAsia"/>
              </w:rPr>
              <w:t>设备生产厂</w:t>
            </w:r>
          </w:p>
        </w:tc>
        <w:tc>
          <w:tcPr>
            <w:tcW w:w="3299" w:type="dxa"/>
            <w:gridSpan w:val="4"/>
            <w:tcBorders>
              <w:tl2br w:val="nil"/>
              <w:tr2bl w:val="nil"/>
            </w:tcBorders>
          </w:tcPr>
          <w:p>
            <w:pPr>
              <w:pStyle w:val="63"/>
            </w:pPr>
          </w:p>
        </w:tc>
        <w:tc>
          <w:tcPr>
            <w:tcW w:w="1201" w:type="dxa"/>
            <w:tcBorders>
              <w:tl2br w:val="nil"/>
              <w:tr2bl w:val="nil"/>
            </w:tcBorders>
          </w:tcPr>
          <w:p>
            <w:pPr>
              <w:pStyle w:val="63"/>
            </w:pPr>
            <w:r>
              <w:rPr>
                <w:rFonts w:hint="eastAsia"/>
              </w:rPr>
              <w:t>出厂编号</w:t>
            </w:r>
          </w:p>
        </w:tc>
        <w:tc>
          <w:tcPr>
            <w:tcW w:w="3289" w:type="dxa"/>
            <w:gridSpan w:val="3"/>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09" w:hRule="atLeast"/>
        </w:trPr>
        <w:tc>
          <w:tcPr>
            <w:tcW w:w="1286" w:type="dxa"/>
            <w:tcBorders>
              <w:tl2br w:val="nil"/>
              <w:tr2bl w:val="nil"/>
            </w:tcBorders>
          </w:tcPr>
          <w:p>
            <w:pPr>
              <w:pStyle w:val="63"/>
            </w:pPr>
            <w:r>
              <w:rPr>
                <w:rFonts w:hint="eastAsia"/>
              </w:rPr>
              <w:t>出厂日期</w:t>
            </w:r>
          </w:p>
        </w:tc>
        <w:tc>
          <w:tcPr>
            <w:tcW w:w="3299" w:type="dxa"/>
            <w:gridSpan w:val="4"/>
            <w:tcBorders>
              <w:tl2br w:val="nil"/>
              <w:tr2bl w:val="nil"/>
            </w:tcBorders>
          </w:tcPr>
          <w:p>
            <w:pPr>
              <w:pStyle w:val="63"/>
            </w:pPr>
          </w:p>
        </w:tc>
        <w:tc>
          <w:tcPr>
            <w:tcW w:w="1201" w:type="dxa"/>
            <w:tcBorders>
              <w:tl2br w:val="nil"/>
              <w:tr2bl w:val="nil"/>
            </w:tcBorders>
          </w:tcPr>
          <w:p>
            <w:pPr>
              <w:pStyle w:val="63"/>
            </w:pPr>
            <w:r>
              <w:rPr>
                <w:rFonts w:hint="eastAsia"/>
              </w:rPr>
              <w:t>安装高度</w:t>
            </w:r>
          </w:p>
        </w:tc>
        <w:tc>
          <w:tcPr>
            <w:tcW w:w="3289" w:type="dxa"/>
            <w:gridSpan w:val="3"/>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55" w:hRule="atLeast"/>
        </w:trPr>
        <w:tc>
          <w:tcPr>
            <w:tcW w:w="1286" w:type="dxa"/>
            <w:tcBorders>
              <w:tl2br w:val="nil"/>
              <w:tr2bl w:val="nil"/>
            </w:tcBorders>
          </w:tcPr>
          <w:p>
            <w:pPr>
              <w:pStyle w:val="63"/>
            </w:pPr>
            <w:r>
              <w:rPr>
                <w:rFonts w:hint="eastAsia"/>
              </w:rPr>
              <w:t>安装负责人</w:t>
            </w:r>
          </w:p>
        </w:tc>
        <w:tc>
          <w:tcPr>
            <w:tcW w:w="3299" w:type="dxa"/>
            <w:gridSpan w:val="4"/>
            <w:tcBorders>
              <w:tl2br w:val="nil"/>
              <w:tr2bl w:val="nil"/>
            </w:tcBorders>
          </w:tcPr>
          <w:p>
            <w:pPr>
              <w:pStyle w:val="63"/>
            </w:pPr>
          </w:p>
        </w:tc>
        <w:tc>
          <w:tcPr>
            <w:tcW w:w="1201" w:type="dxa"/>
            <w:tcBorders>
              <w:tl2br w:val="nil"/>
              <w:tr2bl w:val="nil"/>
            </w:tcBorders>
          </w:tcPr>
          <w:p>
            <w:pPr>
              <w:pStyle w:val="63"/>
            </w:pPr>
            <w:r>
              <w:rPr>
                <w:rFonts w:hint="eastAsia"/>
              </w:rPr>
              <w:t>安装日期</w:t>
            </w:r>
          </w:p>
        </w:tc>
        <w:tc>
          <w:tcPr>
            <w:tcW w:w="3289" w:type="dxa"/>
            <w:gridSpan w:val="3"/>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119" w:type="dxa"/>
            <w:gridSpan w:val="2"/>
            <w:tcBorders>
              <w:tl2br w:val="nil"/>
              <w:tr2bl w:val="nil"/>
            </w:tcBorders>
          </w:tcPr>
          <w:p>
            <w:pPr>
              <w:pStyle w:val="63"/>
            </w:pPr>
            <w:r>
              <w:rPr>
                <w:rFonts w:hint="eastAsia"/>
              </w:rPr>
              <w:t>检查结果代号说明</w:t>
            </w:r>
          </w:p>
        </w:tc>
        <w:tc>
          <w:tcPr>
            <w:tcW w:w="6956" w:type="dxa"/>
            <w:gridSpan w:val="7"/>
            <w:tcBorders>
              <w:tl2br w:val="nil"/>
              <w:tr2bl w:val="nil"/>
            </w:tcBorders>
          </w:tcPr>
          <w:p>
            <w:pPr>
              <w:pStyle w:val="63"/>
            </w:pPr>
            <w:r>
              <w:rPr>
                <w:rFonts w:hint="eastAsia"/>
              </w:rPr>
              <w:t>√=合格    ○=整改后合格    ×=不合格    无=无此项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286" w:type="dxa"/>
            <w:tcBorders>
              <w:tl2br w:val="nil"/>
              <w:tr2bl w:val="nil"/>
            </w:tcBorders>
          </w:tcPr>
          <w:p>
            <w:pPr>
              <w:pStyle w:val="63"/>
            </w:pPr>
            <w:r>
              <w:rPr>
                <w:rFonts w:hint="eastAsia"/>
              </w:rPr>
              <w:t>检查项目</w:t>
            </w:r>
          </w:p>
        </w:tc>
        <w:tc>
          <w:tcPr>
            <w:tcW w:w="833" w:type="dxa"/>
            <w:tcBorders>
              <w:tl2br w:val="nil"/>
              <w:tr2bl w:val="nil"/>
            </w:tcBorders>
          </w:tcPr>
          <w:p>
            <w:pPr>
              <w:pStyle w:val="63"/>
            </w:pPr>
            <w:r>
              <w:rPr>
                <w:rFonts w:hint="eastAsia"/>
              </w:rPr>
              <w:t>序号</w:t>
            </w:r>
          </w:p>
        </w:tc>
        <w:tc>
          <w:tcPr>
            <w:tcW w:w="4686" w:type="dxa"/>
            <w:gridSpan w:val="5"/>
            <w:tcBorders>
              <w:tl2br w:val="nil"/>
              <w:tr2bl w:val="nil"/>
            </w:tcBorders>
          </w:tcPr>
          <w:p>
            <w:pPr>
              <w:pStyle w:val="63"/>
            </w:pPr>
            <w:r>
              <w:rPr>
                <w:rFonts w:hint="eastAsia"/>
              </w:rPr>
              <w:t>内容和要求</w:t>
            </w:r>
          </w:p>
        </w:tc>
        <w:tc>
          <w:tcPr>
            <w:tcW w:w="1059" w:type="dxa"/>
            <w:tcBorders>
              <w:tl2br w:val="nil"/>
              <w:tr2bl w:val="nil"/>
            </w:tcBorders>
          </w:tcPr>
          <w:p>
            <w:pPr>
              <w:pStyle w:val="63"/>
            </w:pPr>
            <w:r>
              <w:rPr>
                <w:rFonts w:hint="eastAsia"/>
              </w:rPr>
              <w:t>检查结果</w:t>
            </w:r>
          </w:p>
        </w:tc>
        <w:tc>
          <w:tcPr>
            <w:tcW w:w="1211" w:type="dxa"/>
            <w:tcBorders>
              <w:tl2br w:val="nil"/>
              <w:tr2bl w:val="nil"/>
            </w:tcBorders>
          </w:tcPr>
          <w:p>
            <w:pPr>
              <w:pStyle w:val="63"/>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81" w:hRule="atLeast"/>
        </w:trPr>
        <w:tc>
          <w:tcPr>
            <w:tcW w:w="1286" w:type="dxa"/>
            <w:vMerge w:val="restart"/>
            <w:tcBorders>
              <w:tl2br w:val="nil"/>
              <w:tr2bl w:val="nil"/>
            </w:tcBorders>
            <w:vAlign w:val="center"/>
          </w:tcPr>
          <w:p>
            <w:pPr>
              <w:pStyle w:val="63"/>
            </w:pPr>
            <w:r>
              <w:rPr>
                <w:rFonts w:hint="eastAsia"/>
              </w:rPr>
              <w:t>主要部分</w:t>
            </w:r>
          </w:p>
        </w:tc>
        <w:tc>
          <w:tcPr>
            <w:tcW w:w="833" w:type="dxa"/>
            <w:tcBorders>
              <w:tl2br w:val="nil"/>
              <w:tr2bl w:val="nil"/>
            </w:tcBorders>
            <w:vAlign w:val="center"/>
          </w:tcPr>
          <w:p>
            <w:pPr>
              <w:pStyle w:val="63"/>
            </w:pPr>
            <w:r>
              <w:rPr>
                <w:rFonts w:hint="eastAsia"/>
              </w:rPr>
              <w:t>1</w:t>
            </w:r>
          </w:p>
        </w:tc>
        <w:tc>
          <w:tcPr>
            <w:tcW w:w="4686" w:type="dxa"/>
            <w:gridSpan w:val="5"/>
            <w:tcBorders>
              <w:tl2br w:val="nil"/>
              <w:tr2bl w:val="nil"/>
            </w:tcBorders>
          </w:tcPr>
          <w:p>
            <w:pPr>
              <w:pStyle w:val="63"/>
            </w:pPr>
            <w:r>
              <w:rPr>
                <w:rFonts w:hint="eastAsia"/>
              </w:rPr>
              <w:t>导轨架、附墙架连接安装齐全、牢固，位置正确</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0"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2</w:t>
            </w:r>
          </w:p>
        </w:tc>
        <w:tc>
          <w:tcPr>
            <w:tcW w:w="4686" w:type="dxa"/>
            <w:gridSpan w:val="5"/>
            <w:tcBorders>
              <w:tl2br w:val="nil"/>
              <w:tr2bl w:val="nil"/>
            </w:tcBorders>
            <w:vAlign w:val="center"/>
          </w:tcPr>
          <w:p>
            <w:pPr>
              <w:pStyle w:val="63"/>
            </w:pPr>
            <w:r>
              <w:rPr>
                <w:rFonts w:hint="eastAsia"/>
              </w:rPr>
              <w:t>螺栓拧紧力矩达到技术要求，开口销完全撬开</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3</w:t>
            </w:r>
          </w:p>
        </w:tc>
        <w:tc>
          <w:tcPr>
            <w:tcW w:w="4686" w:type="dxa"/>
            <w:gridSpan w:val="5"/>
            <w:tcBorders>
              <w:tl2br w:val="nil"/>
              <w:tr2bl w:val="nil"/>
            </w:tcBorders>
          </w:tcPr>
          <w:p>
            <w:pPr>
              <w:pStyle w:val="63"/>
            </w:pPr>
            <w:r>
              <w:rPr>
                <w:rFonts w:hint="eastAsia"/>
              </w:rPr>
              <w:t>导轨架安装垂直度满足要求</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9"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4</w:t>
            </w:r>
          </w:p>
        </w:tc>
        <w:tc>
          <w:tcPr>
            <w:tcW w:w="4686" w:type="dxa"/>
            <w:gridSpan w:val="5"/>
            <w:tcBorders>
              <w:tl2br w:val="nil"/>
              <w:tr2bl w:val="nil"/>
            </w:tcBorders>
          </w:tcPr>
          <w:p>
            <w:pPr>
              <w:pStyle w:val="63"/>
            </w:pPr>
            <w:r>
              <w:rPr>
                <w:rFonts w:hint="eastAsia"/>
              </w:rPr>
              <w:t>结构件无变形、开焊、裂纹</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79"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5</w:t>
            </w:r>
          </w:p>
        </w:tc>
        <w:tc>
          <w:tcPr>
            <w:tcW w:w="4686" w:type="dxa"/>
            <w:gridSpan w:val="5"/>
            <w:tcBorders>
              <w:tl2br w:val="nil"/>
              <w:tr2bl w:val="nil"/>
            </w:tcBorders>
          </w:tcPr>
          <w:p>
            <w:pPr>
              <w:pStyle w:val="63"/>
            </w:pPr>
            <w:r>
              <w:rPr>
                <w:rFonts w:hint="eastAsia"/>
              </w:rPr>
              <w:t>对重导轨符合使用说明书要求</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286" w:type="dxa"/>
            <w:vMerge w:val="restart"/>
            <w:tcBorders>
              <w:tl2br w:val="nil"/>
              <w:tr2bl w:val="nil"/>
            </w:tcBorders>
            <w:vAlign w:val="center"/>
          </w:tcPr>
          <w:p>
            <w:pPr>
              <w:pStyle w:val="63"/>
            </w:pPr>
            <w:r>
              <w:rPr>
                <w:rFonts w:hint="eastAsia"/>
              </w:rPr>
              <w:t>传动系统</w:t>
            </w:r>
          </w:p>
        </w:tc>
        <w:tc>
          <w:tcPr>
            <w:tcW w:w="833" w:type="dxa"/>
            <w:tcBorders>
              <w:tl2br w:val="nil"/>
              <w:tr2bl w:val="nil"/>
            </w:tcBorders>
            <w:vAlign w:val="center"/>
          </w:tcPr>
          <w:p>
            <w:pPr>
              <w:pStyle w:val="63"/>
            </w:pPr>
            <w:r>
              <w:rPr>
                <w:rFonts w:hint="eastAsia"/>
              </w:rPr>
              <w:t>6</w:t>
            </w:r>
          </w:p>
        </w:tc>
        <w:tc>
          <w:tcPr>
            <w:tcW w:w="4686" w:type="dxa"/>
            <w:gridSpan w:val="5"/>
            <w:tcBorders>
              <w:tl2br w:val="nil"/>
              <w:tr2bl w:val="nil"/>
            </w:tcBorders>
          </w:tcPr>
          <w:p>
            <w:pPr>
              <w:pStyle w:val="63"/>
            </w:pPr>
            <w:r>
              <w:rPr>
                <w:rFonts w:hint="eastAsia"/>
              </w:rPr>
              <w:t>钢丝绳规格正确，未达到报废标准</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7</w:t>
            </w:r>
          </w:p>
        </w:tc>
        <w:tc>
          <w:tcPr>
            <w:tcW w:w="4686" w:type="dxa"/>
            <w:gridSpan w:val="5"/>
            <w:tcBorders>
              <w:tl2br w:val="nil"/>
              <w:tr2bl w:val="nil"/>
            </w:tcBorders>
          </w:tcPr>
          <w:p>
            <w:pPr>
              <w:pStyle w:val="63"/>
            </w:pPr>
            <w:r>
              <w:rPr>
                <w:rFonts w:hint="eastAsia"/>
              </w:rPr>
              <w:t>钢丝绳固定和编结符合标准要求</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8</w:t>
            </w:r>
          </w:p>
        </w:tc>
        <w:tc>
          <w:tcPr>
            <w:tcW w:w="4686" w:type="dxa"/>
            <w:gridSpan w:val="5"/>
            <w:tcBorders>
              <w:tl2br w:val="nil"/>
              <w:tr2bl w:val="nil"/>
            </w:tcBorders>
          </w:tcPr>
          <w:p>
            <w:pPr>
              <w:pStyle w:val="63"/>
            </w:pPr>
            <w:r>
              <w:rPr>
                <w:rFonts w:hint="eastAsia"/>
              </w:rPr>
              <w:t>各部位滑轮转动灵活、可靠，无卡阻现象</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9</w:t>
            </w:r>
          </w:p>
        </w:tc>
        <w:tc>
          <w:tcPr>
            <w:tcW w:w="4686" w:type="dxa"/>
            <w:gridSpan w:val="5"/>
            <w:tcBorders>
              <w:tl2br w:val="nil"/>
              <w:tr2bl w:val="nil"/>
            </w:tcBorders>
          </w:tcPr>
          <w:p>
            <w:pPr>
              <w:pStyle w:val="63"/>
            </w:pPr>
            <w:r>
              <w:rPr>
                <w:rFonts w:hint="eastAsia"/>
              </w:rPr>
              <w:t>齿条、齿轮、拽引轮符合标准要求、保险装置可靠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3"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10</w:t>
            </w:r>
          </w:p>
        </w:tc>
        <w:tc>
          <w:tcPr>
            <w:tcW w:w="4686" w:type="dxa"/>
            <w:gridSpan w:val="5"/>
            <w:tcBorders>
              <w:tl2br w:val="nil"/>
              <w:tr2bl w:val="nil"/>
            </w:tcBorders>
          </w:tcPr>
          <w:p>
            <w:pPr>
              <w:pStyle w:val="63"/>
            </w:pPr>
            <w:r>
              <w:rPr>
                <w:rFonts w:hint="eastAsia"/>
              </w:rPr>
              <w:t>各机构转动平稳、无异常响声</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11</w:t>
            </w:r>
          </w:p>
        </w:tc>
        <w:tc>
          <w:tcPr>
            <w:tcW w:w="4686" w:type="dxa"/>
            <w:gridSpan w:val="5"/>
            <w:tcBorders>
              <w:tl2br w:val="nil"/>
              <w:tr2bl w:val="nil"/>
            </w:tcBorders>
          </w:tcPr>
          <w:p>
            <w:pPr>
              <w:pStyle w:val="63"/>
            </w:pPr>
            <w:r>
              <w:rPr>
                <w:rFonts w:hint="eastAsia"/>
              </w:rPr>
              <w:t>各润滑点润滑良好、润滑油牌号正确</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12</w:t>
            </w:r>
          </w:p>
        </w:tc>
        <w:tc>
          <w:tcPr>
            <w:tcW w:w="4686" w:type="dxa"/>
            <w:gridSpan w:val="5"/>
            <w:tcBorders>
              <w:tl2br w:val="nil"/>
              <w:tr2bl w:val="nil"/>
            </w:tcBorders>
          </w:tcPr>
          <w:p>
            <w:pPr>
              <w:pStyle w:val="63"/>
            </w:pPr>
            <w:r>
              <w:rPr>
                <w:rFonts w:hint="eastAsia"/>
              </w:rPr>
              <w:t>制动器、离合器动作灵活可靠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05" w:hRule="atLeast"/>
        </w:trPr>
        <w:tc>
          <w:tcPr>
            <w:tcW w:w="1286" w:type="dxa"/>
            <w:vMerge w:val="restart"/>
            <w:tcBorders>
              <w:tl2br w:val="nil"/>
              <w:tr2bl w:val="nil"/>
            </w:tcBorders>
            <w:vAlign w:val="center"/>
          </w:tcPr>
          <w:p>
            <w:pPr>
              <w:pStyle w:val="63"/>
            </w:pPr>
            <w:r>
              <w:rPr>
                <w:rFonts w:hint="eastAsia"/>
              </w:rPr>
              <w:t>电气系统</w:t>
            </w:r>
          </w:p>
        </w:tc>
        <w:tc>
          <w:tcPr>
            <w:tcW w:w="833" w:type="dxa"/>
            <w:tcBorders>
              <w:tl2br w:val="nil"/>
              <w:tr2bl w:val="nil"/>
            </w:tcBorders>
          </w:tcPr>
          <w:p>
            <w:pPr>
              <w:pStyle w:val="63"/>
            </w:pPr>
            <w:r>
              <w:rPr>
                <w:rFonts w:hint="eastAsia"/>
              </w:rPr>
              <w:t>13</w:t>
            </w:r>
          </w:p>
        </w:tc>
        <w:tc>
          <w:tcPr>
            <w:tcW w:w="4686" w:type="dxa"/>
            <w:gridSpan w:val="5"/>
            <w:tcBorders>
              <w:tl2br w:val="nil"/>
              <w:tr2bl w:val="nil"/>
            </w:tcBorders>
          </w:tcPr>
          <w:p>
            <w:pPr>
              <w:pStyle w:val="63"/>
            </w:pPr>
            <w:r>
              <w:rPr>
                <w:rFonts w:hint="eastAsia"/>
              </w:rPr>
              <w:t>供电系统正常，额定电压值偏差≦±5％</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14</w:t>
            </w:r>
          </w:p>
        </w:tc>
        <w:tc>
          <w:tcPr>
            <w:tcW w:w="4686" w:type="dxa"/>
            <w:gridSpan w:val="5"/>
            <w:tcBorders>
              <w:tl2br w:val="nil"/>
              <w:tr2bl w:val="nil"/>
            </w:tcBorders>
          </w:tcPr>
          <w:p>
            <w:pPr>
              <w:pStyle w:val="63"/>
            </w:pPr>
            <w:r>
              <w:rPr>
                <w:rFonts w:hint="eastAsia"/>
              </w:rPr>
              <w:t>接触器、继电器接触良好</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15</w:t>
            </w:r>
          </w:p>
        </w:tc>
        <w:tc>
          <w:tcPr>
            <w:tcW w:w="4686" w:type="dxa"/>
            <w:gridSpan w:val="5"/>
            <w:tcBorders>
              <w:tl2br w:val="nil"/>
              <w:tr2bl w:val="nil"/>
            </w:tcBorders>
          </w:tcPr>
          <w:p>
            <w:pPr>
              <w:pStyle w:val="63"/>
            </w:pPr>
            <w:r>
              <w:rPr>
                <w:rFonts w:hint="eastAsia"/>
              </w:rPr>
              <w:t>仪表、照明、报警系统完好可靠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16</w:t>
            </w:r>
          </w:p>
        </w:tc>
        <w:tc>
          <w:tcPr>
            <w:tcW w:w="4686" w:type="dxa"/>
            <w:gridSpan w:val="5"/>
            <w:tcBorders>
              <w:tl2br w:val="nil"/>
              <w:tr2bl w:val="nil"/>
            </w:tcBorders>
          </w:tcPr>
          <w:p>
            <w:pPr>
              <w:pStyle w:val="63"/>
            </w:pPr>
            <w:r>
              <w:rPr>
                <w:rFonts w:hint="eastAsia"/>
              </w:rPr>
              <w:t>控制、操纵装置动作灵活、可靠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17</w:t>
            </w:r>
          </w:p>
        </w:tc>
        <w:tc>
          <w:tcPr>
            <w:tcW w:w="4686" w:type="dxa"/>
            <w:gridSpan w:val="5"/>
            <w:tcBorders>
              <w:tl2br w:val="nil"/>
              <w:tr2bl w:val="nil"/>
            </w:tcBorders>
          </w:tcPr>
          <w:p>
            <w:pPr>
              <w:pStyle w:val="63"/>
            </w:pPr>
            <w:r>
              <w:rPr>
                <w:rFonts w:hint="eastAsia"/>
              </w:rPr>
              <w:t>各种电气安全保护装置齐全、可靠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18</w:t>
            </w:r>
          </w:p>
        </w:tc>
        <w:tc>
          <w:tcPr>
            <w:tcW w:w="4686" w:type="dxa"/>
            <w:gridSpan w:val="5"/>
            <w:tcBorders>
              <w:tl2br w:val="nil"/>
              <w:tr2bl w:val="nil"/>
            </w:tcBorders>
          </w:tcPr>
          <w:p>
            <w:pPr>
              <w:pStyle w:val="63"/>
            </w:pPr>
            <w:r>
              <w:rPr>
                <w:rFonts w:hint="eastAsia"/>
              </w:rPr>
              <w:t>电气系统对导轨架的绝缘电阻应≧0.5MΩ</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19</w:t>
            </w:r>
          </w:p>
        </w:tc>
        <w:tc>
          <w:tcPr>
            <w:tcW w:w="4686" w:type="dxa"/>
            <w:gridSpan w:val="5"/>
            <w:tcBorders>
              <w:tl2br w:val="nil"/>
              <w:tr2bl w:val="nil"/>
            </w:tcBorders>
          </w:tcPr>
          <w:p>
            <w:pPr>
              <w:pStyle w:val="63"/>
            </w:pPr>
            <w:r>
              <w:rPr>
                <w:rFonts w:hint="eastAsia"/>
              </w:rPr>
              <w:t>接地电阻应≦4Ω</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restart"/>
            <w:tcBorders>
              <w:tl2br w:val="nil"/>
              <w:tr2bl w:val="nil"/>
            </w:tcBorders>
            <w:vAlign w:val="center"/>
          </w:tcPr>
          <w:p>
            <w:pPr>
              <w:pStyle w:val="63"/>
            </w:pPr>
            <w:r>
              <w:rPr>
                <w:rFonts w:hint="eastAsia"/>
              </w:rPr>
              <w:t>安全系统</w:t>
            </w:r>
          </w:p>
        </w:tc>
        <w:tc>
          <w:tcPr>
            <w:tcW w:w="833" w:type="dxa"/>
            <w:tcBorders>
              <w:tl2br w:val="nil"/>
              <w:tr2bl w:val="nil"/>
            </w:tcBorders>
            <w:vAlign w:val="center"/>
          </w:tcPr>
          <w:p>
            <w:pPr>
              <w:pStyle w:val="63"/>
            </w:pPr>
            <w:r>
              <w:rPr>
                <w:rFonts w:hint="eastAsia"/>
              </w:rPr>
              <w:t>20</w:t>
            </w:r>
          </w:p>
        </w:tc>
        <w:tc>
          <w:tcPr>
            <w:tcW w:w="4686" w:type="dxa"/>
            <w:gridSpan w:val="5"/>
            <w:tcBorders>
              <w:tl2br w:val="nil"/>
              <w:tr2bl w:val="nil"/>
            </w:tcBorders>
          </w:tcPr>
          <w:p>
            <w:pPr>
              <w:pStyle w:val="63"/>
            </w:pPr>
            <w:r>
              <w:rPr>
                <w:rFonts w:hint="eastAsia"/>
              </w:rPr>
              <w:t>防坠安全器在有效标定期限内</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21</w:t>
            </w:r>
          </w:p>
        </w:tc>
        <w:tc>
          <w:tcPr>
            <w:tcW w:w="4686" w:type="dxa"/>
            <w:gridSpan w:val="5"/>
            <w:tcBorders>
              <w:tl2br w:val="nil"/>
              <w:tr2bl w:val="nil"/>
            </w:tcBorders>
          </w:tcPr>
          <w:p>
            <w:pPr>
              <w:pStyle w:val="63"/>
            </w:pPr>
            <w:r>
              <w:rPr>
                <w:rFonts w:hint="eastAsia"/>
              </w:rPr>
              <w:t>防坠安全器灵敏可靠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22</w:t>
            </w:r>
          </w:p>
        </w:tc>
        <w:tc>
          <w:tcPr>
            <w:tcW w:w="4686" w:type="dxa"/>
            <w:gridSpan w:val="5"/>
            <w:tcBorders>
              <w:tl2br w:val="nil"/>
              <w:tr2bl w:val="nil"/>
            </w:tcBorders>
          </w:tcPr>
          <w:p>
            <w:pPr>
              <w:pStyle w:val="63"/>
            </w:pPr>
            <w:r>
              <w:rPr>
                <w:rFonts w:hint="eastAsia"/>
              </w:rPr>
              <w:t>超载保护装置灵敏可靠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23</w:t>
            </w:r>
          </w:p>
        </w:tc>
        <w:tc>
          <w:tcPr>
            <w:tcW w:w="4686" w:type="dxa"/>
            <w:gridSpan w:val="5"/>
            <w:tcBorders>
              <w:tl2br w:val="nil"/>
              <w:tr2bl w:val="nil"/>
            </w:tcBorders>
          </w:tcPr>
          <w:p>
            <w:pPr>
              <w:pStyle w:val="63"/>
            </w:pPr>
            <w:r>
              <w:rPr>
                <w:rFonts w:hint="eastAsia"/>
              </w:rPr>
              <w:t>上、下限位开关灵敏可靠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24</w:t>
            </w:r>
          </w:p>
        </w:tc>
        <w:tc>
          <w:tcPr>
            <w:tcW w:w="4686" w:type="dxa"/>
            <w:gridSpan w:val="5"/>
            <w:tcBorders>
              <w:tl2br w:val="nil"/>
              <w:tr2bl w:val="nil"/>
            </w:tcBorders>
          </w:tcPr>
          <w:p>
            <w:pPr>
              <w:pStyle w:val="63"/>
            </w:pPr>
            <w:r>
              <w:rPr>
                <w:rFonts w:hint="eastAsia"/>
              </w:rPr>
              <w:t>上、下极限开关灵敏可靠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3"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25</w:t>
            </w:r>
          </w:p>
        </w:tc>
        <w:tc>
          <w:tcPr>
            <w:tcW w:w="4686" w:type="dxa"/>
            <w:gridSpan w:val="5"/>
            <w:tcBorders>
              <w:tl2br w:val="nil"/>
              <w:tr2bl w:val="nil"/>
            </w:tcBorders>
          </w:tcPr>
          <w:p>
            <w:pPr>
              <w:pStyle w:val="63"/>
            </w:pPr>
            <w:r>
              <w:rPr>
                <w:rFonts w:hint="eastAsia"/>
              </w:rPr>
              <w:t>急停开关灵敏可靠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14"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26</w:t>
            </w:r>
          </w:p>
        </w:tc>
        <w:tc>
          <w:tcPr>
            <w:tcW w:w="4686" w:type="dxa"/>
            <w:gridSpan w:val="5"/>
            <w:tcBorders>
              <w:tl2br w:val="nil"/>
              <w:tr2bl w:val="nil"/>
            </w:tcBorders>
          </w:tcPr>
          <w:p>
            <w:pPr>
              <w:pStyle w:val="63"/>
            </w:pPr>
            <w:r>
              <w:rPr>
                <w:rFonts w:hint="eastAsia"/>
              </w:rPr>
              <w:t>安全钩完好</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03"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27</w:t>
            </w:r>
          </w:p>
        </w:tc>
        <w:tc>
          <w:tcPr>
            <w:tcW w:w="4686" w:type="dxa"/>
            <w:gridSpan w:val="5"/>
            <w:tcBorders>
              <w:tl2br w:val="nil"/>
              <w:tr2bl w:val="nil"/>
            </w:tcBorders>
          </w:tcPr>
          <w:p>
            <w:pPr>
              <w:pStyle w:val="63"/>
            </w:pPr>
            <w:r>
              <w:rPr>
                <w:rFonts w:hint="eastAsia"/>
              </w:rPr>
              <w:t>额定载重量标牌牢固清晰</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4" w:hRule="atLeast"/>
        </w:trPr>
        <w:tc>
          <w:tcPr>
            <w:tcW w:w="1286" w:type="dxa"/>
            <w:vMerge w:val="continue"/>
            <w:tcBorders>
              <w:tl2br w:val="nil"/>
              <w:tr2bl w:val="nil"/>
            </w:tcBorders>
          </w:tcPr>
          <w:p>
            <w:pPr>
              <w:pStyle w:val="63"/>
            </w:pPr>
          </w:p>
        </w:tc>
        <w:tc>
          <w:tcPr>
            <w:tcW w:w="833" w:type="dxa"/>
            <w:tcBorders>
              <w:tl2br w:val="nil"/>
              <w:tr2bl w:val="nil"/>
            </w:tcBorders>
            <w:vAlign w:val="center"/>
          </w:tcPr>
          <w:p>
            <w:pPr>
              <w:pStyle w:val="63"/>
            </w:pPr>
            <w:r>
              <w:rPr>
                <w:rFonts w:hint="eastAsia"/>
              </w:rPr>
              <w:t>28</w:t>
            </w:r>
          </w:p>
        </w:tc>
        <w:tc>
          <w:tcPr>
            <w:tcW w:w="4686" w:type="dxa"/>
            <w:gridSpan w:val="5"/>
            <w:tcBorders>
              <w:tl2br w:val="nil"/>
              <w:tr2bl w:val="nil"/>
            </w:tcBorders>
          </w:tcPr>
          <w:p>
            <w:pPr>
              <w:pStyle w:val="63"/>
            </w:pPr>
            <w:r>
              <w:rPr>
                <w:rFonts w:hint="eastAsia"/>
              </w:rPr>
              <w:t>地面防护围栏门、吊笼门机电联锁灵敏可靠</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6" w:type="dxa"/>
            <w:vMerge w:val="restart"/>
            <w:tcBorders>
              <w:tl2br w:val="nil"/>
              <w:tr2bl w:val="nil"/>
            </w:tcBorders>
            <w:vAlign w:val="center"/>
          </w:tcPr>
          <w:p>
            <w:pPr>
              <w:pStyle w:val="63"/>
            </w:pPr>
            <w:r>
              <w:rPr>
                <w:rFonts w:hint="eastAsia"/>
              </w:rPr>
              <w:t>试运行</w:t>
            </w:r>
          </w:p>
        </w:tc>
        <w:tc>
          <w:tcPr>
            <w:tcW w:w="833" w:type="dxa"/>
            <w:tcBorders>
              <w:tl2br w:val="nil"/>
              <w:tr2bl w:val="nil"/>
            </w:tcBorders>
            <w:vAlign w:val="center"/>
          </w:tcPr>
          <w:p>
            <w:pPr>
              <w:pStyle w:val="63"/>
            </w:pPr>
            <w:r>
              <w:rPr>
                <w:rFonts w:hint="eastAsia"/>
              </w:rPr>
              <w:t>29</w:t>
            </w:r>
          </w:p>
        </w:tc>
        <w:tc>
          <w:tcPr>
            <w:tcW w:w="2000" w:type="dxa"/>
            <w:tcBorders>
              <w:tl2br w:val="nil"/>
              <w:tr2bl w:val="nil"/>
            </w:tcBorders>
            <w:vAlign w:val="center"/>
          </w:tcPr>
          <w:p>
            <w:pPr>
              <w:pStyle w:val="63"/>
            </w:pPr>
            <w:r>
              <w:rPr>
                <w:rFonts w:hint="eastAsia"/>
              </w:rPr>
              <w:t>空载</w:t>
            </w:r>
          </w:p>
        </w:tc>
        <w:tc>
          <w:tcPr>
            <w:tcW w:w="2686" w:type="dxa"/>
            <w:gridSpan w:val="4"/>
            <w:vMerge w:val="restart"/>
            <w:tcBorders>
              <w:tl2br w:val="nil"/>
              <w:tr2bl w:val="nil"/>
            </w:tcBorders>
          </w:tcPr>
          <w:p>
            <w:pPr>
              <w:pStyle w:val="63"/>
            </w:pPr>
            <w:r>
              <w:rPr>
                <w:rFonts w:hint="eastAsia"/>
              </w:rPr>
              <w:t>双吊笼施工升降机应分别对两个吊笼进行试运行。试运行中吊笼应启动、制动正常，运行平稳，无异常现象</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286" w:type="dxa"/>
            <w:vMerge w:val="continue"/>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30</w:t>
            </w:r>
          </w:p>
        </w:tc>
        <w:tc>
          <w:tcPr>
            <w:tcW w:w="2000" w:type="dxa"/>
            <w:tcBorders>
              <w:tl2br w:val="nil"/>
              <w:tr2bl w:val="nil"/>
            </w:tcBorders>
            <w:vAlign w:val="center"/>
          </w:tcPr>
          <w:p>
            <w:pPr>
              <w:pStyle w:val="63"/>
            </w:pPr>
            <w:r>
              <w:rPr>
                <w:rFonts w:hint="eastAsia"/>
              </w:rPr>
              <w:t>额定载重量</w:t>
            </w:r>
          </w:p>
        </w:tc>
        <w:tc>
          <w:tcPr>
            <w:tcW w:w="2686" w:type="dxa"/>
            <w:gridSpan w:val="4"/>
            <w:vMerge w:val="continue"/>
            <w:tcBorders>
              <w:tl2br w:val="nil"/>
              <w:tr2bl w:val="nil"/>
            </w:tcBorders>
          </w:tcPr>
          <w:p>
            <w:pPr>
              <w:pStyle w:val="63"/>
            </w:pP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6" w:type="dxa"/>
            <w:tcBorders>
              <w:tl2br w:val="nil"/>
              <w:tr2bl w:val="nil"/>
            </w:tcBorders>
            <w:vAlign w:val="center"/>
          </w:tcPr>
          <w:p>
            <w:pPr>
              <w:pStyle w:val="63"/>
            </w:pPr>
          </w:p>
        </w:tc>
        <w:tc>
          <w:tcPr>
            <w:tcW w:w="833" w:type="dxa"/>
            <w:tcBorders>
              <w:tl2br w:val="nil"/>
              <w:tr2bl w:val="nil"/>
            </w:tcBorders>
            <w:vAlign w:val="center"/>
          </w:tcPr>
          <w:p>
            <w:pPr>
              <w:pStyle w:val="63"/>
            </w:pPr>
            <w:r>
              <w:rPr>
                <w:rFonts w:hint="eastAsia"/>
              </w:rPr>
              <w:t>31</w:t>
            </w:r>
          </w:p>
        </w:tc>
        <w:tc>
          <w:tcPr>
            <w:tcW w:w="2000" w:type="dxa"/>
            <w:tcBorders>
              <w:tl2br w:val="nil"/>
              <w:tr2bl w:val="nil"/>
            </w:tcBorders>
            <w:vAlign w:val="center"/>
          </w:tcPr>
          <w:p>
            <w:pPr>
              <w:pStyle w:val="63"/>
            </w:pPr>
            <w:r>
              <w:rPr>
                <w:rFonts w:hint="eastAsia"/>
              </w:rPr>
              <w:t>125%额定载重量</w:t>
            </w:r>
          </w:p>
        </w:tc>
        <w:tc>
          <w:tcPr>
            <w:tcW w:w="2686" w:type="dxa"/>
            <w:gridSpan w:val="4"/>
            <w:tcBorders>
              <w:tl2br w:val="nil"/>
              <w:tr2bl w:val="nil"/>
            </w:tcBorders>
          </w:tcPr>
          <w:p>
            <w:pPr>
              <w:pStyle w:val="63"/>
            </w:pP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86" w:type="dxa"/>
            <w:tcBorders>
              <w:tl2br w:val="nil"/>
              <w:tr2bl w:val="nil"/>
            </w:tcBorders>
            <w:vAlign w:val="center"/>
          </w:tcPr>
          <w:p>
            <w:pPr>
              <w:pStyle w:val="63"/>
            </w:pPr>
            <w:r>
              <w:rPr>
                <w:rFonts w:hint="eastAsia"/>
              </w:rPr>
              <w:t>坠落试验</w:t>
            </w:r>
          </w:p>
        </w:tc>
        <w:tc>
          <w:tcPr>
            <w:tcW w:w="833" w:type="dxa"/>
            <w:tcBorders>
              <w:tl2br w:val="nil"/>
              <w:tr2bl w:val="nil"/>
            </w:tcBorders>
            <w:vAlign w:val="center"/>
          </w:tcPr>
          <w:p>
            <w:pPr>
              <w:pStyle w:val="63"/>
            </w:pPr>
            <w:r>
              <w:rPr>
                <w:rFonts w:hint="eastAsia"/>
              </w:rPr>
              <w:t>32</w:t>
            </w:r>
          </w:p>
        </w:tc>
        <w:tc>
          <w:tcPr>
            <w:tcW w:w="4686" w:type="dxa"/>
            <w:gridSpan w:val="5"/>
            <w:tcBorders>
              <w:tl2br w:val="nil"/>
              <w:tr2bl w:val="nil"/>
            </w:tcBorders>
          </w:tcPr>
          <w:p>
            <w:pPr>
              <w:pStyle w:val="63"/>
            </w:pPr>
            <w:r>
              <w:rPr>
                <w:rFonts w:hint="eastAsia"/>
              </w:rPr>
              <w:t>吊笼制动后，结构及连接件应无任何损坏或永久变形，且制动距离应符合要求</w:t>
            </w:r>
          </w:p>
        </w:tc>
        <w:tc>
          <w:tcPr>
            <w:tcW w:w="1059" w:type="dxa"/>
            <w:tcBorders>
              <w:tl2br w:val="nil"/>
              <w:tr2bl w:val="nil"/>
            </w:tcBorders>
          </w:tcPr>
          <w:p>
            <w:pPr>
              <w:pStyle w:val="63"/>
            </w:pPr>
          </w:p>
        </w:tc>
        <w:tc>
          <w:tcPr>
            <w:tcW w:w="1211" w:type="dxa"/>
            <w:tcBorders>
              <w:tl2br w:val="nil"/>
              <w:tr2bl w:val="nil"/>
            </w:tcBorders>
          </w:tcPr>
          <w:p>
            <w:pPr>
              <w:pStyle w:val="6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4260" w:type="dxa"/>
            <w:gridSpan w:val="4"/>
            <w:tcBorders>
              <w:tl2br w:val="nil"/>
              <w:tr2bl w:val="nil"/>
            </w:tcBorders>
          </w:tcPr>
          <w:p>
            <w:pPr>
              <w:pStyle w:val="63"/>
            </w:pPr>
            <w:r>
              <w:rPr>
                <w:rFonts w:hint="eastAsia"/>
              </w:rPr>
              <w:t>施工总承包单位（盖章）：</w:t>
            </w:r>
          </w:p>
          <w:p>
            <w:pPr>
              <w:pStyle w:val="63"/>
            </w:pPr>
          </w:p>
          <w:p>
            <w:pPr>
              <w:pStyle w:val="63"/>
            </w:pPr>
          </w:p>
        </w:tc>
        <w:tc>
          <w:tcPr>
            <w:tcW w:w="4815" w:type="dxa"/>
            <w:gridSpan w:val="5"/>
            <w:tcBorders>
              <w:tl2br w:val="nil"/>
              <w:tr2bl w:val="nil"/>
            </w:tcBorders>
          </w:tcPr>
          <w:p>
            <w:pPr>
              <w:pStyle w:val="63"/>
            </w:pPr>
            <w:r>
              <w:rPr>
                <w:rFonts w:hint="eastAsia"/>
              </w:rPr>
              <w:t>租赁单位（盖章）：</w:t>
            </w:r>
          </w:p>
        </w:tc>
      </w:tr>
      <w:bookmarkEnd w:id="453"/>
    </w:tbl>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spacing w:before="156" w:after="156"/>
        <w:rPr>
          <w:color w:val="000000" w:themeColor="text1"/>
          <w14:textFill>
            <w14:solidFill>
              <w14:schemeClr w14:val="tx1"/>
            </w14:solidFill>
          </w14:textFill>
        </w:rPr>
      </w:pPr>
      <w:bookmarkStart w:id="454" w:name="_Toc121760047"/>
      <w:bookmarkStart w:id="455" w:name="_Toc55223382"/>
      <w:r>
        <w:rPr>
          <w:rFonts w:hint="eastAsia"/>
          <w:color w:val="000000" w:themeColor="text1"/>
          <w14:textFill>
            <w14:solidFill>
              <w14:schemeClr w14:val="tx1"/>
            </w14:solidFill>
          </w14:textFill>
        </w:rPr>
        <w:t>应急处置措施</w:t>
      </w:r>
      <w:bookmarkEnd w:id="436"/>
      <w:bookmarkEnd w:id="437"/>
      <w:bookmarkEnd w:id="438"/>
      <w:bookmarkEnd w:id="454"/>
      <w:bookmarkEnd w:id="455"/>
    </w:p>
    <w:p>
      <w:pPr>
        <w:pStyle w:val="4"/>
        <w:spacing w:before="156" w:after="156"/>
        <w:rPr>
          <w:color w:val="000000" w:themeColor="text1"/>
          <w14:textFill>
            <w14:solidFill>
              <w14:schemeClr w14:val="tx1"/>
            </w14:solidFill>
          </w14:textFill>
        </w:rPr>
      </w:pPr>
      <w:bookmarkStart w:id="456" w:name="_Toc121760048"/>
      <w:bookmarkStart w:id="457" w:name="_Toc28613977"/>
      <w:bookmarkStart w:id="458" w:name="_Toc40778454"/>
      <w:bookmarkStart w:id="459" w:name="_Toc55223383"/>
      <w:bookmarkStart w:id="460" w:name="_Toc23556"/>
      <w:r>
        <w:rPr>
          <w:rFonts w:hint="eastAsia"/>
          <w:color w:val="000000" w:themeColor="text1"/>
          <w14:textFill>
            <w14:solidFill>
              <w14:schemeClr w14:val="tx1"/>
            </w14:solidFill>
          </w14:textFill>
        </w:rPr>
        <w:t>组织机构</w:t>
      </w:r>
      <w:bookmarkEnd w:id="456"/>
      <w:bookmarkEnd w:id="457"/>
      <w:bookmarkEnd w:id="458"/>
      <w:bookmarkEnd w:id="459"/>
      <w:bookmarkEnd w:id="460"/>
    </w:p>
    <w:p>
      <w:pPr>
        <w:ind w:firstLine="480"/>
        <w:rPr>
          <w:rFonts w:ascii="宋体" w:hAnsi="宋体" w:cs="宋体"/>
          <w:szCs w:val="24"/>
        </w:rPr>
      </w:pPr>
      <w:r>
        <w:rPr>
          <w:rFonts w:hint="eastAsia" w:ascii="宋体" w:hAnsi="宋体" w:cs="宋体"/>
          <w:szCs w:val="24"/>
        </w:rPr>
        <w:t>项目部成立应急救援领导小组，负责指挥及协调工作。应急救援小组机构名单如下表所示。</w:t>
      </w:r>
    </w:p>
    <w:p>
      <w:pPr>
        <w:pStyle w:val="61"/>
      </w:pPr>
      <w:r>
        <w:rPr>
          <w:rFonts w:hint="eastAsia"/>
        </w:rPr>
        <w:t>表</w:t>
      </w:r>
      <w:r>
        <w:rPr>
          <w:rFonts w:hint="eastAsia"/>
        </w:rPr>
        <w:fldChar w:fldCharType="begin"/>
      </w:r>
      <w:r>
        <w:rPr>
          <w:rFonts w:hint="eastAsia"/>
        </w:rPr>
        <w:instrText xml:space="preserve">STYLEREF 3 \s</w:instrText>
      </w:r>
      <w:r>
        <w:rPr>
          <w:rFonts w:hint="eastAsia"/>
        </w:rPr>
        <w:fldChar w:fldCharType="separate"/>
      </w:r>
      <w:r>
        <w:rPr>
          <w:rFonts w:hint="eastAsia"/>
        </w:rPr>
        <w:t>9.1-1</w:t>
      </w:r>
      <w:r>
        <w:rPr>
          <w:rFonts w:hint="eastAsia"/>
        </w:rPr>
        <w:fldChar w:fldCharType="end"/>
      </w:r>
      <w:r>
        <w:rPr>
          <w:rFonts w:hint="eastAsia"/>
        </w:rPr>
        <w:t>项目部应急小组联系名单及联系电话</w:t>
      </w:r>
    </w:p>
    <w:tbl>
      <w:tblPr>
        <w:tblStyle w:val="4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99"/>
        <w:gridCol w:w="2020"/>
        <w:gridCol w:w="4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3" w:type="pct"/>
            <w:vAlign w:val="center"/>
          </w:tcPr>
          <w:p>
            <w:pPr>
              <w:pStyle w:val="63"/>
            </w:pPr>
            <w:r>
              <w:rPr>
                <w:rFonts w:hint="eastAsia"/>
              </w:rPr>
              <w:t>应急小组</w:t>
            </w:r>
          </w:p>
        </w:tc>
        <w:tc>
          <w:tcPr>
            <w:tcW w:w="1185" w:type="pct"/>
            <w:vAlign w:val="center"/>
          </w:tcPr>
          <w:p>
            <w:pPr>
              <w:pStyle w:val="63"/>
            </w:pPr>
            <w:r>
              <w:rPr>
                <w:rFonts w:hint="eastAsia"/>
              </w:rPr>
              <w:t>组长</w:t>
            </w:r>
          </w:p>
        </w:tc>
        <w:tc>
          <w:tcPr>
            <w:tcW w:w="2640" w:type="pct"/>
            <w:vAlign w:val="center"/>
          </w:tcPr>
          <w:p>
            <w:pPr>
              <w:pStyle w:val="63"/>
            </w:pPr>
            <w:r>
              <w:rPr>
                <w:rFonts w:hint="eastAsia"/>
              </w:rPr>
              <w:t>主要职责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3" w:type="pct"/>
            <w:vAlign w:val="center"/>
          </w:tcPr>
          <w:p>
            <w:pPr>
              <w:pStyle w:val="63"/>
            </w:pPr>
            <w:r>
              <w:rPr>
                <w:rFonts w:hint="eastAsia"/>
              </w:rPr>
              <w:t>指挥领导小组</w:t>
            </w:r>
          </w:p>
        </w:tc>
        <w:tc>
          <w:tcPr>
            <w:tcW w:w="1185" w:type="pct"/>
            <w:vAlign w:val="center"/>
          </w:tcPr>
          <w:p>
            <w:pPr>
              <w:pStyle w:val="63"/>
            </w:pPr>
          </w:p>
        </w:tc>
        <w:tc>
          <w:tcPr>
            <w:tcW w:w="2640" w:type="pct"/>
            <w:vAlign w:val="center"/>
          </w:tcPr>
          <w:p>
            <w:pPr>
              <w:pStyle w:val="63"/>
            </w:pPr>
            <w:r>
              <w:rPr>
                <w:rFonts w:hint="eastAsia"/>
              </w:rPr>
              <w:t>发布、实施和解除应急救援指令。向新闻和上级单位通报事故情况。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1173" w:type="pct"/>
            <w:vAlign w:val="center"/>
          </w:tcPr>
          <w:p>
            <w:pPr>
              <w:pStyle w:val="63"/>
            </w:pPr>
            <w:r>
              <w:rPr>
                <w:rFonts w:hint="eastAsia"/>
              </w:rPr>
              <w:t>技术协调组</w:t>
            </w:r>
          </w:p>
        </w:tc>
        <w:tc>
          <w:tcPr>
            <w:tcW w:w="1185" w:type="pct"/>
            <w:vAlign w:val="center"/>
          </w:tcPr>
          <w:p>
            <w:pPr>
              <w:pStyle w:val="63"/>
            </w:pPr>
          </w:p>
        </w:tc>
        <w:tc>
          <w:tcPr>
            <w:tcW w:w="2640" w:type="pct"/>
            <w:vAlign w:val="center"/>
          </w:tcPr>
          <w:p>
            <w:pPr>
              <w:pStyle w:val="63"/>
            </w:pPr>
            <w:r>
              <w:rPr>
                <w:rFonts w:hint="eastAsia"/>
              </w:rPr>
              <w:t>负责提供事故救援工作的技术资料，负责事故应急处理的综合协调工作，负责协调其它各组工作，承办领导交办的其它工作。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3" w:type="pct"/>
            <w:vAlign w:val="center"/>
          </w:tcPr>
          <w:p>
            <w:pPr>
              <w:pStyle w:val="63"/>
            </w:pPr>
            <w:r>
              <w:rPr>
                <w:rFonts w:hint="eastAsia"/>
              </w:rPr>
              <w:t>抢险抢修组</w:t>
            </w:r>
          </w:p>
        </w:tc>
        <w:tc>
          <w:tcPr>
            <w:tcW w:w="1185" w:type="pct"/>
            <w:vAlign w:val="center"/>
          </w:tcPr>
          <w:p>
            <w:pPr>
              <w:pStyle w:val="63"/>
            </w:pPr>
          </w:p>
        </w:tc>
        <w:tc>
          <w:tcPr>
            <w:tcW w:w="2640" w:type="pct"/>
            <w:vAlign w:val="center"/>
          </w:tcPr>
          <w:p>
            <w:pPr>
              <w:pStyle w:val="63"/>
            </w:pPr>
            <w:r>
              <w:rPr>
                <w:rFonts w:hint="eastAsia"/>
              </w:rPr>
              <w:t>负责受伤人员的现场急救和护送伤员入院医治，取得伤员伤害程度诊断报告、死亡证明。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3" w:type="pct"/>
            <w:vAlign w:val="center"/>
          </w:tcPr>
          <w:p>
            <w:pPr>
              <w:pStyle w:val="63"/>
            </w:pPr>
            <w:r>
              <w:rPr>
                <w:rFonts w:hint="eastAsia"/>
              </w:rPr>
              <w:t>后勤保障组</w:t>
            </w:r>
          </w:p>
        </w:tc>
        <w:tc>
          <w:tcPr>
            <w:tcW w:w="1185" w:type="pct"/>
            <w:vAlign w:val="center"/>
          </w:tcPr>
          <w:p>
            <w:pPr>
              <w:pStyle w:val="63"/>
            </w:pPr>
          </w:p>
        </w:tc>
        <w:tc>
          <w:tcPr>
            <w:tcW w:w="2640" w:type="pct"/>
            <w:vAlign w:val="center"/>
          </w:tcPr>
          <w:p>
            <w:pPr>
              <w:pStyle w:val="63"/>
            </w:pPr>
            <w:r>
              <w:rPr>
                <w:rFonts w:hint="eastAsia"/>
              </w:rPr>
              <w:t>资金和车辆的调配，救援机具、器材和物资的供应。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3" w:type="pct"/>
            <w:vAlign w:val="center"/>
          </w:tcPr>
          <w:p>
            <w:pPr>
              <w:pStyle w:val="63"/>
            </w:pPr>
            <w:r>
              <w:rPr>
                <w:rFonts w:hint="eastAsia"/>
              </w:rPr>
              <w:t>通讯联络组</w:t>
            </w:r>
          </w:p>
        </w:tc>
        <w:tc>
          <w:tcPr>
            <w:tcW w:w="1185" w:type="pct"/>
            <w:vAlign w:val="center"/>
          </w:tcPr>
          <w:p>
            <w:pPr>
              <w:pStyle w:val="63"/>
            </w:pPr>
          </w:p>
        </w:tc>
        <w:tc>
          <w:tcPr>
            <w:tcW w:w="2640" w:type="pct"/>
            <w:vAlign w:val="center"/>
          </w:tcPr>
          <w:p>
            <w:pPr>
              <w:pStyle w:val="63"/>
            </w:pPr>
            <w:r>
              <w:rPr>
                <w:rFonts w:hint="eastAsia"/>
              </w:rPr>
              <w:t>确保与管理者和外部联系畅通、内外信息反馈迅速；保持通讯设施和设备处于良好状态，负责应急过程记录与整理及对外联络。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3" w:type="pct"/>
            <w:vAlign w:val="center"/>
          </w:tcPr>
          <w:p>
            <w:pPr>
              <w:pStyle w:val="63"/>
            </w:pPr>
            <w:r>
              <w:rPr>
                <w:rFonts w:hint="eastAsia"/>
              </w:rPr>
              <w:t>医疗救护组</w:t>
            </w:r>
          </w:p>
        </w:tc>
        <w:tc>
          <w:tcPr>
            <w:tcW w:w="1185" w:type="pct"/>
            <w:vAlign w:val="center"/>
          </w:tcPr>
          <w:p>
            <w:pPr>
              <w:pStyle w:val="63"/>
            </w:pPr>
          </w:p>
        </w:tc>
        <w:tc>
          <w:tcPr>
            <w:tcW w:w="2640" w:type="pct"/>
            <w:vAlign w:val="center"/>
          </w:tcPr>
          <w:p>
            <w:pPr>
              <w:pStyle w:val="63"/>
            </w:pPr>
            <w:r>
              <w:rPr>
                <w:rFonts w:hint="eastAsia"/>
              </w:rPr>
              <w:t>对受害者进行必要的抢救(如人工呼吸、包扎止血、防止受伤部位受污染等)。使重度受害者优先得到外部救援机构的救护。协助外部救援机构转送受害者至医疗机构，并指定人员护理。</w:t>
            </w:r>
          </w:p>
        </w:tc>
      </w:tr>
    </w:tbl>
    <w:p>
      <w:pPr>
        <w:pStyle w:val="61"/>
      </w:pPr>
      <w:r>
        <w:rPr>
          <w:rFonts w:hint="eastAsia"/>
        </w:rPr>
        <w:t>表9.1-2 分包单位应急小组联系名单及联系电话</w:t>
      </w:r>
    </w:p>
    <w:tbl>
      <w:tblPr>
        <w:tblStyle w:val="44"/>
        <w:tblW w:w="499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93"/>
        <w:gridCol w:w="2017"/>
        <w:gridCol w:w="44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1" w:type="pct"/>
            <w:vAlign w:val="center"/>
          </w:tcPr>
          <w:p>
            <w:pPr>
              <w:pStyle w:val="63"/>
            </w:pPr>
            <w:r>
              <w:rPr>
                <w:rFonts w:hint="eastAsia"/>
              </w:rPr>
              <w:t>应急小组</w:t>
            </w:r>
          </w:p>
        </w:tc>
        <w:tc>
          <w:tcPr>
            <w:tcW w:w="1185" w:type="pct"/>
            <w:vAlign w:val="center"/>
          </w:tcPr>
          <w:p>
            <w:pPr>
              <w:pStyle w:val="63"/>
            </w:pPr>
            <w:r>
              <w:rPr>
                <w:rFonts w:hint="eastAsia"/>
              </w:rPr>
              <w:t>组长（电话）</w:t>
            </w:r>
          </w:p>
        </w:tc>
        <w:tc>
          <w:tcPr>
            <w:tcW w:w="2643" w:type="pct"/>
            <w:vAlign w:val="center"/>
          </w:tcPr>
          <w:p>
            <w:pPr>
              <w:pStyle w:val="63"/>
            </w:pPr>
            <w:r>
              <w:rPr>
                <w:rFonts w:hint="eastAsia"/>
              </w:rPr>
              <w:t>主要职责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1" w:type="pct"/>
            <w:vAlign w:val="center"/>
          </w:tcPr>
          <w:p>
            <w:pPr>
              <w:pStyle w:val="63"/>
            </w:pPr>
            <w:r>
              <w:rPr>
                <w:rFonts w:hint="eastAsia"/>
              </w:rPr>
              <w:t>指挥领导小组</w:t>
            </w:r>
          </w:p>
        </w:tc>
        <w:tc>
          <w:tcPr>
            <w:tcW w:w="1185" w:type="pct"/>
            <w:vAlign w:val="center"/>
          </w:tcPr>
          <w:p>
            <w:pPr>
              <w:pStyle w:val="63"/>
            </w:pPr>
            <w:r>
              <w:rPr>
                <w:rFonts w:hint="eastAsia"/>
              </w:rPr>
              <w:t>顾杰15058151932</w:t>
            </w:r>
          </w:p>
        </w:tc>
        <w:tc>
          <w:tcPr>
            <w:tcW w:w="2643" w:type="pct"/>
            <w:vAlign w:val="center"/>
          </w:tcPr>
          <w:p>
            <w:pPr>
              <w:pStyle w:val="63"/>
            </w:pPr>
            <w:r>
              <w:rPr>
                <w:rFonts w:hint="eastAsia"/>
              </w:rPr>
              <w:t>全面负责应急小组领导工作，组织指挥应急小组扑救各类事故，向上级主管部门汇报各类事故情况，协助上级有关部门扑救各类事故，协助上级有关部门、公司有关部门调查事故原因。</w:t>
            </w:r>
          </w:p>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1" w:type="pct"/>
            <w:vAlign w:val="center"/>
          </w:tcPr>
          <w:p>
            <w:pPr>
              <w:pStyle w:val="63"/>
            </w:pPr>
            <w:r>
              <w:rPr>
                <w:rFonts w:hint="eastAsia"/>
              </w:rPr>
              <w:t>抢救组</w:t>
            </w:r>
          </w:p>
        </w:tc>
        <w:tc>
          <w:tcPr>
            <w:tcW w:w="1185" w:type="pct"/>
            <w:vAlign w:val="center"/>
          </w:tcPr>
          <w:p>
            <w:pPr>
              <w:pStyle w:val="63"/>
            </w:pPr>
            <w:r>
              <w:rPr>
                <w:rFonts w:hint="eastAsia"/>
              </w:rPr>
              <w:t>章增云18958028340</w:t>
            </w:r>
          </w:p>
        </w:tc>
        <w:tc>
          <w:tcPr>
            <w:tcW w:w="2643" w:type="pct"/>
            <w:vAlign w:val="center"/>
          </w:tcPr>
          <w:p>
            <w:pPr>
              <w:pStyle w:val="63"/>
            </w:pPr>
            <w:r>
              <w:rPr>
                <w:rFonts w:hint="eastAsia"/>
              </w:rPr>
              <w:t>组织实施抢险行动方案，协调有关部门的抢险行动，及时向指挥部报告抢险进展情况。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1" w:type="pct"/>
            <w:vAlign w:val="center"/>
          </w:tcPr>
          <w:p>
            <w:pPr>
              <w:pStyle w:val="63"/>
            </w:pPr>
            <w:r>
              <w:rPr>
                <w:rFonts w:hint="eastAsia"/>
              </w:rPr>
              <w:t>安全保卫组</w:t>
            </w:r>
          </w:p>
        </w:tc>
        <w:tc>
          <w:tcPr>
            <w:tcW w:w="1185" w:type="pct"/>
            <w:vAlign w:val="center"/>
          </w:tcPr>
          <w:p>
            <w:pPr>
              <w:pStyle w:val="63"/>
            </w:pPr>
            <w:r>
              <w:rPr>
                <w:rFonts w:hint="eastAsia"/>
              </w:rPr>
              <w:t>黄教亮15123153214</w:t>
            </w:r>
          </w:p>
        </w:tc>
        <w:tc>
          <w:tcPr>
            <w:tcW w:w="2643" w:type="pct"/>
            <w:vAlign w:val="center"/>
          </w:tcPr>
          <w:p>
            <w:pPr>
              <w:pStyle w:val="63"/>
            </w:pPr>
            <w:r>
              <w:rPr>
                <w:rFonts w:hint="eastAsia"/>
              </w:rPr>
              <w:t>主要职责是负责事故现场的警戒，阻止非抢险救援人员进入现场，负责现场车辆疏通，维持治安秩序，负责保护抢险人员的人身安全，并负责应急疏散人员。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1" w:type="pct"/>
            <w:vAlign w:val="center"/>
          </w:tcPr>
          <w:p>
            <w:pPr>
              <w:pStyle w:val="63"/>
            </w:pPr>
            <w:r>
              <w:rPr>
                <w:rFonts w:hint="eastAsia"/>
              </w:rPr>
              <w:t>后勤保障组</w:t>
            </w:r>
          </w:p>
        </w:tc>
        <w:tc>
          <w:tcPr>
            <w:tcW w:w="1185" w:type="pct"/>
            <w:vAlign w:val="center"/>
          </w:tcPr>
          <w:p>
            <w:pPr>
              <w:pStyle w:val="63"/>
            </w:pPr>
            <w:r>
              <w:rPr>
                <w:rFonts w:hint="eastAsia"/>
              </w:rPr>
              <w:t>于志刚18683242166</w:t>
            </w:r>
          </w:p>
        </w:tc>
        <w:tc>
          <w:tcPr>
            <w:tcW w:w="2643" w:type="pct"/>
            <w:vAlign w:val="center"/>
          </w:tcPr>
          <w:p>
            <w:pPr>
              <w:pStyle w:val="63"/>
            </w:pPr>
            <w:r>
              <w:rPr>
                <w:rFonts w:hint="eastAsia"/>
              </w:rPr>
              <w:t>负责调集抢险器材、设备，负责解决全体参加抢险救援</w:t>
            </w:r>
            <w:r>
              <w:fldChar w:fldCharType="begin"/>
            </w:r>
            <w:r>
              <w:instrText xml:space="preserve"> HYPERLINK "http://www.安康安全技术有限公司/" \t "_blank" </w:instrText>
            </w:r>
            <w:r>
              <w:fldChar w:fldCharType="separate"/>
            </w:r>
            <w:r>
              <w:rPr>
                <w:rFonts w:hint="eastAsia"/>
              </w:rPr>
              <w:t>工作</w:t>
            </w:r>
            <w:r>
              <w:rPr>
                <w:rFonts w:hint="eastAsia"/>
              </w:rPr>
              <w:fldChar w:fldCharType="end"/>
            </w:r>
            <w:r>
              <w:rPr>
                <w:rFonts w:hint="eastAsia"/>
              </w:rPr>
              <w:t>人员的食宿问题。</w:t>
            </w:r>
          </w:p>
          <w:p>
            <w:pPr>
              <w:pStyle w:val="6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71" w:type="pct"/>
            <w:vAlign w:val="center"/>
          </w:tcPr>
          <w:p>
            <w:pPr>
              <w:pStyle w:val="63"/>
            </w:pPr>
            <w:r>
              <w:rPr>
                <w:rFonts w:hint="eastAsia"/>
              </w:rPr>
              <w:t>医疗救护组</w:t>
            </w:r>
          </w:p>
        </w:tc>
        <w:tc>
          <w:tcPr>
            <w:tcW w:w="1185" w:type="pct"/>
            <w:vAlign w:val="center"/>
          </w:tcPr>
          <w:p>
            <w:pPr>
              <w:pStyle w:val="63"/>
            </w:pPr>
            <w:r>
              <w:rPr>
                <w:rFonts w:hint="eastAsia"/>
              </w:rPr>
              <w:t>官成胜18696969648</w:t>
            </w:r>
          </w:p>
        </w:tc>
        <w:tc>
          <w:tcPr>
            <w:tcW w:w="2643" w:type="pct"/>
            <w:vAlign w:val="center"/>
          </w:tcPr>
          <w:p>
            <w:pPr>
              <w:pStyle w:val="63"/>
            </w:pPr>
            <w:r>
              <w:rPr>
                <w:rFonts w:hint="eastAsia"/>
              </w:rPr>
              <w:t>负责现场伤员的救护等</w:t>
            </w:r>
            <w:r>
              <w:fldChar w:fldCharType="begin"/>
            </w:r>
            <w:r>
              <w:instrText xml:space="preserve"> HYPERLINK "http://www.安康安全技术有限公司/" \t "_blank" </w:instrText>
            </w:r>
            <w:r>
              <w:fldChar w:fldCharType="separate"/>
            </w:r>
            <w:r>
              <w:rPr>
                <w:rFonts w:hint="eastAsia"/>
              </w:rPr>
              <w:t>工作</w:t>
            </w:r>
            <w:r>
              <w:rPr>
                <w:rFonts w:hint="eastAsia"/>
              </w:rPr>
              <w:fldChar w:fldCharType="end"/>
            </w:r>
            <w:r>
              <w:rPr>
                <w:rFonts w:hint="eastAsia"/>
              </w:rPr>
              <w:t>。</w:t>
            </w:r>
          </w:p>
          <w:p>
            <w:pPr>
              <w:pStyle w:val="63"/>
            </w:pPr>
            <w:r>
              <w:rPr>
                <w:rFonts w:hint="eastAsia"/>
              </w:rPr>
              <w:t>事故发生后立即开展伤员救护工作，在医疗人员到来前对伤员进行初步医疗护理并运离事故现场，对伤员妥善安置并在医疗人员抵达后帮助医疗人员了解现场人员伤亡情况，以利抢救并辅助搬运伤员。</w:t>
            </w:r>
          </w:p>
          <w:p>
            <w:pPr>
              <w:pStyle w:val="63"/>
            </w:pPr>
          </w:p>
        </w:tc>
      </w:tr>
    </w:tbl>
    <w:p>
      <w:pPr>
        <w:ind w:firstLine="480"/>
        <w:rPr>
          <w:rFonts w:ascii="宋体" w:hAnsi="宋体" w:cs="宋体"/>
          <w:szCs w:val="24"/>
        </w:rPr>
      </w:pPr>
      <w:r>
        <w:rPr>
          <w:rFonts w:hint="eastAsia" w:ascii="宋体" w:hAnsi="宋体" w:cs="宋体"/>
          <w:szCs w:val="24"/>
        </w:rPr>
        <w:t>外部应急联络单位及联系电话如下表所示。</w:t>
      </w:r>
    </w:p>
    <w:p>
      <w:pPr>
        <w:pStyle w:val="61"/>
      </w:pPr>
      <w:r>
        <w:rPr>
          <w:rFonts w:hint="eastAsia"/>
        </w:rPr>
        <w:t>表9.1-3 外部应急联络单位及联系电话</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08"/>
        <w:gridCol w:w="5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3" w:type="pct"/>
            <w:vAlign w:val="center"/>
          </w:tcPr>
          <w:p>
            <w:pPr>
              <w:pStyle w:val="63"/>
            </w:pPr>
            <w:r>
              <w:rPr>
                <w:rFonts w:hint="eastAsia"/>
              </w:rPr>
              <w:t>单位</w:t>
            </w:r>
          </w:p>
        </w:tc>
        <w:tc>
          <w:tcPr>
            <w:tcW w:w="3176" w:type="pct"/>
            <w:vAlign w:val="center"/>
          </w:tcPr>
          <w:p>
            <w:pPr>
              <w:pStyle w:val="63"/>
            </w:pPr>
            <w:r>
              <w:rPr>
                <w:rFonts w:hint="eastAsia"/>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3" w:type="pct"/>
            <w:vAlign w:val="center"/>
          </w:tcPr>
          <w:p>
            <w:pPr>
              <w:pStyle w:val="63"/>
            </w:pPr>
            <w:r>
              <w:rPr>
                <w:rFonts w:hint="eastAsia"/>
              </w:rPr>
              <w:t>急救</w:t>
            </w:r>
          </w:p>
        </w:tc>
        <w:tc>
          <w:tcPr>
            <w:tcW w:w="3176" w:type="pct"/>
            <w:vAlign w:val="center"/>
          </w:tcPr>
          <w:p>
            <w:pPr>
              <w:pStyle w:val="63"/>
            </w:pPr>
            <w:r>
              <w:rPr>
                <w:rFonts w:hint="eastAsia"/>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3" w:type="pct"/>
            <w:vAlign w:val="center"/>
          </w:tcPr>
          <w:p>
            <w:pPr>
              <w:pStyle w:val="63"/>
            </w:pPr>
            <w:r>
              <w:rPr>
                <w:rFonts w:hint="eastAsia"/>
              </w:rPr>
              <w:t>刑警</w:t>
            </w:r>
          </w:p>
        </w:tc>
        <w:tc>
          <w:tcPr>
            <w:tcW w:w="3176" w:type="pct"/>
            <w:vAlign w:val="center"/>
          </w:tcPr>
          <w:p>
            <w:pPr>
              <w:pStyle w:val="63"/>
            </w:pPr>
            <w:r>
              <w:rPr>
                <w:rFonts w:hint="eastAsia"/>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23" w:type="pct"/>
            <w:vAlign w:val="center"/>
          </w:tcPr>
          <w:p>
            <w:pPr>
              <w:pStyle w:val="63"/>
            </w:pPr>
            <w:r>
              <w:rPr>
                <w:rFonts w:hint="eastAsia"/>
              </w:rPr>
              <w:t>火警</w:t>
            </w:r>
          </w:p>
        </w:tc>
        <w:tc>
          <w:tcPr>
            <w:tcW w:w="3176" w:type="pct"/>
            <w:vAlign w:val="center"/>
          </w:tcPr>
          <w:p>
            <w:pPr>
              <w:pStyle w:val="63"/>
            </w:pPr>
            <w:r>
              <w:rPr>
                <w:rFonts w:hint="eastAsia"/>
              </w:rPr>
              <w:t>119</w:t>
            </w:r>
          </w:p>
        </w:tc>
      </w:tr>
    </w:tbl>
    <w:p>
      <w:pPr>
        <w:pStyle w:val="4"/>
        <w:spacing w:before="156" w:after="156"/>
        <w:rPr>
          <w:color w:val="000000" w:themeColor="text1"/>
          <w14:textFill>
            <w14:solidFill>
              <w14:schemeClr w14:val="tx1"/>
            </w14:solidFill>
          </w14:textFill>
        </w:rPr>
      </w:pPr>
      <w:bookmarkStart w:id="461" w:name="_Toc9735"/>
      <w:bookmarkStart w:id="462" w:name="_Toc40778455"/>
      <w:bookmarkStart w:id="463" w:name="_Toc28613979"/>
      <w:bookmarkStart w:id="464" w:name="_Toc121760049"/>
      <w:bookmarkStart w:id="465" w:name="_Toc55223384"/>
      <w:r>
        <w:rPr>
          <w:rFonts w:hint="eastAsia"/>
          <w:color w:val="000000" w:themeColor="text1"/>
          <w14:textFill>
            <w14:solidFill>
              <w14:schemeClr w14:val="tx1"/>
            </w14:solidFill>
          </w14:textFill>
        </w:rPr>
        <w:t>处置流程</w:t>
      </w:r>
      <w:bookmarkEnd w:id="461"/>
      <w:bookmarkEnd w:id="462"/>
      <w:bookmarkEnd w:id="463"/>
      <w:bookmarkEnd w:id="464"/>
      <w:bookmarkEnd w:id="465"/>
    </w:p>
    <w:p>
      <w:pPr>
        <w:pStyle w:val="5"/>
        <w:spacing w:before="156" w:after="156"/>
      </w:pPr>
      <w:bookmarkStart w:id="466" w:name="_Toc108095524"/>
      <w:bookmarkStart w:id="467" w:name="_Toc121760050"/>
      <w:r>
        <w:rPr>
          <w:rFonts w:hint="eastAsia"/>
        </w:rPr>
        <w:t>应急响应程序</w:t>
      </w:r>
      <w:bookmarkEnd w:id="466"/>
      <w:bookmarkEnd w:id="467"/>
    </w:p>
    <w:p>
      <w:pPr>
        <w:ind w:firstLine="480"/>
      </w:pPr>
      <w:r>
        <w:rPr>
          <w:rFonts w:hint="eastAsia"/>
        </w:rPr>
        <w:t>事故应急救援系统的应急响应程序按照过程可分为接警、响应级别的确定、应急启动、救援行动、应急恢复和应急结束等几个过程。</w:t>
      </w:r>
    </w:p>
    <w:p>
      <w:pPr>
        <w:ind w:firstLine="480"/>
      </w:pPr>
      <w:r>
        <w:rPr>
          <w:rFonts w:hint="eastAsia"/>
        </w:rPr>
        <w:t>（1）三级响应。事故事件类别为：一般等级以下事故。应急救援及处置由项目部主导和具体实施，分公司协助处理。</w:t>
      </w:r>
    </w:p>
    <w:p>
      <w:pPr>
        <w:ind w:firstLine="480"/>
      </w:pPr>
      <w:r>
        <w:rPr>
          <w:rFonts w:hint="eastAsia"/>
        </w:rPr>
        <w:t>（2）二级紧急情况。事故事件类别为：发生重伤事故或者可能造成较大伤害和影响的事故，且事态得以控制，不会造成严重社会影响。应急救援及处置协调由分公司主导，二航局综合协调，项目部具体实施。</w:t>
      </w:r>
    </w:p>
    <w:p>
      <w:pPr>
        <w:ind w:firstLine="480"/>
      </w:pPr>
      <w:r>
        <w:rPr>
          <w:rFonts w:hint="eastAsia"/>
        </w:rPr>
        <w:t>（3）一级紧急情况。事故事件类别为：发生较大及以上等级生产安全事故；发生一般等级生产安全事故，但可能造成进一步损失或严重社会影响。应急救援及处置协调由二航局主导，分公司配合，项目部具体实施。</w:t>
      </w:r>
    </w:p>
    <w:p>
      <w:pPr>
        <w:pStyle w:val="5"/>
        <w:spacing w:before="156" w:after="156"/>
      </w:pPr>
      <w:bookmarkStart w:id="468" w:name="_Toc24449"/>
      <w:r>
        <w:rPr>
          <w:rFonts w:hint="eastAsia"/>
        </w:rPr>
        <w:t xml:space="preserve"> </w:t>
      </w:r>
      <w:bookmarkStart w:id="469" w:name="_Toc108095525"/>
      <w:bookmarkStart w:id="470" w:name="_Toc121760051"/>
      <w:bookmarkStart w:id="471" w:name="_Toc98718273"/>
      <w:r>
        <w:rPr>
          <w:rFonts w:hint="eastAsia"/>
        </w:rPr>
        <w:t>应急措置程序</w:t>
      </w:r>
      <w:bookmarkEnd w:id="468"/>
      <w:bookmarkEnd w:id="469"/>
      <w:bookmarkEnd w:id="470"/>
      <w:bookmarkEnd w:id="471"/>
    </w:p>
    <w:p>
      <w:pPr>
        <w:ind w:firstLine="480"/>
      </w:pPr>
      <w:r>
        <w:rPr>
          <w:rFonts w:hint="eastAsia"/>
        </w:rPr>
        <w:t>施工过程中事故发生，应急处置流程见</w:t>
      </w:r>
      <w:r>
        <w:rPr>
          <w:rFonts w:hint="eastAsia"/>
          <w:b/>
          <w:bCs/>
        </w:rPr>
        <w:t>图9</w:t>
      </w:r>
      <w:r>
        <w:rPr>
          <w:b/>
          <w:bCs/>
        </w:rPr>
        <w:t>.2.2-1</w:t>
      </w:r>
      <w:r>
        <w:rPr>
          <w:rFonts w:hint="eastAsia"/>
        </w:rPr>
        <w:t>。</w:t>
      </w:r>
    </w:p>
    <w:p>
      <w:pPr>
        <w:pStyle w:val="95"/>
        <w:ind w:firstLine="480"/>
      </w:pPr>
      <w:r>
        <w:object>
          <v:shape id="_x0000_i1029" o:spt="75" type="#_x0000_t75" style="height:325.7pt;width:335.15pt;" o:ole="t" filled="f" o:preferrelative="t" stroked="f" coordsize="21600,21600">
            <v:path/>
            <v:fill on="f" focussize="0,0"/>
            <v:stroke on="f" joinstyle="miter"/>
            <v:imagedata r:id="rId83" o:title=""/>
            <o:lock v:ext="edit" aspectratio="t"/>
            <w10:wrap type="none"/>
            <w10:anchorlock/>
          </v:shape>
          <o:OLEObject Type="Embed" ProgID="Visio.Drawing.15" ShapeID="_x0000_i1029" DrawAspect="Content" ObjectID="_1468075729" r:id="rId82">
            <o:LockedField>false</o:LockedField>
          </o:OLEObject>
        </w:object>
      </w:r>
    </w:p>
    <w:p>
      <w:pPr>
        <w:pStyle w:val="89"/>
        <w:spacing w:before="156"/>
      </w:pPr>
      <w:r>
        <w:rPr>
          <w:rFonts w:hint="eastAsia"/>
        </w:rPr>
        <w:t>图9</w:t>
      </w:r>
      <w:r>
        <w:t xml:space="preserve">.2.2-1  </w:t>
      </w:r>
      <w:r>
        <w:rPr>
          <w:rFonts w:hint="eastAsia"/>
        </w:rPr>
        <w:t>事故应急处置流程</w:t>
      </w:r>
    </w:p>
    <w:p>
      <w:pPr>
        <w:pStyle w:val="5"/>
        <w:spacing w:before="156" w:after="156"/>
      </w:pPr>
      <w:bookmarkStart w:id="472" w:name="_Toc21182"/>
      <w:r>
        <w:rPr>
          <w:rFonts w:hint="eastAsia"/>
        </w:rPr>
        <w:t xml:space="preserve"> </w:t>
      </w:r>
      <w:bookmarkStart w:id="473" w:name="_Toc121760052"/>
      <w:bookmarkStart w:id="474" w:name="_Toc98718274"/>
      <w:bookmarkStart w:id="475" w:name="_Toc108095526"/>
      <w:r>
        <w:rPr>
          <w:rFonts w:hint="eastAsia"/>
        </w:rPr>
        <w:t>事故报告及内容</w:t>
      </w:r>
      <w:bookmarkEnd w:id="472"/>
      <w:bookmarkEnd w:id="473"/>
      <w:bookmarkEnd w:id="474"/>
      <w:bookmarkEnd w:id="475"/>
    </w:p>
    <w:p>
      <w:pPr>
        <w:pStyle w:val="6"/>
      </w:pPr>
      <w:r>
        <w:rPr>
          <w:rFonts w:hint="eastAsia"/>
        </w:rPr>
        <w:t xml:space="preserve"> </w:t>
      </w:r>
      <w:r>
        <w:t>1</w:t>
      </w:r>
      <w:r>
        <w:rPr>
          <w:rFonts w:hint="eastAsia"/>
        </w:rPr>
        <w:t>、事故内部报告程序</w:t>
      </w:r>
    </w:p>
    <w:p>
      <w:pPr>
        <w:ind w:firstLine="480"/>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pPr>
        <w:pStyle w:val="6"/>
      </w:pPr>
      <w:r>
        <w:rPr>
          <w:rFonts w:hint="eastAsia"/>
        </w:rPr>
        <w:t xml:space="preserve"> </w:t>
      </w:r>
      <w:r>
        <w:t>2</w:t>
      </w:r>
      <w:r>
        <w:rPr>
          <w:rFonts w:hint="eastAsia"/>
        </w:rPr>
        <w:t>、事故外部报告程序</w:t>
      </w:r>
    </w:p>
    <w:p>
      <w:pPr>
        <w:ind w:firstLine="480"/>
      </w:pPr>
      <w:r>
        <w:rPr>
          <w:rFonts w:hint="eastAsia"/>
        </w:rPr>
        <w:t>项目应急救援工作小组仔细了解事故情况，迅速确定事故书面简报材料。自接到事故报告半小时内同时向监理单位、建设单位及分公司安全管理部门负责人及当地安全生产监管部门报告。外部报告程序由项目部统一报告，不得越级。</w:t>
      </w:r>
    </w:p>
    <w:p>
      <w:pPr>
        <w:pStyle w:val="6"/>
      </w:pPr>
      <w:r>
        <w:rPr>
          <w:rFonts w:hint="eastAsia"/>
        </w:rPr>
        <w:t xml:space="preserve"> 3、生产安全事故报告内容</w:t>
      </w:r>
    </w:p>
    <w:p>
      <w:pPr>
        <w:ind w:firstLine="480"/>
      </w:pPr>
      <w:r>
        <w:rPr>
          <w:rFonts w:hint="eastAsia"/>
        </w:rPr>
        <w:t>生产安全事故报告内容包括：</w:t>
      </w:r>
    </w:p>
    <w:p>
      <w:pPr>
        <w:ind w:firstLine="480"/>
      </w:pPr>
      <w:r>
        <w:rPr>
          <w:rFonts w:hint="eastAsia"/>
        </w:rPr>
        <w:t>（1）事故发生单位概况；</w:t>
      </w:r>
    </w:p>
    <w:p>
      <w:pPr>
        <w:ind w:firstLine="480"/>
      </w:pPr>
      <w:r>
        <w:rPr>
          <w:rFonts w:hint="eastAsia"/>
        </w:rPr>
        <w:t>（2）事故发生的时间、地点以及事故现场情况；</w:t>
      </w:r>
    </w:p>
    <w:p>
      <w:pPr>
        <w:ind w:firstLine="480"/>
      </w:pPr>
      <w:r>
        <w:rPr>
          <w:rFonts w:hint="eastAsia"/>
        </w:rPr>
        <w:t>（3）事故的简要经过；</w:t>
      </w:r>
    </w:p>
    <w:p>
      <w:pPr>
        <w:ind w:firstLine="480"/>
      </w:pPr>
      <w:r>
        <w:rPr>
          <w:rFonts w:hint="eastAsia"/>
        </w:rPr>
        <w:t>（4）事故已经造成或者可能造成的伤亡人数和初步估计的直接经济损失；</w:t>
      </w:r>
    </w:p>
    <w:p>
      <w:pPr>
        <w:ind w:firstLine="480"/>
      </w:pPr>
      <w:r>
        <w:rPr>
          <w:rFonts w:hint="eastAsia"/>
        </w:rPr>
        <w:t>（5）已经采取的措施；</w:t>
      </w:r>
    </w:p>
    <w:p>
      <w:pPr>
        <w:ind w:firstLine="480"/>
      </w:pPr>
      <w:r>
        <w:rPr>
          <w:rFonts w:hint="eastAsia"/>
        </w:rPr>
        <w:t>（6）其他应当报告的情况。</w:t>
      </w:r>
    </w:p>
    <w:p>
      <w:pPr>
        <w:pStyle w:val="4"/>
        <w:spacing w:before="156" w:after="156"/>
        <w:rPr>
          <w:color w:val="000000" w:themeColor="text1"/>
          <w14:textFill>
            <w14:solidFill>
              <w14:schemeClr w14:val="tx1"/>
            </w14:solidFill>
          </w14:textFill>
        </w:rPr>
      </w:pPr>
      <w:bookmarkStart w:id="476" w:name="_Toc22714"/>
      <w:bookmarkStart w:id="477" w:name="_Toc121760053"/>
      <w:bookmarkStart w:id="478" w:name="_Toc55223385"/>
      <w:bookmarkStart w:id="479" w:name="_Toc40778456"/>
      <w:r>
        <w:rPr>
          <w:rFonts w:hint="eastAsia"/>
          <w:color w:val="000000" w:themeColor="text1"/>
          <w14:textFill>
            <w14:solidFill>
              <w14:schemeClr w14:val="tx1"/>
            </w14:solidFill>
          </w14:textFill>
        </w:rPr>
        <w:t>应急处置措施</w:t>
      </w:r>
      <w:bookmarkEnd w:id="476"/>
      <w:bookmarkEnd w:id="477"/>
      <w:bookmarkEnd w:id="478"/>
      <w:bookmarkEnd w:id="479"/>
    </w:p>
    <w:p>
      <w:pPr>
        <w:pStyle w:val="5"/>
        <w:spacing w:before="156" w:after="156"/>
      </w:pPr>
      <w:bookmarkStart w:id="480" w:name="_Toc121760054"/>
      <w:r>
        <w:rPr>
          <w:rFonts w:hint="eastAsia"/>
        </w:rPr>
        <w:t>高空坠落应急处置措施</w:t>
      </w:r>
      <w:bookmarkEnd w:id="480"/>
    </w:p>
    <w:p>
      <w:pPr>
        <w:ind w:firstLine="480"/>
        <w:rPr>
          <w:rFonts w:ascii="宋体" w:hAnsi="宋体" w:cs="宋体"/>
          <w:szCs w:val="24"/>
        </w:rPr>
      </w:pPr>
      <w:r>
        <w:rPr>
          <w:rFonts w:hint="eastAsia" w:ascii="宋体" w:hAnsi="宋体" w:cs="宋体"/>
          <w:szCs w:val="24"/>
        </w:rPr>
        <w:t>当发生高处坠落事故后，抢救的重点放在对休克、骨折和出血上进行处理。</w:t>
      </w:r>
    </w:p>
    <w:p>
      <w:pPr>
        <w:ind w:firstLine="480"/>
        <w:rPr>
          <w:rFonts w:ascii="宋体" w:hAnsi="宋体" w:cs="宋体"/>
          <w:szCs w:val="24"/>
        </w:rPr>
      </w:pPr>
      <w:r>
        <w:rPr>
          <w:rFonts w:hint="eastAsia" w:ascii="宋体" w:hAnsi="宋体" w:cs="宋体"/>
          <w:szCs w:val="24"/>
        </w:rPr>
        <w:t>1）发生高处坠落事故，应马上组织抢救伤者，首先观察伤者的受伤情况、部位，伤害性质．如伤员发生休克，应先处理休克，遇呼吸、心跳停止者，应立即进行人工呼吸，胸外心脏挤压．处于休克伤员要让其安静、保暖、平卧、少动，并将下肢抬高约20度左右，尽快速医院进行抡救治疗。</w:t>
      </w:r>
    </w:p>
    <w:p>
      <w:pPr>
        <w:ind w:firstLine="480"/>
        <w:rPr>
          <w:rFonts w:ascii="宋体" w:hAnsi="宋体" w:cs="宋体"/>
          <w:szCs w:val="24"/>
        </w:rPr>
      </w:pPr>
      <w:r>
        <w:rPr>
          <w:rFonts w:hint="eastAsia" w:ascii="宋体" w:hAnsi="宋体" w:cs="宋体"/>
          <w:szCs w:val="24"/>
        </w:rPr>
        <w:t>2）出现颅脑损伤，必须维持呼吸遭通畅。昏迷者应平卧，面部转向一侧，以防舌根下坠或分泌物、呕吐物吸入，发生喉阻塞。有骨折者，应初步团定后再搬运。遇有凹陷骨折、严重的颅底骨折及严重的脑损伤症状出现，创伤处用消毒的纱布或清洁布等覆盖，用绷带或布条包扎后，及时送往就近有条件的医院治疗。</w:t>
      </w:r>
    </w:p>
    <w:p>
      <w:pPr>
        <w:ind w:firstLine="480"/>
        <w:rPr>
          <w:rFonts w:ascii="宋体" w:hAnsi="宋体" w:cs="宋体"/>
          <w:szCs w:val="24"/>
        </w:rPr>
      </w:pPr>
      <w:r>
        <w:rPr>
          <w:rFonts w:hint="eastAsia" w:ascii="宋体" w:hAnsi="宋体" w:cs="宋体"/>
          <w:szCs w:val="24"/>
        </w:rPr>
        <w:t>3）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pPr>
        <w:ind w:firstLine="480"/>
        <w:rPr>
          <w:rFonts w:ascii="宋体" w:hAnsi="宋体" w:cs="宋体"/>
          <w:szCs w:val="24"/>
        </w:rPr>
      </w:pPr>
      <w:r>
        <w:rPr>
          <w:rFonts w:hint="eastAsia" w:ascii="宋体" w:hAnsi="宋体" w:cs="宋体"/>
          <w:szCs w:val="24"/>
        </w:rPr>
        <w:t>4）发现伤者手足骨折，不要盲目搬运伤者。应在骨折部位用夹板把受伤位置临时固定，使断端不再移位或刺伤肌肉，神经或血管。固定方法：以固定骨折处上下关节为原则，可就地取材，用木板、竹头等，在无材料的情况下，上肢可固定在身侧，下肢与健侧下肢缚在一起。</w:t>
      </w:r>
    </w:p>
    <w:p>
      <w:pPr>
        <w:ind w:firstLine="480"/>
        <w:rPr>
          <w:rFonts w:ascii="宋体" w:hAnsi="宋体" w:cs="宋体"/>
          <w:szCs w:val="24"/>
        </w:rPr>
      </w:pPr>
      <w:r>
        <w:rPr>
          <w:rFonts w:hint="eastAsia" w:ascii="宋体" w:hAnsi="宋体" w:cs="宋体"/>
          <w:szCs w:val="24"/>
        </w:rPr>
        <w:t>5）遇有创伤性出血的伤员。应迅速包扎止血．使伤员保持在头低脚高的卧位，并注意保暖。</w:t>
      </w:r>
    </w:p>
    <w:p>
      <w:pPr>
        <w:ind w:firstLine="480"/>
        <w:rPr>
          <w:rFonts w:ascii="宋体" w:hAnsi="宋体" w:cs="宋体"/>
          <w:szCs w:val="24"/>
        </w:rPr>
      </w:pPr>
      <w:r>
        <w:rPr>
          <w:rFonts w:hint="eastAsia" w:ascii="宋体" w:hAnsi="宋体" w:cs="宋体"/>
          <w:szCs w:val="24"/>
        </w:rPr>
        <w:t>6）动用最快的交通工具，及时把伤者送住邻近医院抢救，运送途中应尽量减少颠簸．同时，密切注意伤者的呼吸、脉搏．血压及伤口的情况。</w:t>
      </w:r>
    </w:p>
    <w:p>
      <w:pPr>
        <w:pStyle w:val="5"/>
        <w:spacing w:before="156" w:after="156"/>
      </w:pPr>
      <w:bookmarkStart w:id="481" w:name="_Toc121760055"/>
      <w:r>
        <w:rPr>
          <w:rFonts w:hint="eastAsia"/>
        </w:rPr>
        <w:t>物体打击事故</w:t>
      </w:r>
      <w:bookmarkEnd w:id="481"/>
    </w:p>
    <w:p>
      <w:pPr>
        <w:ind w:firstLine="480"/>
        <w:rPr>
          <w:rFonts w:ascii="宋体" w:hAnsi="宋体" w:cs="宋体"/>
          <w:szCs w:val="24"/>
        </w:rPr>
      </w:pPr>
      <w:r>
        <w:rPr>
          <w:rFonts w:hint="eastAsia" w:ascii="宋体" w:hAnsi="宋体" w:cs="宋体"/>
          <w:szCs w:val="24"/>
        </w:rPr>
        <w:t>当发生物体打击事故后，抢救的重点放在对颅脑损伤，胸部骨折和出血上进行处理。</w:t>
      </w:r>
    </w:p>
    <w:p>
      <w:pPr>
        <w:ind w:firstLine="480"/>
        <w:rPr>
          <w:rFonts w:ascii="宋体" w:hAnsi="宋体" w:cs="宋体"/>
          <w:szCs w:val="24"/>
        </w:rPr>
      </w:pPr>
      <w:r>
        <w:rPr>
          <w:rFonts w:hint="eastAsia" w:ascii="宋体" w:hAnsi="宋体" w:cs="宋体"/>
          <w:szCs w:val="24"/>
        </w:rPr>
        <w:t>1）发生物体打击事故，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pPr>
        <w:ind w:firstLine="480"/>
        <w:rPr>
          <w:rFonts w:ascii="宋体" w:hAnsi="宋体" w:cs="宋体"/>
          <w:szCs w:val="24"/>
        </w:rPr>
      </w:pPr>
      <w:r>
        <w:rPr>
          <w:rFonts w:hint="eastAsia" w:ascii="宋体" w:hAnsi="宋体" w:cs="宋体"/>
          <w:szCs w:val="24"/>
        </w:rPr>
        <w:t>2）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用绷带或布条包扎后，及时送往就近有条件的医院治疗。</w:t>
      </w:r>
    </w:p>
    <w:p>
      <w:pPr>
        <w:ind w:firstLine="480"/>
        <w:rPr>
          <w:rFonts w:ascii="宋体" w:hAnsi="宋体" w:cs="宋体"/>
          <w:szCs w:val="24"/>
        </w:rPr>
      </w:pPr>
      <w:r>
        <w:rPr>
          <w:rFonts w:hint="eastAsia" w:ascii="宋体" w:hAnsi="宋体" w:cs="宋体"/>
          <w:szCs w:val="24"/>
        </w:rPr>
        <w:t>3）遇有创伤性出血的伤员，应迅速包扎止血，使伤员保持在头低脚高的卧位，并注意保暖。</w:t>
      </w:r>
    </w:p>
    <w:p>
      <w:pPr>
        <w:pStyle w:val="5"/>
        <w:spacing w:before="156" w:after="156"/>
      </w:pPr>
      <w:bookmarkStart w:id="482" w:name="_Toc121760056"/>
      <w:r>
        <w:rPr>
          <w:rFonts w:hint="eastAsia"/>
        </w:rPr>
        <w:t>触电事故</w:t>
      </w:r>
      <w:bookmarkEnd w:id="482"/>
    </w:p>
    <w:p>
      <w:pPr>
        <w:ind w:firstLine="480"/>
        <w:rPr>
          <w:rFonts w:ascii="宋体" w:hAnsi="宋体" w:cs="宋体"/>
          <w:szCs w:val="24"/>
        </w:rPr>
      </w:pPr>
      <w:r>
        <w:rPr>
          <w:rFonts w:hint="eastAsia" w:ascii="宋体" w:hAnsi="宋体" w:cs="宋体"/>
          <w:szCs w:val="24"/>
        </w:rPr>
        <w:t>1）触电急救的要点是动作迅速，救护得法，切不可惊慌失措，束手无策。要贯彻“迅速、就地、正确、坚持”的触电急救八字方针。发现有人触电，首先要尽快使触电者脱离电源，然后根据触电者的具体症状进行对症施救。</w:t>
      </w:r>
    </w:p>
    <w:p>
      <w:pPr>
        <w:ind w:firstLine="480"/>
        <w:rPr>
          <w:rFonts w:ascii="宋体" w:hAnsi="宋体" w:cs="宋体"/>
          <w:szCs w:val="24"/>
        </w:rPr>
      </w:pPr>
      <w:r>
        <w:rPr>
          <w:rFonts w:hint="eastAsia" w:ascii="宋体" w:hAnsi="宋体" w:cs="宋体"/>
          <w:szCs w:val="24"/>
        </w:rPr>
        <w:t>2）脱离电源的基本方法：</w:t>
      </w:r>
    </w:p>
    <w:p>
      <w:pPr>
        <w:ind w:firstLine="480"/>
        <w:rPr>
          <w:rFonts w:ascii="宋体" w:hAnsi="宋体" w:cs="宋体"/>
          <w:szCs w:val="24"/>
        </w:rPr>
      </w:pPr>
      <w:r>
        <w:rPr>
          <w:rFonts w:hint="eastAsia" w:ascii="宋体" w:hAnsi="宋体" w:cs="宋体"/>
          <w:szCs w:val="24"/>
        </w:rPr>
        <w:t>①将出事附近电源开关刀拉掉、或将电源插头拔掉，以切断电源。</w:t>
      </w:r>
    </w:p>
    <w:p>
      <w:pPr>
        <w:ind w:firstLine="480"/>
        <w:rPr>
          <w:rFonts w:ascii="宋体" w:hAnsi="宋体" w:cs="宋体"/>
          <w:szCs w:val="24"/>
        </w:rPr>
      </w:pPr>
      <w:r>
        <w:rPr>
          <w:rFonts w:hint="eastAsia" w:ascii="宋体" w:hAnsi="宋体" w:cs="宋体"/>
          <w:szCs w:val="24"/>
        </w:rPr>
        <w:t>②用干燥的绝缘木棒、竹竿、布带等物件将电源线从触电者身上拨离或者将触电者拨离电源。</w:t>
      </w:r>
    </w:p>
    <w:p>
      <w:pPr>
        <w:ind w:firstLine="480"/>
        <w:rPr>
          <w:rFonts w:ascii="宋体" w:hAnsi="宋体" w:cs="宋体"/>
          <w:szCs w:val="24"/>
        </w:rPr>
      </w:pPr>
      <w:r>
        <w:rPr>
          <w:rFonts w:hint="eastAsia" w:ascii="宋体" w:hAnsi="宋体" w:cs="宋体"/>
          <w:szCs w:val="24"/>
        </w:rPr>
        <w:t>③必要时可用绝缘工具(如带有绝缘柄的电工钳、干燥的木柄斧头以及（锄头）切断电源线。</w:t>
      </w:r>
    </w:p>
    <w:p>
      <w:pPr>
        <w:ind w:firstLine="480"/>
        <w:rPr>
          <w:rFonts w:ascii="宋体" w:hAnsi="宋体" w:cs="宋体"/>
          <w:szCs w:val="24"/>
        </w:rPr>
      </w:pPr>
      <w:r>
        <w:rPr>
          <w:rFonts w:hint="eastAsia" w:ascii="宋体" w:hAnsi="宋体" w:cs="宋体"/>
          <w:szCs w:val="24"/>
        </w:rPr>
        <w:t>④救护人戴上手套或在手上包缠干燥的衣服、围巾、帽子等绝缘物品拖拽触电者，使之脱离电源。</w:t>
      </w:r>
    </w:p>
    <w:p>
      <w:pPr>
        <w:ind w:firstLine="480"/>
        <w:rPr>
          <w:rFonts w:ascii="宋体" w:hAnsi="宋体" w:cs="宋体"/>
          <w:szCs w:val="24"/>
        </w:rPr>
      </w:pPr>
      <w:r>
        <w:rPr>
          <w:rFonts w:hint="eastAsia" w:ascii="宋体" w:hAnsi="宋体" w:cs="宋体"/>
          <w:szCs w:val="24"/>
        </w:rPr>
        <w:t>⑤如果触电者由于痉挛手指紧握导线缠绕在身上，救护人可先用干燥的木板塞进触电者身下使其与地绝缘来隔断入地电流，然后再采取其他办法把电源切断。</w:t>
      </w:r>
    </w:p>
    <w:p>
      <w:pPr>
        <w:ind w:firstLine="480"/>
        <w:rPr>
          <w:rFonts w:ascii="宋体" w:hAnsi="宋体" w:cs="宋体"/>
          <w:szCs w:val="24"/>
        </w:rPr>
      </w:pPr>
      <w:r>
        <w:rPr>
          <w:rFonts w:hint="eastAsia" w:ascii="宋体" w:hAnsi="宋体" w:cs="宋体"/>
          <w:szCs w:val="24"/>
        </w:rPr>
        <w:t>⑥如果触电者触及断落在地上的带电高压导线，且尚未确证线路无电之前，救护人员不可进入断线落地点8～10m的范围内，以预防跨步电压触电。进入该范围的救护人员应穿上绝缘靴接近触电者，触电者脱离带电导线后应迅速将其带至8～10m以外立即开始触电急救。只有在确证线路已经无电，才可在触电者离开触电导线后就地急救。</w:t>
      </w:r>
    </w:p>
    <w:p>
      <w:pPr>
        <w:ind w:firstLine="480"/>
        <w:rPr>
          <w:rFonts w:ascii="宋体" w:hAnsi="宋体" w:cs="宋体"/>
          <w:szCs w:val="24"/>
        </w:rPr>
      </w:pPr>
      <w:r>
        <w:rPr>
          <w:rFonts w:hint="eastAsia" w:ascii="宋体" w:hAnsi="宋体" w:cs="宋体"/>
          <w:szCs w:val="24"/>
        </w:rPr>
        <w:t>3）在使触电者脱离电源时应注意的事项：</w:t>
      </w:r>
    </w:p>
    <w:p>
      <w:pPr>
        <w:ind w:firstLine="480"/>
        <w:rPr>
          <w:rFonts w:ascii="宋体" w:hAnsi="宋体" w:cs="宋体"/>
          <w:szCs w:val="24"/>
        </w:rPr>
      </w:pPr>
      <w:r>
        <w:rPr>
          <w:rFonts w:hint="eastAsia" w:ascii="宋体" w:hAnsi="宋体" w:cs="宋体"/>
          <w:szCs w:val="24"/>
        </w:rPr>
        <w:t>①未采取绝缘措施前，救护人不得直接触及触电者的皮肤和潮湿的衣服。</w:t>
      </w:r>
    </w:p>
    <w:p>
      <w:pPr>
        <w:ind w:firstLine="480"/>
        <w:rPr>
          <w:rFonts w:ascii="宋体" w:hAnsi="宋体" w:cs="宋体"/>
          <w:szCs w:val="24"/>
        </w:rPr>
      </w:pPr>
      <w:r>
        <w:rPr>
          <w:rFonts w:hint="eastAsia" w:ascii="宋体" w:hAnsi="宋体" w:cs="宋体"/>
          <w:szCs w:val="24"/>
        </w:rPr>
        <w:t>②严禁救护人直接用手推、拉和触摸触电者；救护人不得采用金属或其他绝缘性能差的物体（如潮湿木棒、布带等）作为救护工具。</w:t>
      </w:r>
    </w:p>
    <w:p>
      <w:pPr>
        <w:ind w:firstLine="480"/>
        <w:rPr>
          <w:rFonts w:ascii="宋体" w:hAnsi="宋体" w:cs="宋体"/>
          <w:szCs w:val="24"/>
        </w:rPr>
      </w:pPr>
      <w:r>
        <w:rPr>
          <w:rFonts w:hint="eastAsia" w:ascii="宋体" w:hAnsi="宋体" w:cs="宋体"/>
          <w:szCs w:val="24"/>
        </w:rPr>
        <w:t>③在拉拽触电者脱离电源的过程中，救护人宜用单手操作，这样对救护人比较安全。</w:t>
      </w:r>
    </w:p>
    <w:p>
      <w:pPr>
        <w:ind w:firstLine="480"/>
        <w:rPr>
          <w:rFonts w:ascii="宋体" w:hAnsi="宋体" w:cs="宋体"/>
          <w:szCs w:val="24"/>
        </w:rPr>
      </w:pPr>
      <w:r>
        <w:rPr>
          <w:rFonts w:hint="eastAsia" w:ascii="宋体" w:hAnsi="宋体" w:cs="宋体"/>
          <w:szCs w:val="24"/>
        </w:rPr>
        <w:t>④当触电者位于高位时，应采取措施预防触电者在脱离电源后坠地摔伤或摔死(电击二次伤害)。</w:t>
      </w:r>
    </w:p>
    <w:p>
      <w:pPr>
        <w:ind w:firstLine="480"/>
        <w:rPr>
          <w:rFonts w:ascii="宋体" w:hAnsi="宋体" w:cs="宋体"/>
          <w:szCs w:val="24"/>
        </w:rPr>
      </w:pPr>
      <w:r>
        <w:rPr>
          <w:rFonts w:hint="eastAsia" w:ascii="宋体" w:hAnsi="宋体" w:cs="宋体"/>
          <w:szCs w:val="24"/>
        </w:rPr>
        <w:t>⑤夜间发生触电事故，应考虑切断电源后的临时照明问题，以利救护。</w:t>
      </w:r>
    </w:p>
    <w:p>
      <w:pPr>
        <w:ind w:firstLine="480"/>
        <w:rPr>
          <w:rFonts w:ascii="宋体" w:hAnsi="宋体" w:cs="宋体"/>
          <w:szCs w:val="24"/>
        </w:rPr>
      </w:pPr>
      <w:r>
        <w:rPr>
          <w:rFonts w:hint="eastAsia" w:ascii="宋体" w:hAnsi="宋体" w:cs="宋体"/>
          <w:szCs w:val="24"/>
        </w:rPr>
        <w:t>4）触电者未失去知觉的救护措施：应让触电者在比较干燥、通风暖和的地方静卧休息，并派人严密观察，同时请医生前来或送往医院诊治。</w:t>
      </w:r>
    </w:p>
    <w:p>
      <w:pPr>
        <w:ind w:firstLine="480"/>
        <w:rPr>
          <w:rFonts w:ascii="宋体" w:hAnsi="宋体" w:cs="宋体"/>
          <w:szCs w:val="24"/>
        </w:rPr>
      </w:pPr>
      <w:r>
        <w:rPr>
          <w:rFonts w:hint="eastAsia" w:ascii="宋体" w:hAnsi="宋体" w:cs="宋体"/>
          <w:szCs w:val="24"/>
        </w:rPr>
        <w:t>5）触电者已失去知觉但尚有心跳和呼吸的抢救措施：应使其舒适地平卧着，解开衣服以利呼吸，四周不要围人，保持空气流通，冷天应注意保暖，同时立即请医生前来或送住医院救治。若发现触电者呼吸困难或心跳失常，应立即施行人工呼吸及胸外心脏挤压。</w:t>
      </w:r>
    </w:p>
    <w:p>
      <w:pPr>
        <w:ind w:firstLine="480"/>
        <w:rPr>
          <w:rFonts w:ascii="宋体" w:hAnsi="宋体" w:cs="宋体"/>
          <w:szCs w:val="24"/>
        </w:rPr>
      </w:pPr>
      <w:r>
        <w:rPr>
          <w:rFonts w:hint="eastAsia" w:ascii="宋体" w:hAnsi="宋体" w:cs="宋体"/>
          <w:szCs w:val="24"/>
        </w:rPr>
        <w:t>6）对“假死”者的急救措施：当判定触电者呼吸和心跳停止时，应立即按心肺复苏法就地抢救。方法如下：</w:t>
      </w:r>
    </w:p>
    <w:p>
      <w:pPr>
        <w:ind w:firstLine="480"/>
        <w:rPr>
          <w:rFonts w:ascii="宋体" w:hAnsi="宋体" w:cs="宋体"/>
          <w:szCs w:val="24"/>
        </w:rPr>
      </w:pPr>
      <w:r>
        <w:rPr>
          <w:rFonts w:hint="eastAsia" w:ascii="宋体" w:hAnsi="宋体" w:cs="宋体"/>
          <w:szCs w:val="24"/>
        </w:rPr>
        <w:t>①消除口中异物。使触电者仰面躺在平硬的地方，迅速解开其领扣、围巾、紧身衣和裤带。如发现触电者口内有食物、假牙、血块等异物，可将其身体及头部同时侧转，迅速用一只手指或两只手指交叉从口角处插入，从口中取出异物，操作中要注意预防将异物推到咽喉深处。</w:t>
      </w:r>
    </w:p>
    <w:p>
      <w:pPr>
        <w:ind w:firstLine="480"/>
        <w:rPr>
          <w:rFonts w:ascii="宋体" w:hAnsi="宋体" w:cs="宋体"/>
          <w:szCs w:val="24"/>
        </w:rPr>
      </w:pPr>
      <w:r>
        <w:rPr>
          <w:rFonts w:hint="eastAsia" w:ascii="宋体" w:hAnsi="宋体" w:cs="宋体"/>
          <w:szCs w:val="24"/>
        </w:rPr>
        <w:t>②采用仰头抬颊法畅通气道。操作时，救护人用一只手放在触电者前额，另一只手的手指将其颏颌骨向上抬起你，两手协同将头部推向后仰，舌根自然随之抬起、气道即可畅通。为使触电者头部后仰，可于其颈部下方垫适量厚度的物品，但严禁用枕头或其他物品垫在触电者头下。</w:t>
      </w:r>
    </w:p>
    <w:p>
      <w:pPr>
        <w:ind w:firstLine="480"/>
        <w:rPr>
          <w:rFonts w:ascii="宋体" w:hAnsi="宋体" w:cs="宋体"/>
          <w:szCs w:val="24"/>
        </w:rPr>
      </w:pPr>
      <w:r>
        <w:rPr>
          <w:rFonts w:hint="eastAsia" w:ascii="宋体" w:hAnsi="宋体" w:cs="宋体"/>
          <w:szCs w:val="24"/>
        </w:rPr>
        <w:t>③口对口(鼻)人工呼吸。</w:t>
      </w:r>
    </w:p>
    <w:p>
      <w:pPr>
        <w:ind w:firstLine="480"/>
        <w:rPr>
          <w:rFonts w:ascii="宋体" w:hAnsi="宋体" w:cs="宋体"/>
          <w:szCs w:val="24"/>
        </w:rPr>
      </w:pPr>
      <w:r>
        <w:rPr>
          <w:rFonts w:hint="eastAsia" w:ascii="宋体" w:hAnsi="宋体" w:cs="宋体"/>
          <w:szCs w:val="24"/>
        </w:rPr>
        <w:t>④胸外心脏按压。</w:t>
      </w:r>
    </w:p>
    <w:p>
      <w:pPr>
        <w:pStyle w:val="5"/>
        <w:spacing w:before="156" w:after="156"/>
      </w:pPr>
      <w:bookmarkStart w:id="483" w:name="_Toc121760057"/>
      <w:r>
        <w:rPr>
          <w:rFonts w:hint="eastAsia"/>
        </w:rPr>
        <w:t>机械伤害事故</w:t>
      </w:r>
      <w:bookmarkEnd w:id="483"/>
    </w:p>
    <w:p>
      <w:pPr>
        <w:ind w:firstLine="480"/>
        <w:rPr>
          <w:rFonts w:ascii="宋体" w:hAnsi="宋体" w:cs="宋体"/>
          <w:szCs w:val="24"/>
        </w:rPr>
      </w:pPr>
      <w:r>
        <w:rPr>
          <w:rFonts w:hint="eastAsia" w:ascii="宋体" w:hAnsi="宋体" w:cs="宋体"/>
          <w:szCs w:val="24"/>
        </w:rPr>
        <w:t>1）轻伤事故</w:t>
      </w:r>
    </w:p>
    <w:p>
      <w:pPr>
        <w:ind w:firstLine="480"/>
        <w:rPr>
          <w:rFonts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 1 \* GB3 \* MERGEFORMAT </w:instrText>
      </w:r>
      <w:r>
        <w:rPr>
          <w:rFonts w:hint="eastAsia" w:ascii="宋体" w:hAnsi="宋体" w:cs="宋体"/>
          <w:szCs w:val="24"/>
        </w:rPr>
        <w:fldChar w:fldCharType="separate"/>
      </w:r>
      <w:r>
        <w:rPr>
          <w:rFonts w:hint="eastAsia" w:ascii="宋体" w:hAnsi="宋体" w:cs="宋体"/>
          <w:szCs w:val="24"/>
        </w:rPr>
        <w:t>①</w:t>
      </w:r>
      <w:r>
        <w:rPr>
          <w:rFonts w:hint="eastAsia" w:ascii="宋体" w:hAnsi="宋体" w:cs="宋体"/>
          <w:szCs w:val="24"/>
        </w:rPr>
        <w:fldChar w:fldCharType="end"/>
      </w:r>
      <w:r>
        <w:rPr>
          <w:rFonts w:hint="eastAsia" w:ascii="宋体" w:hAnsi="宋体" w:cs="宋体"/>
          <w:szCs w:val="24"/>
        </w:rPr>
        <w:t>立即关闭运转机械，保护现场，向应急小组汇报。</w:t>
      </w:r>
    </w:p>
    <w:p>
      <w:pPr>
        <w:ind w:firstLine="480"/>
        <w:rPr>
          <w:rFonts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 2 \* GB3 \* MERGEFORMAT </w:instrText>
      </w:r>
      <w:r>
        <w:rPr>
          <w:rFonts w:hint="eastAsia" w:ascii="宋体" w:hAnsi="宋体" w:cs="宋体"/>
          <w:szCs w:val="24"/>
        </w:rPr>
        <w:fldChar w:fldCharType="separate"/>
      </w:r>
      <w:r>
        <w:rPr>
          <w:rFonts w:hint="eastAsia" w:ascii="宋体" w:hAnsi="宋体" w:cs="宋体"/>
          <w:szCs w:val="24"/>
        </w:rPr>
        <w:t>②</w:t>
      </w:r>
      <w:r>
        <w:rPr>
          <w:rFonts w:hint="eastAsia" w:ascii="宋体" w:hAnsi="宋体" w:cs="宋体"/>
          <w:szCs w:val="24"/>
        </w:rPr>
        <w:fldChar w:fldCharType="end"/>
      </w:r>
      <w:r>
        <w:rPr>
          <w:rFonts w:hint="eastAsia" w:ascii="宋体" w:hAnsi="宋体" w:cs="宋体"/>
          <w:szCs w:val="24"/>
        </w:rPr>
        <w:t>对伤者同时消毒、止血、包扎、止痛等临时措施。</w:t>
      </w:r>
    </w:p>
    <w:p>
      <w:pPr>
        <w:ind w:firstLine="480"/>
        <w:rPr>
          <w:rFonts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 3 \* GB3 \* MERGEFORMAT </w:instrText>
      </w:r>
      <w:r>
        <w:rPr>
          <w:rFonts w:hint="eastAsia" w:ascii="宋体" w:hAnsi="宋体" w:cs="宋体"/>
          <w:szCs w:val="24"/>
        </w:rPr>
        <w:fldChar w:fldCharType="separate"/>
      </w:r>
      <w:r>
        <w:rPr>
          <w:rFonts w:hint="eastAsia" w:ascii="宋体" w:hAnsi="宋体" w:cs="宋体"/>
          <w:szCs w:val="24"/>
        </w:rPr>
        <w:t>③</w:t>
      </w:r>
      <w:r>
        <w:rPr>
          <w:rFonts w:hint="eastAsia" w:ascii="宋体" w:hAnsi="宋体" w:cs="宋体"/>
          <w:szCs w:val="24"/>
        </w:rPr>
        <w:fldChar w:fldCharType="end"/>
      </w:r>
      <w:r>
        <w:rPr>
          <w:rFonts w:hint="eastAsia" w:ascii="宋体" w:hAnsi="宋体" w:cs="宋体"/>
          <w:szCs w:val="24"/>
        </w:rPr>
        <w:t>尽快将伤者送医院进行防感染和防破伤风处理,或根据医嘱作进一步检查。</w:t>
      </w:r>
    </w:p>
    <w:p>
      <w:pPr>
        <w:ind w:firstLine="480"/>
        <w:rPr>
          <w:rFonts w:ascii="宋体" w:hAnsi="宋体" w:cs="宋体"/>
          <w:szCs w:val="24"/>
        </w:rPr>
      </w:pPr>
      <w:r>
        <w:rPr>
          <w:rFonts w:hint="eastAsia" w:ascii="宋体" w:hAnsi="宋体" w:cs="宋体"/>
          <w:szCs w:val="24"/>
        </w:rPr>
        <w:t xml:space="preserve"> 2）发生重伤事故</w:t>
      </w:r>
    </w:p>
    <w:p>
      <w:pPr>
        <w:ind w:firstLine="480"/>
        <w:rPr>
          <w:rFonts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 1 \* GB3 \* MERGEFORMAT </w:instrText>
      </w:r>
      <w:r>
        <w:rPr>
          <w:rFonts w:hint="eastAsia" w:ascii="宋体" w:hAnsi="宋体" w:cs="宋体"/>
          <w:szCs w:val="24"/>
        </w:rPr>
        <w:fldChar w:fldCharType="separate"/>
      </w:r>
      <w:r>
        <w:rPr>
          <w:rFonts w:hint="eastAsia" w:ascii="宋体" w:hAnsi="宋体" w:cs="宋体"/>
          <w:szCs w:val="24"/>
        </w:rPr>
        <w:t>①</w:t>
      </w:r>
      <w:r>
        <w:rPr>
          <w:rFonts w:hint="eastAsia" w:ascii="宋体" w:hAnsi="宋体" w:cs="宋体"/>
          <w:szCs w:val="24"/>
        </w:rPr>
        <w:fldChar w:fldCharType="end"/>
      </w:r>
      <w:r>
        <w:rPr>
          <w:rFonts w:hint="eastAsia" w:ascii="宋体" w:hAnsi="宋体" w:cs="宋体"/>
          <w:szCs w:val="24"/>
        </w:rPr>
        <w:t>立即关闭运转机械，保护现场，及时向现场应急指挥小组及有关部门汇报，应急指挥部门接到事故报告后，迅速赶赴事故现场，组织事故抢救。</w:t>
      </w:r>
    </w:p>
    <w:p>
      <w:pPr>
        <w:ind w:firstLine="480"/>
        <w:rPr>
          <w:rFonts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 2 \* GB3 \* MERGEFORMAT </w:instrText>
      </w:r>
      <w:r>
        <w:rPr>
          <w:rFonts w:hint="eastAsia" w:ascii="宋体" w:hAnsi="宋体" w:cs="宋体"/>
          <w:szCs w:val="24"/>
        </w:rPr>
        <w:fldChar w:fldCharType="separate"/>
      </w:r>
      <w:r>
        <w:rPr>
          <w:rFonts w:hint="eastAsia" w:ascii="宋体" w:hAnsi="宋体" w:cs="宋体"/>
          <w:szCs w:val="24"/>
        </w:rPr>
        <w:t>②</w:t>
      </w:r>
      <w:r>
        <w:rPr>
          <w:rFonts w:hint="eastAsia" w:ascii="宋体" w:hAnsi="宋体" w:cs="宋体"/>
          <w:szCs w:val="24"/>
        </w:rPr>
        <w:fldChar w:fldCharType="end"/>
      </w:r>
      <w:r>
        <w:rPr>
          <w:rFonts w:hint="eastAsia" w:ascii="宋体" w:hAnsi="宋体" w:cs="宋体"/>
          <w:szCs w:val="24"/>
        </w:rPr>
        <w:t>立即对伤者进行包扎、止血、止痛、消毒、固定等临时措施，防止伤情恶化。如有断肢等情况，及时用干净毛巾、手绢、布片包好，放在无裂纹的塑料袋或胶皮袋内，袋口扎紧，在口袋周围放置冰块、雪糕等降温物品，不得在断肢处涂酒精、碘酒及其他毒液。</w:t>
      </w:r>
    </w:p>
    <w:p>
      <w:pPr>
        <w:ind w:firstLine="480"/>
        <w:rPr>
          <w:rFonts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 3 \* GB3 \* MERGEFORMAT </w:instrText>
      </w:r>
      <w:r>
        <w:rPr>
          <w:rFonts w:hint="eastAsia" w:ascii="宋体" w:hAnsi="宋体" w:cs="宋体"/>
          <w:szCs w:val="24"/>
        </w:rPr>
        <w:fldChar w:fldCharType="separate"/>
      </w:r>
      <w:r>
        <w:rPr>
          <w:rFonts w:hint="eastAsia" w:ascii="宋体" w:hAnsi="宋体" w:cs="宋体"/>
          <w:szCs w:val="24"/>
        </w:rPr>
        <w:t>③</w:t>
      </w:r>
      <w:r>
        <w:rPr>
          <w:rFonts w:hint="eastAsia" w:ascii="宋体" w:hAnsi="宋体" w:cs="宋体"/>
          <w:szCs w:val="24"/>
        </w:rPr>
        <w:fldChar w:fldCharType="end"/>
      </w:r>
      <w:r>
        <w:rPr>
          <w:rFonts w:hint="eastAsia" w:ascii="宋体" w:hAnsi="宋体" w:cs="宋体"/>
          <w:szCs w:val="24"/>
        </w:rPr>
        <w:t>迅速拨打120求救和送附近医院急救，断肢随伤员一起运送。</w:t>
      </w:r>
    </w:p>
    <w:p>
      <w:pPr>
        <w:pStyle w:val="5"/>
        <w:spacing w:before="156" w:after="156"/>
      </w:pPr>
      <w:bookmarkStart w:id="484" w:name="_Toc121760058"/>
      <w:r>
        <w:rPr>
          <w:rFonts w:hint="eastAsia"/>
        </w:rPr>
        <w:t>落水人员应急处置措施</w:t>
      </w:r>
      <w:bookmarkEnd w:id="484"/>
    </w:p>
    <w:p>
      <w:pPr>
        <w:numPr>
          <w:ilvl w:val="0"/>
          <w:numId w:val="47"/>
        </w:numPr>
        <w:ind w:firstLine="480"/>
        <w:rPr>
          <w:rFonts w:ascii="宋体" w:hAnsi="宋体" w:cs="宋体"/>
          <w:szCs w:val="24"/>
        </w:rPr>
      </w:pPr>
      <w:r>
        <w:rPr>
          <w:rFonts w:hint="eastAsia" w:ascii="宋体" w:hAnsi="宋体" w:cs="宋体"/>
          <w:szCs w:val="24"/>
        </w:rPr>
        <w:t>交通船舶必须符合水上航行安全要求，备妥救生工具如救生衣、救生圈、救生竹篙等救生器材。</w:t>
      </w:r>
    </w:p>
    <w:p>
      <w:pPr>
        <w:numPr>
          <w:ilvl w:val="0"/>
          <w:numId w:val="47"/>
        </w:numPr>
        <w:ind w:firstLine="480"/>
        <w:rPr>
          <w:rFonts w:ascii="宋体" w:hAnsi="宋体" w:cs="宋体"/>
          <w:szCs w:val="24"/>
        </w:rPr>
      </w:pPr>
      <w:r>
        <w:rPr>
          <w:rFonts w:hint="eastAsia" w:ascii="宋体" w:hAnsi="宋体" w:cs="宋体"/>
          <w:szCs w:val="24"/>
        </w:rPr>
        <w:t>水上施工作业及船上流动作业人员应按规定穿着救生衣。符合高处作业条件的，还应按高处作业的规定系好安全带。</w:t>
      </w:r>
    </w:p>
    <w:p>
      <w:pPr>
        <w:numPr>
          <w:ilvl w:val="0"/>
          <w:numId w:val="47"/>
        </w:numPr>
        <w:ind w:firstLine="480"/>
        <w:rPr>
          <w:rFonts w:ascii="宋体" w:hAnsi="宋体" w:cs="宋体"/>
          <w:szCs w:val="24"/>
        </w:rPr>
      </w:pPr>
      <w:r>
        <w:rPr>
          <w:rFonts w:hint="eastAsia" w:ascii="宋体" w:hAnsi="宋体" w:cs="宋体"/>
          <w:szCs w:val="24"/>
        </w:rPr>
        <w:t>交通船必须按定员，不准超载。乘坐人员应听从船员的指挥，船到位后，应待靠稳拴牢方可上、下。不得抢上抢下或船未靠稳就跳船。</w:t>
      </w:r>
    </w:p>
    <w:p>
      <w:pPr>
        <w:numPr>
          <w:ilvl w:val="0"/>
          <w:numId w:val="47"/>
        </w:numPr>
        <w:ind w:firstLine="480"/>
        <w:rPr>
          <w:rFonts w:ascii="宋体" w:hAnsi="宋体" w:cs="宋体"/>
          <w:szCs w:val="24"/>
        </w:rPr>
      </w:pPr>
      <w:r>
        <w:rPr>
          <w:rFonts w:hint="eastAsia" w:ascii="宋体" w:hAnsi="宋体" w:cs="宋体"/>
          <w:szCs w:val="24"/>
        </w:rPr>
        <w:t>乘坐人员应听从船员的指挥，自觉入舱，不得站立和坐骑在船头、船尾和船帮上，遇有风浪时，船上乘坐人员不得来回走动。非本船驾驶人员严禁擅自操作。</w:t>
      </w:r>
    </w:p>
    <w:p>
      <w:pPr>
        <w:numPr>
          <w:ilvl w:val="0"/>
          <w:numId w:val="47"/>
        </w:numPr>
        <w:ind w:firstLine="480"/>
        <w:rPr>
          <w:rFonts w:ascii="宋体" w:hAnsi="宋体" w:cs="宋体"/>
          <w:szCs w:val="24"/>
        </w:rPr>
      </w:pPr>
      <w:r>
        <w:rPr>
          <w:rFonts w:hint="eastAsia" w:ascii="宋体" w:hAnsi="宋体" w:cs="宋体"/>
          <w:szCs w:val="24"/>
        </w:rPr>
        <w:t>施工人员应开展游泳培训，加强自救和互救的能力。</w:t>
      </w:r>
    </w:p>
    <w:p>
      <w:pPr>
        <w:numPr>
          <w:ilvl w:val="0"/>
          <w:numId w:val="47"/>
        </w:numPr>
        <w:ind w:firstLine="480"/>
        <w:rPr>
          <w:rFonts w:ascii="宋体" w:hAnsi="宋体" w:cs="宋体"/>
          <w:szCs w:val="24"/>
        </w:rPr>
      </w:pPr>
      <w:r>
        <w:rPr>
          <w:rFonts w:hint="eastAsia" w:ascii="宋体" w:hAnsi="宋体" w:cs="宋体"/>
          <w:szCs w:val="24"/>
        </w:rPr>
        <w:t>人员上下通道必须设安全网，跳板要固定。作业平台应满铺脚手板，周边必须有栏杆和安全网等可靠的临边维护。</w:t>
      </w:r>
    </w:p>
    <w:p>
      <w:pPr>
        <w:ind w:firstLine="480"/>
        <w:rPr>
          <w:color w:val="000000" w:themeColor="text1"/>
          <w14:textFill>
            <w14:solidFill>
              <w14:schemeClr w14:val="tx1"/>
            </w14:solidFill>
          </w14:textFill>
        </w:rPr>
      </w:pPr>
      <w:r>
        <w:rPr>
          <w:rFonts w:hint="eastAsia" w:ascii="宋体" w:hAnsi="宋体" w:cs="宋体"/>
          <w:szCs w:val="24"/>
        </w:rPr>
        <w:t>作业平台上应配置足够数量的救生圈等救生设备，并配备一定数量的固定式防水灯，保证夜间足够的照明。</w:t>
      </w:r>
    </w:p>
    <w:p>
      <w:pPr>
        <w:pStyle w:val="4"/>
        <w:spacing w:before="156" w:after="156"/>
        <w:rPr>
          <w:color w:val="000000" w:themeColor="text1"/>
          <w14:textFill>
            <w14:solidFill>
              <w14:schemeClr w14:val="tx1"/>
            </w14:solidFill>
          </w14:textFill>
        </w:rPr>
      </w:pPr>
      <w:bookmarkStart w:id="485" w:name="_Toc4255"/>
      <w:bookmarkStart w:id="486" w:name="_Toc40778457"/>
      <w:bookmarkStart w:id="487" w:name="_Toc55223386"/>
      <w:bookmarkStart w:id="488" w:name="_Toc121760059"/>
      <w:bookmarkStart w:id="489" w:name="_Hlk120712440"/>
      <w:r>
        <w:rPr>
          <w:rFonts w:hint="eastAsia"/>
          <w:color w:val="000000" w:themeColor="text1"/>
          <w14:textFill>
            <w14:solidFill>
              <w14:schemeClr w14:val="tx1"/>
            </w14:solidFill>
          </w14:textFill>
        </w:rPr>
        <w:t>应急车辆、物资及设备</w:t>
      </w:r>
      <w:bookmarkEnd w:id="485"/>
      <w:bookmarkEnd w:id="486"/>
      <w:bookmarkEnd w:id="487"/>
      <w:bookmarkEnd w:id="488"/>
    </w:p>
    <w:bookmarkEnd w:id="489"/>
    <w:p>
      <w:pPr>
        <w:ind w:firstLine="480"/>
      </w:pPr>
      <w:bookmarkStart w:id="490" w:name="_Toc12896"/>
      <w:bookmarkStart w:id="491" w:name="_Toc55223387"/>
      <w:bookmarkStart w:id="492" w:name="_Toc40778458"/>
      <w:r>
        <w:t>应急资源的准备是应急救援工作的重要保障，项目部根据潜在事故性质和后果分析，配备足量应急救援中所需的救援机械和设备、交通工具、医疗设备和药品、生活保障物资。详见</w:t>
      </w:r>
      <w:r>
        <w:rPr>
          <w:rFonts w:hint="eastAsia"/>
        </w:rPr>
        <w:t>下表</w:t>
      </w:r>
      <w:r>
        <w:t>。</w:t>
      </w:r>
    </w:p>
    <w:p>
      <w:pPr>
        <w:pStyle w:val="61"/>
        <w:ind w:firstLine="480"/>
      </w:pPr>
      <w:r>
        <w:t xml:space="preserve">表9.4-1 </w:t>
      </w:r>
      <w:r>
        <w:rPr>
          <w:rFonts w:hint="eastAsia"/>
        </w:rPr>
        <w:t>项目部应急车辆</w:t>
      </w:r>
    </w:p>
    <w:tbl>
      <w:tblPr>
        <w:tblStyle w:val="44"/>
        <w:tblW w:w="84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15"/>
        <w:gridCol w:w="851"/>
        <w:gridCol w:w="1276"/>
        <w:gridCol w:w="1417"/>
        <w:gridCol w:w="2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0" w:type="auto"/>
          </w:tcPr>
          <w:p>
            <w:pPr>
              <w:pStyle w:val="63"/>
            </w:pPr>
            <w:r>
              <w:t>编号</w:t>
            </w:r>
          </w:p>
        </w:tc>
        <w:tc>
          <w:tcPr>
            <w:tcW w:w="1615" w:type="dxa"/>
          </w:tcPr>
          <w:p>
            <w:pPr>
              <w:pStyle w:val="63"/>
            </w:pPr>
            <w:r>
              <w:t>设备名称</w:t>
            </w:r>
          </w:p>
        </w:tc>
        <w:tc>
          <w:tcPr>
            <w:tcW w:w="851" w:type="dxa"/>
          </w:tcPr>
          <w:p>
            <w:pPr>
              <w:pStyle w:val="63"/>
            </w:pPr>
            <w:r>
              <w:t>单位</w:t>
            </w:r>
          </w:p>
        </w:tc>
        <w:tc>
          <w:tcPr>
            <w:tcW w:w="1276" w:type="dxa"/>
          </w:tcPr>
          <w:p>
            <w:pPr>
              <w:pStyle w:val="63"/>
            </w:pPr>
            <w:r>
              <w:t>投入数量</w:t>
            </w:r>
          </w:p>
        </w:tc>
        <w:tc>
          <w:tcPr>
            <w:tcW w:w="1417" w:type="dxa"/>
          </w:tcPr>
          <w:p>
            <w:pPr>
              <w:pStyle w:val="63"/>
            </w:pPr>
            <w:r>
              <w:t>性能</w:t>
            </w:r>
          </w:p>
        </w:tc>
        <w:tc>
          <w:tcPr>
            <w:tcW w:w="2693" w:type="dxa"/>
          </w:tcPr>
          <w:p>
            <w:pPr>
              <w:pStyle w:val="63"/>
            </w:pPr>
            <w:r>
              <w:t>存放地点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0" w:type="auto"/>
          </w:tcPr>
          <w:p>
            <w:pPr>
              <w:pStyle w:val="63"/>
            </w:pPr>
            <w:r>
              <w:t>1</w:t>
            </w:r>
          </w:p>
        </w:tc>
        <w:tc>
          <w:tcPr>
            <w:tcW w:w="1615" w:type="dxa"/>
          </w:tcPr>
          <w:p>
            <w:pPr>
              <w:pStyle w:val="63"/>
            </w:pPr>
            <w:r>
              <w:t>轿车</w:t>
            </w:r>
          </w:p>
        </w:tc>
        <w:tc>
          <w:tcPr>
            <w:tcW w:w="851" w:type="dxa"/>
          </w:tcPr>
          <w:p>
            <w:pPr>
              <w:pStyle w:val="63"/>
            </w:pPr>
            <w:r>
              <w:t>台</w:t>
            </w:r>
          </w:p>
        </w:tc>
        <w:tc>
          <w:tcPr>
            <w:tcW w:w="1276" w:type="dxa"/>
          </w:tcPr>
          <w:p>
            <w:pPr>
              <w:pStyle w:val="63"/>
            </w:pPr>
            <w:r>
              <w:t>2</w:t>
            </w:r>
          </w:p>
        </w:tc>
        <w:tc>
          <w:tcPr>
            <w:tcW w:w="1417" w:type="dxa"/>
          </w:tcPr>
          <w:p>
            <w:pPr>
              <w:pStyle w:val="63"/>
            </w:pPr>
            <w:r>
              <w:t>优良</w:t>
            </w:r>
          </w:p>
        </w:tc>
        <w:tc>
          <w:tcPr>
            <w:tcW w:w="2693" w:type="dxa"/>
          </w:tcPr>
          <w:p>
            <w:pPr>
              <w:pStyle w:val="63"/>
            </w:pPr>
            <w: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Pr>
          <w:p>
            <w:pPr>
              <w:pStyle w:val="63"/>
            </w:pPr>
            <w:r>
              <w:t>2</w:t>
            </w:r>
          </w:p>
        </w:tc>
        <w:tc>
          <w:tcPr>
            <w:tcW w:w="1615" w:type="dxa"/>
          </w:tcPr>
          <w:p>
            <w:pPr>
              <w:pStyle w:val="63"/>
            </w:pPr>
            <w:r>
              <w:t>皮卡车</w:t>
            </w:r>
          </w:p>
        </w:tc>
        <w:tc>
          <w:tcPr>
            <w:tcW w:w="851" w:type="dxa"/>
          </w:tcPr>
          <w:p>
            <w:pPr>
              <w:pStyle w:val="63"/>
            </w:pPr>
            <w:r>
              <w:t>台</w:t>
            </w:r>
          </w:p>
        </w:tc>
        <w:tc>
          <w:tcPr>
            <w:tcW w:w="1276" w:type="dxa"/>
          </w:tcPr>
          <w:p>
            <w:pPr>
              <w:pStyle w:val="63"/>
            </w:pPr>
            <w:r>
              <w:t>1</w:t>
            </w:r>
          </w:p>
        </w:tc>
        <w:tc>
          <w:tcPr>
            <w:tcW w:w="1417" w:type="dxa"/>
          </w:tcPr>
          <w:p>
            <w:pPr>
              <w:pStyle w:val="63"/>
            </w:pPr>
            <w:r>
              <w:t>优良</w:t>
            </w:r>
          </w:p>
        </w:tc>
        <w:tc>
          <w:tcPr>
            <w:tcW w:w="2693" w:type="dxa"/>
          </w:tcPr>
          <w:p>
            <w:pPr>
              <w:pStyle w:val="63"/>
            </w:pPr>
            <w:r>
              <w:t>项目部</w:t>
            </w:r>
          </w:p>
        </w:tc>
      </w:tr>
    </w:tbl>
    <w:p>
      <w:pPr>
        <w:pStyle w:val="61"/>
        <w:ind w:firstLine="480"/>
      </w:pPr>
      <w:r>
        <w:t xml:space="preserve">表9.4-2 </w:t>
      </w:r>
      <w:r>
        <w:rPr>
          <w:rFonts w:hint="eastAsia"/>
        </w:rPr>
        <w:t>应急设备、物资保障</w:t>
      </w:r>
    </w:p>
    <w:tbl>
      <w:tblPr>
        <w:tblStyle w:val="44"/>
        <w:tblW w:w="84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104"/>
        <w:gridCol w:w="1134"/>
        <w:gridCol w:w="1275"/>
        <w:gridCol w:w="993"/>
        <w:gridCol w:w="12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dxa"/>
            <w:shd w:val="clear" w:color="auto" w:fill="FFFFFF"/>
            <w:vAlign w:val="center"/>
          </w:tcPr>
          <w:p>
            <w:pPr>
              <w:pStyle w:val="63"/>
            </w:pPr>
            <w:bookmarkStart w:id="493" w:name="_Hlk54774779"/>
            <w:r>
              <w:t>编号</w:t>
            </w:r>
          </w:p>
        </w:tc>
        <w:tc>
          <w:tcPr>
            <w:tcW w:w="3104" w:type="dxa"/>
            <w:shd w:val="clear" w:color="auto" w:fill="FFFFFF"/>
            <w:vAlign w:val="center"/>
          </w:tcPr>
          <w:p>
            <w:pPr>
              <w:pStyle w:val="63"/>
            </w:pPr>
            <w:r>
              <w:t>设备名称</w:t>
            </w:r>
          </w:p>
        </w:tc>
        <w:tc>
          <w:tcPr>
            <w:tcW w:w="1134" w:type="dxa"/>
            <w:shd w:val="clear" w:color="auto" w:fill="FFFFFF"/>
            <w:vAlign w:val="center"/>
          </w:tcPr>
          <w:p>
            <w:pPr>
              <w:pStyle w:val="63"/>
            </w:pPr>
            <w:r>
              <w:t>单位</w:t>
            </w:r>
          </w:p>
        </w:tc>
        <w:tc>
          <w:tcPr>
            <w:tcW w:w="1275" w:type="dxa"/>
            <w:shd w:val="clear" w:color="auto" w:fill="FFFFFF"/>
            <w:vAlign w:val="center"/>
          </w:tcPr>
          <w:p>
            <w:pPr>
              <w:pStyle w:val="63"/>
            </w:pPr>
            <w:r>
              <w:t>投入数量</w:t>
            </w:r>
          </w:p>
        </w:tc>
        <w:tc>
          <w:tcPr>
            <w:tcW w:w="993" w:type="dxa"/>
            <w:shd w:val="clear" w:color="auto" w:fill="FFFFFF"/>
            <w:vAlign w:val="center"/>
          </w:tcPr>
          <w:p>
            <w:pPr>
              <w:pStyle w:val="63"/>
            </w:pPr>
            <w:r>
              <w:t>性能</w:t>
            </w:r>
          </w:p>
        </w:tc>
        <w:tc>
          <w:tcPr>
            <w:tcW w:w="1275" w:type="dxa"/>
            <w:shd w:val="clear" w:color="auto" w:fill="FFFFFF"/>
            <w:vAlign w:val="center"/>
          </w:tcPr>
          <w:p>
            <w:pPr>
              <w:pStyle w:val="63"/>
            </w:pPr>
            <w:r>
              <w:t>存放地点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1</w:t>
            </w:r>
          </w:p>
        </w:tc>
        <w:tc>
          <w:tcPr>
            <w:tcW w:w="3104" w:type="dxa"/>
            <w:shd w:val="clear" w:color="auto" w:fill="FFFFFF"/>
            <w:vAlign w:val="center"/>
          </w:tcPr>
          <w:p>
            <w:pPr>
              <w:pStyle w:val="63"/>
            </w:pPr>
            <w:r>
              <w:t>挖掘机</w:t>
            </w:r>
          </w:p>
        </w:tc>
        <w:tc>
          <w:tcPr>
            <w:tcW w:w="1134" w:type="dxa"/>
            <w:shd w:val="clear" w:color="auto" w:fill="FFFFFF"/>
            <w:vAlign w:val="center"/>
          </w:tcPr>
          <w:p>
            <w:pPr>
              <w:pStyle w:val="63"/>
            </w:pPr>
            <w:r>
              <w:t>台</w:t>
            </w:r>
          </w:p>
        </w:tc>
        <w:tc>
          <w:tcPr>
            <w:tcW w:w="1275" w:type="dxa"/>
            <w:shd w:val="clear" w:color="auto" w:fill="FFFFFF"/>
            <w:vAlign w:val="center"/>
          </w:tcPr>
          <w:p>
            <w:pPr>
              <w:pStyle w:val="63"/>
            </w:pPr>
            <w:r>
              <w:t>2</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2</w:t>
            </w:r>
          </w:p>
        </w:tc>
        <w:tc>
          <w:tcPr>
            <w:tcW w:w="3104" w:type="dxa"/>
            <w:shd w:val="clear" w:color="auto" w:fill="FFFFFF"/>
            <w:vAlign w:val="center"/>
          </w:tcPr>
          <w:p>
            <w:pPr>
              <w:pStyle w:val="63"/>
            </w:pPr>
            <w:r>
              <w:t>装载机</w:t>
            </w:r>
          </w:p>
        </w:tc>
        <w:tc>
          <w:tcPr>
            <w:tcW w:w="1134" w:type="dxa"/>
            <w:shd w:val="clear" w:color="auto" w:fill="FFFFFF"/>
            <w:vAlign w:val="center"/>
          </w:tcPr>
          <w:p>
            <w:pPr>
              <w:pStyle w:val="63"/>
            </w:pPr>
            <w:r>
              <w:t>台</w:t>
            </w:r>
          </w:p>
        </w:tc>
        <w:tc>
          <w:tcPr>
            <w:tcW w:w="1275" w:type="dxa"/>
            <w:shd w:val="clear" w:color="auto" w:fill="FFFFFF"/>
            <w:vAlign w:val="center"/>
          </w:tcPr>
          <w:p>
            <w:pPr>
              <w:pStyle w:val="63"/>
            </w:pPr>
            <w:r>
              <w:t>1</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3</w:t>
            </w:r>
          </w:p>
        </w:tc>
        <w:tc>
          <w:tcPr>
            <w:tcW w:w="3104" w:type="dxa"/>
            <w:shd w:val="clear" w:color="auto" w:fill="FFFFFF"/>
            <w:vAlign w:val="center"/>
          </w:tcPr>
          <w:p>
            <w:pPr>
              <w:pStyle w:val="63"/>
            </w:pPr>
            <w:r>
              <w:t>25t汽车吊</w:t>
            </w:r>
          </w:p>
        </w:tc>
        <w:tc>
          <w:tcPr>
            <w:tcW w:w="1134" w:type="dxa"/>
            <w:shd w:val="clear" w:color="auto" w:fill="FFFFFF"/>
            <w:vAlign w:val="center"/>
          </w:tcPr>
          <w:p>
            <w:pPr>
              <w:pStyle w:val="63"/>
            </w:pPr>
            <w:r>
              <w:t>台</w:t>
            </w:r>
          </w:p>
        </w:tc>
        <w:tc>
          <w:tcPr>
            <w:tcW w:w="1275" w:type="dxa"/>
            <w:shd w:val="clear" w:color="auto" w:fill="FFFFFF"/>
            <w:vAlign w:val="center"/>
          </w:tcPr>
          <w:p>
            <w:pPr>
              <w:pStyle w:val="63"/>
            </w:pPr>
            <w:r>
              <w:t>2</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4</w:t>
            </w:r>
          </w:p>
        </w:tc>
        <w:tc>
          <w:tcPr>
            <w:tcW w:w="3104" w:type="dxa"/>
            <w:shd w:val="clear" w:color="auto" w:fill="FFFFFF"/>
            <w:vAlign w:val="center"/>
          </w:tcPr>
          <w:p>
            <w:pPr>
              <w:pStyle w:val="63"/>
            </w:pPr>
            <w:r>
              <w:t>200</w:t>
            </w:r>
            <w:r>
              <w:rPr>
                <w:rFonts w:hint="eastAsia"/>
              </w:rPr>
              <w:t>k</w:t>
            </w:r>
            <w:r>
              <w:t>W发电机</w:t>
            </w:r>
          </w:p>
        </w:tc>
        <w:tc>
          <w:tcPr>
            <w:tcW w:w="1134" w:type="dxa"/>
            <w:shd w:val="clear" w:color="auto" w:fill="FFFFFF"/>
            <w:vAlign w:val="center"/>
          </w:tcPr>
          <w:p>
            <w:pPr>
              <w:pStyle w:val="63"/>
            </w:pPr>
            <w:r>
              <w:t>台</w:t>
            </w:r>
          </w:p>
        </w:tc>
        <w:tc>
          <w:tcPr>
            <w:tcW w:w="1275" w:type="dxa"/>
            <w:shd w:val="clear" w:color="auto" w:fill="FFFFFF"/>
            <w:vAlign w:val="center"/>
          </w:tcPr>
          <w:p>
            <w:pPr>
              <w:pStyle w:val="63"/>
            </w:pPr>
            <w:r>
              <w:t>1</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5</w:t>
            </w:r>
          </w:p>
        </w:tc>
        <w:tc>
          <w:tcPr>
            <w:tcW w:w="3104" w:type="dxa"/>
            <w:shd w:val="clear" w:color="auto" w:fill="FFFFFF"/>
            <w:vAlign w:val="center"/>
          </w:tcPr>
          <w:p>
            <w:pPr>
              <w:pStyle w:val="63"/>
            </w:pPr>
            <w:r>
              <w:t>铁锹</w:t>
            </w:r>
          </w:p>
        </w:tc>
        <w:tc>
          <w:tcPr>
            <w:tcW w:w="1134" w:type="dxa"/>
            <w:shd w:val="clear" w:color="auto" w:fill="FFFFFF"/>
            <w:vAlign w:val="center"/>
          </w:tcPr>
          <w:p>
            <w:pPr>
              <w:pStyle w:val="63"/>
            </w:pPr>
            <w:r>
              <w:t>把</w:t>
            </w:r>
          </w:p>
        </w:tc>
        <w:tc>
          <w:tcPr>
            <w:tcW w:w="1275" w:type="dxa"/>
            <w:shd w:val="clear" w:color="auto" w:fill="FFFFFF"/>
            <w:vAlign w:val="center"/>
          </w:tcPr>
          <w:p>
            <w:pPr>
              <w:pStyle w:val="63"/>
            </w:pPr>
            <w:r>
              <w:t>20</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6</w:t>
            </w:r>
          </w:p>
        </w:tc>
        <w:tc>
          <w:tcPr>
            <w:tcW w:w="3104" w:type="dxa"/>
            <w:shd w:val="clear" w:color="auto" w:fill="FFFFFF"/>
            <w:vAlign w:val="center"/>
          </w:tcPr>
          <w:p>
            <w:pPr>
              <w:pStyle w:val="63"/>
            </w:pPr>
            <w:r>
              <w:t>编织袋</w:t>
            </w:r>
          </w:p>
        </w:tc>
        <w:tc>
          <w:tcPr>
            <w:tcW w:w="1134" w:type="dxa"/>
            <w:shd w:val="clear" w:color="auto" w:fill="FFFFFF"/>
            <w:vAlign w:val="center"/>
          </w:tcPr>
          <w:p>
            <w:pPr>
              <w:pStyle w:val="63"/>
            </w:pPr>
            <w:r>
              <w:t>个</w:t>
            </w:r>
          </w:p>
        </w:tc>
        <w:tc>
          <w:tcPr>
            <w:tcW w:w="1275" w:type="dxa"/>
            <w:shd w:val="clear" w:color="auto" w:fill="FFFFFF"/>
            <w:vAlign w:val="center"/>
          </w:tcPr>
          <w:p>
            <w:pPr>
              <w:pStyle w:val="63"/>
            </w:pPr>
            <w:r>
              <w:t>2000</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7</w:t>
            </w:r>
          </w:p>
        </w:tc>
        <w:tc>
          <w:tcPr>
            <w:tcW w:w="3104" w:type="dxa"/>
            <w:shd w:val="clear" w:color="auto" w:fill="FFFFFF"/>
            <w:vAlign w:val="center"/>
          </w:tcPr>
          <w:p>
            <w:pPr>
              <w:pStyle w:val="63"/>
            </w:pPr>
            <w:r>
              <w:t>灭火器</w:t>
            </w:r>
          </w:p>
        </w:tc>
        <w:tc>
          <w:tcPr>
            <w:tcW w:w="1134" w:type="dxa"/>
            <w:shd w:val="clear" w:color="auto" w:fill="FFFFFF"/>
            <w:vAlign w:val="center"/>
          </w:tcPr>
          <w:p>
            <w:pPr>
              <w:pStyle w:val="63"/>
            </w:pPr>
            <w:r>
              <w:t>瓶</w:t>
            </w:r>
          </w:p>
        </w:tc>
        <w:tc>
          <w:tcPr>
            <w:tcW w:w="1275" w:type="dxa"/>
            <w:shd w:val="clear" w:color="auto" w:fill="FFFFFF"/>
            <w:vAlign w:val="center"/>
          </w:tcPr>
          <w:p>
            <w:pPr>
              <w:pStyle w:val="63"/>
            </w:pPr>
            <w:r>
              <w:t>10</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8</w:t>
            </w:r>
          </w:p>
        </w:tc>
        <w:tc>
          <w:tcPr>
            <w:tcW w:w="3104" w:type="dxa"/>
            <w:shd w:val="clear" w:color="auto" w:fill="FFFFFF"/>
            <w:vAlign w:val="center"/>
          </w:tcPr>
          <w:p>
            <w:pPr>
              <w:pStyle w:val="63"/>
            </w:pPr>
            <w:r>
              <w:t>手电筒</w:t>
            </w:r>
          </w:p>
        </w:tc>
        <w:tc>
          <w:tcPr>
            <w:tcW w:w="1134" w:type="dxa"/>
            <w:shd w:val="clear" w:color="auto" w:fill="FFFFFF"/>
            <w:vAlign w:val="center"/>
          </w:tcPr>
          <w:p>
            <w:pPr>
              <w:pStyle w:val="63"/>
            </w:pPr>
            <w:r>
              <w:t>个</w:t>
            </w:r>
          </w:p>
        </w:tc>
        <w:tc>
          <w:tcPr>
            <w:tcW w:w="1275" w:type="dxa"/>
            <w:shd w:val="clear" w:color="auto" w:fill="FFFFFF"/>
            <w:vAlign w:val="center"/>
          </w:tcPr>
          <w:p>
            <w:pPr>
              <w:pStyle w:val="63"/>
            </w:pPr>
            <w:r>
              <w:t>10</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9</w:t>
            </w:r>
          </w:p>
        </w:tc>
        <w:tc>
          <w:tcPr>
            <w:tcW w:w="3104" w:type="dxa"/>
            <w:shd w:val="clear" w:color="auto" w:fill="FFFFFF"/>
            <w:vAlign w:val="center"/>
          </w:tcPr>
          <w:p>
            <w:pPr>
              <w:pStyle w:val="63"/>
            </w:pPr>
            <w:r>
              <w:t>救生圈</w:t>
            </w:r>
          </w:p>
        </w:tc>
        <w:tc>
          <w:tcPr>
            <w:tcW w:w="1134" w:type="dxa"/>
            <w:shd w:val="clear" w:color="auto" w:fill="FFFFFF"/>
            <w:vAlign w:val="center"/>
          </w:tcPr>
          <w:p>
            <w:pPr>
              <w:pStyle w:val="63"/>
            </w:pPr>
            <w:r>
              <w:t>个</w:t>
            </w:r>
          </w:p>
        </w:tc>
        <w:tc>
          <w:tcPr>
            <w:tcW w:w="1275" w:type="dxa"/>
            <w:shd w:val="clear" w:color="auto" w:fill="FFFFFF"/>
            <w:vAlign w:val="center"/>
          </w:tcPr>
          <w:p>
            <w:pPr>
              <w:pStyle w:val="63"/>
            </w:pPr>
            <w:r>
              <w:t>20</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10</w:t>
            </w:r>
          </w:p>
        </w:tc>
        <w:tc>
          <w:tcPr>
            <w:tcW w:w="3104" w:type="dxa"/>
            <w:shd w:val="clear" w:color="auto" w:fill="FFFFFF"/>
            <w:vAlign w:val="center"/>
          </w:tcPr>
          <w:p>
            <w:pPr>
              <w:pStyle w:val="63"/>
            </w:pPr>
            <w:r>
              <w:t>指挥车辆</w:t>
            </w:r>
          </w:p>
        </w:tc>
        <w:tc>
          <w:tcPr>
            <w:tcW w:w="1134" w:type="dxa"/>
            <w:shd w:val="clear" w:color="auto" w:fill="FFFFFF"/>
            <w:vAlign w:val="center"/>
          </w:tcPr>
          <w:p>
            <w:pPr>
              <w:pStyle w:val="63"/>
            </w:pPr>
            <w:r>
              <w:t>台</w:t>
            </w:r>
          </w:p>
        </w:tc>
        <w:tc>
          <w:tcPr>
            <w:tcW w:w="1275" w:type="dxa"/>
            <w:shd w:val="clear" w:color="auto" w:fill="FFFFFF"/>
            <w:vAlign w:val="center"/>
          </w:tcPr>
          <w:p>
            <w:pPr>
              <w:pStyle w:val="63"/>
            </w:pPr>
            <w:r>
              <w:t>1</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11</w:t>
            </w:r>
          </w:p>
        </w:tc>
        <w:tc>
          <w:tcPr>
            <w:tcW w:w="3104" w:type="dxa"/>
            <w:shd w:val="clear" w:color="auto" w:fill="FFFFFF"/>
            <w:vAlign w:val="center"/>
          </w:tcPr>
          <w:p>
            <w:pPr>
              <w:pStyle w:val="63"/>
            </w:pPr>
            <w:r>
              <w:t>对讲机</w:t>
            </w:r>
          </w:p>
        </w:tc>
        <w:tc>
          <w:tcPr>
            <w:tcW w:w="1134" w:type="dxa"/>
            <w:shd w:val="clear" w:color="auto" w:fill="FFFFFF"/>
            <w:vAlign w:val="center"/>
          </w:tcPr>
          <w:p>
            <w:pPr>
              <w:pStyle w:val="63"/>
            </w:pPr>
            <w:r>
              <w:t>台</w:t>
            </w:r>
          </w:p>
        </w:tc>
        <w:tc>
          <w:tcPr>
            <w:tcW w:w="1275" w:type="dxa"/>
            <w:shd w:val="clear" w:color="auto" w:fill="FFFFFF"/>
            <w:vAlign w:val="center"/>
          </w:tcPr>
          <w:p>
            <w:pPr>
              <w:pStyle w:val="63"/>
            </w:pPr>
            <w:r>
              <w:t>20</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12</w:t>
            </w:r>
          </w:p>
        </w:tc>
        <w:tc>
          <w:tcPr>
            <w:tcW w:w="3104" w:type="dxa"/>
            <w:shd w:val="clear" w:color="auto" w:fill="FFFFFF"/>
            <w:vAlign w:val="center"/>
          </w:tcPr>
          <w:p>
            <w:pPr>
              <w:pStyle w:val="63"/>
            </w:pPr>
            <w:r>
              <w:t>装备器材（仓库内备有安全帽、安全带、切割机、气焊设备、小型电动工具、一般五金工具、雨衣、雨靴、手电筒、撬棍等）</w:t>
            </w:r>
          </w:p>
        </w:tc>
        <w:tc>
          <w:tcPr>
            <w:tcW w:w="1134" w:type="dxa"/>
            <w:shd w:val="clear" w:color="auto" w:fill="FFFFFF"/>
            <w:vAlign w:val="center"/>
          </w:tcPr>
          <w:p>
            <w:pPr>
              <w:pStyle w:val="63"/>
            </w:pPr>
          </w:p>
        </w:tc>
        <w:tc>
          <w:tcPr>
            <w:tcW w:w="1275" w:type="dxa"/>
            <w:shd w:val="clear" w:color="auto" w:fill="FFFFFF"/>
            <w:vAlign w:val="center"/>
          </w:tcPr>
          <w:p>
            <w:pPr>
              <w:pStyle w:val="63"/>
            </w:pPr>
            <w:r>
              <w:t>数量满足</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dxa"/>
            <w:shd w:val="clear" w:color="auto" w:fill="FFFFFF"/>
            <w:vAlign w:val="center"/>
          </w:tcPr>
          <w:p>
            <w:pPr>
              <w:pStyle w:val="63"/>
            </w:pPr>
            <w:r>
              <w:t>13</w:t>
            </w:r>
          </w:p>
        </w:tc>
        <w:tc>
          <w:tcPr>
            <w:tcW w:w="3104" w:type="dxa"/>
            <w:shd w:val="clear" w:color="auto" w:fill="FFFFFF"/>
            <w:vAlign w:val="center"/>
          </w:tcPr>
          <w:p>
            <w:pPr>
              <w:pStyle w:val="63"/>
            </w:pPr>
            <w:r>
              <w:t>医疗器材（应急药品、氧气袋、担架等）</w:t>
            </w:r>
          </w:p>
        </w:tc>
        <w:tc>
          <w:tcPr>
            <w:tcW w:w="1134" w:type="dxa"/>
            <w:shd w:val="clear" w:color="auto" w:fill="FFFFFF"/>
            <w:vAlign w:val="center"/>
          </w:tcPr>
          <w:p>
            <w:pPr>
              <w:pStyle w:val="63"/>
            </w:pPr>
            <w:r>
              <w:t>套</w:t>
            </w:r>
          </w:p>
        </w:tc>
        <w:tc>
          <w:tcPr>
            <w:tcW w:w="1275" w:type="dxa"/>
            <w:shd w:val="clear" w:color="auto" w:fill="FFFFFF"/>
            <w:vAlign w:val="center"/>
          </w:tcPr>
          <w:p>
            <w:pPr>
              <w:pStyle w:val="63"/>
            </w:pPr>
            <w:r>
              <w:t>4</w:t>
            </w:r>
          </w:p>
        </w:tc>
        <w:tc>
          <w:tcPr>
            <w:tcW w:w="993" w:type="dxa"/>
            <w:shd w:val="clear" w:color="auto" w:fill="FFFFFF"/>
            <w:vAlign w:val="center"/>
          </w:tcPr>
          <w:p>
            <w:pPr>
              <w:pStyle w:val="63"/>
            </w:pPr>
            <w:r>
              <w:t>优良</w:t>
            </w:r>
          </w:p>
        </w:tc>
        <w:tc>
          <w:tcPr>
            <w:tcW w:w="1275" w:type="dxa"/>
            <w:shd w:val="clear" w:color="auto" w:fill="FFFFFF"/>
            <w:vAlign w:val="center"/>
          </w:tcPr>
          <w:p>
            <w:pPr>
              <w:pStyle w:val="63"/>
            </w:pPr>
            <w:r>
              <w:t>项目部</w:t>
            </w:r>
          </w:p>
        </w:tc>
      </w:tr>
      <w:bookmarkEnd w:id="493"/>
    </w:tbl>
    <w:p>
      <w:pPr>
        <w:ind w:firstLine="480"/>
        <w:rPr>
          <w:color w:val="000000" w:themeColor="text1"/>
          <w14:textFill>
            <w14:solidFill>
              <w14:schemeClr w14:val="tx1"/>
            </w14:solidFill>
          </w14:textFill>
        </w:rPr>
      </w:pPr>
    </w:p>
    <w:p>
      <w:pPr>
        <w:pStyle w:val="4"/>
        <w:spacing w:before="156" w:after="156"/>
      </w:pPr>
      <w:bookmarkStart w:id="494" w:name="_Toc121760060"/>
      <w:r>
        <w:rPr>
          <w:rFonts w:hint="eastAsia"/>
          <w:color w:val="000000" w:themeColor="text1"/>
          <w14:textFill>
            <w14:solidFill>
              <w14:schemeClr w14:val="tx1"/>
            </w14:solidFill>
          </w14:textFill>
        </w:rPr>
        <w:t>应急医院及线路图</w:t>
      </w:r>
      <w:bookmarkEnd w:id="490"/>
      <w:bookmarkEnd w:id="491"/>
      <w:bookmarkEnd w:id="492"/>
      <w:bookmarkEnd w:id="494"/>
    </w:p>
    <w:p>
      <w:pPr>
        <w:pStyle w:val="61"/>
        <w:ind w:firstLine="480"/>
      </w:pPr>
      <w:r>
        <w:t xml:space="preserve">表9.5-1 </w:t>
      </w:r>
      <w:r>
        <w:rPr>
          <w:rFonts w:hint="eastAsia"/>
        </w:rPr>
        <w:t>医院地址联系表</w:t>
      </w:r>
    </w:p>
    <w:tbl>
      <w:tblPr>
        <w:tblStyle w:val="44"/>
        <w:tblW w:w="836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fixed"/>
        <w:tblCellMar>
          <w:top w:w="0" w:type="dxa"/>
          <w:left w:w="108" w:type="dxa"/>
          <w:bottom w:w="0" w:type="dxa"/>
          <w:right w:w="108" w:type="dxa"/>
        </w:tblCellMar>
      </w:tblPr>
      <w:tblGrid>
        <w:gridCol w:w="787"/>
        <w:gridCol w:w="3041"/>
        <w:gridCol w:w="1914"/>
        <w:gridCol w:w="26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97" w:hRule="atLeast"/>
          <w:jc w:val="center"/>
        </w:trPr>
        <w:tc>
          <w:tcPr>
            <w:tcW w:w="787" w:type="dxa"/>
            <w:shd w:val="clear" w:color="auto" w:fill="FFFFFF"/>
            <w:vAlign w:val="center"/>
          </w:tcPr>
          <w:p>
            <w:pPr>
              <w:pStyle w:val="63"/>
            </w:pPr>
            <w:r>
              <w:rPr>
                <w:rFonts w:hint="eastAsia"/>
              </w:rPr>
              <w:t>序号</w:t>
            </w:r>
          </w:p>
        </w:tc>
        <w:tc>
          <w:tcPr>
            <w:tcW w:w="3041" w:type="dxa"/>
            <w:shd w:val="clear" w:color="auto" w:fill="FFFFFF"/>
            <w:vAlign w:val="center"/>
          </w:tcPr>
          <w:p>
            <w:pPr>
              <w:pStyle w:val="63"/>
            </w:pPr>
            <w:r>
              <w:rPr>
                <w:rFonts w:hint="eastAsia"/>
              </w:rPr>
              <w:t>单位</w:t>
            </w:r>
          </w:p>
        </w:tc>
        <w:tc>
          <w:tcPr>
            <w:tcW w:w="1914" w:type="dxa"/>
            <w:shd w:val="clear" w:color="auto" w:fill="FFFFFF"/>
            <w:vAlign w:val="center"/>
          </w:tcPr>
          <w:p>
            <w:pPr>
              <w:pStyle w:val="63"/>
            </w:pPr>
            <w:r>
              <w:rPr>
                <w:rFonts w:hint="eastAsia"/>
              </w:rPr>
              <w:t>联系电话</w:t>
            </w:r>
          </w:p>
        </w:tc>
        <w:tc>
          <w:tcPr>
            <w:tcW w:w="2623" w:type="dxa"/>
            <w:shd w:val="clear" w:color="auto" w:fill="FFFFFF"/>
            <w:vAlign w:val="center"/>
          </w:tcPr>
          <w:p>
            <w:pPr>
              <w:pStyle w:val="63"/>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97" w:hRule="atLeast"/>
          <w:jc w:val="center"/>
        </w:trPr>
        <w:tc>
          <w:tcPr>
            <w:tcW w:w="787" w:type="dxa"/>
            <w:shd w:val="clear" w:color="auto" w:fill="FFFFFF"/>
            <w:vAlign w:val="center"/>
          </w:tcPr>
          <w:p>
            <w:pPr>
              <w:pStyle w:val="63"/>
            </w:pPr>
            <w:r>
              <w:rPr>
                <w:rFonts w:hint="eastAsia"/>
              </w:rPr>
              <w:t>1</w:t>
            </w:r>
          </w:p>
        </w:tc>
        <w:tc>
          <w:tcPr>
            <w:tcW w:w="3041" w:type="dxa"/>
            <w:shd w:val="clear" w:color="auto" w:fill="FFFFFF"/>
            <w:vAlign w:val="center"/>
          </w:tcPr>
          <w:p>
            <w:pPr>
              <w:pStyle w:val="63"/>
            </w:pPr>
          </w:p>
        </w:tc>
        <w:tc>
          <w:tcPr>
            <w:tcW w:w="1914" w:type="dxa"/>
            <w:shd w:val="clear" w:color="auto" w:fill="FFFFFF"/>
            <w:vAlign w:val="center"/>
          </w:tcPr>
          <w:p>
            <w:pPr>
              <w:pStyle w:val="63"/>
            </w:pPr>
          </w:p>
        </w:tc>
        <w:tc>
          <w:tcPr>
            <w:tcW w:w="2623" w:type="dxa"/>
            <w:shd w:val="clear" w:color="auto" w:fill="FFFFFF"/>
            <w:vAlign w:val="center"/>
          </w:tcPr>
          <w:p>
            <w:pPr>
              <w:pStyle w:val="63"/>
            </w:pPr>
          </w:p>
        </w:tc>
      </w:tr>
    </w:tbl>
    <w:p>
      <w:pPr>
        <w:ind w:firstLine="480"/>
      </w:pPr>
      <w:r>
        <w:t>施工现场去往</w:t>
      </w:r>
      <w:r>
        <w:rPr>
          <w:rFonts w:hint="eastAsia"/>
        </w:rPr>
        <w:t>医院</w:t>
      </w:r>
      <w:r>
        <w:t>线路</w:t>
      </w:r>
      <w:r>
        <w:rPr>
          <w:rFonts w:hint="eastAsia"/>
        </w:rPr>
        <w:t>如图所示。</w:t>
      </w:r>
    </w:p>
    <w:p>
      <w:pPr>
        <w:pStyle w:val="61"/>
      </w:pPr>
    </w:p>
    <w:p>
      <w:pPr>
        <w:pStyle w:val="61"/>
      </w:pPr>
    </w:p>
    <w:p>
      <w:pPr>
        <w:pStyle w:val="61"/>
      </w:pPr>
    </w:p>
    <w:p>
      <w:pPr>
        <w:pStyle w:val="61"/>
      </w:pPr>
    </w:p>
    <w:p>
      <w:pPr>
        <w:pStyle w:val="61"/>
      </w:pPr>
    </w:p>
    <w:p>
      <w:pPr>
        <w:pStyle w:val="61"/>
      </w:pPr>
    </w:p>
    <w:p>
      <w:pPr>
        <w:pStyle w:val="61"/>
      </w:pPr>
    </w:p>
    <w:p>
      <w:pPr>
        <w:pStyle w:val="61"/>
      </w:pPr>
    </w:p>
    <w:p>
      <w:pPr>
        <w:pStyle w:val="61"/>
      </w:pPr>
    </w:p>
    <w:p>
      <w:pPr>
        <w:pStyle w:val="61"/>
      </w:pPr>
    </w:p>
    <w:p>
      <w:pPr>
        <w:pStyle w:val="4"/>
        <w:spacing w:before="156" w:after="156"/>
        <w:rPr>
          <w:color w:val="000000" w:themeColor="text1"/>
          <w14:textFill>
            <w14:solidFill>
              <w14:schemeClr w14:val="tx1"/>
            </w14:solidFill>
          </w14:textFill>
        </w:rPr>
      </w:pPr>
      <w:bookmarkStart w:id="495" w:name="_Toc121760061"/>
      <w:bookmarkStart w:id="496" w:name="_Toc55223388"/>
      <w:bookmarkStart w:id="497" w:name="_Toc40778459"/>
      <w:bookmarkStart w:id="498" w:name="_Toc1146"/>
      <w:r>
        <w:rPr>
          <w:rFonts w:hint="eastAsia"/>
          <w:color w:val="000000" w:themeColor="text1"/>
          <w14:textFill>
            <w14:solidFill>
              <w14:schemeClr w14:val="tx1"/>
            </w14:solidFill>
          </w14:textFill>
        </w:rPr>
        <w:t>事故善后及恢复生产</w:t>
      </w:r>
      <w:bookmarkEnd w:id="495"/>
      <w:bookmarkEnd w:id="496"/>
      <w:bookmarkEnd w:id="497"/>
      <w:bookmarkEnd w:id="498"/>
    </w:p>
    <w:p>
      <w:pPr>
        <w:ind w:firstLine="480"/>
      </w:pPr>
      <w:r>
        <w:rPr>
          <w:rFonts w:hint="eastAsia"/>
        </w:rPr>
        <w:t>应急小组在抢援工作结束后，对发生人员伤亡、机损事故和财产损失等事故的，遵循下列原则</w:t>
      </w:r>
      <w:bookmarkStart w:id="504" w:name="_GoBack"/>
      <w:bookmarkEnd w:id="504"/>
      <w:r>
        <w:rPr>
          <w:rFonts w:hint="eastAsia"/>
        </w:rPr>
        <w:t>进行处理。</w:t>
      </w:r>
    </w:p>
    <w:p>
      <w:pPr>
        <w:ind w:firstLine="480"/>
      </w:pPr>
      <w:r>
        <w:rPr>
          <w:rFonts w:hint="eastAsia"/>
        </w:rPr>
        <w:t>（1）伤员处理</w:t>
      </w:r>
    </w:p>
    <w:p>
      <w:pPr>
        <w:ind w:firstLine="480"/>
      </w:pPr>
      <w:r>
        <w:rPr>
          <w:rFonts w:hint="eastAsia"/>
        </w:rPr>
        <w:t>按国家有关规定，做好伤亡家属的接待、安抚和善后处理以及保险赔偿工作。</w:t>
      </w:r>
    </w:p>
    <w:p>
      <w:pPr>
        <w:ind w:firstLine="480"/>
      </w:pPr>
      <w:r>
        <w:rPr>
          <w:rFonts w:hint="eastAsia"/>
        </w:rPr>
        <w:t>（2）调查分析</w:t>
      </w:r>
    </w:p>
    <w:p>
      <w:pPr>
        <w:ind w:firstLine="480"/>
      </w:pPr>
      <w:r>
        <w:rPr>
          <w:rFonts w:hint="eastAsia"/>
        </w:rPr>
        <w:t>对事故原因调查分析，确定责任和应该吸取的教训。</w:t>
      </w:r>
    </w:p>
    <w:p>
      <w:pPr>
        <w:ind w:firstLine="480"/>
      </w:pPr>
      <w:r>
        <w:rPr>
          <w:rFonts w:hint="eastAsia"/>
        </w:rPr>
        <w:t>（3）事故处理</w:t>
      </w:r>
    </w:p>
    <w:p>
      <w:pPr>
        <w:ind w:firstLine="480"/>
      </w:pPr>
      <w:r>
        <w:rPr>
          <w:rFonts w:hint="eastAsia"/>
        </w:rPr>
        <w:t>根据事故调查结果，按“四不放过”原则，认真总结事故经验教训，对发生事故的责任人或责任部门依照相关法律法规，提出事故处理意见。</w:t>
      </w:r>
    </w:p>
    <w:p>
      <w:pPr>
        <w:ind w:firstLine="480"/>
      </w:pPr>
      <w:r>
        <w:rPr>
          <w:rFonts w:hint="eastAsia"/>
        </w:rPr>
        <w:t>（4）事故总结</w:t>
      </w:r>
    </w:p>
    <w:p>
      <w:pPr>
        <w:ind w:firstLine="480"/>
      </w:pPr>
      <w:r>
        <w:rPr>
          <w:rFonts w:hint="eastAsia"/>
        </w:rPr>
        <w:t>事故处理完毕后，认真总结经验教训，完善管理，对事故后的处理过程认真分析总结、防范措施及应急预案进行补充和修改。</w:t>
      </w:r>
    </w:p>
    <w:p>
      <w:pPr>
        <w:ind w:firstLine="480"/>
      </w:pPr>
      <w:r>
        <w:rPr>
          <w:rFonts w:hint="eastAsia"/>
        </w:rPr>
        <w:t>（5）恢复生产</w:t>
      </w:r>
    </w:p>
    <w:p>
      <w:pPr>
        <w:ind w:firstLine="480"/>
        <w:rPr>
          <w:color w:val="000000" w:themeColor="text1"/>
          <w14:textFill>
            <w14:solidFill>
              <w14:schemeClr w14:val="tx1"/>
            </w14:solidFill>
          </w14:textFill>
        </w:rPr>
      </w:pPr>
      <w:r>
        <w:rPr>
          <w:rFonts w:hint="eastAsia"/>
        </w:rPr>
        <w:t>对现场隐患进行全面排查，整改完毕后报请业主、监理单位审批，同意后方可组织恢复生产工作</w:t>
      </w:r>
      <w:r>
        <w:rPr>
          <w:rFonts w:hint="eastAsia"/>
          <w:color w:val="000000"/>
        </w:rPr>
        <w:t>。</w:t>
      </w:r>
    </w:p>
    <w:p>
      <w:pPr>
        <w:ind w:firstLine="480"/>
        <w:rPr>
          <w:color w:val="000000" w:themeColor="text1"/>
          <w14:textFill>
            <w14:solidFill>
              <w14:schemeClr w14:val="tx1"/>
            </w14:solidFill>
          </w14:textFill>
        </w:rPr>
      </w:pPr>
    </w:p>
    <w:p>
      <w:pPr>
        <w:widowControl/>
        <w:ind w:firstLine="0" w:firstLineChars="0"/>
        <w:jc w:val="left"/>
        <w:rPr>
          <w:rFonts w:cstheme="majorBidi"/>
          <w:b/>
          <w:bCs/>
          <w:color w:val="000000" w:themeColor="text1"/>
          <w:sz w:val="32"/>
          <w:szCs w:val="32"/>
          <w14:textFill>
            <w14:solidFill>
              <w14:schemeClr w14:val="tx1"/>
            </w14:solidFill>
          </w14:textFill>
        </w:rPr>
      </w:pPr>
      <w:r>
        <w:rPr>
          <w:color w:val="000000" w:themeColor="text1"/>
          <w14:textFill>
            <w14:solidFill>
              <w14:schemeClr w14:val="tx1"/>
            </w14:solidFill>
          </w14:textFill>
        </w:rPr>
        <w:br w:type="page"/>
      </w:r>
    </w:p>
    <w:p>
      <w:pPr>
        <w:pStyle w:val="3"/>
        <w:spacing w:before="156" w:after="156"/>
        <w:rPr>
          <w:color w:val="000000" w:themeColor="text1"/>
          <w14:textFill>
            <w14:solidFill>
              <w14:schemeClr w14:val="tx1"/>
            </w14:solidFill>
          </w14:textFill>
        </w:rPr>
      </w:pPr>
      <w:bookmarkStart w:id="499" w:name="_Toc27911"/>
      <w:bookmarkStart w:id="500" w:name="_Toc121760062"/>
      <w:bookmarkStart w:id="501" w:name="_Toc55223390"/>
      <w:bookmarkStart w:id="502" w:name="_Toc40778460"/>
      <w:r>
        <w:rPr>
          <w:rFonts w:hint="eastAsia"/>
          <w:color w:val="000000" w:themeColor="text1"/>
          <w14:textFill>
            <w14:solidFill>
              <w14:schemeClr w14:val="tx1"/>
            </w14:solidFill>
          </w14:textFill>
        </w:rPr>
        <w:t>计算书</w:t>
      </w:r>
      <w:bookmarkEnd w:id="499"/>
      <w:bookmarkEnd w:id="500"/>
      <w:bookmarkEnd w:id="501"/>
      <w:bookmarkEnd w:id="502"/>
    </w:p>
    <w:p>
      <w:pPr>
        <w:pStyle w:val="4"/>
        <w:keepNext w:val="0"/>
        <w:keepLines w:val="0"/>
        <w:widowControl/>
        <w:numPr>
          <w:ilvl w:val="-1"/>
          <w:numId w:val="0"/>
        </w:numPr>
        <w:spacing w:before="312" w:beforeLines="100" w:beforeAutospacing="0" w:after="312" w:afterLines="100" w:afterAutospacing="0" w:line="400" w:lineRule="exact"/>
        <w:ind w:left="0" w:firstLine="280" w:firstLineChars="100"/>
        <w:rPr>
          <w:rFonts w:hint="eastAsia" w:ascii="宋体" w:hAnsi="宋体" w:eastAsia="宋体" w:cs="宋体"/>
          <w:b w:val="0"/>
          <w:bCs w:val="0"/>
          <w:color w:val="auto"/>
          <w:kern w:val="0"/>
          <w:sz w:val="28"/>
          <w:szCs w:val="28"/>
        </w:rPr>
      </w:pPr>
      <w:bookmarkStart w:id="503" w:name="_Toc19519542"/>
      <w:r>
        <w:rPr>
          <w:rFonts w:hint="eastAsia" w:ascii="宋体" w:hAnsi="宋体" w:eastAsia="宋体" w:cs="宋体"/>
          <w:b w:val="0"/>
          <w:bCs w:val="0"/>
          <w:color w:val="auto"/>
          <w:kern w:val="0"/>
          <w:sz w:val="28"/>
          <w:szCs w:val="28"/>
          <w:lang w:val="en-US" w:eastAsia="zh-CN"/>
        </w:rPr>
        <w:t>10</w:t>
      </w:r>
      <w:r>
        <w:rPr>
          <w:rFonts w:hint="eastAsia" w:ascii="宋体" w:hAnsi="宋体" w:eastAsia="宋体" w:cs="宋体"/>
          <w:b w:val="0"/>
          <w:bCs w:val="0"/>
          <w:color w:val="auto"/>
          <w:kern w:val="0"/>
          <w:sz w:val="28"/>
          <w:szCs w:val="28"/>
        </w:rPr>
        <w:t>.1施工升降机附着受力计算</w:t>
      </w:r>
      <w:bookmarkEnd w:id="503"/>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（1）附着点受力计算公式：</w:t>
      </w:r>
      <w:r>
        <w:rPr>
          <w:rFonts w:hint="eastAsia" w:ascii="宋体" w:hAnsi="宋体" w:eastAsia="宋体" w:cs="宋体"/>
          <w:color w:val="auto"/>
          <w:sz w:val="24"/>
          <w:szCs w:val="24"/>
        </w:rPr>
        <w:drawing>
          <wp:inline distT="0" distB="0" distL="114300" distR="114300">
            <wp:extent cx="1012825" cy="137795"/>
            <wp:effectExtent l="0" t="0" r="8255" b="14605"/>
            <wp:docPr id="40" name="图片 12" descr="156595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1565950331(1)"/>
                    <pic:cNvPicPr>
                      <a:picLocks noChangeAspect="1"/>
                    </pic:cNvPicPr>
                  </pic:nvPicPr>
                  <pic:blipFill>
                    <a:blip r:embed="rId84"/>
                    <a:stretch>
                      <a:fillRect/>
                    </a:stretch>
                  </pic:blipFill>
                  <pic:spPr>
                    <a:xfrm>
                      <a:off x="0" y="0"/>
                      <a:ext cx="1012825" cy="137795"/>
                    </a:xfrm>
                    <a:prstGeom prst="rect">
                      <a:avLst/>
                    </a:prstGeom>
                    <a:noFill/>
                    <a:ln>
                      <a:noFill/>
                    </a:ln>
                  </pic:spPr>
                </pic:pic>
              </a:graphicData>
            </a:graphic>
          </wp:inline>
        </w:drawing>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因施工升降机各附着中心距不等，现取中心距Ｌ最大，两附着点间距Ｂ最大的参数来进行验算：L=</w:t>
      </w:r>
      <w:r>
        <w:rPr>
          <w:rFonts w:hint="eastAsia" w:ascii="宋体" w:hAnsi="宋体" w:eastAsia="宋体" w:cs="宋体"/>
          <w:color w:val="auto"/>
          <w:sz w:val="24"/>
          <w:szCs w:val="24"/>
          <w:lang w:val="en-US" w:eastAsia="zh-CN"/>
        </w:rPr>
        <w:t>5.75</w:t>
      </w:r>
      <w:r>
        <w:rPr>
          <w:rFonts w:hint="eastAsia" w:ascii="宋体" w:hAnsi="宋体" w:eastAsia="宋体" w:cs="宋体"/>
          <w:color w:val="auto"/>
          <w:sz w:val="24"/>
          <w:szCs w:val="24"/>
        </w:rPr>
        <w:t xml:space="preserve">   B=2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00</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通过计算得出　Ｆ＝</w:t>
      </w:r>
      <w:r>
        <w:rPr>
          <w:rFonts w:hint="eastAsia" w:ascii="宋体" w:hAnsi="宋体" w:eastAsia="宋体" w:cs="宋体"/>
          <w:color w:val="auto"/>
          <w:sz w:val="24"/>
          <w:szCs w:val="24"/>
          <w:lang w:val="en-US" w:eastAsia="zh-CN"/>
        </w:rPr>
        <w:t>70.12</w:t>
      </w:r>
      <w:r>
        <w:rPr>
          <w:rFonts w:hint="eastAsia" w:ascii="宋体" w:hAnsi="宋体" w:eastAsia="宋体" w:cs="宋体"/>
          <w:color w:val="auto"/>
          <w:sz w:val="24"/>
          <w:szCs w:val="24"/>
        </w:rPr>
        <w:t>kN</w:t>
      </w:r>
    </w:p>
    <w:p>
      <w:pPr>
        <w:tabs>
          <w:tab w:val="left" w:pos="5170"/>
        </w:tabs>
        <w:autoSpaceDE w:val="0"/>
        <w:autoSpaceDN w:val="0"/>
        <w:spacing w:line="400" w:lineRule="exact"/>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sz w:val="24"/>
          <w:szCs w:val="24"/>
        </w:rPr>
        <w:t>（2）</w:t>
      </w:r>
      <w:r>
        <w:rPr>
          <w:rFonts w:hint="eastAsia" w:ascii="宋体" w:hAnsi="宋体" w:eastAsia="宋体" w:cs="宋体"/>
          <w:color w:val="auto"/>
          <w:kern w:val="0"/>
          <w:sz w:val="24"/>
          <w:szCs w:val="24"/>
        </w:rPr>
        <w:t>杆件截面的力学特性</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附墙杆件为方管：方管截面尺寸为 60*4mm；</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材质：Q235B；</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截面力学参数为 AO=869 mm2 ，I=4.707*105cm4 。</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（3）杆件的强度计算</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杆件整体稳定性计算公式：</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N/A≤[f]</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其中：N—拉力的计算值（kN）；</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A—附墙主方管杆件截面面积，取 A0=869mm2；</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[f]—设计强度值，取 235 N/mm /1.34=175 N/mm2 。</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经过计算得到：</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杆件强度值为</w:t>
      </w:r>
      <w:r>
        <w:rPr>
          <w:rFonts w:hint="eastAsia" w:ascii="宋体" w:hAnsi="宋体" w:eastAsia="宋体" w:cs="宋体"/>
          <w:color w:val="auto"/>
          <w:sz w:val="24"/>
          <w:szCs w:val="24"/>
          <w:lang w:val="en-US" w:eastAsia="zh-CN"/>
        </w:rPr>
        <w:t>80.6</w:t>
      </w:r>
      <w:r>
        <w:rPr>
          <w:rFonts w:hint="eastAsia" w:ascii="宋体" w:hAnsi="宋体" w:eastAsia="宋体" w:cs="宋体"/>
          <w:color w:val="auto"/>
          <w:sz w:val="24"/>
          <w:szCs w:val="24"/>
        </w:rPr>
        <w:t>N/mm2 ,不大于设计强度值 175 N/mm2 ，所以满足要求！</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（4）预埋件强度计算</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附着点采用两棵Ｍ24的8.8级的高强度连接，8.8级的Ｍ24螺栓的抗拉强度［</w:t>
      </w:r>
      <w:r>
        <w:rPr>
          <w:rFonts w:hint="eastAsia" w:ascii="宋体" w:hAnsi="宋体" w:eastAsia="宋体" w:cs="宋体"/>
          <w:color w:val="auto"/>
          <w:sz w:val="24"/>
          <w:szCs w:val="24"/>
        </w:rPr>
        <w:object>
          <v:shape id="_x0000_i1037" o:spt="75" type="#_x0000_t75" style="height:14.2pt;width:14.9pt;" o:ole="t" filled="f" o:preferrelative="t" stroked="f" coordsize="21600,21600">
            <v:path/>
            <v:fill on="f" alignshape="1" focussize="0,0"/>
            <v:stroke on="f"/>
            <v:imagedata r:id="rId86" o:title=""/>
            <o:lock v:ext="edit" aspectratio="t"/>
            <w10:wrap type="none"/>
            <w10:anchorlock/>
          </v:shape>
          <o:OLEObject Type="Embed" ProgID="Equation.3" ShapeID="_x0000_i1037" DrawAspect="Content" ObjectID="_1468075730" r:id="rId85">
            <o:LockedField>false</o:LockedField>
          </o:OLEObject>
        </w:object>
      </w:r>
      <w:r>
        <w:rPr>
          <w:rFonts w:hint="eastAsia" w:ascii="宋体" w:hAnsi="宋体" w:eastAsia="宋体" w:cs="宋体"/>
          <w:color w:val="auto"/>
          <w:sz w:val="24"/>
          <w:szCs w:val="24"/>
        </w:rPr>
        <w:t>］=400N/mm2/1.34=298N/mm2</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附着点受力为</w:t>
      </w:r>
      <w:r>
        <w:rPr>
          <w:rFonts w:hint="eastAsia" w:ascii="宋体" w:hAnsi="宋体" w:eastAsia="宋体" w:cs="宋体"/>
          <w:color w:val="auto"/>
          <w:sz w:val="24"/>
          <w:szCs w:val="24"/>
          <w:lang w:val="en-US" w:eastAsia="zh-CN"/>
        </w:rPr>
        <w:t>70.12</w:t>
      </w:r>
      <w:r>
        <w:rPr>
          <w:rFonts w:hint="eastAsia" w:ascii="宋体" w:hAnsi="宋体" w:eastAsia="宋体" w:cs="宋体"/>
          <w:color w:val="auto"/>
          <w:sz w:val="24"/>
          <w:szCs w:val="24"/>
        </w:rPr>
        <w:t>kN，单棵螺栓受力为</w:t>
      </w:r>
      <w:r>
        <w:rPr>
          <w:rFonts w:hint="eastAsia" w:ascii="宋体" w:hAnsi="宋体" w:eastAsia="宋体" w:cs="宋体"/>
          <w:color w:val="auto"/>
          <w:sz w:val="24"/>
          <w:szCs w:val="24"/>
          <w:lang w:val="en-US" w:eastAsia="zh-CN"/>
        </w:rPr>
        <w:t>35.06</w:t>
      </w:r>
      <w:r>
        <w:rPr>
          <w:rFonts w:hint="eastAsia" w:ascii="宋体" w:hAnsi="宋体" w:eastAsia="宋体" w:cs="宋体"/>
          <w:color w:val="auto"/>
          <w:sz w:val="24"/>
          <w:szCs w:val="24"/>
        </w:rPr>
        <w:t>kN</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螺栓抗拉计算：</w:t>
      </w:r>
      <w:r>
        <w:rPr>
          <w:rFonts w:hint="eastAsia" w:ascii="宋体" w:hAnsi="宋体" w:eastAsia="宋体" w:cs="宋体"/>
          <w:color w:val="auto"/>
          <w:sz w:val="24"/>
          <w:szCs w:val="24"/>
        </w:rPr>
        <w:drawing>
          <wp:inline distT="0" distB="0" distL="114300" distR="114300">
            <wp:extent cx="474980" cy="166370"/>
            <wp:effectExtent l="0" t="0" r="12700" b="1270"/>
            <wp:docPr id="36" name="图片 14" descr="1565951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1565951392(1)"/>
                    <pic:cNvPicPr>
                      <a:picLocks noChangeAspect="1"/>
                    </pic:cNvPicPr>
                  </pic:nvPicPr>
                  <pic:blipFill>
                    <a:blip r:embed="rId87"/>
                    <a:stretch>
                      <a:fillRect/>
                    </a:stretch>
                  </pic:blipFill>
                  <pic:spPr>
                    <a:xfrm>
                      <a:off x="0" y="0"/>
                      <a:ext cx="474980" cy="166370"/>
                    </a:xfrm>
                    <a:prstGeom prst="rect">
                      <a:avLst/>
                    </a:prstGeom>
                    <a:noFill/>
                    <a:ln>
                      <a:noFill/>
                    </a:ln>
                  </pic:spPr>
                </pic:pic>
              </a:graphicData>
            </a:graphic>
          </wp:inline>
        </w:drawing>
      </w:r>
      <w:r>
        <w:rPr>
          <w:rFonts w:hint="eastAsia" w:ascii="宋体" w:hAnsi="宋体" w:eastAsia="宋体" w:cs="宋体"/>
          <w:color w:val="auto"/>
          <w:sz w:val="24"/>
          <w:szCs w:val="24"/>
          <w:lang w:val="en-US" w:eastAsia="zh-CN"/>
        </w:rPr>
        <w:t>35.06</w:t>
      </w:r>
      <w:r>
        <w:rPr>
          <w:rFonts w:hint="eastAsia" w:ascii="宋体" w:hAnsi="宋体" w:eastAsia="宋体" w:cs="宋体"/>
          <w:color w:val="auto"/>
          <w:sz w:val="24"/>
          <w:szCs w:val="24"/>
        </w:rPr>
        <w:t>*1000/3.14*12*12</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77.5</w:t>
      </w:r>
      <w:r>
        <w:rPr>
          <w:rFonts w:hint="eastAsia" w:ascii="宋体" w:hAnsi="宋体" w:eastAsia="宋体" w:cs="宋体"/>
          <w:color w:val="auto"/>
          <w:sz w:val="24"/>
          <w:szCs w:val="24"/>
        </w:rPr>
        <w:t>N/mm2≤［</w:t>
      </w:r>
      <w:r>
        <w:rPr>
          <w:rFonts w:hint="eastAsia" w:ascii="宋体" w:hAnsi="宋体" w:eastAsia="宋体" w:cs="宋体"/>
          <w:color w:val="auto"/>
          <w:sz w:val="24"/>
          <w:szCs w:val="24"/>
        </w:rPr>
        <w:object>
          <v:shape id="_x0000_i1039" o:spt="75" type="#_x0000_t75" style="height:14.2pt;width:14.9pt;" o:ole="t" filled="f" o:preferrelative="t" stroked="f" coordsize="21600,21600">
            <v:path/>
            <v:fill on="f" alignshape="1" focussize="0,0"/>
            <v:stroke on="f"/>
            <v:imagedata r:id="rId86" o:title=""/>
            <o:lock v:ext="edit" aspectratio="t"/>
            <w10:wrap type="none"/>
            <w10:anchorlock/>
          </v:shape>
          <o:OLEObject Type="Embed" ProgID="Equation.3" ShapeID="_x0000_i1039" DrawAspect="Content" ObjectID="_1468075731" r:id="rId88">
            <o:LockedField>false</o:LockedField>
          </o:OLEObject>
        </w:object>
      </w:r>
      <w:r>
        <w:rPr>
          <w:rFonts w:hint="eastAsia" w:ascii="宋体" w:hAnsi="宋体" w:eastAsia="宋体" w:cs="宋体"/>
          <w:color w:val="auto"/>
          <w:sz w:val="24"/>
          <w:szCs w:val="24"/>
        </w:rPr>
        <w:t>］=298 N/mm2</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所以满足要求！</w:t>
      </w:r>
    </w:p>
    <w:p>
      <w:pPr>
        <w:widowControl/>
        <w:spacing w:before="312" w:beforeLines="100" w:beforeAutospacing="0" w:after="312" w:afterLines="100" w:afterAutospacing="0" w:line="400" w:lineRule="exact"/>
        <w:ind w:firstLine="280" w:firstLineChars="100"/>
        <w:jc w:val="left"/>
        <w:outlineLvl w:val="1"/>
        <w:rPr>
          <w:rFonts w:hint="default" w:ascii="宋体" w:hAnsi="宋体" w:eastAsia="宋体" w:cs="宋体"/>
          <w:b w:val="0"/>
          <w:bCs w:val="0"/>
          <w:color w:val="auto"/>
          <w:kern w:val="0"/>
          <w:sz w:val="28"/>
          <w:szCs w:val="28"/>
          <w:lang w:val="en-US" w:eastAsia="zh-CN" w:bidi="ar-SA"/>
        </w:rPr>
      </w:pPr>
      <w:r>
        <w:rPr>
          <w:rFonts w:hint="eastAsia" w:ascii="宋体" w:hAnsi="宋体" w:eastAsia="宋体" w:cs="宋体"/>
          <w:b w:val="0"/>
          <w:bCs w:val="0"/>
          <w:color w:val="auto"/>
          <w:kern w:val="0"/>
          <w:sz w:val="28"/>
          <w:szCs w:val="28"/>
          <w:lang w:val="en-US" w:eastAsia="zh-CN" w:bidi="ar-SA"/>
        </w:rPr>
        <w:t>10.2吊索验算</w:t>
      </w:r>
    </w:p>
    <w:p>
      <w:pPr>
        <w:keepNext w:val="0"/>
        <w:keepLines w:val="0"/>
        <w:pageBreakBefore w:val="0"/>
        <w:widowControl w:val="0"/>
        <w:kinsoku/>
        <w:wordWrap/>
        <w:overflowPunct/>
        <w:topLinePunct w:val="0"/>
        <w:autoSpaceDE/>
        <w:autoSpaceDN/>
        <w:bidi w:val="0"/>
        <w:adjustRightInd/>
        <w:snapToGrid/>
        <w:spacing w:line="360" w:lineRule="auto"/>
        <w:ind w:firstLine="482"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eastAsia="zh-CN"/>
        </w:rPr>
        <w:t>升降机说明书得知</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升降机上最重部件为吊笼及笼顶的驱动系统，总重为</w:t>
      </w:r>
      <w:r>
        <w:rPr>
          <w:rFonts w:hint="eastAsia" w:ascii="宋体" w:hAnsi="宋体" w:eastAsia="宋体" w:cs="宋体"/>
          <w:color w:val="auto"/>
          <w:sz w:val="24"/>
          <w:szCs w:val="24"/>
          <w:lang w:val="en-US" w:eastAsia="zh-CN"/>
        </w:rPr>
        <w:t>4.0吨</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所以对该部件吊装时的吊索进行验算</w:t>
      </w:r>
      <w:r>
        <w:rPr>
          <w:rFonts w:hint="eastAsia" w:ascii="宋体" w:hAnsi="宋体" w:eastAsia="宋体" w:cs="宋体"/>
          <w:color w:val="auto"/>
          <w:sz w:val="24"/>
          <w:szCs w:val="24"/>
        </w:rPr>
        <w:t>。</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按</w:t>
      </w:r>
      <w:r>
        <w:rPr>
          <w:rFonts w:hint="eastAsia" w:ascii="宋体" w:hAnsi="宋体" w:eastAsia="宋体" w:cs="宋体"/>
          <w:color w:val="auto"/>
          <w:sz w:val="21"/>
          <w:szCs w:val="24"/>
          <w:lang w:eastAsia="zh-CN"/>
        </w:rPr>
        <w:t>二</w:t>
      </w:r>
      <w:r>
        <w:rPr>
          <w:rFonts w:hint="eastAsia" w:ascii="宋体" w:hAnsi="宋体" w:eastAsia="宋体" w:cs="宋体"/>
          <w:color w:val="auto"/>
          <w:sz w:val="21"/>
          <w:szCs w:val="24"/>
        </w:rPr>
        <w:t>倍率</w:t>
      </w:r>
      <w:r>
        <w:rPr>
          <w:rFonts w:hint="eastAsia" w:ascii="宋体" w:hAnsi="宋体" w:eastAsia="宋体" w:cs="宋体"/>
          <w:color w:val="auto"/>
          <w:sz w:val="21"/>
          <w:szCs w:val="24"/>
          <w:lang w:eastAsia="zh-CN"/>
        </w:rPr>
        <w:t>来计算</w:t>
      </w:r>
      <w:r>
        <w:rPr>
          <w:rFonts w:hint="eastAsia" w:ascii="宋体" w:hAnsi="宋体" w:eastAsia="宋体" w:cs="宋体"/>
          <w:color w:val="auto"/>
          <w:sz w:val="21"/>
          <w:szCs w:val="24"/>
        </w:rPr>
        <w:t>，</w:t>
      </w:r>
      <w:r>
        <w:rPr>
          <w:rFonts w:hint="eastAsia" w:ascii="宋体" w:hAnsi="宋体" w:eastAsia="宋体" w:cs="宋体"/>
          <w:color w:val="auto"/>
          <w:sz w:val="21"/>
          <w:szCs w:val="24"/>
          <w:lang w:eastAsia="zh-CN"/>
        </w:rPr>
        <w:t>按</w:t>
      </w:r>
      <w:r>
        <w:rPr>
          <w:rFonts w:hint="eastAsia" w:ascii="宋体" w:hAnsi="宋体" w:eastAsia="宋体" w:cs="宋体"/>
          <w:color w:val="auto"/>
          <w:sz w:val="21"/>
          <w:szCs w:val="24"/>
        </w:rPr>
        <w:t>起重量</w:t>
      </w:r>
      <w:r>
        <w:rPr>
          <w:rFonts w:hint="eastAsia" w:ascii="宋体" w:hAnsi="宋体" w:eastAsia="宋体" w:cs="宋体"/>
          <w:color w:val="auto"/>
          <w:sz w:val="21"/>
          <w:szCs w:val="24"/>
          <w:lang w:val="en-US" w:eastAsia="zh-CN"/>
        </w:rPr>
        <w:t>4.0</w:t>
      </w:r>
      <w:r>
        <w:rPr>
          <w:rFonts w:hint="eastAsia" w:ascii="宋体" w:hAnsi="宋体" w:eastAsia="宋体" w:cs="宋体"/>
          <w:color w:val="auto"/>
          <w:sz w:val="21"/>
          <w:szCs w:val="24"/>
        </w:rPr>
        <w:t>t</w:t>
      </w:r>
      <w:r>
        <w:rPr>
          <w:rFonts w:hint="eastAsia" w:ascii="宋体" w:hAnsi="宋体" w:eastAsia="宋体" w:cs="宋体"/>
          <w:color w:val="auto"/>
          <w:sz w:val="21"/>
          <w:szCs w:val="24"/>
          <w:lang w:val="en-US"/>
        </w:rPr>
        <w:t>/2</w:t>
      </w:r>
      <w:r>
        <w:rPr>
          <w:rFonts w:hint="eastAsia" w:ascii="宋体" w:hAnsi="宋体" w:eastAsia="宋体" w:cs="宋体"/>
          <w:color w:val="auto"/>
          <w:sz w:val="21"/>
          <w:szCs w:val="24"/>
        </w:rPr>
        <w:t>考虑，根据《GB/T16762-2009 一般用途钢丝绳吊索特性和技术条件》中额定工作荷载计算公式：</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drawing>
          <wp:inline distT="0" distB="0" distL="114300" distR="114300">
            <wp:extent cx="1285875" cy="419100"/>
            <wp:effectExtent l="0" t="0" r="9525" b="762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89"/>
                    <a:stretch>
                      <a:fillRect/>
                    </a:stretch>
                  </pic:blipFill>
                  <pic:spPr>
                    <a:xfrm>
                      <a:off x="0" y="0"/>
                      <a:ext cx="1285875" cy="419100"/>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式中：</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WLL——吊索额定工作荷载，单位为吨（t）；</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Fo——钢丝绳最小破断拉力，单位为千牛（kN）；</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Ke——接头形式效能近似系数，压制接头取0.9，插编接头取0.75，选用压制接头；</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Ku——安全系数，一般取5，本方案按《建筑施工起重吊装安全技术规范》（JGJ_276-2012）中的规定，取值为6；</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Km——质量与力的转换系数，取值为9.80665。</w:t>
      </w:r>
    </w:p>
    <w:p>
      <w:pPr>
        <w:keepNext w:val="0"/>
        <w:keepLines w:val="0"/>
        <w:pageBreakBefore w:val="0"/>
        <w:kinsoku/>
        <w:wordWrap/>
        <w:overflowPunct/>
        <w:topLinePunct w:val="0"/>
        <w:bidi w:val="0"/>
        <w:snapToGrid/>
        <w:spacing w:line="360" w:lineRule="auto"/>
        <w:ind w:firstLine="480" w:firstLineChars="0"/>
        <w:textAlignment w:val="auto"/>
        <w:rPr>
          <w:rFonts w:hint="eastAsia" w:ascii="宋体" w:hAnsi="宋体" w:eastAsia="宋体" w:cs="宋体"/>
          <w:color w:val="auto"/>
          <w:sz w:val="21"/>
          <w:szCs w:val="24"/>
        </w:rPr>
      </w:pPr>
      <w:r>
        <w:rPr>
          <w:rFonts w:hint="eastAsia" w:ascii="宋体" w:hAnsi="宋体" w:eastAsia="宋体" w:cs="宋体"/>
          <w:color w:val="auto"/>
          <w:sz w:val="21"/>
          <w:szCs w:val="24"/>
        </w:rPr>
        <w:t>则计算得出：Fo</w:t>
      </w:r>
      <w:r>
        <w:rPr>
          <w:rFonts w:hint="eastAsia" w:ascii="宋体" w:hAnsi="宋体" w:eastAsia="宋体" w:cs="宋体"/>
          <w:color w:val="auto"/>
          <w:sz w:val="21"/>
          <w:szCs w:val="24"/>
          <w:lang w:eastAsia="zh-CN"/>
        </w:rPr>
        <w:t>＝</w:t>
      </w:r>
      <w:r>
        <w:rPr>
          <w:rFonts w:hint="eastAsia" w:ascii="宋体" w:hAnsi="宋体" w:eastAsia="宋体" w:cs="宋体"/>
          <w:color w:val="auto"/>
          <w:sz w:val="21"/>
          <w:szCs w:val="24"/>
          <w:lang w:val="en-US" w:eastAsia="zh-CN"/>
        </w:rPr>
        <w:t>156.8</w:t>
      </w:r>
      <w:r>
        <w:rPr>
          <w:rFonts w:hint="eastAsia" w:ascii="宋体" w:hAnsi="宋体" w:eastAsia="宋体" w:cs="宋体"/>
          <w:color w:val="auto"/>
          <w:sz w:val="21"/>
          <w:szCs w:val="24"/>
        </w:rPr>
        <w:t>（kN）。</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　根据《GB 8918-2006重要用途钢丝绳》中表10中查得，抗拉强度为1670MPa、直径为20mm的钢丝绳的破断拉力为220KN＞Fo，说明选用</w:t>
      </w:r>
      <w:r>
        <w:rPr>
          <w:rFonts w:hint="eastAsia" w:ascii="宋体" w:hAnsi="宋体" w:eastAsia="宋体" w:cs="宋体"/>
          <w:bCs/>
          <w:color w:val="auto"/>
          <w:kern w:val="0"/>
          <w:sz w:val="24"/>
          <w:szCs w:val="21"/>
          <w:lang w:val="en-US" w:eastAsia="zh-CN" w:bidi="ar-SA"/>
        </w:rPr>
        <w:t>6*19W+FC-1670-18</w:t>
      </w:r>
      <w:r>
        <w:rPr>
          <w:rFonts w:hint="eastAsia" w:ascii="宋体" w:hAnsi="宋体" w:eastAsia="宋体" w:cs="宋体"/>
          <w:color w:val="auto"/>
          <w:kern w:val="0"/>
          <w:sz w:val="24"/>
          <w:szCs w:val="24"/>
          <w:lang w:val="en-US" w:eastAsia="zh-CN" w:bidi="ar-SA"/>
        </w:rPr>
        <w:t>钢丝绳可满足吊装要求。</w:t>
      </w:r>
    </w:p>
    <w:p>
      <w:pPr>
        <w:rPr>
          <w:color w:val="000000" w:themeColor="text1"/>
          <w14:textFill>
            <w14:solidFill>
              <w14:schemeClr w14:val="tx1"/>
            </w14:solidFill>
          </w14:textFill>
        </w:rPr>
      </w:pPr>
    </w:p>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pStyle w:val="3"/>
        <w:spacing w:before="156" w:after="156"/>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附件1：安拆单位和安拆人员资质</w:t>
      </w:r>
    </w:p>
    <w:p>
      <w:pPr>
        <w:ind w:firstLine="480"/>
        <w:rPr>
          <w:color w:val="FF0000"/>
        </w:rPr>
      </w:pPr>
      <w:r>
        <w:rPr>
          <w:rFonts w:hint="eastAsia"/>
          <w:color w:val="FF0000"/>
        </w:rPr>
        <w:t>附件2：设备产品合格证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附件3：设备使用说明书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：设备安拆步骤图</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附件</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：安装自检表</w:t>
      </w:r>
    </w:p>
    <w:sectPr>
      <w:headerReference r:id="rId24" w:type="first"/>
      <w:footerReference r:id="rId27" w:type="first"/>
      <w:headerReference r:id="rId22" w:type="default"/>
      <w:footerReference r:id="rId25" w:type="default"/>
      <w:headerReference r:id="rId23" w:type="even"/>
      <w:footerReference r:id="rId26" w:type="even"/>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aifeng Zhu" w:date="2022-07-09T16:23:00Z" w:initials="HZ">
    <w:p w14:paraId="37F87BEB">
      <w:pPr>
        <w:pStyle w:val="18"/>
        <w:ind w:firstLine="420"/>
      </w:pPr>
      <w:r>
        <w:rPr>
          <w:rFonts w:hint="eastAsia"/>
        </w:rPr>
        <w:t>增加落水安全技术措施</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F87B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10" w:usb3="00000000" w:csb0="0004009F" w:csb1="00000000"/>
  </w:font>
  <w:font w:name="Arial Unicode MS">
    <w:altName w:val="宋体"/>
    <w:panose1 w:val="020B0604020202020204"/>
    <w:charset w:val="86"/>
    <w:family w:val="swiss"/>
    <w:pitch w:val="default"/>
    <w:sig w:usb0="00000000" w:usb1="00000000" w:usb2="0000003F" w:usb3="00000000" w:csb0="003F01FF" w:csb1="00000000"/>
  </w:font>
  <w:font w:name="SJQY">
    <w:altName w:val="宋体"/>
    <w:panose1 w:val="02010600030101010101"/>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before="120" w:after="120" w:afterLines="50" w:line="300" w:lineRule="auto"/>
      <w:ind w:firstLine="0" w:firstLineChars="0"/>
      <w:jc w:val="both"/>
      <w:rPr>
        <w:rFonts w:ascii="仿宋" w:hAnsi="仿宋" w:eastAsia="仿宋" w:cs="Times New Roman"/>
        <w:kern w:val="2"/>
        <w:sz w:val="18"/>
        <w:szCs w:val="24"/>
        <w:lang w:val="en-US" w:eastAsia="zh-CN" w:bidi="ar-SA"/>
      </w:rPr>
    </w:pPr>
    <w:r>
      <w:rPr>
        <w:rFonts w:ascii="仿宋" w:hAnsi="仿宋" w:eastAsia="仿宋" w:cs="Times New Roman"/>
        <w:kern w:val="2"/>
        <w:sz w:val="18"/>
        <w:szCs w:val="24"/>
        <w:lang w:val="en-US" w:eastAsia="zh-CN" w:bidi="ar-S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after="50" w:afterLines="50" w:line="300" w:lineRule="auto"/>
                            <w:ind w:firstLine="360" w:firstLineChars="200"/>
                            <w:rPr>
                              <w:rFonts w:ascii="仿宋" w:hAnsi="仿宋" w:eastAsia="仿宋" w:cs="Times New Roman"/>
                              <w:kern w:val="2"/>
                              <w:sz w:val="18"/>
                              <w:szCs w:val="24"/>
                              <w:lang w:val="en-US" w:eastAsia="zh-CN" w:bidi="ar-SA"/>
                            </w:rPr>
                          </w:pPr>
                          <w:r>
                            <w:rPr>
                              <w:rFonts w:ascii="仿宋" w:hAnsi="仿宋" w:eastAsia="仿宋" w:cs="Times New Roman"/>
                              <w:kern w:val="2"/>
                              <w:sz w:val="18"/>
                              <w:szCs w:val="24"/>
                              <w:lang w:val="en-US" w:eastAsia="zh-CN" w:bidi="ar-SA"/>
                            </w:rPr>
                            <w:fldChar w:fldCharType="begin"/>
                          </w:r>
                          <w:r>
                            <w:rPr>
                              <w:rFonts w:ascii="仿宋" w:hAnsi="仿宋" w:eastAsia="仿宋" w:cs="Times New Roman"/>
                              <w:kern w:val="2"/>
                              <w:sz w:val="18"/>
                              <w:szCs w:val="24"/>
                              <w:lang w:val="en-US" w:eastAsia="zh-CN" w:bidi="ar-SA"/>
                            </w:rPr>
                            <w:instrText xml:space="preserve"> PAGE  \* MERGEFORMAT </w:instrText>
                          </w:r>
                          <w:r>
                            <w:rPr>
                              <w:rFonts w:ascii="仿宋" w:hAnsi="仿宋" w:eastAsia="仿宋" w:cs="Times New Roman"/>
                              <w:kern w:val="2"/>
                              <w:sz w:val="18"/>
                              <w:szCs w:val="24"/>
                              <w:lang w:val="en-US" w:eastAsia="zh-CN" w:bidi="ar-SA"/>
                            </w:rPr>
                            <w:fldChar w:fldCharType="separate"/>
                          </w:r>
                          <w:r>
                            <w:rPr>
                              <w:rFonts w:ascii="仿宋" w:hAnsi="仿宋" w:eastAsia="仿宋" w:cs="Times New Roman"/>
                              <w:kern w:val="2"/>
                              <w:sz w:val="18"/>
                              <w:szCs w:val="24"/>
                              <w:lang w:val="en-US" w:eastAsia="zh-CN" w:bidi="ar-SA"/>
                            </w:rPr>
                            <w:t>1</w:t>
                          </w:r>
                          <w:r>
                            <w:rPr>
                              <w:rFonts w:ascii="仿宋" w:hAnsi="仿宋" w:eastAsia="仿宋"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iIOE6AgAAcw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F4iDhOgIAAHMEAAAOAAAAAAAAAAEAIAAAAB8BAABkcnMvZTJvRG9j&#10;LnhtbFBLBQYAAAAABgAGAFkBAADLBQ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after="50" w:afterLines="50" w:line="300" w:lineRule="auto"/>
                      <w:ind w:firstLine="360" w:firstLineChars="200"/>
                      <w:rPr>
                        <w:rFonts w:ascii="仿宋" w:hAnsi="仿宋" w:eastAsia="仿宋" w:cs="Times New Roman"/>
                        <w:kern w:val="2"/>
                        <w:sz w:val="18"/>
                        <w:szCs w:val="24"/>
                        <w:lang w:val="en-US" w:eastAsia="zh-CN" w:bidi="ar-SA"/>
                      </w:rPr>
                    </w:pPr>
                    <w:r>
                      <w:rPr>
                        <w:rFonts w:ascii="仿宋" w:hAnsi="仿宋" w:eastAsia="仿宋" w:cs="Times New Roman"/>
                        <w:kern w:val="2"/>
                        <w:sz w:val="18"/>
                        <w:szCs w:val="24"/>
                        <w:lang w:val="en-US" w:eastAsia="zh-CN" w:bidi="ar-SA"/>
                      </w:rPr>
                      <w:fldChar w:fldCharType="begin"/>
                    </w:r>
                    <w:r>
                      <w:rPr>
                        <w:rFonts w:ascii="仿宋" w:hAnsi="仿宋" w:eastAsia="仿宋" w:cs="Times New Roman"/>
                        <w:kern w:val="2"/>
                        <w:sz w:val="18"/>
                        <w:szCs w:val="24"/>
                        <w:lang w:val="en-US" w:eastAsia="zh-CN" w:bidi="ar-SA"/>
                      </w:rPr>
                      <w:instrText xml:space="preserve"> PAGE  \* MERGEFORMAT </w:instrText>
                    </w:r>
                    <w:r>
                      <w:rPr>
                        <w:rFonts w:ascii="仿宋" w:hAnsi="仿宋" w:eastAsia="仿宋" w:cs="Times New Roman"/>
                        <w:kern w:val="2"/>
                        <w:sz w:val="18"/>
                        <w:szCs w:val="24"/>
                        <w:lang w:val="en-US" w:eastAsia="zh-CN" w:bidi="ar-SA"/>
                      </w:rPr>
                      <w:fldChar w:fldCharType="separate"/>
                    </w:r>
                    <w:r>
                      <w:rPr>
                        <w:rFonts w:ascii="仿宋" w:hAnsi="仿宋" w:eastAsia="仿宋" w:cs="Times New Roman"/>
                        <w:kern w:val="2"/>
                        <w:sz w:val="18"/>
                        <w:szCs w:val="24"/>
                        <w:lang w:val="en-US" w:eastAsia="zh-CN" w:bidi="ar-SA"/>
                      </w:rPr>
                      <w:t>1</w:t>
                    </w:r>
                    <w:r>
                      <w:rPr>
                        <w:rFonts w:ascii="仿宋" w:hAnsi="仿宋" w:eastAsia="仿宋" w:cs="Times New Roman"/>
                        <w:kern w:val="2"/>
                        <w:sz w:val="18"/>
                        <w:szCs w:val="24"/>
                        <w:lang w:val="en-US" w:eastAsia="zh-CN" w:bidi="ar-SA"/>
                      </w:rPr>
                      <w:fldChar w:fldCharType="end"/>
                    </w:r>
                  </w:p>
                </w:txbxContent>
              </v:textbox>
            </v:shape>
          </w:pict>
        </mc:Fallback>
      </mc:AlternateContent>
    </w:r>
    <w:r>
      <w:rPr>
        <w:rFonts w:hint="eastAsia" w:ascii="仿宋" w:hAnsi="仿宋" w:eastAsia="仿宋" w:cs="Times New Roman"/>
        <w:kern w:val="2"/>
        <w:sz w:val="18"/>
        <w:szCs w:val="24"/>
        <w:lang w:val="en-US" w:eastAsia="zh-CN" w:bidi="ar-S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before="120" w:after="120" w:afterLines="50" w:line="300" w:lineRule="auto"/>
      <w:ind w:firstLine="360" w:firstLineChars="200"/>
      <w:rPr>
        <w:rFonts w:ascii="仿宋" w:hAnsi="仿宋" w:eastAsia="仿宋"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before="120" w:after="120" w:afterLines="50" w:line="300" w:lineRule="auto"/>
      <w:ind w:firstLine="360" w:firstLineChars="200"/>
      <w:rPr>
        <w:rFonts w:ascii="仿宋" w:hAnsi="仿宋" w:eastAsia="仿宋"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before="120" w:after="120" w:afterLines="50" w:line="300" w:lineRule="auto"/>
      <w:ind w:firstLine="0" w:firstLineChars="0"/>
      <w:jc w:val="both"/>
      <w:rPr>
        <w:rFonts w:ascii="仿宋" w:hAnsi="仿宋" w:eastAsia="仿宋" w:cs="Times New Roman"/>
        <w:kern w:val="2"/>
        <w:sz w:val="18"/>
        <w:szCs w:val="24"/>
        <w:lang w:val="en-US" w:eastAsia="zh-CN" w:bidi="ar-SA"/>
      </w:rPr>
    </w:pPr>
    <w:r>
      <w:rPr>
        <w:rFonts w:ascii="仿宋" w:hAnsi="仿宋" w:eastAsia="仿宋" w:cs="Times New Roman"/>
        <w:kern w:val="2"/>
        <w:sz w:val="18"/>
        <w:szCs w:val="24"/>
        <w:lang w:val="en-US" w:eastAsia="zh-CN" w:bidi="ar-SA"/>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after="50" w:afterLines="50" w:line="300" w:lineRule="auto"/>
                            <w:ind w:firstLine="360" w:firstLineChars="200"/>
                            <w:rPr>
                              <w:rFonts w:ascii="仿宋" w:hAnsi="仿宋" w:eastAsia="仿宋" w:cs="Times New Roman"/>
                              <w:kern w:val="2"/>
                              <w:sz w:val="18"/>
                              <w:szCs w:val="24"/>
                              <w:lang w:val="en-US" w:eastAsia="zh-CN" w:bidi="ar-SA"/>
                            </w:rPr>
                          </w:pPr>
                          <w:r>
                            <w:rPr>
                              <w:rFonts w:ascii="仿宋" w:hAnsi="仿宋" w:eastAsia="仿宋" w:cs="Times New Roman"/>
                              <w:kern w:val="2"/>
                              <w:sz w:val="18"/>
                              <w:szCs w:val="24"/>
                              <w:lang w:val="en-US" w:eastAsia="zh-CN" w:bidi="ar-SA"/>
                            </w:rPr>
                            <w:fldChar w:fldCharType="begin"/>
                          </w:r>
                          <w:r>
                            <w:rPr>
                              <w:rFonts w:ascii="仿宋" w:hAnsi="仿宋" w:eastAsia="仿宋" w:cs="Times New Roman"/>
                              <w:kern w:val="2"/>
                              <w:sz w:val="18"/>
                              <w:szCs w:val="24"/>
                              <w:lang w:val="en-US" w:eastAsia="zh-CN" w:bidi="ar-SA"/>
                            </w:rPr>
                            <w:instrText xml:space="preserve"> PAGE  \* MERGEFORMAT </w:instrText>
                          </w:r>
                          <w:r>
                            <w:rPr>
                              <w:rFonts w:ascii="仿宋" w:hAnsi="仿宋" w:eastAsia="仿宋" w:cs="Times New Roman"/>
                              <w:kern w:val="2"/>
                              <w:sz w:val="18"/>
                              <w:szCs w:val="24"/>
                              <w:lang w:val="en-US" w:eastAsia="zh-CN" w:bidi="ar-SA"/>
                            </w:rPr>
                            <w:fldChar w:fldCharType="separate"/>
                          </w:r>
                          <w:r>
                            <w:rPr>
                              <w:rFonts w:ascii="仿宋" w:hAnsi="仿宋" w:eastAsia="仿宋" w:cs="Times New Roman"/>
                              <w:kern w:val="2"/>
                              <w:sz w:val="18"/>
                              <w:szCs w:val="24"/>
                              <w:lang w:val="en-US" w:eastAsia="zh-CN" w:bidi="ar-SA"/>
                            </w:rPr>
                            <w:t>1</w:t>
                          </w:r>
                          <w:r>
                            <w:rPr>
                              <w:rFonts w:ascii="仿宋" w:hAnsi="仿宋" w:eastAsia="仿宋"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after="50" w:afterLines="50" w:line="300" w:lineRule="auto"/>
                      <w:ind w:firstLine="360" w:firstLineChars="200"/>
                      <w:rPr>
                        <w:rFonts w:ascii="仿宋" w:hAnsi="仿宋" w:eastAsia="仿宋" w:cs="Times New Roman"/>
                        <w:kern w:val="2"/>
                        <w:sz w:val="18"/>
                        <w:szCs w:val="24"/>
                        <w:lang w:val="en-US" w:eastAsia="zh-CN" w:bidi="ar-SA"/>
                      </w:rPr>
                    </w:pPr>
                    <w:r>
                      <w:rPr>
                        <w:rFonts w:ascii="仿宋" w:hAnsi="仿宋" w:eastAsia="仿宋" w:cs="Times New Roman"/>
                        <w:kern w:val="2"/>
                        <w:sz w:val="18"/>
                        <w:szCs w:val="24"/>
                        <w:lang w:val="en-US" w:eastAsia="zh-CN" w:bidi="ar-SA"/>
                      </w:rPr>
                      <w:fldChar w:fldCharType="begin"/>
                    </w:r>
                    <w:r>
                      <w:rPr>
                        <w:rFonts w:ascii="仿宋" w:hAnsi="仿宋" w:eastAsia="仿宋" w:cs="Times New Roman"/>
                        <w:kern w:val="2"/>
                        <w:sz w:val="18"/>
                        <w:szCs w:val="24"/>
                        <w:lang w:val="en-US" w:eastAsia="zh-CN" w:bidi="ar-SA"/>
                      </w:rPr>
                      <w:instrText xml:space="preserve"> PAGE  \* MERGEFORMAT </w:instrText>
                    </w:r>
                    <w:r>
                      <w:rPr>
                        <w:rFonts w:ascii="仿宋" w:hAnsi="仿宋" w:eastAsia="仿宋" w:cs="Times New Roman"/>
                        <w:kern w:val="2"/>
                        <w:sz w:val="18"/>
                        <w:szCs w:val="24"/>
                        <w:lang w:val="en-US" w:eastAsia="zh-CN" w:bidi="ar-SA"/>
                      </w:rPr>
                      <w:fldChar w:fldCharType="separate"/>
                    </w:r>
                    <w:r>
                      <w:rPr>
                        <w:rFonts w:ascii="仿宋" w:hAnsi="仿宋" w:eastAsia="仿宋" w:cs="Times New Roman"/>
                        <w:kern w:val="2"/>
                        <w:sz w:val="18"/>
                        <w:szCs w:val="24"/>
                        <w:lang w:val="en-US" w:eastAsia="zh-CN" w:bidi="ar-SA"/>
                      </w:rPr>
                      <w:t>1</w:t>
                    </w:r>
                    <w:r>
                      <w:rPr>
                        <w:rFonts w:ascii="仿宋" w:hAnsi="仿宋" w:eastAsia="仿宋" w:cs="Times New Roman"/>
                        <w:kern w:val="2"/>
                        <w:sz w:val="18"/>
                        <w:szCs w:val="24"/>
                        <w:lang w:val="en-US" w:eastAsia="zh-CN" w:bidi="ar-SA"/>
                      </w:rPr>
                      <w:fldChar w:fldCharType="end"/>
                    </w:r>
                  </w:p>
                </w:txbxContent>
              </v:textbox>
            </v:shape>
          </w:pict>
        </mc:Fallback>
      </mc:AlternateContent>
    </w:r>
    <w:r>
      <w:rPr>
        <w:rFonts w:hint="eastAsia" w:ascii="仿宋" w:hAnsi="仿宋" w:eastAsia="仿宋" w:cs="Times New Roman"/>
        <w:kern w:val="2"/>
        <w:sz w:val="18"/>
        <w:szCs w:val="24"/>
        <w:lang w:val="en-US" w:eastAsia="zh-CN" w:bidi="ar-S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before="120" w:after="120" w:afterLines="50" w:line="300" w:lineRule="auto"/>
      <w:ind w:firstLine="360" w:firstLineChars="200"/>
      <w:rPr>
        <w:rFonts w:ascii="仿宋" w:hAnsi="仿宋" w:eastAsia="仿宋" w:cs="Times New Roman"/>
        <w:kern w:val="2"/>
        <w:sz w:val="18"/>
        <w:szCs w:val="24"/>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before="120" w:after="120" w:afterLines="50" w:line="300" w:lineRule="auto"/>
      <w:ind w:firstLine="360" w:firstLineChars="200"/>
      <w:rPr>
        <w:rFonts w:ascii="仿宋" w:hAnsi="仿宋" w:eastAsia="仿宋" w:cs="Times New Roman"/>
        <w:kern w:val="2"/>
        <w:sz w:val="18"/>
        <w:szCs w:val="24"/>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pacing w:before="120" w:after="120" w:afterLines="50" w:line="240" w:lineRule="auto"/>
      <w:ind w:firstLine="0" w:firstLineChars="0"/>
      <w:jc w:val="center"/>
      <w:rPr>
        <w:rFonts w:ascii="仿宋" w:hAnsi="仿宋" w:eastAsia="仿宋" w:cs="Times New Roman"/>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before="120" w:after="120" w:afterLines="50" w:line="240" w:lineRule="auto"/>
      <w:ind w:firstLine="360" w:firstLineChars="200"/>
      <w:jc w:val="both"/>
      <w:rPr>
        <w:rFonts w:ascii="仿宋" w:hAnsi="仿宋" w:eastAsia="仿宋"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before="120" w:after="120" w:afterLines="50" w:line="240" w:lineRule="auto"/>
      <w:ind w:firstLine="360" w:firstLineChars="200"/>
      <w:jc w:val="both"/>
      <w:rPr>
        <w:rFonts w:ascii="仿宋" w:hAnsi="仿宋" w:eastAsia="仿宋" w:cs="Times New Roman"/>
        <w:kern w:val="2"/>
        <w:sz w:val="18"/>
        <w:szCs w:val="24"/>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pacing w:before="120" w:after="120" w:afterLines="50" w:line="240" w:lineRule="auto"/>
      <w:ind w:firstLine="0" w:firstLineChars="0"/>
      <w:jc w:val="center"/>
      <w:rPr>
        <w:rFonts w:ascii="仿宋" w:hAnsi="仿宋" w:eastAsia="仿宋" w:cs="Times New Roman"/>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before="120" w:after="120" w:afterLines="50" w:line="240" w:lineRule="auto"/>
      <w:ind w:firstLine="360" w:firstLineChars="200"/>
      <w:jc w:val="both"/>
      <w:rPr>
        <w:rFonts w:ascii="仿宋" w:hAnsi="仿宋" w:eastAsia="仿宋" w:cs="Times New Roman"/>
        <w:kern w:val="2"/>
        <w:sz w:val="18"/>
        <w:szCs w:val="24"/>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before="120" w:after="120" w:afterLines="50" w:line="240" w:lineRule="auto"/>
      <w:ind w:firstLine="360" w:firstLineChars="200"/>
      <w:jc w:val="both"/>
      <w:rPr>
        <w:rFonts w:ascii="仿宋" w:hAnsi="仿宋" w:eastAsia="仿宋" w:cs="Times New Roman"/>
        <w:kern w:val="2"/>
        <w:sz w:val="18"/>
        <w:szCs w:val="24"/>
        <w:lang w:val="en-US" w:eastAsia="zh-CN" w:bidi="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0D9EA"/>
    <w:multiLevelType w:val="singleLevel"/>
    <w:tmpl w:val="8B70D9EA"/>
    <w:lvl w:ilvl="0" w:tentative="0">
      <w:start w:val="1"/>
      <w:numFmt w:val="decimal"/>
      <w:lvlText w:val="(%1)"/>
      <w:lvlJc w:val="left"/>
      <w:pPr>
        <w:ind w:left="425" w:hanging="425"/>
      </w:pPr>
      <w:rPr>
        <w:rFonts w:hint="default"/>
      </w:rPr>
    </w:lvl>
  </w:abstractNum>
  <w:abstractNum w:abstractNumId="1">
    <w:nsid w:val="8C528EC6"/>
    <w:multiLevelType w:val="singleLevel"/>
    <w:tmpl w:val="8C528EC6"/>
    <w:lvl w:ilvl="0" w:tentative="0">
      <w:start w:val="1"/>
      <w:numFmt w:val="decimal"/>
      <w:lvlText w:val="(%1)"/>
      <w:lvlJc w:val="left"/>
      <w:pPr>
        <w:ind w:left="425" w:hanging="425"/>
      </w:pPr>
      <w:rPr>
        <w:rFonts w:hint="default"/>
      </w:rPr>
    </w:lvl>
  </w:abstractNum>
  <w:abstractNum w:abstractNumId="2">
    <w:nsid w:val="8FBC7FB9"/>
    <w:multiLevelType w:val="singleLevel"/>
    <w:tmpl w:val="8FBC7FB9"/>
    <w:lvl w:ilvl="0" w:tentative="0">
      <w:start w:val="1"/>
      <w:numFmt w:val="decimal"/>
      <w:lvlText w:val="%1."/>
      <w:lvlJc w:val="left"/>
      <w:pPr>
        <w:ind w:left="425" w:hanging="425"/>
      </w:pPr>
      <w:rPr>
        <w:rFonts w:hint="default"/>
      </w:rPr>
    </w:lvl>
  </w:abstractNum>
  <w:abstractNum w:abstractNumId="3">
    <w:nsid w:val="A067D464"/>
    <w:multiLevelType w:val="singleLevel"/>
    <w:tmpl w:val="A067D464"/>
    <w:lvl w:ilvl="0" w:tentative="0">
      <w:start w:val="1"/>
      <w:numFmt w:val="decimal"/>
      <w:lvlText w:val="(%1)"/>
      <w:lvlJc w:val="left"/>
      <w:pPr>
        <w:ind w:left="425" w:hanging="425"/>
      </w:pPr>
      <w:rPr>
        <w:rFonts w:hint="default"/>
      </w:rPr>
    </w:lvl>
  </w:abstractNum>
  <w:abstractNum w:abstractNumId="4">
    <w:nsid w:val="A13C75AB"/>
    <w:multiLevelType w:val="singleLevel"/>
    <w:tmpl w:val="A13C75AB"/>
    <w:lvl w:ilvl="0" w:tentative="0">
      <w:start w:val="1"/>
      <w:numFmt w:val="decimal"/>
      <w:lvlText w:val="(%1)"/>
      <w:lvlJc w:val="left"/>
      <w:pPr>
        <w:ind w:left="425" w:hanging="425"/>
      </w:pPr>
      <w:rPr>
        <w:rFonts w:hint="default"/>
      </w:rPr>
    </w:lvl>
  </w:abstractNum>
  <w:abstractNum w:abstractNumId="5">
    <w:nsid w:val="C4060083"/>
    <w:multiLevelType w:val="singleLevel"/>
    <w:tmpl w:val="C4060083"/>
    <w:lvl w:ilvl="0" w:tentative="0">
      <w:start w:val="2"/>
      <w:numFmt w:val="decimal"/>
      <w:suff w:val="nothing"/>
      <w:lvlText w:val="%1）"/>
      <w:lvlJc w:val="left"/>
    </w:lvl>
  </w:abstractNum>
  <w:abstractNum w:abstractNumId="6">
    <w:nsid w:val="C689C76D"/>
    <w:multiLevelType w:val="singleLevel"/>
    <w:tmpl w:val="C689C76D"/>
    <w:lvl w:ilvl="0" w:tentative="0">
      <w:start w:val="1"/>
      <w:numFmt w:val="decimal"/>
      <w:lvlText w:val="(%1)"/>
      <w:lvlJc w:val="left"/>
      <w:pPr>
        <w:ind w:left="425" w:hanging="425"/>
      </w:pPr>
      <w:rPr>
        <w:rFonts w:hint="default"/>
      </w:rPr>
    </w:lvl>
  </w:abstractNum>
  <w:abstractNum w:abstractNumId="7">
    <w:nsid w:val="D795B36D"/>
    <w:multiLevelType w:val="singleLevel"/>
    <w:tmpl w:val="D795B36D"/>
    <w:lvl w:ilvl="0" w:tentative="0">
      <w:start w:val="1"/>
      <w:numFmt w:val="decimal"/>
      <w:lvlText w:val="(%1)"/>
      <w:lvlJc w:val="left"/>
      <w:pPr>
        <w:ind w:left="425" w:hanging="425"/>
      </w:pPr>
      <w:rPr>
        <w:rFonts w:hint="default"/>
      </w:rPr>
    </w:lvl>
  </w:abstractNum>
  <w:abstractNum w:abstractNumId="8">
    <w:nsid w:val="D9AF823D"/>
    <w:multiLevelType w:val="singleLevel"/>
    <w:tmpl w:val="D9AF823D"/>
    <w:lvl w:ilvl="0" w:tentative="0">
      <w:start w:val="1"/>
      <w:numFmt w:val="decimal"/>
      <w:lvlText w:val="(%1)"/>
      <w:lvlJc w:val="left"/>
      <w:pPr>
        <w:ind w:left="425" w:hanging="425"/>
      </w:pPr>
      <w:rPr>
        <w:rFonts w:hint="default"/>
      </w:rPr>
    </w:lvl>
  </w:abstractNum>
  <w:abstractNum w:abstractNumId="9">
    <w:nsid w:val="DD426C19"/>
    <w:multiLevelType w:val="singleLevel"/>
    <w:tmpl w:val="DD426C19"/>
    <w:lvl w:ilvl="0" w:tentative="0">
      <w:start w:val="1"/>
      <w:numFmt w:val="decimal"/>
      <w:lvlText w:val="(%1)"/>
      <w:lvlJc w:val="left"/>
      <w:pPr>
        <w:ind w:left="425" w:hanging="425"/>
      </w:pPr>
      <w:rPr>
        <w:rFonts w:hint="default"/>
      </w:rPr>
    </w:lvl>
  </w:abstractNum>
  <w:abstractNum w:abstractNumId="10">
    <w:nsid w:val="ED564D96"/>
    <w:multiLevelType w:val="singleLevel"/>
    <w:tmpl w:val="ED564D96"/>
    <w:lvl w:ilvl="0" w:tentative="0">
      <w:start w:val="1"/>
      <w:numFmt w:val="decimal"/>
      <w:lvlText w:val="(%1)"/>
      <w:lvlJc w:val="left"/>
      <w:pPr>
        <w:ind w:left="425" w:hanging="425"/>
      </w:pPr>
      <w:rPr>
        <w:rFonts w:hint="default"/>
      </w:rPr>
    </w:lvl>
  </w:abstractNum>
  <w:abstractNum w:abstractNumId="11">
    <w:nsid w:val="EF2A6D77"/>
    <w:multiLevelType w:val="singleLevel"/>
    <w:tmpl w:val="EF2A6D77"/>
    <w:lvl w:ilvl="0" w:tentative="0">
      <w:start w:val="1"/>
      <w:numFmt w:val="decimal"/>
      <w:suff w:val="nothing"/>
      <w:lvlText w:val="(%1)"/>
      <w:lvlJc w:val="left"/>
      <w:pPr>
        <w:ind w:left="425" w:hanging="425"/>
      </w:pPr>
      <w:rPr>
        <w:rFonts w:hint="default"/>
      </w:rPr>
    </w:lvl>
  </w:abstractNum>
  <w:abstractNum w:abstractNumId="12">
    <w:nsid w:val="F602027A"/>
    <w:multiLevelType w:val="singleLevel"/>
    <w:tmpl w:val="F602027A"/>
    <w:lvl w:ilvl="0" w:tentative="0">
      <w:start w:val="1"/>
      <w:numFmt w:val="decimal"/>
      <w:lvlText w:val="(%1)"/>
      <w:lvlJc w:val="left"/>
      <w:pPr>
        <w:ind w:left="425" w:hanging="425"/>
      </w:pPr>
      <w:rPr>
        <w:rFonts w:hint="default"/>
      </w:rPr>
    </w:lvl>
  </w:abstractNum>
  <w:abstractNum w:abstractNumId="13">
    <w:nsid w:val="00000001"/>
    <w:multiLevelType w:val="multilevel"/>
    <w:tmpl w:val="00000001"/>
    <w:lvl w:ilvl="0" w:tentative="0">
      <w:start w:val="1"/>
      <w:numFmt w:val="japaneseCounting"/>
      <w:lvlText w:val="%1．"/>
      <w:lvlJc w:val="left"/>
      <w:pPr>
        <w:tabs>
          <w:tab w:val="left" w:pos="360"/>
        </w:tabs>
        <w:ind w:left="360" w:hanging="360"/>
      </w:pPr>
      <w:rPr>
        <w:rFonts w:ascii="宋体" w:hAnsi="宋体"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06"/>
    <w:multiLevelType w:val="multilevel"/>
    <w:tmpl w:val="00000006"/>
    <w:lvl w:ilvl="0" w:tentative="0">
      <w:start w:val="1"/>
      <w:numFmt w:val="decimal"/>
      <w:lvlText w:val="%1"/>
      <w:lvlJc w:val="left"/>
      <w:pPr>
        <w:ind w:left="0" w:firstLine="0"/>
      </w:pPr>
      <w:rPr>
        <w:rFonts w:hint="eastAsia" w:ascii="宋体" w:hAnsi="Times New Roman" w:eastAsia="宋体"/>
        <w:b w:val="0"/>
        <w:i w:val="0"/>
        <w:spacing w:val="0"/>
        <w:w w:val="100"/>
        <w:position w:val="0"/>
        <w:sz w:val="24"/>
      </w:rPr>
    </w:lvl>
    <w:lvl w:ilvl="1" w:tentative="0">
      <w:start w:val="1"/>
      <w:numFmt w:val="decimal"/>
      <w:pStyle w:val="76"/>
      <w:lvlText w:val="%1.%2"/>
      <w:lvlJc w:val="left"/>
      <w:pPr>
        <w:ind w:left="0" w:firstLine="0"/>
      </w:pPr>
      <w:rPr>
        <w:rFonts w:hint="eastAsia" w:ascii="宋体" w:hAnsi="Times New Roman" w:eastAsia="宋体"/>
        <w:b w:val="0"/>
        <w:i w:val="0"/>
        <w:sz w:val="24"/>
      </w:rPr>
    </w:lvl>
    <w:lvl w:ilvl="2" w:tentative="0">
      <w:start w:val="1"/>
      <w:numFmt w:val="decimal"/>
      <w:pStyle w:val="75"/>
      <w:lvlText w:val="%1.%2.%3"/>
      <w:lvlJc w:val="left"/>
      <w:pPr>
        <w:ind w:left="0" w:firstLine="0"/>
      </w:pPr>
      <w:rPr>
        <w:rFonts w:hint="eastAsia" w:ascii="宋体" w:hAnsi="Times New Roman" w:eastAsia="宋体"/>
        <w:b w:val="0"/>
        <w:i w:val="0"/>
        <w:sz w:val="24"/>
      </w:rPr>
    </w:lvl>
    <w:lvl w:ilvl="3" w:tentative="0">
      <w:start w:val="1"/>
      <w:numFmt w:val="decimal"/>
      <w:pStyle w:val="74"/>
      <w:lvlText w:val="%1.%2.%3.%4"/>
      <w:lvlJc w:val="left"/>
      <w:pPr>
        <w:ind w:left="0" w:firstLine="0"/>
      </w:pPr>
      <w:rPr>
        <w:rFonts w:hint="eastAsia" w:ascii="宋体" w:hAnsi="Times New Roman" w:eastAsia="宋体"/>
        <w:b w:val="0"/>
        <w:i w:val="0"/>
        <w:sz w:val="24"/>
      </w:rPr>
    </w:lvl>
    <w:lvl w:ilvl="4" w:tentative="0">
      <w:start w:val="1"/>
      <w:numFmt w:val="decimal"/>
      <w:lvlText w:val="(%5)"/>
      <w:lvlJc w:val="left"/>
      <w:pPr>
        <w:tabs>
          <w:tab w:val="left" w:pos="1134"/>
        </w:tabs>
        <w:ind w:left="0" w:firstLine="400"/>
      </w:pPr>
    </w:lvl>
    <w:lvl w:ilvl="5" w:tentative="0">
      <w:start w:val="1"/>
      <w:numFmt w:val="decimal"/>
      <w:lvlText w:val="%6)"/>
      <w:lvlJc w:val="left"/>
      <w:pPr>
        <w:ind w:left="0" w:firstLine="60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15">
    <w:nsid w:val="04D800DD"/>
    <w:multiLevelType w:val="multilevel"/>
    <w:tmpl w:val="04D800DD"/>
    <w:lvl w:ilvl="0" w:tentative="0">
      <w:start w:val="1"/>
      <w:numFmt w:val="decimal"/>
      <w:pStyle w:val="133"/>
      <w:suff w:val="nothing"/>
      <w:lvlText w:val="（%1）"/>
      <w:lvlJc w:val="left"/>
      <w:pPr>
        <w:ind w:left="0" w:firstLine="482"/>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0701E533"/>
    <w:multiLevelType w:val="singleLevel"/>
    <w:tmpl w:val="0701E533"/>
    <w:lvl w:ilvl="0" w:tentative="0">
      <w:start w:val="1"/>
      <w:numFmt w:val="decimal"/>
      <w:suff w:val="nothing"/>
      <w:lvlText w:val="%1、"/>
      <w:lvlJc w:val="left"/>
    </w:lvl>
  </w:abstractNum>
  <w:abstractNum w:abstractNumId="17">
    <w:nsid w:val="07311CB1"/>
    <w:multiLevelType w:val="multilevel"/>
    <w:tmpl w:val="07311CB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09791A2B"/>
    <w:multiLevelType w:val="multilevel"/>
    <w:tmpl w:val="09791A2B"/>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0BC7142C"/>
    <w:multiLevelType w:val="multilevel"/>
    <w:tmpl w:val="0BC7142C"/>
    <w:lvl w:ilvl="0" w:tentative="0">
      <w:start w:val="1"/>
      <w:numFmt w:val="decimal"/>
      <w:lvlText w:val="%1、"/>
      <w:lvlJc w:val="left"/>
      <w:pPr>
        <w:ind w:left="900" w:hanging="420"/>
      </w:pPr>
      <w:rPr>
        <w:rFonts w:hint="eastAsia"/>
      </w:rPr>
    </w:lvl>
    <w:lvl w:ilvl="1" w:tentative="0">
      <w:start w:val="1"/>
      <w:numFmt w:val="decimal"/>
      <w:suff w:val="nothing"/>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66F56DF"/>
    <w:multiLevelType w:val="multilevel"/>
    <w:tmpl w:val="166F56DF"/>
    <w:lvl w:ilvl="0" w:tentative="0">
      <w:start w:val="1"/>
      <w:numFmt w:val="decimal"/>
      <w:pStyle w:val="178"/>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1">
    <w:nsid w:val="23E82FAA"/>
    <w:multiLevelType w:val="multilevel"/>
    <w:tmpl w:val="23E82FAA"/>
    <w:lvl w:ilvl="0" w:tentative="0">
      <w:start w:val="1"/>
      <w:numFmt w:val="decimal"/>
      <w:lvlText w:val="%1."/>
      <w:lvlJc w:val="left"/>
      <w:pPr>
        <w:ind w:left="900" w:hanging="420"/>
      </w:pPr>
    </w:lvl>
    <w:lvl w:ilvl="1" w:tentative="0">
      <w:start w:val="1"/>
      <w:numFmt w:val="decimal"/>
      <w:suff w:val="nothing"/>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29FE3DB6"/>
    <w:multiLevelType w:val="multilevel"/>
    <w:tmpl w:val="29FE3DB6"/>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CF99477"/>
    <w:multiLevelType w:val="singleLevel"/>
    <w:tmpl w:val="2CF99477"/>
    <w:lvl w:ilvl="0" w:tentative="0">
      <w:start w:val="1"/>
      <w:numFmt w:val="decimal"/>
      <w:lvlText w:val="(%1)"/>
      <w:lvlJc w:val="left"/>
      <w:pPr>
        <w:ind w:left="425" w:hanging="425"/>
      </w:pPr>
      <w:rPr>
        <w:rFonts w:hint="default"/>
      </w:rPr>
    </w:lvl>
  </w:abstractNum>
  <w:abstractNum w:abstractNumId="24">
    <w:nsid w:val="2CFA27F5"/>
    <w:multiLevelType w:val="multilevel"/>
    <w:tmpl w:val="2CFA27F5"/>
    <w:lvl w:ilvl="0" w:tentative="0">
      <w:start w:val="1"/>
      <w:numFmt w:val="decimal"/>
      <w:lvlText w:val="%1."/>
      <w:lvlJc w:val="left"/>
      <w:pPr>
        <w:ind w:left="900" w:hanging="420"/>
      </w:pPr>
    </w:lvl>
    <w:lvl w:ilvl="1" w:tentative="0">
      <w:start w:val="1"/>
      <w:numFmt w:val="decimal"/>
      <w:suff w:val="nothing"/>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2F7DA8DA"/>
    <w:multiLevelType w:val="singleLevel"/>
    <w:tmpl w:val="2F7DA8DA"/>
    <w:lvl w:ilvl="0" w:tentative="0">
      <w:start w:val="1"/>
      <w:numFmt w:val="decimal"/>
      <w:lvlText w:val="%1)"/>
      <w:lvlJc w:val="left"/>
      <w:pPr>
        <w:ind w:left="425" w:hanging="425"/>
      </w:pPr>
      <w:rPr>
        <w:rFonts w:hint="default"/>
      </w:rPr>
    </w:lvl>
  </w:abstractNum>
  <w:abstractNum w:abstractNumId="26">
    <w:nsid w:val="2FB4594E"/>
    <w:multiLevelType w:val="multilevel"/>
    <w:tmpl w:val="2FB4594E"/>
    <w:lvl w:ilvl="0" w:tentative="0">
      <w:start w:val="1"/>
      <w:numFmt w:val="decimal"/>
      <w:lvlText w:val="%1."/>
      <w:lvlJc w:val="left"/>
      <w:pPr>
        <w:ind w:left="900" w:hanging="420"/>
      </w:pPr>
    </w:lvl>
    <w:lvl w:ilvl="1" w:tentative="0">
      <w:start w:val="1"/>
      <w:numFmt w:val="decimal"/>
      <w:suff w:val="nothing"/>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3AEE9BB3"/>
    <w:multiLevelType w:val="singleLevel"/>
    <w:tmpl w:val="3AEE9BB3"/>
    <w:lvl w:ilvl="0" w:tentative="0">
      <w:start w:val="1"/>
      <w:numFmt w:val="decimal"/>
      <w:lvlText w:val="(%1)"/>
      <w:lvlJc w:val="left"/>
      <w:pPr>
        <w:ind w:left="425" w:hanging="425"/>
      </w:pPr>
      <w:rPr>
        <w:rFonts w:hint="default"/>
      </w:rPr>
    </w:lvl>
  </w:abstractNum>
  <w:abstractNum w:abstractNumId="28">
    <w:nsid w:val="3DC7CD6B"/>
    <w:multiLevelType w:val="multilevel"/>
    <w:tmpl w:val="3DC7CD6B"/>
    <w:lvl w:ilvl="0" w:tentative="0">
      <w:start w:val="1"/>
      <w:numFmt w:val="decimal"/>
      <w:pStyle w:val="3"/>
      <w:suff w:val="space"/>
      <w:lvlText w:val="%1 "/>
      <w:lvlJc w:val="left"/>
      <w:pPr>
        <w:tabs>
          <w:tab w:val="left" w:pos="0"/>
        </w:tabs>
        <w:ind w:left="0" w:firstLine="0"/>
      </w:pPr>
      <w:rPr>
        <w:rFonts w:hint="eastAsia" w:ascii="宋体" w:hAnsi="宋体" w:eastAsia="宋体" w:cs="宋体"/>
        <w:b/>
        <w:sz w:val="32"/>
        <w:szCs w:val="32"/>
      </w:rPr>
    </w:lvl>
    <w:lvl w:ilvl="1" w:tentative="0">
      <w:start w:val="1"/>
      <w:numFmt w:val="decimal"/>
      <w:pStyle w:val="4"/>
      <w:suff w:val="space"/>
      <w:lvlText w:val="%1.%2 "/>
      <w:lvlJc w:val="left"/>
      <w:pPr>
        <w:ind w:left="850" w:firstLine="0"/>
      </w:pPr>
      <w:rPr>
        <w:rFonts w:hint="eastAsia" w:ascii="宋体" w:hAnsi="宋体" w:eastAsia="宋体" w:cs="宋体"/>
        <w:b/>
        <w:sz w:val="28"/>
      </w:rPr>
    </w:lvl>
    <w:lvl w:ilvl="2" w:tentative="0">
      <w:start w:val="1"/>
      <w:numFmt w:val="decimal"/>
      <w:pStyle w:val="5"/>
      <w:suff w:val="space"/>
      <w:lvlText w:val="%1.%2.%3 "/>
      <w:lvlJc w:val="left"/>
      <w:pPr>
        <w:ind w:left="0" w:firstLine="0"/>
      </w:pPr>
      <w:rPr>
        <w:rFonts w:hint="default" w:ascii="Times New Roman" w:hAnsi="Times New Roman" w:eastAsia="宋体" w:cs="宋体"/>
        <w:b/>
        <w:sz w:val="24"/>
      </w:r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2.%3.%4.%5.%6.%7.%8.%9"/>
      <w:lvlJc w:val="left"/>
      <w:pPr>
        <w:ind w:left="0" w:firstLine="0"/>
      </w:pPr>
    </w:lvl>
  </w:abstractNum>
  <w:abstractNum w:abstractNumId="29">
    <w:nsid w:val="44A12011"/>
    <w:multiLevelType w:val="multilevel"/>
    <w:tmpl w:val="44A1201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45C83FA0"/>
    <w:multiLevelType w:val="multilevel"/>
    <w:tmpl w:val="45C83FA0"/>
    <w:lvl w:ilvl="0" w:tentative="0">
      <w:start w:val="1"/>
      <w:numFmt w:val="decimal"/>
      <w:suff w:val="nothing"/>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49C581CF"/>
    <w:multiLevelType w:val="singleLevel"/>
    <w:tmpl w:val="49C581CF"/>
    <w:lvl w:ilvl="0" w:tentative="0">
      <w:start w:val="1"/>
      <w:numFmt w:val="decimal"/>
      <w:suff w:val="nothing"/>
      <w:lvlText w:val="(%1)"/>
      <w:lvlJc w:val="left"/>
      <w:pPr>
        <w:ind w:left="425" w:hanging="425"/>
      </w:pPr>
      <w:rPr>
        <w:rFonts w:hint="default"/>
      </w:rPr>
    </w:lvl>
  </w:abstractNum>
  <w:abstractNum w:abstractNumId="32">
    <w:nsid w:val="4C3D1204"/>
    <w:multiLevelType w:val="multilevel"/>
    <w:tmpl w:val="4C3D1204"/>
    <w:lvl w:ilvl="0" w:tentative="0">
      <w:start w:val="1"/>
      <w:numFmt w:val="decimal"/>
      <w:suff w:val="nothing"/>
      <w:lvlText w:val="%1"/>
      <w:lvlJc w:val="center"/>
      <w:pPr>
        <w:ind w:left="420" w:hanging="420"/>
      </w:pPr>
      <w:rPr>
        <w:rFonts w:hint="default" w:ascii="Times New Roman" w:hAnsi="Times New Roman"/>
        <w:b w:val="0"/>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4D4929C9"/>
    <w:multiLevelType w:val="multilevel"/>
    <w:tmpl w:val="4D4929C9"/>
    <w:lvl w:ilvl="0" w:tentative="0">
      <w:start w:val="1"/>
      <w:numFmt w:val="decimal"/>
      <w:suff w:val="space"/>
      <w:lvlText w:val="%1"/>
      <w:lvlJc w:val="left"/>
      <w:pPr>
        <w:ind w:left="0" w:firstLine="0"/>
      </w:pPr>
      <w:rPr>
        <w:rFonts w:hint="default" w:ascii="Times New Roman" w:hAnsi="Times New Roman" w:eastAsia="宋体"/>
      </w:rPr>
    </w:lvl>
    <w:lvl w:ilvl="1" w:tentative="0">
      <w:start w:val="1"/>
      <w:numFmt w:val="decimal"/>
      <w:isLgl/>
      <w:suff w:val="space"/>
      <w:lvlText w:val="%1.%2"/>
      <w:lvlJc w:val="left"/>
      <w:pPr>
        <w:ind w:left="0" w:firstLine="0"/>
      </w:pPr>
      <w:rPr>
        <w:rFonts w:hint="default" w:ascii="Times New Roman" w:hAnsi="Times New Roman" w:eastAsia="宋体"/>
      </w:rPr>
    </w:lvl>
    <w:lvl w:ilvl="2" w:tentative="0">
      <w:start w:val="1"/>
      <w:numFmt w:val="decimal"/>
      <w:isLgl/>
      <w:suff w:val="space"/>
      <w:lvlText w:val="%1.%2.%3"/>
      <w:lvlJc w:val="left"/>
      <w:pPr>
        <w:ind w:left="0" w:firstLine="0"/>
      </w:pPr>
      <w:rPr>
        <w:rFonts w:hint="default" w:ascii="Times New Roman" w:hAnsi="Times New Roman" w:eastAsia="宋体"/>
      </w:rPr>
    </w:lvl>
    <w:lvl w:ilvl="3" w:tentative="0">
      <w:start w:val="1"/>
      <w:numFmt w:val="decimal"/>
      <w:isLgl/>
      <w:suff w:val="space"/>
      <w:lvlText w:val="%1.%2.%3.%4"/>
      <w:lvlJc w:val="left"/>
      <w:pPr>
        <w:ind w:left="142" w:firstLine="0"/>
      </w:pPr>
      <w:rPr>
        <w:rFonts w:hint="default" w:ascii="Times New Roman" w:hAnsi="Times New Roman" w:eastAsia="宋体"/>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34">
    <w:nsid w:val="50FD5345"/>
    <w:multiLevelType w:val="multilevel"/>
    <w:tmpl w:val="50FD5345"/>
    <w:lvl w:ilvl="0" w:tentative="0">
      <w:start w:val="1"/>
      <w:numFmt w:val="decimal"/>
      <w:pStyle w:val="159"/>
      <w:lvlText w:val="（%1）"/>
      <w:lvlJc w:val="left"/>
      <w:pPr>
        <w:ind w:left="0" w:firstLine="0"/>
      </w:pPr>
      <w:rPr>
        <w:rFonts w:hint="eastAsia"/>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29CB241"/>
    <w:multiLevelType w:val="singleLevel"/>
    <w:tmpl w:val="529CB241"/>
    <w:lvl w:ilvl="0" w:tentative="0">
      <w:start w:val="1"/>
      <w:numFmt w:val="decimal"/>
      <w:lvlText w:val="(%1)"/>
      <w:lvlJc w:val="left"/>
      <w:pPr>
        <w:ind w:left="425" w:hanging="425"/>
      </w:pPr>
      <w:rPr>
        <w:rFonts w:hint="default"/>
      </w:rPr>
    </w:lvl>
  </w:abstractNum>
  <w:abstractNum w:abstractNumId="36">
    <w:nsid w:val="55821D6F"/>
    <w:multiLevelType w:val="multilevel"/>
    <w:tmpl w:val="55821D6F"/>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B892A88"/>
    <w:multiLevelType w:val="singleLevel"/>
    <w:tmpl w:val="5B892A88"/>
    <w:lvl w:ilvl="0" w:tentative="0">
      <w:start w:val="1"/>
      <w:numFmt w:val="decimal"/>
      <w:lvlText w:val="(%1)"/>
      <w:lvlJc w:val="left"/>
      <w:pPr>
        <w:ind w:left="425" w:hanging="425"/>
      </w:pPr>
      <w:rPr>
        <w:rFonts w:hint="default"/>
      </w:rPr>
    </w:lvl>
  </w:abstractNum>
  <w:abstractNum w:abstractNumId="38">
    <w:nsid w:val="5C1020EB"/>
    <w:multiLevelType w:val="multilevel"/>
    <w:tmpl w:val="5C1020EB"/>
    <w:lvl w:ilvl="0" w:tentative="0">
      <w:start w:val="1"/>
      <w:numFmt w:val="decimal"/>
      <w:lvlText w:val="%1、"/>
      <w:lvlJc w:val="left"/>
      <w:pPr>
        <w:ind w:left="900" w:hanging="420"/>
      </w:pPr>
      <w:rPr>
        <w:rFonts w:hint="eastAsia"/>
      </w:rPr>
    </w:lvl>
    <w:lvl w:ilvl="1" w:tentative="0">
      <w:start w:val="1"/>
      <w:numFmt w:val="decimal"/>
      <w:suff w:val="nothing"/>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C8451D0"/>
    <w:multiLevelType w:val="multilevel"/>
    <w:tmpl w:val="6C8451D0"/>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6D5D5EE6"/>
    <w:multiLevelType w:val="multilevel"/>
    <w:tmpl w:val="6D5D5EE6"/>
    <w:lvl w:ilvl="0" w:tentative="0">
      <w:start w:val="1"/>
      <w:numFmt w:val="decimal"/>
      <w:lvlText w:val="%1."/>
      <w:lvlJc w:val="left"/>
      <w:pPr>
        <w:ind w:left="900" w:hanging="420"/>
      </w:pPr>
    </w:lvl>
    <w:lvl w:ilvl="1" w:tentative="0">
      <w:start w:val="1"/>
      <w:numFmt w:val="decimal"/>
      <w:suff w:val="nothing"/>
      <w:lvlText w:val="%2、"/>
      <w:lvlJc w:val="left"/>
      <w:pPr>
        <w:ind w:left="90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6F7D56B2"/>
    <w:multiLevelType w:val="multilevel"/>
    <w:tmpl w:val="6F7D56B2"/>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73341CFF"/>
    <w:multiLevelType w:val="singleLevel"/>
    <w:tmpl w:val="73341CFF"/>
    <w:lvl w:ilvl="0" w:tentative="0">
      <w:start w:val="1"/>
      <w:numFmt w:val="decimal"/>
      <w:lvlText w:val="(%1)"/>
      <w:lvlJc w:val="left"/>
      <w:pPr>
        <w:ind w:left="425" w:hanging="425"/>
      </w:pPr>
      <w:rPr>
        <w:rFonts w:hint="default"/>
      </w:rPr>
    </w:lvl>
  </w:abstractNum>
  <w:abstractNum w:abstractNumId="44">
    <w:nsid w:val="73D94991"/>
    <w:multiLevelType w:val="singleLevel"/>
    <w:tmpl w:val="73D94991"/>
    <w:lvl w:ilvl="0" w:tentative="0">
      <w:start w:val="1"/>
      <w:numFmt w:val="decimal"/>
      <w:lvlText w:val="(%1)"/>
      <w:lvlJc w:val="left"/>
      <w:pPr>
        <w:ind w:left="425" w:hanging="425"/>
      </w:pPr>
      <w:rPr>
        <w:rFonts w:hint="default"/>
      </w:rPr>
    </w:lvl>
  </w:abstractNum>
  <w:abstractNum w:abstractNumId="45">
    <w:nsid w:val="7E554B51"/>
    <w:multiLevelType w:val="multilevel"/>
    <w:tmpl w:val="7E554B5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8"/>
  </w:num>
  <w:num w:numId="2">
    <w:abstractNumId w:val="14"/>
  </w:num>
  <w:num w:numId="3">
    <w:abstractNumId w:val="15"/>
  </w:num>
  <w:num w:numId="4">
    <w:abstractNumId w:val="34"/>
  </w:num>
  <w:num w:numId="5">
    <w:abstractNumId w:val="20"/>
  </w:num>
  <w:num w:numId="6">
    <w:abstractNumId w:val="31"/>
  </w:num>
  <w:num w:numId="7">
    <w:abstractNumId w:val="11"/>
  </w:num>
  <w:num w:numId="8">
    <w:abstractNumId w:val="16"/>
  </w:num>
  <w:num w:numId="9">
    <w:abstractNumId w:val="13"/>
  </w:num>
  <w:num w:numId="10">
    <w:abstractNumId w:val="39"/>
  </w:num>
  <w:num w:numId="11">
    <w:abstractNumId w:val="22"/>
  </w:num>
  <w:num w:numId="12">
    <w:abstractNumId w:val="30"/>
  </w:num>
  <w:num w:numId="13">
    <w:abstractNumId w:val="19"/>
  </w:num>
  <w:num w:numId="14">
    <w:abstractNumId w:val="38"/>
  </w:num>
  <w:num w:numId="15">
    <w:abstractNumId w:val="26"/>
  </w:num>
  <w:num w:numId="16">
    <w:abstractNumId w:val="24"/>
  </w:num>
  <w:num w:numId="17">
    <w:abstractNumId w:val="40"/>
  </w:num>
  <w:num w:numId="18">
    <w:abstractNumId w:val="21"/>
  </w:num>
  <w:num w:numId="19">
    <w:abstractNumId w:val="36"/>
  </w:num>
  <w:num w:numId="20">
    <w:abstractNumId w:val="32"/>
  </w:num>
  <w:num w:numId="21">
    <w:abstractNumId w:val="10"/>
  </w:num>
  <w:num w:numId="22">
    <w:abstractNumId w:val="27"/>
  </w:num>
  <w:num w:numId="23">
    <w:abstractNumId w:val="8"/>
  </w:num>
  <w:num w:numId="24">
    <w:abstractNumId w:val="9"/>
  </w:num>
  <w:num w:numId="25">
    <w:abstractNumId w:val="23"/>
  </w:num>
  <w:num w:numId="26">
    <w:abstractNumId w:val="6"/>
  </w:num>
  <w:num w:numId="27">
    <w:abstractNumId w:val="43"/>
  </w:num>
  <w:num w:numId="28">
    <w:abstractNumId w:val="3"/>
  </w:num>
  <w:num w:numId="29">
    <w:abstractNumId w:val="0"/>
  </w:num>
  <w:num w:numId="30">
    <w:abstractNumId w:val="1"/>
  </w:num>
  <w:num w:numId="31">
    <w:abstractNumId w:val="37"/>
  </w:num>
  <w:num w:numId="32">
    <w:abstractNumId w:val="4"/>
  </w:num>
  <w:num w:numId="33">
    <w:abstractNumId w:val="7"/>
  </w:num>
  <w:num w:numId="34">
    <w:abstractNumId w:val="35"/>
  </w:num>
  <w:num w:numId="35">
    <w:abstractNumId w:val="12"/>
  </w:num>
  <w:num w:numId="36">
    <w:abstractNumId w:val="44"/>
  </w:num>
  <w:num w:numId="37">
    <w:abstractNumId w:val="33"/>
  </w:num>
  <w:num w:numId="38">
    <w:abstractNumId w:val="42"/>
    <w:lvlOverride w:ilvl="0">
      <w:startOverride w:val="1"/>
    </w:lvlOverride>
  </w:num>
  <w:num w:numId="39">
    <w:abstractNumId w:val="42"/>
  </w:num>
  <w:num w:numId="40">
    <w:abstractNumId w:val="41"/>
  </w:num>
  <w:num w:numId="41">
    <w:abstractNumId w:val="18"/>
  </w:num>
  <w:num w:numId="42">
    <w:abstractNumId w:val="17"/>
  </w:num>
  <w:num w:numId="43">
    <w:abstractNumId w:val="29"/>
  </w:num>
  <w:num w:numId="44">
    <w:abstractNumId w:val="45"/>
  </w:num>
  <w:num w:numId="45">
    <w:abstractNumId w:val="2"/>
  </w:num>
  <w:num w:numId="46">
    <w:abstractNumId w:val="5"/>
  </w:num>
  <w:num w:numId="47">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aifeng Zhu">
    <w15:presenceInfo w15:providerId="Windows Live" w15:userId="c447d508768eba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yNjUxODU0MjY3ODY3YTZjZjA2MjM4NzZiMTU5ZWEifQ=="/>
  </w:docVars>
  <w:rsids>
    <w:rsidRoot w:val="00673818"/>
    <w:rsid w:val="000125C8"/>
    <w:rsid w:val="00023D3C"/>
    <w:rsid w:val="00032D71"/>
    <w:rsid w:val="000336BF"/>
    <w:rsid w:val="000515C7"/>
    <w:rsid w:val="00084269"/>
    <w:rsid w:val="000920D1"/>
    <w:rsid w:val="000C4EDB"/>
    <w:rsid w:val="000D5E7E"/>
    <w:rsid w:val="00117D88"/>
    <w:rsid w:val="00121CFB"/>
    <w:rsid w:val="001255EE"/>
    <w:rsid w:val="001268F5"/>
    <w:rsid w:val="001329B9"/>
    <w:rsid w:val="00156064"/>
    <w:rsid w:val="0016148F"/>
    <w:rsid w:val="00166F9E"/>
    <w:rsid w:val="001954C0"/>
    <w:rsid w:val="001A7393"/>
    <w:rsid w:val="001B2EE0"/>
    <w:rsid w:val="001B5F12"/>
    <w:rsid w:val="001F25E8"/>
    <w:rsid w:val="001F39DC"/>
    <w:rsid w:val="00213E20"/>
    <w:rsid w:val="002201FE"/>
    <w:rsid w:val="0023093B"/>
    <w:rsid w:val="00245D5B"/>
    <w:rsid w:val="00252146"/>
    <w:rsid w:val="0026275F"/>
    <w:rsid w:val="00272836"/>
    <w:rsid w:val="002A3CEE"/>
    <w:rsid w:val="002A65C7"/>
    <w:rsid w:val="002D7B3E"/>
    <w:rsid w:val="002E1A0E"/>
    <w:rsid w:val="002E480E"/>
    <w:rsid w:val="00300895"/>
    <w:rsid w:val="00304DCE"/>
    <w:rsid w:val="003213C3"/>
    <w:rsid w:val="00333656"/>
    <w:rsid w:val="00333D24"/>
    <w:rsid w:val="00341E86"/>
    <w:rsid w:val="0034384B"/>
    <w:rsid w:val="00354B9F"/>
    <w:rsid w:val="00355CAF"/>
    <w:rsid w:val="003634B9"/>
    <w:rsid w:val="00366336"/>
    <w:rsid w:val="003719AB"/>
    <w:rsid w:val="00371FA5"/>
    <w:rsid w:val="00384AD7"/>
    <w:rsid w:val="003904A9"/>
    <w:rsid w:val="003A2B75"/>
    <w:rsid w:val="003B5489"/>
    <w:rsid w:val="003B706A"/>
    <w:rsid w:val="003C264E"/>
    <w:rsid w:val="003C6FF3"/>
    <w:rsid w:val="003D008B"/>
    <w:rsid w:val="003D6201"/>
    <w:rsid w:val="00406B0B"/>
    <w:rsid w:val="00411681"/>
    <w:rsid w:val="00433F77"/>
    <w:rsid w:val="0043725A"/>
    <w:rsid w:val="004441F3"/>
    <w:rsid w:val="00463310"/>
    <w:rsid w:val="00466632"/>
    <w:rsid w:val="00467BBE"/>
    <w:rsid w:val="0047623A"/>
    <w:rsid w:val="00481DA6"/>
    <w:rsid w:val="004964C4"/>
    <w:rsid w:val="004A4470"/>
    <w:rsid w:val="004A719F"/>
    <w:rsid w:val="004B5C8E"/>
    <w:rsid w:val="004C2D48"/>
    <w:rsid w:val="004C3A0F"/>
    <w:rsid w:val="004C7AEB"/>
    <w:rsid w:val="004D24C5"/>
    <w:rsid w:val="004D2569"/>
    <w:rsid w:val="004D696A"/>
    <w:rsid w:val="004E004C"/>
    <w:rsid w:val="004E289F"/>
    <w:rsid w:val="004E78DD"/>
    <w:rsid w:val="004F0FD9"/>
    <w:rsid w:val="00501159"/>
    <w:rsid w:val="0051493E"/>
    <w:rsid w:val="00530BDF"/>
    <w:rsid w:val="00541C74"/>
    <w:rsid w:val="00566629"/>
    <w:rsid w:val="00572F59"/>
    <w:rsid w:val="00575BD1"/>
    <w:rsid w:val="00590F7E"/>
    <w:rsid w:val="005C3ABA"/>
    <w:rsid w:val="005D2A83"/>
    <w:rsid w:val="005D2C70"/>
    <w:rsid w:val="005D50CA"/>
    <w:rsid w:val="005D6FE6"/>
    <w:rsid w:val="005D72DE"/>
    <w:rsid w:val="005E044B"/>
    <w:rsid w:val="005E0B35"/>
    <w:rsid w:val="005E21D1"/>
    <w:rsid w:val="005E4622"/>
    <w:rsid w:val="00605812"/>
    <w:rsid w:val="00611EBD"/>
    <w:rsid w:val="00616638"/>
    <w:rsid w:val="00643A4A"/>
    <w:rsid w:val="006479C9"/>
    <w:rsid w:val="00652D66"/>
    <w:rsid w:val="0065408C"/>
    <w:rsid w:val="00654CA7"/>
    <w:rsid w:val="00673818"/>
    <w:rsid w:val="00683D8F"/>
    <w:rsid w:val="006B686E"/>
    <w:rsid w:val="006D15C3"/>
    <w:rsid w:val="006D6E23"/>
    <w:rsid w:val="006E1BA3"/>
    <w:rsid w:val="006E1EAD"/>
    <w:rsid w:val="006E28DA"/>
    <w:rsid w:val="00714482"/>
    <w:rsid w:val="007146C3"/>
    <w:rsid w:val="00722047"/>
    <w:rsid w:val="00725456"/>
    <w:rsid w:val="00726A41"/>
    <w:rsid w:val="00742BE1"/>
    <w:rsid w:val="007565F1"/>
    <w:rsid w:val="0077033E"/>
    <w:rsid w:val="007738FE"/>
    <w:rsid w:val="007814DF"/>
    <w:rsid w:val="00782601"/>
    <w:rsid w:val="00787594"/>
    <w:rsid w:val="00792BCA"/>
    <w:rsid w:val="007A5BA2"/>
    <w:rsid w:val="007B0B3C"/>
    <w:rsid w:val="007D71F3"/>
    <w:rsid w:val="007E1017"/>
    <w:rsid w:val="007F4823"/>
    <w:rsid w:val="007F58AA"/>
    <w:rsid w:val="007F7614"/>
    <w:rsid w:val="00807648"/>
    <w:rsid w:val="00811B06"/>
    <w:rsid w:val="00822D8A"/>
    <w:rsid w:val="00830E52"/>
    <w:rsid w:val="008335E2"/>
    <w:rsid w:val="00836B44"/>
    <w:rsid w:val="00852D97"/>
    <w:rsid w:val="00857CD9"/>
    <w:rsid w:val="0086210F"/>
    <w:rsid w:val="00885BD4"/>
    <w:rsid w:val="00895167"/>
    <w:rsid w:val="008A1CED"/>
    <w:rsid w:val="008A38D7"/>
    <w:rsid w:val="008A5B98"/>
    <w:rsid w:val="008B130A"/>
    <w:rsid w:val="008B4BB6"/>
    <w:rsid w:val="008E13AC"/>
    <w:rsid w:val="008E43D8"/>
    <w:rsid w:val="008F11AD"/>
    <w:rsid w:val="00913E01"/>
    <w:rsid w:val="00915C54"/>
    <w:rsid w:val="00931DAD"/>
    <w:rsid w:val="00932E4A"/>
    <w:rsid w:val="009373B0"/>
    <w:rsid w:val="00954065"/>
    <w:rsid w:val="00977C00"/>
    <w:rsid w:val="00981AA5"/>
    <w:rsid w:val="009913D9"/>
    <w:rsid w:val="00992220"/>
    <w:rsid w:val="009B3D5B"/>
    <w:rsid w:val="009D7013"/>
    <w:rsid w:val="009E1135"/>
    <w:rsid w:val="00A03155"/>
    <w:rsid w:val="00A31C7D"/>
    <w:rsid w:val="00A360C7"/>
    <w:rsid w:val="00A55389"/>
    <w:rsid w:val="00A65237"/>
    <w:rsid w:val="00A677F7"/>
    <w:rsid w:val="00A827E3"/>
    <w:rsid w:val="00A912D9"/>
    <w:rsid w:val="00AA4199"/>
    <w:rsid w:val="00AB3623"/>
    <w:rsid w:val="00AC4C00"/>
    <w:rsid w:val="00AD4371"/>
    <w:rsid w:val="00AD6D6F"/>
    <w:rsid w:val="00AE6E08"/>
    <w:rsid w:val="00AF3695"/>
    <w:rsid w:val="00B036DB"/>
    <w:rsid w:val="00B05D50"/>
    <w:rsid w:val="00B06E02"/>
    <w:rsid w:val="00B10AA3"/>
    <w:rsid w:val="00B12091"/>
    <w:rsid w:val="00B31451"/>
    <w:rsid w:val="00B322F3"/>
    <w:rsid w:val="00B70816"/>
    <w:rsid w:val="00B77B24"/>
    <w:rsid w:val="00B80301"/>
    <w:rsid w:val="00B91A6C"/>
    <w:rsid w:val="00B94587"/>
    <w:rsid w:val="00B9568D"/>
    <w:rsid w:val="00BA0D8F"/>
    <w:rsid w:val="00BA4068"/>
    <w:rsid w:val="00BA602E"/>
    <w:rsid w:val="00BA7CC5"/>
    <w:rsid w:val="00BC05A1"/>
    <w:rsid w:val="00BC3D8F"/>
    <w:rsid w:val="00BD47CB"/>
    <w:rsid w:val="00BE1632"/>
    <w:rsid w:val="00BE45FD"/>
    <w:rsid w:val="00BF3395"/>
    <w:rsid w:val="00BF3A54"/>
    <w:rsid w:val="00C11AFF"/>
    <w:rsid w:val="00C14E23"/>
    <w:rsid w:val="00C1676C"/>
    <w:rsid w:val="00C529AD"/>
    <w:rsid w:val="00C559BC"/>
    <w:rsid w:val="00C6404C"/>
    <w:rsid w:val="00C70012"/>
    <w:rsid w:val="00C72EFB"/>
    <w:rsid w:val="00C8640C"/>
    <w:rsid w:val="00C87C05"/>
    <w:rsid w:val="00C91918"/>
    <w:rsid w:val="00CA0109"/>
    <w:rsid w:val="00CA3A03"/>
    <w:rsid w:val="00CA6871"/>
    <w:rsid w:val="00CC55D4"/>
    <w:rsid w:val="00CD187F"/>
    <w:rsid w:val="00CD23CC"/>
    <w:rsid w:val="00CE1142"/>
    <w:rsid w:val="00CF009A"/>
    <w:rsid w:val="00CF20C4"/>
    <w:rsid w:val="00D4417A"/>
    <w:rsid w:val="00D453D2"/>
    <w:rsid w:val="00D66F10"/>
    <w:rsid w:val="00DA347A"/>
    <w:rsid w:val="00DB3C0E"/>
    <w:rsid w:val="00DB4E71"/>
    <w:rsid w:val="00DC0CDD"/>
    <w:rsid w:val="00DC5D26"/>
    <w:rsid w:val="00DE1F72"/>
    <w:rsid w:val="00DE4334"/>
    <w:rsid w:val="00DE45C3"/>
    <w:rsid w:val="00DE5F8D"/>
    <w:rsid w:val="00DE6792"/>
    <w:rsid w:val="00DF0E7E"/>
    <w:rsid w:val="00DF56B6"/>
    <w:rsid w:val="00E23AD7"/>
    <w:rsid w:val="00E26ADF"/>
    <w:rsid w:val="00E31647"/>
    <w:rsid w:val="00E32963"/>
    <w:rsid w:val="00E43259"/>
    <w:rsid w:val="00E46561"/>
    <w:rsid w:val="00E6058E"/>
    <w:rsid w:val="00E75C9E"/>
    <w:rsid w:val="00EB5F44"/>
    <w:rsid w:val="00EC0AD9"/>
    <w:rsid w:val="00EC5004"/>
    <w:rsid w:val="00EE3257"/>
    <w:rsid w:val="00F11938"/>
    <w:rsid w:val="00F122E2"/>
    <w:rsid w:val="00F14273"/>
    <w:rsid w:val="00F1442A"/>
    <w:rsid w:val="00F167E1"/>
    <w:rsid w:val="00F21BD0"/>
    <w:rsid w:val="00F23CCE"/>
    <w:rsid w:val="00F257FC"/>
    <w:rsid w:val="00F258E4"/>
    <w:rsid w:val="00F36C54"/>
    <w:rsid w:val="00F62F47"/>
    <w:rsid w:val="00F67A33"/>
    <w:rsid w:val="00FA016C"/>
    <w:rsid w:val="00FB4729"/>
    <w:rsid w:val="00FB4906"/>
    <w:rsid w:val="00FB5FC3"/>
    <w:rsid w:val="00FC0B43"/>
    <w:rsid w:val="00FC5753"/>
    <w:rsid w:val="00FD4BE3"/>
    <w:rsid w:val="00FE4D2A"/>
    <w:rsid w:val="00FF0CF9"/>
    <w:rsid w:val="00FF2E52"/>
    <w:rsid w:val="028D222F"/>
    <w:rsid w:val="07AB0710"/>
    <w:rsid w:val="08E0541B"/>
    <w:rsid w:val="0A6C2CE0"/>
    <w:rsid w:val="0AB6361E"/>
    <w:rsid w:val="0AC32E5A"/>
    <w:rsid w:val="0BF07EB7"/>
    <w:rsid w:val="0ECD518A"/>
    <w:rsid w:val="0FA062BA"/>
    <w:rsid w:val="115F7DBF"/>
    <w:rsid w:val="15B06738"/>
    <w:rsid w:val="176A616E"/>
    <w:rsid w:val="18EC4659"/>
    <w:rsid w:val="19736B97"/>
    <w:rsid w:val="1A704469"/>
    <w:rsid w:val="1D22378B"/>
    <w:rsid w:val="1EB97505"/>
    <w:rsid w:val="206E3578"/>
    <w:rsid w:val="207A674C"/>
    <w:rsid w:val="23D0215E"/>
    <w:rsid w:val="255C2C60"/>
    <w:rsid w:val="27793BAD"/>
    <w:rsid w:val="2A2B5764"/>
    <w:rsid w:val="2B4A744C"/>
    <w:rsid w:val="2C840727"/>
    <w:rsid w:val="2DE96BD2"/>
    <w:rsid w:val="2DFD7074"/>
    <w:rsid w:val="2E2B44BD"/>
    <w:rsid w:val="2ED26038"/>
    <w:rsid w:val="2EF30F21"/>
    <w:rsid w:val="304C5C16"/>
    <w:rsid w:val="328B0045"/>
    <w:rsid w:val="34B525CC"/>
    <w:rsid w:val="3694700A"/>
    <w:rsid w:val="378E7A57"/>
    <w:rsid w:val="396D65DF"/>
    <w:rsid w:val="3ADB4A64"/>
    <w:rsid w:val="3B276E79"/>
    <w:rsid w:val="3E4B6D29"/>
    <w:rsid w:val="40C766A5"/>
    <w:rsid w:val="40D2164B"/>
    <w:rsid w:val="422C0BA3"/>
    <w:rsid w:val="423210C7"/>
    <w:rsid w:val="454A5739"/>
    <w:rsid w:val="475F5BA5"/>
    <w:rsid w:val="481608EC"/>
    <w:rsid w:val="49CF1781"/>
    <w:rsid w:val="4B0174C2"/>
    <w:rsid w:val="4D40606D"/>
    <w:rsid w:val="4DCD7C9F"/>
    <w:rsid w:val="4E622175"/>
    <w:rsid w:val="50146F8A"/>
    <w:rsid w:val="53981756"/>
    <w:rsid w:val="54833DE0"/>
    <w:rsid w:val="54E60707"/>
    <w:rsid w:val="599E61D9"/>
    <w:rsid w:val="5B3C59E3"/>
    <w:rsid w:val="5B9C6F02"/>
    <w:rsid w:val="5BD743DE"/>
    <w:rsid w:val="5E850BA9"/>
    <w:rsid w:val="5F360DAB"/>
    <w:rsid w:val="5F607933"/>
    <w:rsid w:val="5F772AB2"/>
    <w:rsid w:val="606716CF"/>
    <w:rsid w:val="62271BF5"/>
    <w:rsid w:val="63442E4E"/>
    <w:rsid w:val="63EA6602"/>
    <w:rsid w:val="64965FC0"/>
    <w:rsid w:val="65B34B5B"/>
    <w:rsid w:val="6A197000"/>
    <w:rsid w:val="6A970FB0"/>
    <w:rsid w:val="6DCC303E"/>
    <w:rsid w:val="6E0C726E"/>
    <w:rsid w:val="707E6C83"/>
    <w:rsid w:val="70DD3DED"/>
    <w:rsid w:val="71937D7D"/>
    <w:rsid w:val="71FD0BAE"/>
    <w:rsid w:val="73742218"/>
    <w:rsid w:val="744D3038"/>
    <w:rsid w:val="76C00B47"/>
    <w:rsid w:val="773C1670"/>
    <w:rsid w:val="78011BBD"/>
    <w:rsid w:val="782401AA"/>
    <w:rsid w:val="78AF5655"/>
    <w:rsid w:val="7A7E3194"/>
    <w:rsid w:val="7BAE204B"/>
    <w:rsid w:val="7BDD196E"/>
    <w:rsid w:val="7C6A4DA5"/>
    <w:rsid w:val="7CD341BD"/>
    <w:rsid w:val="7D174219"/>
    <w:rsid w:val="7D263EAC"/>
    <w:rsid w:val="7EB366C2"/>
    <w:rsid w:val="7ED12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link w:val="51"/>
    <w:qFormat/>
    <w:uiPriority w:val="9"/>
    <w:pPr>
      <w:keepNext/>
      <w:keepLines/>
      <w:numPr>
        <w:ilvl w:val="0"/>
        <w:numId w:val="1"/>
      </w:numPr>
      <w:spacing w:beforeLines="50" w:afterLines="50"/>
      <w:ind w:firstLineChars="0"/>
      <w:jc w:val="center"/>
      <w:outlineLvl w:val="0"/>
    </w:pPr>
    <w:rPr>
      <w:b/>
      <w:bCs/>
      <w:kern w:val="44"/>
      <w:sz w:val="32"/>
      <w:szCs w:val="44"/>
    </w:rPr>
  </w:style>
  <w:style w:type="paragraph" w:styleId="4">
    <w:name w:val="heading 2"/>
    <w:basedOn w:val="1"/>
    <w:next w:val="1"/>
    <w:link w:val="52"/>
    <w:unhideWhenUsed/>
    <w:qFormat/>
    <w:uiPriority w:val="9"/>
    <w:pPr>
      <w:keepNext/>
      <w:keepLines/>
      <w:numPr>
        <w:ilvl w:val="1"/>
        <w:numId w:val="1"/>
      </w:numPr>
      <w:tabs>
        <w:tab w:val="left" w:pos="0"/>
      </w:tabs>
      <w:spacing w:before="50" w:beforeLines="50" w:after="50" w:afterLines="50"/>
      <w:ind w:left="0" w:firstLineChars="0"/>
      <w:jc w:val="left"/>
      <w:outlineLvl w:val="1"/>
    </w:pPr>
    <w:rPr>
      <w:rFonts w:asciiTheme="majorHAnsi" w:hAnsiTheme="majorHAnsi" w:cstheme="majorBidi"/>
      <w:b/>
      <w:bCs/>
      <w:sz w:val="28"/>
      <w:szCs w:val="32"/>
    </w:rPr>
  </w:style>
  <w:style w:type="paragraph" w:styleId="5">
    <w:name w:val="heading 3"/>
    <w:basedOn w:val="1"/>
    <w:next w:val="1"/>
    <w:link w:val="53"/>
    <w:unhideWhenUsed/>
    <w:qFormat/>
    <w:uiPriority w:val="9"/>
    <w:pPr>
      <w:keepNext/>
      <w:keepLines/>
      <w:numPr>
        <w:ilvl w:val="2"/>
        <w:numId w:val="1"/>
      </w:numPr>
      <w:tabs>
        <w:tab w:val="left" w:pos="0"/>
      </w:tabs>
      <w:ind w:firstLineChars="0"/>
      <w:jc w:val="left"/>
      <w:outlineLvl w:val="2"/>
    </w:pPr>
    <w:rPr>
      <w:b/>
      <w:bCs/>
      <w:szCs w:val="32"/>
    </w:rPr>
  </w:style>
  <w:style w:type="paragraph" w:styleId="6">
    <w:name w:val="heading 4"/>
    <w:basedOn w:val="1"/>
    <w:next w:val="1"/>
    <w:link w:val="70"/>
    <w:unhideWhenUsed/>
    <w:qFormat/>
    <w:uiPriority w:val="9"/>
    <w:pPr>
      <w:keepNext/>
      <w:keepLines/>
      <w:tabs>
        <w:tab w:val="left" w:pos="0"/>
      </w:tabs>
      <w:ind w:left="142" w:firstLine="0" w:firstLineChars="0"/>
      <w:jc w:val="left"/>
      <w:outlineLvl w:val="3"/>
    </w:pPr>
    <w:rPr>
      <w:rFonts w:cstheme="majorBidi"/>
      <w:b/>
      <w:szCs w:val="28"/>
    </w:rPr>
  </w:style>
  <w:style w:type="paragraph" w:styleId="7">
    <w:name w:val="heading 5"/>
    <w:basedOn w:val="1"/>
    <w:next w:val="1"/>
    <w:link w:val="77"/>
    <w:unhideWhenUsed/>
    <w:qFormat/>
    <w:uiPriority w:val="9"/>
    <w:pPr>
      <w:ind w:firstLine="480"/>
      <w:outlineLvl w:val="4"/>
    </w:pPr>
  </w:style>
  <w:style w:type="paragraph" w:styleId="8">
    <w:name w:val="heading 6"/>
    <w:basedOn w:val="1"/>
    <w:next w:val="1"/>
    <w:link w:val="78"/>
    <w:unhideWhenUsed/>
    <w:qFormat/>
    <w:uiPriority w:val="0"/>
    <w:pPr>
      <w:keepNext/>
      <w:keepLines/>
      <w:outlineLvl w:val="5"/>
    </w:pPr>
    <w:rPr>
      <w:rFonts w:ascii="Arial" w:hAnsi="Arial"/>
    </w:rPr>
  </w:style>
  <w:style w:type="paragraph" w:styleId="9">
    <w:name w:val="heading 7"/>
    <w:basedOn w:val="1"/>
    <w:next w:val="1"/>
    <w:link w:val="79"/>
    <w:unhideWhenUsed/>
    <w:qFormat/>
    <w:uiPriority w:val="9"/>
    <w:pPr>
      <w:keepNext/>
      <w:keepLines/>
      <w:spacing w:before="240" w:after="64" w:line="320" w:lineRule="auto"/>
      <w:ind w:left="1296" w:firstLine="0" w:firstLineChars="0"/>
      <w:outlineLvl w:val="6"/>
    </w:pPr>
    <w:rPr>
      <w:b/>
      <w:bCs/>
      <w:szCs w:val="24"/>
    </w:rPr>
  </w:style>
  <w:style w:type="paragraph" w:styleId="10">
    <w:name w:val="heading 8"/>
    <w:basedOn w:val="1"/>
    <w:next w:val="1"/>
    <w:link w:val="80"/>
    <w:unhideWhenUsed/>
    <w:qFormat/>
    <w:uiPriority w:val="9"/>
    <w:pPr>
      <w:keepNext/>
      <w:keepLines/>
      <w:spacing w:before="240" w:after="64" w:line="320" w:lineRule="auto"/>
      <w:ind w:left="1440" w:firstLine="0" w:firstLineChars="0"/>
      <w:outlineLvl w:val="7"/>
    </w:pPr>
    <w:rPr>
      <w:rFonts w:asciiTheme="majorHAnsi" w:hAnsiTheme="majorHAnsi" w:eastAsiaTheme="majorEastAsia" w:cstheme="majorBidi"/>
      <w:szCs w:val="24"/>
    </w:rPr>
  </w:style>
  <w:style w:type="paragraph" w:styleId="11">
    <w:name w:val="heading 9"/>
    <w:basedOn w:val="1"/>
    <w:next w:val="1"/>
    <w:link w:val="81"/>
    <w:unhideWhenUsed/>
    <w:qFormat/>
    <w:uiPriority w:val="9"/>
    <w:pPr>
      <w:keepNext/>
      <w:keepLines/>
      <w:spacing w:before="240" w:after="64" w:line="320" w:lineRule="auto"/>
      <w:ind w:left="1584" w:firstLine="0" w:firstLineChars="0"/>
      <w:outlineLvl w:val="8"/>
    </w:pPr>
    <w:rPr>
      <w:rFonts w:asciiTheme="majorHAnsi" w:hAnsiTheme="majorHAnsi" w:eastAsiaTheme="majorEastAsia" w:cstheme="majorBidi"/>
      <w:sz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2">
    <w:name w:val="toc 7"/>
    <w:basedOn w:val="1"/>
    <w:next w:val="1"/>
    <w:qFormat/>
    <w:uiPriority w:val="39"/>
    <w:pPr>
      <w:spacing w:line="240" w:lineRule="auto"/>
      <w:ind w:left="2520" w:leftChars="1200" w:firstLine="0" w:firstLineChars="0"/>
    </w:pPr>
    <w:rPr>
      <w:rFonts w:ascii="Calibri" w:hAnsi="Calibri"/>
      <w:sz w:val="21"/>
      <w:szCs w:val="22"/>
    </w:rPr>
  </w:style>
  <w:style w:type="paragraph" w:styleId="13">
    <w:name w:val="Normal Indent"/>
    <w:basedOn w:val="1"/>
    <w:next w:val="14"/>
    <w:link w:val="203"/>
    <w:unhideWhenUsed/>
    <w:qFormat/>
    <w:uiPriority w:val="99"/>
    <w:pPr>
      <w:ind w:firstLine="420"/>
    </w:pPr>
  </w:style>
  <w:style w:type="paragraph" w:styleId="14">
    <w:name w:val="Body Text First Indent"/>
    <w:basedOn w:val="15"/>
    <w:link w:val="69"/>
    <w:unhideWhenUsed/>
    <w:qFormat/>
    <w:uiPriority w:val="99"/>
    <w:pPr>
      <w:ind w:firstLine="420" w:firstLineChars="100"/>
    </w:pPr>
  </w:style>
  <w:style w:type="paragraph" w:styleId="15">
    <w:name w:val="Body Text"/>
    <w:basedOn w:val="1"/>
    <w:next w:val="1"/>
    <w:link w:val="68"/>
    <w:unhideWhenUsed/>
    <w:qFormat/>
    <w:uiPriority w:val="0"/>
    <w:pPr>
      <w:spacing w:after="120"/>
    </w:pPr>
  </w:style>
  <w:style w:type="paragraph" w:styleId="16">
    <w:name w:val="caption"/>
    <w:basedOn w:val="1"/>
    <w:next w:val="1"/>
    <w:link w:val="84"/>
    <w:unhideWhenUsed/>
    <w:qFormat/>
    <w:uiPriority w:val="35"/>
    <w:pPr>
      <w:keepNext/>
      <w:ind w:firstLine="0" w:firstLineChars="0"/>
      <w:jc w:val="center"/>
    </w:pPr>
    <w:rPr>
      <w:b/>
      <w:sz w:val="21"/>
    </w:rPr>
  </w:style>
  <w:style w:type="paragraph" w:styleId="17">
    <w:name w:val="Document Map"/>
    <w:basedOn w:val="1"/>
    <w:link w:val="216"/>
    <w:qFormat/>
    <w:uiPriority w:val="0"/>
    <w:rPr>
      <w:rFonts w:ascii="Microsoft YaHei UI" w:eastAsia="Microsoft YaHei UI"/>
      <w:sz w:val="18"/>
      <w:szCs w:val="18"/>
    </w:rPr>
  </w:style>
  <w:style w:type="paragraph" w:styleId="18">
    <w:name w:val="annotation text"/>
    <w:basedOn w:val="1"/>
    <w:link w:val="106"/>
    <w:unhideWhenUsed/>
    <w:qFormat/>
    <w:uiPriority w:val="0"/>
    <w:pPr>
      <w:jc w:val="left"/>
    </w:pPr>
  </w:style>
  <w:style w:type="paragraph" w:styleId="19">
    <w:name w:val="Body Text 3"/>
    <w:basedOn w:val="1"/>
    <w:link w:val="219"/>
    <w:qFormat/>
    <w:uiPriority w:val="0"/>
    <w:pPr>
      <w:spacing w:after="120" w:line="240" w:lineRule="auto"/>
      <w:ind w:firstLine="1040"/>
    </w:pPr>
    <w:rPr>
      <w:rFonts w:ascii="Calibri" w:hAnsi="Calibri" w:eastAsia="Verdana"/>
      <w:sz w:val="16"/>
      <w:szCs w:val="16"/>
    </w:rPr>
  </w:style>
  <w:style w:type="paragraph" w:styleId="20">
    <w:name w:val="Body Text Indent"/>
    <w:basedOn w:val="1"/>
    <w:link w:val="72"/>
    <w:unhideWhenUsed/>
    <w:qFormat/>
    <w:uiPriority w:val="99"/>
    <w:pPr>
      <w:spacing w:after="120"/>
      <w:ind w:left="420" w:leftChars="200"/>
    </w:pPr>
  </w:style>
  <w:style w:type="paragraph" w:styleId="21">
    <w:name w:val="toc 5"/>
    <w:basedOn w:val="1"/>
    <w:next w:val="1"/>
    <w:qFormat/>
    <w:uiPriority w:val="39"/>
    <w:pPr>
      <w:spacing w:line="240" w:lineRule="auto"/>
      <w:ind w:left="1680" w:leftChars="800" w:firstLine="0" w:firstLineChars="0"/>
    </w:pPr>
    <w:rPr>
      <w:rFonts w:ascii="Calibri" w:hAnsi="Calibri"/>
      <w:sz w:val="21"/>
      <w:szCs w:val="22"/>
    </w:rPr>
  </w:style>
  <w:style w:type="paragraph" w:styleId="22">
    <w:name w:val="toc 3"/>
    <w:basedOn w:val="1"/>
    <w:next w:val="1"/>
    <w:unhideWhenUsed/>
    <w:qFormat/>
    <w:uiPriority w:val="39"/>
    <w:pPr>
      <w:ind w:left="840" w:leftChars="400"/>
    </w:pPr>
  </w:style>
  <w:style w:type="paragraph" w:styleId="23">
    <w:name w:val="Plain Text"/>
    <w:basedOn w:val="1"/>
    <w:link w:val="73"/>
    <w:qFormat/>
    <w:uiPriority w:val="0"/>
    <w:pPr>
      <w:widowControl/>
      <w:spacing w:after="200" w:line="240" w:lineRule="auto"/>
      <w:ind w:firstLine="0" w:firstLineChars="0"/>
      <w:jc w:val="left"/>
    </w:pPr>
    <w:rPr>
      <w:rFonts w:ascii="宋体" w:hAnsi="Courier New" w:eastAsiaTheme="minorEastAsia" w:cstheme="minorBidi"/>
      <w:kern w:val="0"/>
      <w:sz w:val="21"/>
      <w:szCs w:val="22"/>
    </w:rPr>
  </w:style>
  <w:style w:type="paragraph" w:styleId="24">
    <w:name w:val="toc 8"/>
    <w:basedOn w:val="1"/>
    <w:next w:val="1"/>
    <w:qFormat/>
    <w:uiPriority w:val="39"/>
    <w:pPr>
      <w:spacing w:line="240" w:lineRule="auto"/>
      <w:ind w:left="2940" w:leftChars="1400" w:firstLine="0" w:firstLineChars="0"/>
    </w:pPr>
    <w:rPr>
      <w:rFonts w:ascii="Calibri" w:hAnsi="Calibri"/>
      <w:sz w:val="21"/>
      <w:szCs w:val="22"/>
    </w:rPr>
  </w:style>
  <w:style w:type="paragraph" w:styleId="25">
    <w:name w:val="Date"/>
    <w:basedOn w:val="1"/>
    <w:next w:val="1"/>
    <w:link w:val="223"/>
    <w:qFormat/>
    <w:uiPriority w:val="0"/>
    <w:pPr>
      <w:spacing w:line="240" w:lineRule="auto"/>
      <w:ind w:firstLine="1040"/>
    </w:pPr>
    <w:rPr>
      <w:rFonts w:ascii="Calibri" w:hAnsi="Calibri" w:eastAsia="Calibri"/>
      <w:szCs w:val="20"/>
    </w:rPr>
  </w:style>
  <w:style w:type="paragraph" w:styleId="26">
    <w:name w:val="Body Text Indent 2"/>
    <w:basedOn w:val="1"/>
    <w:link w:val="225"/>
    <w:qFormat/>
    <w:uiPriority w:val="0"/>
    <w:pPr>
      <w:autoSpaceDE w:val="0"/>
      <w:autoSpaceDN w:val="0"/>
      <w:adjustRightInd w:val="0"/>
      <w:ind w:firstLine="480"/>
    </w:pPr>
    <w:rPr>
      <w:rFonts w:ascii="Verdana" w:hAnsi="Verdana" w:eastAsia="Verdana"/>
      <w:szCs w:val="24"/>
    </w:rPr>
  </w:style>
  <w:style w:type="paragraph" w:styleId="27">
    <w:name w:val="Balloon Text"/>
    <w:basedOn w:val="1"/>
    <w:link w:val="108"/>
    <w:qFormat/>
    <w:uiPriority w:val="99"/>
    <w:pPr>
      <w:spacing w:line="240" w:lineRule="auto"/>
    </w:pPr>
    <w:rPr>
      <w:sz w:val="18"/>
      <w:szCs w:val="18"/>
    </w:rPr>
  </w:style>
  <w:style w:type="paragraph" w:styleId="28">
    <w:name w:val="footer"/>
    <w:basedOn w:val="1"/>
    <w:link w:val="56"/>
    <w:unhideWhenUsed/>
    <w:qFormat/>
    <w:uiPriority w:val="99"/>
    <w:pPr>
      <w:tabs>
        <w:tab w:val="center" w:pos="4153"/>
        <w:tab w:val="right" w:pos="8306"/>
      </w:tabs>
      <w:snapToGrid w:val="0"/>
      <w:spacing w:line="240" w:lineRule="auto"/>
      <w:jc w:val="left"/>
    </w:pPr>
    <w:rPr>
      <w:sz w:val="18"/>
      <w:szCs w:val="18"/>
    </w:rPr>
  </w:style>
  <w:style w:type="paragraph" w:styleId="29">
    <w:name w:val="header"/>
    <w:basedOn w:val="1"/>
    <w:link w:val="5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0">
    <w:name w:val="toc 1"/>
    <w:basedOn w:val="1"/>
    <w:next w:val="1"/>
    <w:unhideWhenUsed/>
    <w:qFormat/>
    <w:uiPriority w:val="39"/>
    <w:pPr>
      <w:tabs>
        <w:tab w:val="right" w:leader="dot" w:pos="9060"/>
      </w:tabs>
      <w:ind w:firstLine="0" w:firstLineChars="0"/>
      <w:jc w:val="center"/>
    </w:pPr>
    <w:rPr>
      <w:b/>
      <w:sz w:val="28"/>
    </w:rPr>
  </w:style>
  <w:style w:type="paragraph" w:styleId="31">
    <w:name w:val="toc 4"/>
    <w:basedOn w:val="1"/>
    <w:next w:val="1"/>
    <w:qFormat/>
    <w:uiPriority w:val="39"/>
    <w:pPr>
      <w:spacing w:line="240" w:lineRule="auto"/>
      <w:ind w:left="1260" w:leftChars="600" w:firstLine="0" w:firstLineChars="0"/>
    </w:pPr>
    <w:rPr>
      <w:rFonts w:ascii="Calibri" w:hAnsi="Calibri"/>
      <w:sz w:val="21"/>
      <w:szCs w:val="22"/>
    </w:rPr>
  </w:style>
  <w:style w:type="paragraph" w:styleId="32">
    <w:name w:val="Subtitle"/>
    <w:basedOn w:val="1"/>
    <w:next w:val="1"/>
    <w:link w:val="85"/>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33">
    <w:name w:val="toc 6"/>
    <w:basedOn w:val="1"/>
    <w:next w:val="1"/>
    <w:qFormat/>
    <w:uiPriority w:val="39"/>
    <w:pPr>
      <w:spacing w:line="240" w:lineRule="auto"/>
      <w:ind w:left="2100" w:leftChars="1000" w:firstLine="0" w:firstLineChars="0"/>
    </w:pPr>
    <w:rPr>
      <w:rFonts w:ascii="Calibri" w:hAnsi="Calibri"/>
      <w:sz w:val="21"/>
      <w:szCs w:val="22"/>
    </w:rPr>
  </w:style>
  <w:style w:type="paragraph" w:styleId="34">
    <w:name w:val="Body Text Indent 3"/>
    <w:basedOn w:val="1"/>
    <w:link w:val="231"/>
    <w:qFormat/>
    <w:uiPriority w:val="0"/>
    <w:pPr>
      <w:spacing w:after="120" w:line="240" w:lineRule="auto"/>
      <w:ind w:left="420" w:leftChars="200" w:firstLine="1040"/>
    </w:pPr>
    <w:rPr>
      <w:rFonts w:ascii="Calibri" w:hAnsi="Calibri" w:eastAsia="Verdana"/>
      <w:sz w:val="16"/>
      <w:szCs w:val="16"/>
    </w:rPr>
  </w:style>
  <w:style w:type="paragraph" w:styleId="35">
    <w:name w:val="table of figures"/>
    <w:basedOn w:val="1"/>
    <w:next w:val="1"/>
    <w:semiHidden/>
    <w:unhideWhenUsed/>
    <w:qFormat/>
    <w:uiPriority w:val="99"/>
    <w:pPr>
      <w:ind w:left="200" w:leftChars="200" w:hanging="200" w:hangingChars="200"/>
    </w:pPr>
  </w:style>
  <w:style w:type="paragraph" w:styleId="36">
    <w:name w:val="toc 2"/>
    <w:basedOn w:val="1"/>
    <w:next w:val="1"/>
    <w:unhideWhenUsed/>
    <w:qFormat/>
    <w:uiPriority w:val="39"/>
    <w:pPr>
      <w:tabs>
        <w:tab w:val="right" w:leader="dot" w:pos="9060"/>
      </w:tabs>
      <w:ind w:firstLine="560"/>
      <w:jc w:val="center"/>
    </w:pPr>
    <w:rPr>
      <w:sz w:val="28"/>
    </w:rPr>
  </w:style>
  <w:style w:type="paragraph" w:styleId="37">
    <w:name w:val="toc 9"/>
    <w:basedOn w:val="1"/>
    <w:next w:val="1"/>
    <w:qFormat/>
    <w:uiPriority w:val="39"/>
    <w:pPr>
      <w:spacing w:line="240" w:lineRule="auto"/>
      <w:ind w:left="3360" w:leftChars="1600" w:firstLine="0" w:firstLineChars="0"/>
    </w:pPr>
    <w:rPr>
      <w:rFonts w:ascii="Calibri" w:hAnsi="Calibri"/>
      <w:sz w:val="21"/>
      <w:szCs w:val="22"/>
    </w:rPr>
  </w:style>
  <w:style w:type="paragraph" w:styleId="38">
    <w:name w:val="Body Text 2"/>
    <w:basedOn w:val="1"/>
    <w:link w:val="233"/>
    <w:qFormat/>
    <w:uiPriority w:val="0"/>
    <w:pPr>
      <w:spacing w:after="120" w:line="480" w:lineRule="auto"/>
      <w:ind w:firstLine="1040"/>
    </w:pPr>
    <w:rPr>
      <w:rFonts w:ascii="Verdana" w:hAnsi="Verdana" w:cs="Verdana"/>
      <w:bCs/>
      <w:color w:val="000000"/>
      <w:kern w:val="0"/>
      <w:szCs w:val="24"/>
    </w:rPr>
  </w:style>
  <w:style w:type="paragraph" w:styleId="39">
    <w:name w:val="HTML Preformatted"/>
    <w:basedOn w:val="1"/>
    <w:link w:val="147"/>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40">
    <w:name w:val="Normal (Web)"/>
    <w:basedOn w:val="1"/>
    <w:link w:val="182"/>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1">
    <w:name w:val="Title"/>
    <w:basedOn w:val="1"/>
    <w:next w:val="1"/>
    <w:link w:val="165"/>
    <w:qFormat/>
    <w:uiPriority w:val="0"/>
    <w:pPr>
      <w:spacing w:before="240" w:after="60"/>
      <w:ind w:firstLine="480"/>
      <w:jc w:val="center"/>
      <w:outlineLvl w:val="0"/>
    </w:pPr>
    <w:rPr>
      <w:rFonts w:asciiTheme="majorHAnsi" w:hAnsiTheme="majorHAnsi" w:eastAsiaTheme="majorEastAsia" w:cstheme="majorBidi"/>
      <w:b/>
      <w:bCs/>
      <w:sz w:val="32"/>
      <w:szCs w:val="32"/>
    </w:rPr>
  </w:style>
  <w:style w:type="paragraph" w:styleId="42">
    <w:name w:val="annotation subject"/>
    <w:basedOn w:val="18"/>
    <w:next w:val="18"/>
    <w:link w:val="107"/>
    <w:semiHidden/>
    <w:unhideWhenUsed/>
    <w:qFormat/>
    <w:uiPriority w:val="0"/>
    <w:rPr>
      <w:b/>
      <w:bCs/>
    </w:rPr>
  </w:style>
  <w:style w:type="paragraph" w:styleId="43">
    <w:name w:val="Body Text First Indent 2"/>
    <w:basedOn w:val="20"/>
    <w:link w:val="86"/>
    <w:qFormat/>
    <w:uiPriority w:val="99"/>
    <w:pPr>
      <w:ind w:firstLine="420"/>
    </w:pPr>
    <w:rPr>
      <w:rFonts w:eastAsia="仿宋_GB2312"/>
      <w:szCs w:val="22"/>
    </w:rPr>
  </w:style>
  <w:style w:type="table" w:styleId="45">
    <w:name w:val="Table Grid"/>
    <w:basedOn w:val="44"/>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FollowedHyperlink"/>
    <w:basedOn w:val="46"/>
    <w:unhideWhenUsed/>
    <w:qFormat/>
    <w:uiPriority w:val="99"/>
    <w:rPr>
      <w:color w:val="954F72" w:themeColor="followedHyperlink"/>
      <w:u w:val="single"/>
      <w14:textFill>
        <w14:solidFill>
          <w14:schemeClr w14:val="folHlink"/>
        </w14:solidFill>
      </w14:textFill>
    </w:rPr>
  </w:style>
  <w:style w:type="character" w:styleId="48">
    <w:name w:val="Hyperlink"/>
    <w:basedOn w:val="46"/>
    <w:unhideWhenUsed/>
    <w:qFormat/>
    <w:uiPriority w:val="99"/>
    <w:rPr>
      <w:color w:val="0000FF"/>
      <w:u w:val="single"/>
    </w:rPr>
  </w:style>
  <w:style w:type="character" w:styleId="49">
    <w:name w:val="annotation reference"/>
    <w:basedOn w:val="46"/>
    <w:semiHidden/>
    <w:unhideWhenUsed/>
    <w:qFormat/>
    <w:uiPriority w:val="0"/>
    <w:rPr>
      <w:sz w:val="21"/>
      <w:szCs w:val="21"/>
    </w:rPr>
  </w:style>
  <w:style w:type="paragraph" w:customStyle="1" w:styleId="50">
    <w:name w:val="表内文字"/>
    <w:basedOn w:val="1"/>
    <w:link w:val="187"/>
    <w:qFormat/>
    <w:locked/>
    <w:uiPriority w:val="0"/>
    <w:pPr>
      <w:spacing w:line="240" w:lineRule="auto"/>
      <w:ind w:firstLine="0" w:firstLineChars="0"/>
      <w:jc w:val="center"/>
    </w:pPr>
    <w:rPr>
      <w:sz w:val="21"/>
    </w:rPr>
  </w:style>
  <w:style w:type="character" w:customStyle="1" w:styleId="51">
    <w:name w:val="标题 1 字符"/>
    <w:basedOn w:val="46"/>
    <w:link w:val="3"/>
    <w:qFormat/>
    <w:uiPriority w:val="9"/>
    <w:rPr>
      <w:rFonts w:ascii="Times New Roman" w:hAnsi="Times New Roman" w:eastAsia="宋体" w:cs="Times New Roman"/>
      <w:b/>
      <w:bCs/>
      <w:kern w:val="44"/>
      <w:sz w:val="32"/>
      <w:szCs w:val="44"/>
    </w:rPr>
  </w:style>
  <w:style w:type="character" w:customStyle="1" w:styleId="52">
    <w:name w:val="标题 2 字符"/>
    <w:basedOn w:val="46"/>
    <w:link w:val="4"/>
    <w:qFormat/>
    <w:uiPriority w:val="9"/>
    <w:rPr>
      <w:rFonts w:eastAsia="宋体" w:asciiTheme="majorHAnsi" w:hAnsiTheme="majorHAnsi" w:cstheme="majorBidi"/>
      <w:b/>
      <w:bCs/>
      <w:sz w:val="28"/>
      <w:szCs w:val="32"/>
    </w:rPr>
  </w:style>
  <w:style w:type="character" w:customStyle="1" w:styleId="53">
    <w:name w:val="标题 3 字符"/>
    <w:basedOn w:val="46"/>
    <w:link w:val="5"/>
    <w:qFormat/>
    <w:uiPriority w:val="9"/>
    <w:rPr>
      <w:rFonts w:ascii="Times New Roman" w:hAnsi="Times New Roman" w:eastAsia="宋体" w:cs="Times New Roman"/>
      <w:b/>
      <w:bCs/>
      <w:sz w:val="24"/>
      <w:szCs w:val="32"/>
    </w:rPr>
  </w:style>
  <w:style w:type="paragraph" w:customStyle="1" w:styleId="54">
    <w:name w:val="封面标题"/>
    <w:basedOn w:val="1"/>
    <w:next w:val="1"/>
    <w:link w:val="88"/>
    <w:qFormat/>
    <w:uiPriority w:val="0"/>
    <w:pPr>
      <w:ind w:firstLine="0" w:firstLineChars="0"/>
      <w:jc w:val="center"/>
    </w:pPr>
    <w:rPr>
      <w:b/>
      <w:sz w:val="32"/>
    </w:rPr>
  </w:style>
  <w:style w:type="character" w:customStyle="1" w:styleId="55">
    <w:name w:val="页眉 字符"/>
    <w:basedOn w:val="46"/>
    <w:link w:val="29"/>
    <w:qFormat/>
    <w:uiPriority w:val="99"/>
    <w:rPr>
      <w:rFonts w:ascii="Times New Roman" w:hAnsi="Times New Roman" w:eastAsia="宋体" w:cs="Times New Roman"/>
      <w:sz w:val="18"/>
      <w:szCs w:val="18"/>
    </w:rPr>
  </w:style>
  <w:style w:type="character" w:customStyle="1" w:styleId="56">
    <w:name w:val="页脚 字符"/>
    <w:basedOn w:val="46"/>
    <w:link w:val="28"/>
    <w:qFormat/>
    <w:uiPriority w:val="99"/>
    <w:rPr>
      <w:rFonts w:ascii="Times New Roman" w:hAnsi="Times New Roman" w:eastAsia="宋体" w:cs="Times New Roman"/>
      <w:sz w:val="18"/>
      <w:szCs w:val="18"/>
    </w:rPr>
  </w:style>
  <w:style w:type="character" w:customStyle="1" w:styleId="57">
    <w:name w:val="Unresolved Mention"/>
    <w:basedOn w:val="46"/>
    <w:semiHidden/>
    <w:unhideWhenUsed/>
    <w:qFormat/>
    <w:uiPriority w:val="99"/>
    <w:rPr>
      <w:color w:val="605E5C"/>
      <w:shd w:val="clear" w:color="auto" w:fill="E1DFDD"/>
    </w:rPr>
  </w:style>
  <w:style w:type="paragraph" w:styleId="58">
    <w:name w:val="List Paragraph"/>
    <w:basedOn w:val="1"/>
    <w:link w:val="71"/>
    <w:qFormat/>
    <w:uiPriority w:val="0"/>
    <w:pPr>
      <w:ind w:firstLine="420"/>
    </w:pPr>
  </w:style>
  <w:style w:type="paragraph" w:customStyle="1" w:styleId="59">
    <w:name w:val="正文C"/>
    <w:basedOn w:val="1"/>
    <w:link w:val="60"/>
    <w:qFormat/>
    <w:uiPriority w:val="0"/>
    <w:pPr>
      <w:widowControl/>
      <w:adjustRightInd w:val="0"/>
      <w:snapToGrid w:val="0"/>
      <w:jc w:val="left"/>
    </w:pPr>
    <w:rPr>
      <w:rFonts w:ascii="宋体" w:hAnsi="宋体" w:cs="宋体"/>
      <w:color w:val="535353" w:themeColor="accent3" w:themeShade="80"/>
      <w:kern w:val="0"/>
      <w:szCs w:val="24"/>
    </w:rPr>
  </w:style>
  <w:style w:type="character" w:customStyle="1" w:styleId="60">
    <w:name w:val="正文C Char"/>
    <w:link w:val="59"/>
    <w:qFormat/>
    <w:uiPriority w:val="0"/>
    <w:rPr>
      <w:rFonts w:ascii="宋体" w:hAnsi="宋体" w:eastAsia="宋体" w:cs="宋体"/>
      <w:color w:val="535353" w:themeColor="accent3" w:themeShade="80"/>
      <w:kern w:val="0"/>
      <w:sz w:val="24"/>
      <w:szCs w:val="24"/>
    </w:rPr>
  </w:style>
  <w:style w:type="paragraph" w:customStyle="1" w:styleId="61">
    <w:name w:val="CM图表标题"/>
    <w:basedOn w:val="1"/>
    <w:link w:val="62"/>
    <w:qFormat/>
    <w:uiPriority w:val="0"/>
    <w:pPr>
      <w:spacing w:line="240" w:lineRule="auto"/>
      <w:ind w:firstLine="0" w:firstLineChars="0"/>
      <w:jc w:val="center"/>
    </w:pPr>
    <w:rPr>
      <w:b/>
      <w:sz w:val="21"/>
      <w:szCs w:val="22"/>
    </w:rPr>
  </w:style>
  <w:style w:type="character" w:customStyle="1" w:styleId="62">
    <w:name w:val="CM图表标题 字符"/>
    <w:link w:val="61"/>
    <w:qFormat/>
    <w:uiPriority w:val="0"/>
    <w:rPr>
      <w:rFonts w:ascii="Times New Roman" w:hAnsi="Times New Roman" w:eastAsia="宋体" w:cs="Times New Roman"/>
      <w:b/>
    </w:rPr>
  </w:style>
  <w:style w:type="paragraph" w:customStyle="1" w:styleId="63">
    <w:name w:val="CM表内文字"/>
    <w:basedOn w:val="1"/>
    <w:next w:val="1"/>
    <w:link w:val="64"/>
    <w:qFormat/>
    <w:uiPriority w:val="0"/>
    <w:pPr>
      <w:spacing w:line="240" w:lineRule="auto"/>
      <w:ind w:firstLine="0" w:firstLineChars="0"/>
      <w:jc w:val="center"/>
    </w:pPr>
    <w:rPr>
      <w:sz w:val="21"/>
    </w:rPr>
  </w:style>
  <w:style w:type="character" w:customStyle="1" w:styleId="64">
    <w:name w:val="CM表内文字 字符"/>
    <w:link w:val="63"/>
    <w:qFormat/>
    <w:uiPriority w:val="0"/>
    <w:rPr>
      <w:rFonts w:ascii="Times New Roman" w:hAnsi="Times New Roman" w:eastAsia="宋体" w:cs="Times New Roman"/>
      <w:szCs w:val="21"/>
    </w:rPr>
  </w:style>
  <w:style w:type="table" w:customStyle="1" w:styleId="65">
    <w:name w:val="方案表格"/>
    <w:basedOn w:val="44"/>
    <w:qFormat/>
    <w:uiPriority w:val="99"/>
    <w:pPr>
      <w:jc w:val="center"/>
    </w:pPr>
    <w:rPr>
      <w:rFonts w:ascii="Times New Roman" w:hAnsi="Times New Roman" w:eastAsia="宋体" w:cs="Times New Roman"/>
      <w:kern w:val="0"/>
      <w:sz w:val="18"/>
      <w:szCs w:val="20"/>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66">
    <w:name w:val="CM图表名称"/>
    <w:basedOn w:val="1"/>
    <w:qFormat/>
    <w:uiPriority w:val="0"/>
    <w:pPr>
      <w:spacing w:line="240" w:lineRule="auto"/>
      <w:ind w:firstLine="480"/>
      <w:jc w:val="center"/>
    </w:pPr>
    <w:rPr>
      <w:b/>
      <w:sz w:val="21"/>
    </w:rPr>
  </w:style>
  <w:style w:type="paragraph" w:customStyle="1" w:styleId="67">
    <w:name w:val="图片标题"/>
    <w:basedOn w:val="15"/>
    <w:next w:val="1"/>
    <w:qFormat/>
    <w:uiPriority w:val="0"/>
    <w:pPr>
      <w:widowControl/>
      <w:spacing w:after="50" w:afterLines="50" w:line="240" w:lineRule="auto"/>
      <w:ind w:firstLine="0" w:firstLineChars="0"/>
      <w:jc w:val="center"/>
    </w:pPr>
    <w:rPr>
      <w:rFonts w:asciiTheme="minorHAnsi" w:hAnsiTheme="minorHAnsi" w:eastAsiaTheme="minorEastAsia" w:cstheme="minorBidi"/>
      <w:b/>
      <w:bCs/>
      <w:kern w:val="0"/>
      <w:sz w:val="21"/>
    </w:rPr>
  </w:style>
  <w:style w:type="character" w:customStyle="1" w:styleId="68">
    <w:name w:val="正文文本 字符"/>
    <w:basedOn w:val="46"/>
    <w:link w:val="15"/>
    <w:qFormat/>
    <w:uiPriority w:val="0"/>
    <w:rPr>
      <w:rFonts w:ascii="Times New Roman" w:hAnsi="Times New Roman" w:eastAsia="宋体" w:cs="Times New Roman"/>
      <w:sz w:val="24"/>
      <w:szCs w:val="21"/>
    </w:rPr>
  </w:style>
  <w:style w:type="character" w:customStyle="1" w:styleId="69">
    <w:name w:val="正文文本首行缩进 字符"/>
    <w:basedOn w:val="68"/>
    <w:link w:val="14"/>
    <w:qFormat/>
    <w:uiPriority w:val="99"/>
    <w:rPr>
      <w:rFonts w:ascii="Times New Roman" w:hAnsi="Times New Roman" w:eastAsia="宋体" w:cs="Times New Roman"/>
      <w:sz w:val="24"/>
      <w:szCs w:val="21"/>
    </w:rPr>
  </w:style>
  <w:style w:type="character" w:customStyle="1" w:styleId="70">
    <w:name w:val="标题 4 字符"/>
    <w:basedOn w:val="46"/>
    <w:link w:val="6"/>
    <w:qFormat/>
    <w:uiPriority w:val="9"/>
    <w:rPr>
      <w:rFonts w:ascii="Times New Roman" w:hAnsi="Times New Roman" w:eastAsia="宋体" w:cstheme="majorBidi"/>
      <w:b/>
      <w:sz w:val="24"/>
      <w:szCs w:val="28"/>
    </w:rPr>
  </w:style>
  <w:style w:type="character" w:customStyle="1" w:styleId="71">
    <w:name w:val="列表段落 字符"/>
    <w:link w:val="58"/>
    <w:qFormat/>
    <w:locked/>
    <w:uiPriority w:val="0"/>
    <w:rPr>
      <w:rFonts w:ascii="Times New Roman" w:hAnsi="Times New Roman" w:eastAsia="宋体" w:cs="Times New Roman"/>
      <w:sz w:val="24"/>
      <w:szCs w:val="21"/>
    </w:rPr>
  </w:style>
  <w:style w:type="character" w:customStyle="1" w:styleId="72">
    <w:name w:val="正文文本缩进 字符"/>
    <w:basedOn w:val="46"/>
    <w:link w:val="20"/>
    <w:qFormat/>
    <w:uiPriority w:val="99"/>
    <w:rPr>
      <w:rFonts w:ascii="Times New Roman" w:hAnsi="Times New Roman" w:eastAsia="宋体" w:cs="Times New Roman"/>
      <w:sz w:val="24"/>
      <w:szCs w:val="21"/>
    </w:rPr>
  </w:style>
  <w:style w:type="character" w:customStyle="1" w:styleId="73">
    <w:name w:val="纯文本 字符"/>
    <w:basedOn w:val="46"/>
    <w:link w:val="23"/>
    <w:qFormat/>
    <w:uiPriority w:val="0"/>
    <w:rPr>
      <w:rFonts w:ascii="宋体" w:hAnsi="Courier New"/>
      <w:kern w:val="0"/>
    </w:rPr>
  </w:style>
  <w:style w:type="paragraph" w:customStyle="1" w:styleId="74">
    <w:name w:val="标4"/>
    <w:basedOn w:val="75"/>
    <w:qFormat/>
    <w:uiPriority w:val="0"/>
    <w:pPr>
      <w:numPr>
        <w:ilvl w:val="3"/>
      </w:numPr>
      <w:spacing w:line="440" w:lineRule="exact"/>
    </w:pPr>
  </w:style>
  <w:style w:type="paragraph" w:customStyle="1" w:styleId="75">
    <w:name w:val="标3"/>
    <w:basedOn w:val="76"/>
    <w:qFormat/>
    <w:uiPriority w:val="0"/>
    <w:pPr>
      <w:numPr>
        <w:ilvl w:val="2"/>
      </w:numPr>
      <w:spacing w:line="440" w:lineRule="atLeast"/>
    </w:pPr>
  </w:style>
  <w:style w:type="paragraph" w:customStyle="1" w:styleId="76">
    <w:name w:val="标2"/>
    <w:qFormat/>
    <w:uiPriority w:val="0"/>
    <w:pPr>
      <w:numPr>
        <w:ilvl w:val="1"/>
        <w:numId w:val="2"/>
      </w:numPr>
      <w:spacing w:beforeLines="50" w:line="440" w:lineRule="exact"/>
    </w:pPr>
    <w:rPr>
      <w:rFonts w:ascii="宋体" w:hAnsi="宋体" w:eastAsia="宋体" w:cs="Times New Roman"/>
      <w:kern w:val="24"/>
      <w:sz w:val="24"/>
      <w:szCs w:val="24"/>
      <w:lang w:val="en-US" w:eastAsia="zh-CN" w:bidi="ar-SA"/>
    </w:rPr>
  </w:style>
  <w:style w:type="character" w:customStyle="1" w:styleId="77">
    <w:name w:val="标题 5 字符"/>
    <w:basedOn w:val="46"/>
    <w:link w:val="7"/>
    <w:qFormat/>
    <w:uiPriority w:val="9"/>
    <w:rPr>
      <w:rFonts w:ascii="Times New Roman" w:hAnsi="Times New Roman" w:eastAsia="宋体" w:cs="Times New Roman"/>
      <w:sz w:val="24"/>
      <w:szCs w:val="21"/>
    </w:rPr>
  </w:style>
  <w:style w:type="character" w:customStyle="1" w:styleId="78">
    <w:name w:val="标题 6 字符"/>
    <w:basedOn w:val="46"/>
    <w:link w:val="8"/>
    <w:qFormat/>
    <w:uiPriority w:val="0"/>
    <w:rPr>
      <w:rFonts w:ascii="Arial" w:hAnsi="Arial" w:eastAsia="宋体" w:cs="Times New Roman"/>
      <w:sz w:val="24"/>
      <w:szCs w:val="21"/>
    </w:rPr>
  </w:style>
  <w:style w:type="character" w:customStyle="1" w:styleId="79">
    <w:name w:val="标题 7 字符"/>
    <w:basedOn w:val="46"/>
    <w:link w:val="9"/>
    <w:qFormat/>
    <w:uiPriority w:val="9"/>
    <w:rPr>
      <w:rFonts w:ascii="Times New Roman" w:hAnsi="Times New Roman" w:eastAsia="宋体" w:cs="Times New Roman"/>
      <w:b/>
      <w:bCs/>
      <w:sz w:val="24"/>
      <w:szCs w:val="24"/>
    </w:rPr>
  </w:style>
  <w:style w:type="character" w:customStyle="1" w:styleId="80">
    <w:name w:val="标题 8 字符"/>
    <w:basedOn w:val="46"/>
    <w:link w:val="10"/>
    <w:qFormat/>
    <w:uiPriority w:val="9"/>
    <w:rPr>
      <w:rFonts w:asciiTheme="majorHAnsi" w:hAnsiTheme="majorHAnsi" w:eastAsiaTheme="majorEastAsia" w:cstheme="majorBidi"/>
      <w:sz w:val="24"/>
      <w:szCs w:val="24"/>
    </w:rPr>
  </w:style>
  <w:style w:type="character" w:customStyle="1" w:styleId="81">
    <w:name w:val="标题 9 字符"/>
    <w:basedOn w:val="46"/>
    <w:link w:val="11"/>
    <w:qFormat/>
    <w:uiPriority w:val="9"/>
    <w:rPr>
      <w:rFonts w:asciiTheme="majorHAnsi" w:hAnsiTheme="majorHAnsi" w:eastAsiaTheme="majorEastAsia" w:cstheme="majorBidi"/>
      <w:szCs w:val="21"/>
    </w:rPr>
  </w:style>
  <w:style w:type="paragraph" w:customStyle="1" w:styleId="82">
    <w:name w:val="基准-无缩进"/>
    <w:basedOn w:val="5"/>
    <w:link w:val="83"/>
    <w:qFormat/>
    <w:locked/>
    <w:uiPriority w:val="0"/>
    <w:pPr>
      <w:numPr>
        <w:ilvl w:val="0"/>
        <w:numId w:val="0"/>
      </w:numPr>
    </w:pPr>
    <w:rPr>
      <w:rFonts w:cstheme="majorBidi"/>
    </w:rPr>
  </w:style>
  <w:style w:type="character" w:customStyle="1" w:styleId="83">
    <w:name w:val="基准-无缩进 Char"/>
    <w:basedOn w:val="53"/>
    <w:link w:val="82"/>
    <w:qFormat/>
    <w:uiPriority w:val="0"/>
    <w:rPr>
      <w:rFonts w:ascii="Times New Roman" w:hAnsi="Times New Roman" w:eastAsia="宋体" w:cstheme="majorBidi"/>
      <w:sz w:val="24"/>
      <w:szCs w:val="32"/>
    </w:rPr>
  </w:style>
  <w:style w:type="character" w:customStyle="1" w:styleId="84">
    <w:name w:val="题注 字符"/>
    <w:link w:val="16"/>
    <w:qFormat/>
    <w:uiPriority w:val="0"/>
    <w:rPr>
      <w:rFonts w:ascii="Times New Roman" w:hAnsi="Times New Roman" w:eastAsia="宋体" w:cs="Times New Roman"/>
      <w:b/>
      <w:szCs w:val="21"/>
    </w:rPr>
  </w:style>
  <w:style w:type="character" w:customStyle="1" w:styleId="85">
    <w:name w:val="副标题 字符"/>
    <w:basedOn w:val="46"/>
    <w:link w:val="32"/>
    <w:qFormat/>
    <w:uiPriority w:val="0"/>
    <w:rPr>
      <w:rFonts w:eastAsia="宋体" w:asciiTheme="majorHAnsi" w:hAnsiTheme="majorHAnsi" w:cstheme="majorBidi"/>
      <w:b/>
      <w:bCs/>
      <w:kern w:val="28"/>
      <w:sz w:val="32"/>
      <w:szCs w:val="32"/>
    </w:rPr>
  </w:style>
  <w:style w:type="character" w:customStyle="1" w:styleId="86">
    <w:name w:val="正文文本首行缩进 2 字符"/>
    <w:basedOn w:val="72"/>
    <w:link w:val="43"/>
    <w:qFormat/>
    <w:uiPriority w:val="99"/>
    <w:rPr>
      <w:rFonts w:ascii="Times New Roman" w:hAnsi="Times New Roman" w:eastAsia="仿宋_GB2312" w:cs="Times New Roman"/>
      <w:sz w:val="24"/>
      <w:szCs w:val="21"/>
    </w:rPr>
  </w:style>
  <w:style w:type="paragraph" w:customStyle="1" w:styleId="87">
    <w:name w:val="图表名称"/>
    <w:basedOn w:val="1"/>
    <w:link w:val="149"/>
    <w:qFormat/>
    <w:locked/>
    <w:uiPriority w:val="0"/>
    <w:pPr>
      <w:ind w:firstLine="480"/>
      <w:jc w:val="center"/>
    </w:pPr>
    <w:rPr>
      <w:b/>
      <w:sz w:val="21"/>
    </w:rPr>
  </w:style>
  <w:style w:type="character" w:customStyle="1" w:styleId="88">
    <w:name w:val="封面标题 Char"/>
    <w:basedOn w:val="46"/>
    <w:link w:val="54"/>
    <w:qFormat/>
    <w:uiPriority w:val="0"/>
    <w:rPr>
      <w:rFonts w:ascii="Times New Roman" w:hAnsi="Times New Roman" w:eastAsia="宋体" w:cs="Times New Roman"/>
      <w:b/>
      <w:sz w:val="32"/>
      <w:szCs w:val="21"/>
    </w:rPr>
  </w:style>
  <w:style w:type="paragraph" w:customStyle="1" w:styleId="89">
    <w:name w:val="图表标题"/>
    <w:basedOn w:val="90"/>
    <w:next w:val="1"/>
    <w:link w:val="92"/>
    <w:qFormat/>
    <w:locked/>
    <w:uiPriority w:val="0"/>
    <w:pPr>
      <w:spacing w:line="240" w:lineRule="auto"/>
      <w:ind w:firstLine="0" w:firstLineChars="0"/>
      <w:jc w:val="center"/>
    </w:pPr>
    <w:rPr>
      <w:rFonts w:eastAsia="宋体"/>
      <w:b/>
      <w:sz w:val="21"/>
    </w:rPr>
  </w:style>
  <w:style w:type="paragraph" w:customStyle="1" w:styleId="90">
    <w:name w:val="正文部分"/>
    <w:basedOn w:val="1"/>
    <w:link w:val="91"/>
    <w:qFormat/>
    <w:locked/>
    <w:uiPriority w:val="0"/>
    <w:rPr>
      <w:rFonts w:eastAsia="仿宋_GB2312"/>
      <w:szCs w:val="22"/>
    </w:rPr>
  </w:style>
  <w:style w:type="character" w:customStyle="1" w:styleId="91">
    <w:name w:val="正文部分 Char"/>
    <w:link w:val="90"/>
    <w:qFormat/>
    <w:uiPriority w:val="0"/>
    <w:rPr>
      <w:rFonts w:ascii="Times New Roman" w:hAnsi="Times New Roman" w:eastAsia="仿宋_GB2312" w:cs="Times New Roman"/>
      <w:sz w:val="24"/>
    </w:rPr>
  </w:style>
  <w:style w:type="character" w:customStyle="1" w:styleId="92">
    <w:name w:val="图表标题 Char"/>
    <w:link w:val="89"/>
    <w:qFormat/>
    <w:uiPriority w:val="0"/>
    <w:rPr>
      <w:rFonts w:ascii="Times New Roman" w:hAnsi="Times New Roman" w:eastAsia="宋体" w:cs="Times New Roman"/>
      <w:b/>
    </w:rPr>
  </w:style>
  <w:style w:type="paragraph" w:customStyle="1" w:styleId="93">
    <w:name w:val="样式 宋体 四号 行距: 固定值 25 磅"/>
    <w:basedOn w:val="1"/>
    <w:qFormat/>
    <w:locked/>
    <w:uiPriority w:val="0"/>
    <w:pPr>
      <w:spacing w:line="440" w:lineRule="exact"/>
    </w:pPr>
    <w:rPr>
      <w:rFonts w:ascii="宋体" w:hAnsi="宋体" w:eastAsia="仿宋_GB2312"/>
      <w:szCs w:val="20"/>
    </w:rPr>
  </w:style>
  <w:style w:type="character" w:customStyle="1" w:styleId="94">
    <w:name w:val="图表文字 Char"/>
    <w:link w:val="95"/>
    <w:qFormat/>
    <w:uiPriority w:val="0"/>
    <w:rPr>
      <w:rFonts w:ascii="Times New Roman" w:hAnsi="Times New Roman" w:eastAsia="宋体" w:cs="宋体"/>
      <w:color w:val="000000"/>
      <w:szCs w:val="24"/>
    </w:rPr>
  </w:style>
  <w:style w:type="paragraph" w:customStyle="1" w:styleId="95">
    <w:name w:val="图表文字"/>
    <w:link w:val="94"/>
    <w:qFormat/>
    <w:locked/>
    <w:uiPriority w:val="0"/>
    <w:pPr>
      <w:jc w:val="center"/>
    </w:pPr>
    <w:rPr>
      <w:rFonts w:ascii="Times New Roman" w:hAnsi="Times New Roman" w:eastAsia="宋体" w:cs="宋体"/>
      <w:color w:val="000000"/>
      <w:kern w:val="2"/>
      <w:sz w:val="21"/>
      <w:szCs w:val="24"/>
      <w:lang w:val="en-US" w:eastAsia="zh-CN" w:bidi="ar-SA"/>
    </w:rPr>
  </w:style>
  <w:style w:type="character" w:customStyle="1" w:styleId="96">
    <w:name w:val="fontstyle01"/>
    <w:basedOn w:val="46"/>
    <w:qFormat/>
    <w:locked/>
    <w:uiPriority w:val="0"/>
    <w:rPr>
      <w:rFonts w:hint="eastAsia" w:ascii="宋体" w:hAnsi="宋体" w:eastAsia="宋体"/>
      <w:color w:val="000000"/>
      <w:sz w:val="48"/>
      <w:szCs w:val="48"/>
    </w:rPr>
  </w:style>
  <w:style w:type="paragraph" w:customStyle="1" w:styleId="97">
    <w:name w:val="表格文字"/>
    <w:basedOn w:val="1"/>
    <w:qFormat/>
    <w:locked/>
    <w:uiPriority w:val="0"/>
    <w:pPr>
      <w:ind w:firstLine="0" w:firstLineChars="0"/>
      <w:jc w:val="center"/>
    </w:pPr>
    <w:rPr>
      <w:rFonts w:hint="eastAsia" w:eastAsia="仿宋"/>
      <w:sz w:val="18"/>
      <w:szCs w:val="18"/>
    </w:rPr>
  </w:style>
  <w:style w:type="paragraph" w:customStyle="1" w:styleId="98">
    <w:name w:val="Table Paragraph"/>
    <w:basedOn w:val="1"/>
    <w:qFormat/>
    <w:locked/>
    <w:uiPriority w:val="1"/>
    <w:pPr>
      <w:jc w:val="center"/>
    </w:pPr>
    <w:rPr>
      <w:rFonts w:ascii="宋体" w:hAnsi="宋体" w:cs="宋体"/>
    </w:rPr>
  </w:style>
  <w:style w:type="paragraph" w:customStyle="1" w:styleId="99">
    <w:name w:val="表格正文"/>
    <w:basedOn w:val="1"/>
    <w:link w:val="348"/>
    <w:qFormat/>
    <w:locked/>
    <w:uiPriority w:val="0"/>
    <w:pPr>
      <w:spacing w:line="240" w:lineRule="auto"/>
      <w:ind w:firstLine="0" w:firstLineChars="0"/>
      <w:jc w:val="center"/>
    </w:pPr>
    <w:rPr>
      <w:color w:val="000000"/>
      <w:sz w:val="21"/>
      <w:szCs w:val="20"/>
    </w:rPr>
  </w:style>
  <w:style w:type="paragraph" w:customStyle="1" w:styleId="100">
    <w:name w:val="!正文仿小四"/>
    <w:basedOn w:val="1"/>
    <w:qFormat/>
    <w:locked/>
    <w:uiPriority w:val="0"/>
    <w:pPr>
      <w:jc w:val="left"/>
    </w:pPr>
    <w:rPr>
      <w:rFonts w:eastAsia="仿宋_GB2312"/>
      <w:szCs w:val="22"/>
    </w:rPr>
  </w:style>
  <w:style w:type="paragraph" w:customStyle="1" w:styleId="101">
    <w:name w:val="单位及日期"/>
    <w:basedOn w:val="1"/>
    <w:link w:val="102"/>
    <w:qFormat/>
    <w:locked/>
    <w:uiPriority w:val="0"/>
    <w:pPr>
      <w:ind w:firstLine="0" w:firstLineChars="0"/>
      <w:jc w:val="center"/>
    </w:pPr>
    <w:rPr>
      <w:b/>
      <w:color w:val="000000" w:themeColor="text1"/>
      <w:sz w:val="28"/>
      <w:szCs w:val="28"/>
      <w14:textFill>
        <w14:solidFill>
          <w14:schemeClr w14:val="tx1"/>
        </w14:solidFill>
      </w14:textFill>
    </w:rPr>
  </w:style>
  <w:style w:type="character" w:customStyle="1" w:styleId="102">
    <w:name w:val="单位及日期 Char"/>
    <w:basedOn w:val="88"/>
    <w:link w:val="101"/>
    <w:qFormat/>
    <w:uiPriority w:val="0"/>
    <w:rPr>
      <w:rFonts w:ascii="Times New Roman" w:hAnsi="Times New Roman" w:eastAsia="宋体" w:cs="Times New Roman"/>
      <w:color w:val="000000" w:themeColor="text1"/>
      <w:sz w:val="28"/>
      <w:szCs w:val="28"/>
      <w14:textFill>
        <w14:solidFill>
          <w14:schemeClr w14:val="tx1"/>
        </w14:solidFill>
      </w14:textFill>
    </w:rPr>
  </w:style>
  <w:style w:type="paragraph" w:customStyle="1" w:styleId="103">
    <w:name w:val="校审"/>
    <w:basedOn w:val="1"/>
    <w:link w:val="104"/>
    <w:qFormat/>
    <w:locked/>
    <w:uiPriority w:val="0"/>
    <w:pPr>
      <w:ind w:firstLine="0" w:firstLineChars="0"/>
      <w:jc w:val="left"/>
    </w:pPr>
    <w:rPr>
      <w:bCs/>
      <w:color w:val="000000" w:themeColor="text1"/>
      <w:sz w:val="28"/>
      <w:szCs w:val="28"/>
      <w14:textFill>
        <w14:solidFill>
          <w14:schemeClr w14:val="tx1"/>
        </w14:solidFill>
      </w14:textFill>
    </w:rPr>
  </w:style>
  <w:style w:type="character" w:customStyle="1" w:styleId="104">
    <w:name w:val="校审 Char"/>
    <w:basedOn w:val="46"/>
    <w:link w:val="103"/>
    <w:qFormat/>
    <w:uiPriority w:val="0"/>
    <w:rPr>
      <w:rFonts w:ascii="Times New Roman" w:hAnsi="Times New Roman" w:eastAsia="宋体" w:cs="Times New Roman"/>
      <w:bCs/>
      <w:color w:val="000000" w:themeColor="text1"/>
      <w:sz w:val="28"/>
      <w:szCs w:val="28"/>
      <w14:textFill>
        <w14:solidFill>
          <w14:schemeClr w14:val="tx1"/>
        </w14:solidFill>
      </w14:textFill>
    </w:rPr>
  </w:style>
  <w:style w:type="table" w:customStyle="1" w:styleId="105">
    <w:name w:val="Grid Table Light"/>
    <w:basedOn w:val="44"/>
    <w:qFormat/>
    <w:uiPriority w:val="40"/>
    <w:rPr>
      <w:rFonts w:ascii="Calibri" w:hAnsi="Calibri" w:eastAsia="宋体" w:cs="Times New Roman"/>
      <w:kern w:val="0"/>
      <w:sz w:val="20"/>
      <w:szCs w:val="20"/>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06">
    <w:name w:val="批注文字 字符"/>
    <w:basedOn w:val="46"/>
    <w:link w:val="18"/>
    <w:qFormat/>
    <w:uiPriority w:val="0"/>
    <w:rPr>
      <w:rFonts w:ascii="Times New Roman" w:hAnsi="Times New Roman" w:eastAsia="宋体" w:cs="Times New Roman"/>
      <w:sz w:val="24"/>
      <w:szCs w:val="21"/>
    </w:rPr>
  </w:style>
  <w:style w:type="character" w:customStyle="1" w:styleId="107">
    <w:name w:val="批注主题 字符"/>
    <w:basedOn w:val="106"/>
    <w:link w:val="42"/>
    <w:semiHidden/>
    <w:qFormat/>
    <w:uiPriority w:val="0"/>
    <w:rPr>
      <w:rFonts w:ascii="Times New Roman" w:hAnsi="Times New Roman" w:eastAsia="宋体" w:cs="Times New Roman"/>
      <w:b/>
      <w:bCs/>
      <w:sz w:val="24"/>
      <w:szCs w:val="21"/>
    </w:rPr>
  </w:style>
  <w:style w:type="character" w:customStyle="1" w:styleId="108">
    <w:name w:val="批注框文本 字符"/>
    <w:basedOn w:val="46"/>
    <w:link w:val="27"/>
    <w:qFormat/>
    <w:uiPriority w:val="99"/>
    <w:rPr>
      <w:rFonts w:ascii="Times New Roman" w:hAnsi="Times New Roman" w:eastAsia="宋体" w:cs="Times New Roman"/>
      <w:sz w:val="18"/>
      <w:szCs w:val="18"/>
    </w:rPr>
  </w:style>
  <w:style w:type="paragraph" w:customStyle="1" w:styleId="109">
    <w:name w:val="小干表内"/>
    <w:basedOn w:val="1"/>
    <w:qFormat/>
    <w:locked/>
    <w:uiPriority w:val="99"/>
    <w:pPr>
      <w:spacing w:line="240" w:lineRule="auto"/>
      <w:ind w:firstLine="0" w:firstLineChars="0"/>
      <w:jc w:val="left"/>
    </w:pPr>
    <w:rPr>
      <w:rFonts w:ascii="宋体" w:hAnsi="宋体" w:cs="黑体" w:eastAsiaTheme="minorEastAsia"/>
      <w:sz w:val="21"/>
      <w:szCs w:val="22"/>
    </w:rPr>
  </w:style>
  <w:style w:type="paragraph" w:customStyle="1" w:styleId="110">
    <w:name w:val="正文z1"/>
    <w:qFormat/>
    <w:locked/>
    <w:uiPriority w:val="99"/>
    <w:pPr>
      <w:adjustRightInd w:val="0"/>
      <w:snapToGrid w:val="0"/>
    </w:pPr>
    <w:rPr>
      <w:rFonts w:ascii="Calibri" w:hAnsi="Calibri" w:eastAsia="宋体" w:cs="Times New Roman"/>
      <w:kern w:val="2"/>
      <w:sz w:val="24"/>
      <w:szCs w:val="24"/>
      <w:lang w:val="en-US" w:eastAsia="zh-CN" w:bidi="ar-SA"/>
    </w:rPr>
  </w:style>
  <w:style w:type="paragraph" w:customStyle="1" w:styleId="111">
    <w:name w:val="表中字"/>
    <w:basedOn w:val="1"/>
    <w:next w:val="1"/>
    <w:qFormat/>
    <w:locked/>
    <w:uiPriority w:val="0"/>
    <w:pPr>
      <w:adjustRightInd w:val="0"/>
      <w:snapToGrid w:val="0"/>
      <w:spacing w:line="240" w:lineRule="auto"/>
      <w:ind w:firstLine="0" w:firstLineChars="0"/>
      <w:jc w:val="center"/>
    </w:pPr>
    <w:rPr>
      <w:sz w:val="21"/>
      <w:szCs w:val="22"/>
    </w:rPr>
  </w:style>
  <w:style w:type="table" w:customStyle="1" w:styleId="112">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13">
    <w:name w:val="72表格小五"/>
    <w:basedOn w:val="1"/>
    <w:qFormat/>
    <w:locked/>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114">
    <w:name w:val="表格小五"/>
    <w:basedOn w:val="1"/>
    <w:qFormat/>
    <w:locked/>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115">
    <w:name w:val="正文B"/>
    <w:basedOn w:val="1"/>
    <w:link w:val="116"/>
    <w:qFormat/>
    <w:locked/>
    <w:uiPriority w:val="0"/>
    <w:pPr>
      <w:ind w:firstLine="560"/>
    </w:pPr>
    <w:rPr>
      <w:rFonts w:ascii="宋体" w:hAnsi="宋体" w:eastAsia="黑体" w:cs="宋体"/>
      <w:color w:val="FF0000"/>
      <w:kern w:val="0"/>
      <w:szCs w:val="24"/>
    </w:rPr>
  </w:style>
  <w:style w:type="character" w:customStyle="1" w:styleId="116">
    <w:name w:val="正文B Char"/>
    <w:link w:val="115"/>
    <w:qFormat/>
    <w:uiPriority w:val="0"/>
    <w:rPr>
      <w:rFonts w:ascii="宋体" w:hAnsi="宋体" w:eastAsia="黑体" w:cs="宋体"/>
      <w:color w:val="FF0000"/>
      <w:kern w:val="0"/>
      <w:sz w:val="24"/>
      <w:szCs w:val="24"/>
    </w:rPr>
  </w:style>
  <w:style w:type="paragraph" w:customStyle="1" w:styleId="117">
    <w:name w:val="带编号正文"/>
    <w:basedOn w:val="1"/>
    <w:link w:val="118"/>
    <w:qFormat/>
    <w:locked/>
    <w:uiPriority w:val="0"/>
    <w:pPr>
      <w:ind w:firstLine="0" w:firstLineChars="0"/>
    </w:pPr>
  </w:style>
  <w:style w:type="character" w:customStyle="1" w:styleId="118">
    <w:name w:val="带编号正文 字符"/>
    <w:basedOn w:val="46"/>
    <w:link w:val="117"/>
    <w:qFormat/>
    <w:uiPriority w:val="0"/>
    <w:rPr>
      <w:rFonts w:ascii="Times New Roman" w:hAnsi="Times New Roman" w:eastAsia="宋体" w:cs="Times New Roman"/>
      <w:sz w:val="24"/>
      <w:szCs w:val="21"/>
    </w:rPr>
  </w:style>
  <w:style w:type="paragraph" w:customStyle="1" w:styleId="119">
    <w:name w:val="带编号"/>
    <w:basedOn w:val="117"/>
    <w:link w:val="120"/>
    <w:qFormat/>
    <w:locked/>
    <w:uiPriority w:val="0"/>
    <w:pPr>
      <w:ind w:firstLine="200" w:firstLineChars="200"/>
    </w:pPr>
  </w:style>
  <w:style w:type="character" w:customStyle="1" w:styleId="120">
    <w:name w:val="带编号 字符"/>
    <w:basedOn w:val="118"/>
    <w:link w:val="119"/>
    <w:qFormat/>
    <w:uiPriority w:val="0"/>
    <w:rPr>
      <w:rFonts w:ascii="Times New Roman" w:hAnsi="Times New Roman" w:eastAsia="宋体" w:cs="Times New Roman"/>
      <w:sz w:val="24"/>
      <w:szCs w:val="21"/>
    </w:rPr>
  </w:style>
  <w:style w:type="paragraph" w:customStyle="1" w:styleId="121">
    <w:name w:val="（1）"/>
    <w:basedOn w:val="117"/>
    <w:link w:val="122"/>
    <w:qFormat/>
    <w:locked/>
    <w:uiPriority w:val="0"/>
    <w:pPr>
      <w:ind w:firstLine="200" w:firstLineChars="200"/>
    </w:pPr>
  </w:style>
  <w:style w:type="character" w:customStyle="1" w:styleId="122">
    <w:name w:val="（1） 字符"/>
    <w:basedOn w:val="118"/>
    <w:link w:val="121"/>
    <w:qFormat/>
    <w:uiPriority w:val="0"/>
    <w:rPr>
      <w:rFonts w:ascii="Times New Roman" w:hAnsi="Times New Roman" w:eastAsia="宋体" w:cs="Times New Roman"/>
      <w:sz w:val="24"/>
      <w:szCs w:val="21"/>
    </w:rPr>
  </w:style>
  <w:style w:type="paragraph" w:customStyle="1" w:styleId="123">
    <w:name w:val="正文2.13"/>
    <w:basedOn w:val="1"/>
    <w:qFormat/>
    <w:locked/>
    <w:uiPriority w:val="99"/>
    <w:pPr>
      <w:topLinePunct/>
      <w:adjustRightInd w:val="0"/>
      <w:snapToGrid w:val="0"/>
    </w:pPr>
    <w:rPr>
      <w:rFonts w:ascii="Calibri" w:hAnsi="Calibri" w:eastAsia="仿宋_GB2312"/>
      <w:szCs w:val="24"/>
    </w:rPr>
  </w:style>
  <w:style w:type="paragraph" w:customStyle="1" w:styleId="124">
    <w:name w:val="正文1"/>
    <w:basedOn w:val="1"/>
    <w:link w:val="195"/>
    <w:qFormat/>
    <w:locked/>
    <w:uiPriority w:val="0"/>
    <w:pPr>
      <w:adjustRightInd w:val="0"/>
      <w:snapToGrid w:val="0"/>
      <w:jc w:val="left"/>
    </w:pPr>
    <w:rPr>
      <w:rFonts w:ascii="Calibri" w:hAnsi="Calibri"/>
      <w:kern w:val="0"/>
      <w:szCs w:val="24"/>
    </w:rPr>
  </w:style>
  <w:style w:type="paragraph" w:customStyle="1" w:styleId="125">
    <w:name w:val="公式"/>
    <w:basedOn w:val="20"/>
    <w:next w:val="1"/>
    <w:link w:val="126"/>
    <w:qFormat/>
    <w:locked/>
    <w:uiPriority w:val="0"/>
    <w:pPr>
      <w:tabs>
        <w:tab w:val="left" w:pos="360"/>
      </w:tabs>
      <w:spacing w:after="0"/>
      <w:ind w:left="0" w:leftChars="0" w:firstLine="0" w:firstLineChars="0"/>
      <w:jc w:val="center"/>
    </w:pPr>
    <w:rPr>
      <w:rFonts w:eastAsia="仿宋"/>
    </w:rPr>
  </w:style>
  <w:style w:type="character" w:customStyle="1" w:styleId="126">
    <w:name w:val="公式 字符"/>
    <w:basedOn w:val="72"/>
    <w:link w:val="125"/>
    <w:qFormat/>
    <w:uiPriority w:val="0"/>
    <w:rPr>
      <w:rFonts w:ascii="Times New Roman" w:hAnsi="Times New Roman" w:eastAsia="仿宋" w:cs="Times New Roman"/>
      <w:sz w:val="24"/>
      <w:szCs w:val="21"/>
    </w:rPr>
  </w:style>
  <w:style w:type="paragraph" w:customStyle="1" w:styleId="127">
    <w:name w:val="正文文本不缩进"/>
    <w:basedOn w:val="20"/>
    <w:link w:val="128"/>
    <w:qFormat/>
    <w:locked/>
    <w:uiPriority w:val="0"/>
    <w:pPr>
      <w:tabs>
        <w:tab w:val="left" w:pos="360"/>
      </w:tabs>
      <w:spacing w:after="0"/>
      <w:ind w:left="0" w:leftChars="0" w:firstLine="0" w:firstLineChars="0"/>
    </w:pPr>
    <w:rPr>
      <w:rFonts w:eastAsia="仿宋"/>
    </w:rPr>
  </w:style>
  <w:style w:type="character" w:customStyle="1" w:styleId="128">
    <w:name w:val="正文文本不缩进 字符"/>
    <w:basedOn w:val="72"/>
    <w:link w:val="127"/>
    <w:qFormat/>
    <w:uiPriority w:val="0"/>
    <w:rPr>
      <w:rFonts w:ascii="Times New Roman" w:hAnsi="Times New Roman" w:eastAsia="仿宋" w:cs="Times New Roman"/>
      <w:sz w:val="24"/>
      <w:szCs w:val="21"/>
    </w:rPr>
  </w:style>
  <w:style w:type="paragraph" w:customStyle="1" w:styleId="129">
    <w:name w:val="图表头"/>
    <w:basedOn w:val="1"/>
    <w:next w:val="95"/>
    <w:link w:val="130"/>
    <w:qFormat/>
    <w:locked/>
    <w:uiPriority w:val="0"/>
    <w:pPr>
      <w:ind w:firstLine="0" w:firstLineChars="0"/>
      <w:jc w:val="center"/>
    </w:pPr>
    <w:rPr>
      <w:rFonts w:eastAsia="仿宋"/>
      <w:b/>
      <w:sz w:val="21"/>
      <w:szCs w:val="18"/>
    </w:rPr>
  </w:style>
  <w:style w:type="character" w:customStyle="1" w:styleId="130">
    <w:name w:val="图表头 字符"/>
    <w:basedOn w:val="46"/>
    <w:link w:val="129"/>
    <w:qFormat/>
    <w:uiPriority w:val="0"/>
    <w:rPr>
      <w:rFonts w:ascii="Times New Roman" w:hAnsi="Times New Roman" w:eastAsia="仿宋" w:cs="Times New Roman"/>
      <w:b/>
      <w:szCs w:val="18"/>
    </w:rPr>
  </w:style>
  <w:style w:type="character" w:customStyle="1" w:styleId="131">
    <w:name w:val="图表文字 字符"/>
    <w:qFormat/>
    <w:locked/>
    <w:uiPriority w:val="0"/>
    <w:rPr>
      <w:rFonts w:ascii="Times New Roman" w:hAnsi="Times New Roman" w:eastAsia="宋体" w:cs="宋体"/>
      <w:b/>
      <w:bCs/>
      <w:sz w:val="21"/>
      <w:szCs w:val="21"/>
    </w:rPr>
  </w:style>
  <w:style w:type="paragraph" w:customStyle="1" w:styleId="132">
    <w:name w:val="Revision"/>
    <w:hidden/>
    <w:semiHidden/>
    <w:qFormat/>
    <w:uiPriority w:val="99"/>
    <w:rPr>
      <w:rFonts w:ascii="Times New Roman" w:hAnsi="Times New Roman" w:eastAsia="宋体" w:cs="Times New Roman"/>
      <w:kern w:val="2"/>
      <w:sz w:val="24"/>
      <w:szCs w:val="21"/>
      <w:lang w:val="en-US" w:eastAsia="zh-CN" w:bidi="ar-SA"/>
    </w:rPr>
  </w:style>
  <w:style w:type="paragraph" w:customStyle="1" w:styleId="133">
    <w:name w:val="带（）编号正文"/>
    <w:basedOn w:val="1"/>
    <w:link w:val="134"/>
    <w:qFormat/>
    <w:locked/>
    <w:uiPriority w:val="0"/>
    <w:pPr>
      <w:numPr>
        <w:ilvl w:val="0"/>
        <w:numId w:val="3"/>
      </w:numPr>
      <w:adjustRightInd w:val="0"/>
      <w:ind w:firstLine="0" w:firstLineChars="0"/>
    </w:pPr>
  </w:style>
  <w:style w:type="character" w:customStyle="1" w:styleId="134">
    <w:name w:val="带（）编号正文 字符"/>
    <w:basedOn w:val="71"/>
    <w:link w:val="133"/>
    <w:qFormat/>
    <w:uiPriority w:val="0"/>
    <w:rPr>
      <w:rFonts w:ascii="Times New Roman" w:hAnsi="Times New Roman" w:eastAsia="宋体" w:cs="Times New Roman"/>
      <w:sz w:val="24"/>
      <w:szCs w:val="21"/>
    </w:rPr>
  </w:style>
  <w:style w:type="paragraph" w:customStyle="1" w:styleId="135">
    <w:name w:val="题注—图片"/>
    <w:basedOn w:val="16"/>
    <w:next w:val="1"/>
    <w:link w:val="137"/>
    <w:qFormat/>
    <w:locked/>
    <w:uiPriority w:val="0"/>
    <w:pPr>
      <w:keepNext w:val="0"/>
    </w:pPr>
  </w:style>
  <w:style w:type="paragraph" w:customStyle="1" w:styleId="136">
    <w:name w:val="图片"/>
    <w:basedOn w:val="16"/>
    <w:next w:val="135"/>
    <w:link w:val="138"/>
    <w:qFormat/>
    <w:locked/>
    <w:uiPriority w:val="0"/>
    <w:pPr>
      <w:spacing w:line="240" w:lineRule="auto"/>
    </w:pPr>
    <w:rPr>
      <w:b w:val="0"/>
      <w:sz w:val="24"/>
    </w:rPr>
  </w:style>
  <w:style w:type="character" w:customStyle="1" w:styleId="137">
    <w:name w:val="题注—图片 字符"/>
    <w:basedOn w:val="84"/>
    <w:link w:val="135"/>
    <w:qFormat/>
    <w:uiPriority w:val="0"/>
    <w:rPr>
      <w:rFonts w:ascii="Times New Roman" w:hAnsi="Times New Roman" w:eastAsia="宋体" w:cs="Times New Roman"/>
      <w:szCs w:val="21"/>
    </w:rPr>
  </w:style>
  <w:style w:type="character" w:customStyle="1" w:styleId="138">
    <w:name w:val="图片 字符"/>
    <w:basedOn w:val="84"/>
    <w:link w:val="136"/>
    <w:qFormat/>
    <w:uiPriority w:val="0"/>
    <w:rPr>
      <w:rFonts w:ascii="Times New Roman" w:hAnsi="Times New Roman" w:eastAsia="宋体" w:cs="Times New Roman"/>
      <w:b w:val="0"/>
      <w:sz w:val="24"/>
      <w:szCs w:val="21"/>
    </w:rPr>
  </w:style>
  <w:style w:type="character" w:customStyle="1" w:styleId="139">
    <w:name w:val="标题 1 字符1"/>
    <w:basedOn w:val="46"/>
    <w:qFormat/>
    <w:locked/>
    <w:uiPriority w:val="9"/>
    <w:rPr>
      <w:rFonts w:ascii="Times New Roman" w:hAnsi="Times New Roman" w:cs="Times New Roman"/>
      <w:b/>
      <w:bCs/>
      <w:kern w:val="44"/>
      <w:sz w:val="44"/>
      <w:szCs w:val="44"/>
    </w:rPr>
  </w:style>
  <w:style w:type="character" w:customStyle="1" w:styleId="140">
    <w:name w:val="标题 2 字符1"/>
    <w:basedOn w:val="46"/>
    <w:qFormat/>
    <w:uiPriority w:val="9"/>
    <w:rPr>
      <w:rFonts w:asciiTheme="majorHAnsi" w:hAnsiTheme="majorHAnsi" w:eastAsiaTheme="majorEastAsia" w:cstheme="majorBidi"/>
      <w:b/>
      <w:bCs/>
      <w:kern w:val="2"/>
      <w:sz w:val="32"/>
      <w:szCs w:val="32"/>
    </w:rPr>
  </w:style>
  <w:style w:type="character" w:customStyle="1" w:styleId="141">
    <w:name w:val="标题 3 字符1"/>
    <w:basedOn w:val="46"/>
    <w:qFormat/>
    <w:uiPriority w:val="9"/>
    <w:rPr>
      <w:rFonts w:ascii="Times New Roman" w:hAnsi="Times New Roman" w:cs="Times New Roman"/>
      <w:b/>
      <w:bCs/>
      <w:kern w:val="2"/>
      <w:sz w:val="32"/>
      <w:szCs w:val="32"/>
    </w:rPr>
  </w:style>
  <w:style w:type="paragraph" w:customStyle="1" w:styleId="142">
    <w:name w:val="msonormal"/>
    <w:basedOn w:val="1"/>
    <w:qFormat/>
    <w:locked/>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table" w:customStyle="1" w:styleId="143">
    <w:name w:val="网格型1"/>
    <w:basedOn w:val="44"/>
    <w:qFormat/>
    <w:locked/>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
    <w:name w:val="网格型浅色1"/>
    <w:basedOn w:val="44"/>
    <w:qFormat/>
    <w:locked/>
    <w:uiPriority w:val="40"/>
    <w:rPr>
      <w:rFonts w:ascii="Calibri" w:hAnsi="Calibri" w:eastAsia="宋体" w:cs="Times New Roman"/>
      <w:kern w:val="0"/>
      <w:sz w:val="20"/>
      <w:szCs w:val="20"/>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45">
    <w:name w:val="Table Normal1"/>
    <w:semiHidden/>
    <w:qFormat/>
    <w:uiPriority w:val="2"/>
    <w:pPr>
      <w:widowControl w:val="0"/>
      <w:autoSpaceDE w:val="0"/>
      <w:autoSpaceDN w:val="0"/>
    </w:pPr>
    <w:rPr>
      <w:rFonts w:ascii="Calibri" w:hAnsi="Calibri" w:eastAsia="宋体" w:cs="Times New Roman"/>
      <w:kern w:val="0"/>
      <w:sz w:val="22"/>
      <w:lang w:eastAsia="en-US"/>
    </w:rPr>
    <w:tblPr>
      <w:tblCellMar>
        <w:top w:w="0" w:type="dxa"/>
        <w:left w:w="0" w:type="dxa"/>
        <w:bottom w:w="0" w:type="dxa"/>
        <w:right w:w="0" w:type="dxa"/>
      </w:tblCellMar>
    </w:tblPr>
  </w:style>
  <w:style w:type="character" w:styleId="146">
    <w:name w:val="Placeholder Text"/>
    <w:basedOn w:val="46"/>
    <w:semiHidden/>
    <w:qFormat/>
    <w:uiPriority w:val="99"/>
    <w:rPr>
      <w:color w:val="808080"/>
    </w:rPr>
  </w:style>
  <w:style w:type="character" w:customStyle="1" w:styleId="147">
    <w:name w:val="HTML 预设格式 字符"/>
    <w:basedOn w:val="46"/>
    <w:link w:val="39"/>
    <w:semiHidden/>
    <w:qFormat/>
    <w:uiPriority w:val="99"/>
    <w:rPr>
      <w:rFonts w:ascii="宋体" w:hAnsi="宋体" w:eastAsia="宋体" w:cs="Times New Roman"/>
      <w:kern w:val="0"/>
      <w:sz w:val="24"/>
      <w:szCs w:val="24"/>
    </w:rPr>
  </w:style>
  <w:style w:type="table" w:customStyle="1" w:styleId="148">
    <w:name w:val="网格型2"/>
    <w:basedOn w:val="44"/>
    <w:qFormat/>
    <w:uiPriority w:val="59"/>
    <w:pPr>
      <w:jc w:val="center"/>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9">
    <w:name w:val="图表名称 Char"/>
    <w:link w:val="87"/>
    <w:qFormat/>
    <w:uiPriority w:val="0"/>
    <w:rPr>
      <w:rFonts w:ascii="Times New Roman" w:hAnsi="Times New Roman" w:eastAsia="宋体" w:cs="Times New Roman"/>
      <w:b/>
      <w:szCs w:val="21"/>
    </w:rPr>
  </w:style>
  <w:style w:type="paragraph" w:customStyle="1" w:styleId="150">
    <w:name w:val="图文字（新）"/>
    <w:basedOn w:val="1"/>
    <w:next w:val="1"/>
    <w:link w:val="250"/>
    <w:qFormat/>
    <w:uiPriority w:val="0"/>
    <w:pPr>
      <w:autoSpaceDE w:val="0"/>
      <w:autoSpaceDN w:val="0"/>
      <w:adjustRightInd w:val="0"/>
      <w:snapToGrid w:val="0"/>
      <w:spacing w:line="240" w:lineRule="auto"/>
      <w:ind w:firstLine="0" w:firstLineChars="0"/>
      <w:jc w:val="center"/>
      <w:textAlignment w:val="baseline"/>
    </w:pPr>
    <w:rPr>
      <w:rFonts w:hAnsi="Calibri"/>
      <w:color w:val="000000"/>
      <w:kern w:val="28"/>
      <w:sz w:val="21"/>
    </w:rPr>
  </w:style>
  <w:style w:type="paragraph" w:customStyle="1" w:styleId="151">
    <w:name w:val="!图表题仿五"/>
    <w:basedOn w:val="100"/>
    <w:qFormat/>
    <w:uiPriority w:val="0"/>
    <w:pPr>
      <w:ind w:firstLine="0" w:firstLineChars="0"/>
      <w:jc w:val="center"/>
    </w:pPr>
    <w:rPr>
      <w:b/>
      <w:color w:val="0000FF"/>
      <w:sz w:val="21"/>
    </w:rPr>
  </w:style>
  <w:style w:type="character" w:customStyle="1" w:styleId="152">
    <w:name w:val="未处理的提及1"/>
    <w:basedOn w:val="46"/>
    <w:semiHidden/>
    <w:unhideWhenUsed/>
    <w:qFormat/>
    <w:uiPriority w:val="99"/>
    <w:rPr>
      <w:color w:val="605E5C"/>
      <w:shd w:val="clear" w:color="auto" w:fill="E1DFDD"/>
    </w:rPr>
  </w:style>
  <w:style w:type="table" w:customStyle="1" w:styleId="153">
    <w:name w:val="网格型11"/>
    <w:basedOn w:val="44"/>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
    <w:name w:val="网格型12"/>
    <w:basedOn w:val="44"/>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5">
    <w:name w:val="K正文 Char"/>
    <w:link w:val="156"/>
    <w:qFormat/>
    <w:uiPriority w:val="0"/>
    <w:rPr>
      <w:rFonts w:cs="宋体"/>
      <w:sz w:val="24"/>
      <w:szCs w:val="24"/>
    </w:rPr>
  </w:style>
  <w:style w:type="paragraph" w:customStyle="1" w:styleId="156">
    <w:name w:val="K正文"/>
    <w:basedOn w:val="1"/>
    <w:link w:val="155"/>
    <w:qFormat/>
    <w:uiPriority w:val="0"/>
    <w:pPr>
      <w:jc w:val="left"/>
    </w:pPr>
    <w:rPr>
      <w:rFonts w:cs="宋体" w:asciiTheme="minorHAnsi" w:hAnsiTheme="minorHAnsi" w:eastAsiaTheme="minorEastAsia"/>
      <w:szCs w:val="24"/>
    </w:rPr>
  </w:style>
  <w:style w:type="paragraph" w:customStyle="1" w:styleId="157">
    <w:name w:val="表格居中"/>
    <w:link w:val="302"/>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158">
    <w:name w:val="缩进1.5"/>
    <w:next w:val="1"/>
    <w:link w:val="371"/>
    <w:qFormat/>
    <w:uiPriority w:val="0"/>
    <w:pPr>
      <w:widowControl w:val="0"/>
      <w:spacing w:line="360" w:lineRule="auto"/>
      <w:ind w:firstLine="150" w:firstLineChars="150"/>
      <w:jc w:val="both"/>
    </w:pPr>
    <w:rPr>
      <w:rFonts w:ascii="Times New Roman" w:hAnsi="Times New Roman" w:eastAsia="宋体" w:cstheme="minorBidi"/>
      <w:kern w:val="2"/>
      <w:sz w:val="24"/>
      <w:szCs w:val="22"/>
      <w:lang w:val="en-US" w:eastAsia="zh-CN" w:bidi="ar-SA"/>
    </w:rPr>
  </w:style>
  <w:style w:type="paragraph" w:customStyle="1" w:styleId="159">
    <w:name w:val="6级带编号正文"/>
    <w:link w:val="180"/>
    <w:qFormat/>
    <w:uiPriority w:val="0"/>
    <w:pPr>
      <w:widowControl w:val="0"/>
      <w:numPr>
        <w:ilvl w:val="0"/>
        <w:numId w:val="4"/>
      </w:numPr>
      <w:spacing w:line="360" w:lineRule="auto"/>
      <w:jc w:val="both"/>
    </w:pP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style>
  <w:style w:type="paragraph" w:customStyle="1" w:styleId="160">
    <w:name w:val="正文样式"/>
    <w:qFormat/>
    <w:uiPriority w:val="0"/>
    <w:pPr>
      <w:widowControl w:val="0"/>
      <w:adjustRightInd w:val="0"/>
      <w:snapToGrid w:val="0"/>
      <w:spacing w:line="360" w:lineRule="auto"/>
      <w:ind w:firstLine="480"/>
      <w:jc w:val="both"/>
    </w:pPr>
    <w:rPr>
      <w:rFonts w:ascii="仿宋_GB2312" w:hAnsi="Times New Roman" w:eastAsia="仿宋_GB2312" w:cs="Times New Roman"/>
      <w:kern w:val="2"/>
      <w:sz w:val="24"/>
      <w:szCs w:val="24"/>
      <w:lang w:val="en-US" w:eastAsia="zh-CN" w:bidi="ar-SA"/>
    </w:rPr>
  </w:style>
  <w:style w:type="table" w:customStyle="1" w:styleId="161">
    <w:name w:val="网格型浅色2"/>
    <w:basedOn w:val="44"/>
    <w:qFormat/>
    <w:uiPriority w:val="40"/>
    <w:rPr>
      <w:rFonts w:ascii="Calibri" w:hAnsi="Calibri" w:eastAsia="宋体" w:cs="Times New Roman"/>
      <w:kern w:val="0"/>
      <w:sz w:val="20"/>
      <w:szCs w:val="20"/>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2">
    <w:name w:val="Table Normal2"/>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table" w:customStyle="1" w:styleId="163">
    <w:name w:val="网格型浅色11"/>
    <w:basedOn w:val="44"/>
    <w:qFormat/>
    <w:locked/>
    <w:uiPriority w:val="40"/>
    <w:rPr>
      <w:rFonts w:ascii="Calibri" w:hAnsi="Calibri" w:eastAsia="宋体" w:cs="Times New Roman"/>
      <w:kern w:val="0"/>
      <w:sz w:val="20"/>
      <w:szCs w:val="20"/>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4">
    <w:name w:val="Table Normal11"/>
    <w:semiHidden/>
    <w:qFormat/>
    <w:uiPriority w:val="2"/>
    <w:pPr>
      <w:widowControl w:val="0"/>
      <w:autoSpaceDE w:val="0"/>
      <w:autoSpaceDN w:val="0"/>
    </w:pPr>
    <w:rPr>
      <w:rFonts w:ascii="Calibri" w:hAnsi="Calibri" w:eastAsia="宋体" w:cs="Times New Roman"/>
      <w:kern w:val="0"/>
      <w:sz w:val="22"/>
      <w:lang w:eastAsia="en-US"/>
    </w:rPr>
    <w:tblPr>
      <w:tblCellMar>
        <w:top w:w="0" w:type="dxa"/>
        <w:left w:w="0" w:type="dxa"/>
        <w:bottom w:w="0" w:type="dxa"/>
        <w:right w:w="0" w:type="dxa"/>
      </w:tblCellMar>
    </w:tblPr>
  </w:style>
  <w:style w:type="character" w:customStyle="1" w:styleId="165">
    <w:name w:val="标题 字符"/>
    <w:basedOn w:val="46"/>
    <w:link w:val="41"/>
    <w:qFormat/>
    <w:uiPriority w:val="0"/>
    <w:rPr>
      <w:rFonts w:asciiTheme="majorHAnsi" w:hAnsiTheme="majorHAnsi" w:eastAsiaTheme="majorEastAsia" w:cstheme="majorBidi"/>
      <w:b/>
      <w:bCs/>
      <w:sz w:val="32"/>
      <w:szCs w:val="32"/>
    </w:rPr>
  </w:style>
  <w:style w:type="paragraph" w:customStyle="1" w:styleId="166">
    <w:name w:val="说明文本"/>
    <w:basedOn w:val="1"/>
    <w:link w:val="167"/>
    <w:qFormat/>
    <w:uiPriority w:val="0"/>
    <w:pPr>
      <w:ind w:firstLine="480"/>
    </w:pPr>
    <w:rPr>
      <w:rFonts w:eastAsia="楷体"/>
      <w:color w:val="FF0000"/>
      <w:sz w:val="21"/>
    </w:rPr>
  </w:style>
  <w:style w:type="character" w:customStyle="1" w:styleId="167">
    <w:name w:val="说明文本 字符"/>
    <w:basedOn w:val="46"/>
    <w:link w:val="166"/>
    <w:qFormat/>
    <w:uiPriority w:val="0"/>
    <w:rPr>
      <w:rFonts w:ascii="Times New Roman" w:hAnsi="Times New Roman" w:eastAsia="楷体" w:cs="Times New Roman"/>
      <w:color w:val="FF0000"/>
      <w:szCs w:val="21"/>
    </w:rPr>
  </w:style>
  <w:style w:type="paragraph" w:customStyle="1" w:styleId="168">
    <w:name w:val="L图表标题"/>
    <w:basedOn w:val="16"/>
    <w:link w:val="171"/>
    <w:qFormat/>
    <w:uiPriority w:val="0"/>
    <w:pPr>
      <w:keepNext w:val="0"/>
      <w:spacing w:line="240" w:lineRule="auto"/>
    </w:pPr>
    <w:rPr>
      <w:szCs w:val="22"/>
    </w:rPr>
  </w:style>
  <w:style w:type="character" w:customStyle="1" w:styleId="169">
    <w:name w:val="!正文 Char"/>
    <w:link w:val="170"/>
    <w:qFormat/>
    <w:uiPriority w:val="0"/>
    <w:rPr>
      <w:rFonts w:eastAsia="仿宋_GB2312"/>
      <w:sz w:val="24"/>
      <w:szCs w:val="24"/>
    </w:rPr>
  </w:style>
  <w:style w:type="paragraph" w:customStyle="1" w:styleId="170">
    <w:name w:val="!正文"/>
    <w:basedOn w:val="1"/>
    <w:link w:val="169"/>
    <w:qFormat/>
    <w:uiPriority w:val="0"/>
    <w:rPr>
      <w:rFonts w:eastAsia="仿宋_GB2312" w:asciiTheme="minorHAnsi" w:hAnsiTheme="minorHAnsi" w:cstheme="minorBidi"/>
      <w:szCs w:val="24"/>
    </w:rPr>
  </w:style>
  <w:style w:type="character" w:customStyle="1" w:styleId="171">
    <w:name w:val="L图表标题 字符"/>
    <w:link w:val="168"/>
    <w:qFormat/>
    <w:uiPriority w:val="0"/>
    <w:rPr>
      <w:rFonts w:ascii="Times New Roman" w:hAnsi="Times New Roman" w:eastAsia="宋体" w:cs="Times New Roman"/>
      <w:b/>
    </w:rPr>
  </w:style>
  <w:style w:type="paragraph" w:customStyle="1" w:styleId="172">
    <w:name w:val="L正文文本"/>
    <w:basedOn w:val="1"/>
    <w:link w:val="173"/>
    <w:qFormat/>
    <w:uiPriority w:val="0"/>
    <w:rPr>
      <w:color w:val="000000" w:themeColor="text1"/>
      <w14:textFill>
        <w14:solidFill>
          <w14:schemeClr w14:val="tx1"/>
        </w14:solidFill>
      </w14:textFill>
    </w:rPr>
  </w:style>
  <w:style w:type="character" w:customStyle="1" w:styleId="173">
    <w:name w:val="L正文文本 字符"/>
    <w:basedOn w:val="46"/>
    <w:link w:val="172"/>
    <w:qFormat/>
    <w:uiPriority w:val="0"/>
    <w:rPr>
      <w:rFonts w:ascii="Times New Roman" w:hAnsi="Times New Roman" w:eastAsia="宋体" w:cs="Times New Roman"/>
      <w:color w:val="000000" w:themeColor="text1"/>
      <w:sz w:val="24"/>
      <w:szCs w:val="21"/>
      <w14:textFill>
        <w14:solidFill>
          <w14:schemeClr w14:val="tx1"/>
        </w14:solidFill>
      </w14:textFill>
    </w:rPr>
  </w:style>
  <w:style w:type="paragraph" w:customStyle="1" w:styleId="174">
    <w:name w:val="加粗"/>
    <w:basedOn w:val="172"/>
    <w:link w:val="175"/>
    <w:uiPriority w:val="0"/>
    <w:pPr>
      <w:ind w:firstLine="480"/>
    </w:pPr>
    <w:rPr>
      <w:b/>
      <w:bCs/>
    </w:rPr>
  </w:style>
  <w:style w:type="character" w:customStyle="1" w:styleId="175">
    <w:name w:val="加粗 字符"/>
    <w:basedOn w:val="173"/>
    <w:link w:val="174"/>
    <w:qFormat/>
    <w:uiPriority w:val="0"/>
    <w:rPr>
      <w:rFonts w:ascii="Times New Roman" w:hAnsi="Times New Roman" w:eastAsia="宋体" w:cs="Times New Roman"/>
      <w:b/>
      <w:bCs/>
      <w:color w:val="000000" w:themeColor="text1"/>
      <w:sz w:val="24"/>
      <w:szCs w:val="21"/>
      <w14:textFill>
        <w14:solidFill>
          <w14:schemeClr w14:val="tx1"/>
        </w14:solidFill>
      </w14:textFill>
    </w:rPr>
  </w:style>
  <w:style w:type="paragraph" w:customStyle="1" w:styleId="176">
    <w:name w:val="图片居中"/>
    <w:basedOn w:val="1"/>
    <w:link w:val="177"/>
    <w:qFormat/>
    <w:uiPriority w:val="0"/>
    <w:pPr>
      <w:spacing w:line="240" w:lineRule="auto"/>
      <w:ind w:firstLine="0" w:firstLineChars="0"/>
      <w:jc w:val="center"/>
    </w:pPr>
  </w:style>
  <w:style w:type="character" w:customStyle="1" w:styleId="177">
    <w:name w:val="图片居中 字符"/>
    <w:basedOn w:val="46"/>
    <w:link w:val="176"/>
    <w:qFormat/>
    <w:uiPriority w:val="0"/>
    <w:rPr>
      <w:rFonts w:ascii="Times New Roman" w:hAnsi="Times New Roman" w:eastAsia="宋体" w:cs="Times New Roman"/>
      <w:sz w:val="24"/>
      <w:szCs w:val="21"/>
    </w:rPr>
  </w:style>
  <w:style w:type="paragraph" w:customStyle="1" w:styleId="178">
    <w:name w:val="5级带编号正文"/>
    <w:basedOn w:val="1"/>
    <w:link w:val="179"/>
    <w:uiPriority w:val="0"/>
    <w:pPr>
      <w:numPr>
        <w:ilvl w:val="0"/>
        <w:numId w:val="5"/>
      </w:numPr>
      <w:ind w:firstLine="0" w:firstLineChars="0"/>
      <w:outlineLvl w:val="4"/>
    </w:pPr>
  </w:style>
  <w:style w:type="character" w:customStyle="1" w:styleId="179">
    <w:name w:val="5级带编号正文 字符"/>
    <w:basedOn w:val="46"/>
    <w:link w:val="178"/>
    <w:qFormat/>
    <w:uiPriority w:val="0"/>
    <w:rPr>
      <w:rFonts w:ascii="Times New Roman" w:hAnsi="Times New Roman" w:eastAsia="宋体" w:cs="Times New Roman"/>
      <w:sz w:val="24"/>
      <w:szCs w:val="21"/>
    </w:rPr>
  </w:style>
  <w:style w:type="character" w:customStyle="1" w:styleId="180">
    <w:name w:val="6级带编号正文 字符"/>
    <w:basedOn w:val="46"/>
    <w:link w:val="159"/>
    <w:qFormat/>
    <w:uiPriority w:val="0"/>
    <w:rPr>
      <w:rFonts w:ascii="Times New Roman" w:hAnsi="Times New Roman" w:eastAsia="宋体" w:cs="Times New Roman"/>
      <w:color w:val="000000" w:themeColor="text1"/>
      <w:sz w:val="24"/>
      <w:szCs w:val="21"/>
      <w14:textFill>
        <w14:solidFill>
          <w14:schemeClr w14:val="tx1"/>
        </w14:solidFill>
      </w14:textFill>
    </w:rPr>
  </w:style>
  <w:style w:type="table" w:customStyle="1" w:styleId="181">
    <w:name w:val="表格标准"/>
    <w:basedOn w:val="44"/>
    <w:qFormat/>
    <w:uiPriority w:val="99"/>
    <w:pPr>
      <w:jc w:val="center"/>
    </w:pPr>
    <w:rPr>
      <w:rFonts w:ascii="Times New Roman" w:hAnsi="Times New Roman" w:eastAsia="宋体" w:cs="Times New Roman"/>
      <w:kern w:val="0"/>
      <w:szCs w:val="20"/>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82">
    <w:name w:val="普通(网站) 字符"/>
    <w:link w:val="40"/>
    <w:qFormat/>
    <w:locked/>
    <w:uiPriority w:val="99"/>
    <w:rPr>
      <w:rFonts w:ascii="宋体" w:hAnsi="宋体" w:eastAsia="宋体" w:cs="宋体"/>
      <w:kern w:val="0"/>
      <w:sz w:val="24"/>
      <w:szCs w:val="24"/>
    </w:rPr>
  </w:style>
  <w:style w:type="paragraph" w:customStyle="1" w:styleId="183">
    <w:name w:val="插图"/>
    <w:next w:val="1"/>
    <w:qFormat/>
    <w:uiPriority w:val="0"/>
    <w:pPr>
      <w:keepNext/>
      <w:spacing w:line="360" w:lineRule="auto"/>
      <w:jc w:val="center"/>
    </w:pPr>
    <w:rPr>
      <w:rFonts w:ascii="Times New Roman" w:hAnsi="Times New Roman" w:eastAsia="仿宋" w:cs="Times New Roman"/>
      <w:kern w:val="2"/>
      <w:sz w:val="24"/>
      <w:szCs w:val="22"/>
      <w:lang w:val="en-US" w:eastAsia="zh-CN" w:bidi="ar-SA"/>
    </w:rPr>
  </w:style>
  <w:style w:type="character" w:customStyle="1" w:styleId="184">
    <w:name w:val="正文-昌赣 Char"/>
    <w:link w:val="185"/>
    <w:qFormat/>
    <w:locked/>
    <w:uiPriority w:val="0"/>
    <w:rPr>
      <w:rFonts w:ascii="Tahoma" w:eastAsia="Tahoma"/>
      <w:color w:val="000000"/>
      <w:kern w:val="20"/>
      <w:sz w:val="28"/>
      <w:szCs w:val="28"/>
    </w:rPr>
  </w:style>
  <w:style w:type="paragraph" w:customStyle="1" w:styleId="185">
    <w:name w:val="正文-昌赣"/>
    <w:basedOn w:val="1"/>
    <w:link w:val="184"/>
    <w:qFormat/>
    <w:uiPriority w:val="0"/>
    <w:pPr>
      <w:autoSpaceDE w:val="0"/>
      <w:autoSpaceDN w:val="0"/>
      <w:adjustRightInd w:val="0"/>
      <w:spacing w:line="460" w:lineRule="exact"/>
      <w:jc w:val="left"/>
    </w:pPr>
    <w:rPr>
      <w:rFonts w:ascii="Tahoma" w:eastAsia="Tahoma" w:hAnsiTheme="minorHAnsi" w:cstheme="minorBidi"/>
      <w:color w:val="000000"/>
      <w:kern w:val="20"/>
      <w:sz w:val="28"/>
      <w:szCs w:val="28"/>
    </w:rPr>
  </w:style>
  <w:style w:type="paragraph" w:customStyle="1" w:styleId="186">
    <w:name w:val="abc"/>
    <w:basedOn w:val="1"/>
    <w:uiPriority w:val="99"/>
    <w:pPr>
      <w:adjustRightInd w:val="0"/>
      <w:snapToGrid w:val="0"/>
      <w:jc w:val="left"/>
    </w:pPr>
    <w:rPr>
      <w:rFonts w:ascii="宋体" w:hAnsi="宋体"/>
      <w:kern w:val="0"/>
      <w:szCs w:val="24"/>
      <w:lang w:eastAsia="en-US" w:bidi="en-US"/>
    </w:rPr>
  </w:style>
  <w:style w:type="character" w:customStyle="1" w:styleId="187">
    <w:name w:val="表内文字 Char"/>
    <w:link w:val="50"/>
    <w:qFormat/>
    <w:uiPriority w:val="0"/>
    <w:rPr>
      <w:rFonts w:ascii="Times New Roman" w:hAnsi="Times New Roman" w:eastAsia="宋体" w:cs="Times New Roman"/>
      <w:szCs w:val="21"/>
    </w:rPr>
  </w:style>
  <w:style w:type="paragraph" w:customStyle="1" w:styleId="188">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189">
    <w:name w:val="表格"/>
    <w:basedOn w:val="1"/>
    <w:next w:val="1"/>
    <w:link w:val="199"/>
    <w:qFormat/>
    <w:uiPriority w:val="0"/>
    <w:pPr>
      <w:adjustRightInd w:val="0"/>
      <w:snapToGrid w:val="0"/>
      <w:spacing w:line="500" w:lineRule="exact"/>
      <w:jc w:val="center"/>
    </w:pPr>
    <w:rPr>
      <w:rFonts w:ascii="仿宋" w:hAnsi="Calibri" w:eastAsia="仿宋"/>
      <w:b/>
      <w:sz w:val="21"/>
      <w:szCs w:val="20"/>
    </w:rPr>
  </w:style>
  <w:style w:type="paragraph" w:customStyle="1" w:styleId="190">
    <w:name w:val="71表格五号"/>
    <w:basedOn w:val="1"/>
    <w:qFormat/>
    <w:uiPriority w:val="0"/>
    <w:pPr>
      <w:adjustRightInd w:val="0"/>
      <w:snapToGrid w:val="0"/>
      <w:spacing w:line="240" w:lineRule="auto"/>
      <w:ind w:firstLine="0" w:firstLineChars="0"/>
      <w:jc w:val="center"/>
    </w:pPr>
    <w:rPr>
      <w:rFonts w:ascii="宋体" w:hAnsi="宋体" w:cs="宋体"/>
      <w:snapToGrid w:val="0"/>
      <w:kern w:val="0"/>
      <w:sz w:val="21"/>
    </w:rPr>
  </w:style>
  <w:style w:type="paragraph" w:customStyle="1" w:styleId="191">
    <w:name w:val="80标题图片"/>
    <w:basedOn w:val="1"/>
    <w:next w:val="1"/>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paragraph" w:customStyle="1" w:styleId="192">
    <w:name w:val="A正文格式11-16"/>
    <w:basedOn w:val="1"/>
    <w:link w:val="193"/>
    <w:qFormat/>
    <w:uiPriority w:val="0"/>
    <w:pPr>
      <w:adjustRightInd w:val="0"/>
      <w:snapToGrid w:val="0"/>
      <w:ind w:firstLine="480"/>
      <w:jc w:val="left"/>
    </w:pPr>
    <w:rPr>
      <w:szCs w:val="24"/>
    </w:rPr>
  </w:style>
  <w:style w:type="character" w:customStyle="1" w:styleId="193">
    <w:name w:val="A正文格式11-16 字符"/>
    <w:link w:val="192"/>
    <w:qFormat/>
    <w:uiPriority w:val="0"/>
    <w:rPr>
      <w:rFonts w:ascii="Times New Roman" w:hAnsi="Times New Roman" w:eastAsia="宋体" w:cs="Times New Roman"/>
      <w:sz w:val="24"/>
      <w:szCs w:val="24"/>
    </w:rPr>
  </w:style>
  <w:style w:type="character" w:customStyle="1" w:styleId="194">
    <w:name w:val="NormalCharacter"/>
    <w:semiHidden/>
    <w:uiPriority w:val="0"/>
  </w:style>
  <w:style w:type="character" w:customStyle="1" w:styleId="195">
    <w:name w:val="正文1 字符"/>
    <w:basedOn w:val="46"/>
    <w:link w:val="124"/>
    <w:uiPriority w:val="0"/>
    <w:rPr>
      <w:rFonts w:ascii="Calibri" w:hAnsi="Calibri" w:eastAsia="宋体" w:cs="Times New Roman"/>
      <w:kern w:val="0"/>
      <w:sz w:val="24"/>
      <w:szCs w:val="24"/>
    </w:rPr>
  </w:style>
  <w:style w:type="character" w:customStyle="1" w:styleId="196">
    <w:name w:val="题注 字符5"/>
    <w:qFormat/>
    <w:uiPriority w:val="0"/>
    <w:rPr>
      <w:rFonts w:ascii="Times New Roman" w:hAnsi="Times New Roman"/>
      <w:b/>
      <w:kern w:val="2"/>
      <w:sz w:val="21"/>
    </w:rPr>
  </w:style>
  <w:style w:type="character" w:customStyle="1" w:styleId="197">
    <w:name w:val="图形格式 字符"/>
    <w:link w:val="198"/>
    <w:qFormat/>
    <w:uiPriority w:val="0"/>
    <w:rPr>
      <w:rFonts w:ascii="Times New Roman" w:hAnsi="Times New Roman"/>
      <w:b/>
    </w:rPr>
  </w:style>
  <w:style w:type="paragraph" w:customStyle="1" w:styleId="198">
    <w:name w:val="图形格式"/>
    <w:next w:val="1"/>
    <w:link w:val="197"/>
    <w:qFormat/>
    <w:uiPriority w:val="0"/>
    <w:pPr>
      <w:jc w:val="center"/>
    </w:pPr>
    <w:rPr>
      <w:rFonts w:ascii="Times New Roman" w:hAnsi="Times New Roman" w:eastAsiaTheme="minorEastAsia" w:cstheme="minorBidi"/>
      <w:b/>
      <w:kern w:val="2"/>
      <w:sz w:val="21"/>
      <w:szCs w:val="22"/>
      <w:lang w:val="en-US" w:eastAsia="zh-CN" w:bidi="ar-SA"/>
    </w:rPr>
  </w:style>
  <w:style w:type="character" w:customStyle="1" w:styleId="199">
    <w:name w:val="表格 Char"/>
    <w:link w:val="189"/>
    <w:qFormat/>
    <w:uiPriority w:val="0"/>
    <w:rPr>
      <w:rFonts w:ascii="仿宋" w:hAnsi="Calibri" w:eastAsia="仿宋" w:cs="Times New Roman"/>
      <w:b/>
      <w:szCs w:val="20"/>
    </w:rPr>
  </w:style>
  <w:style w:type="paragraph" w:customStyle="1" w:styleId="200">
    <w:name w:val="表格内容"/>
    <w:basedOn w:val="1"/>
    <w:qFormat/>
    <w:uiPriority w:val="0"/>
    <w:pPr>
      <w:spacing w:line="240" w:lineRule="auto"/>
      <w:ind w:firstLine="0" w:firstLineChars="0"/>
      <w:jc w:val="center"/>
    </w:pPr>
    <w:rPr>
      <w:sz w:val="21"/>
      <w:szCs w:val="22"/>
    </w:rPr>
  </w:style>
  <w:style w:type="character" w:customStyle="1" w:styleId="201">
    <w:name w:val="fontstyle21"/>
    <w:qFormat/>
    <w:uiPriority w:val="0"/>
    <w:rPr>
      <w:rFonts w:hint="eastAsia" w:ascii="宋体" w:hAnsi="宋体" w:eastAsia="宋体"/>
      <w:color w:val="000000"/>
      <w:sz w:val="24"/>
      <w:szCs w:val="24"/>
    </w:rPr>
  </w:style>
  <w:style w:type="character" w:customStyle="1" w:styleId="202">
    <w:name w:val="图表标题 字符"/>
    <w:qFormat/>
    <w:uiPriority w:val="0"/>
    <w:rPr>
      <w:b/>
      <w:kern w:val="2"/>
      <w:sz w:val="21"/>
      <w:szCs w:val="22"/>
    </w:rPr>
  </w:style>
  <w:style w:type="character" w:customStyle="1" w:styleId="203">
    <w:name w:val="正文缩进 字符4"/>
    <w:link w:val="13"/>
    <w:qFormat/>
    <w:uiPriority w:val="99"/>
    <w:rPr>
      <w:rFonts w:ascii="Times New Roman" w:hAnsi="Times New Roman" w:eastAsia="宋体" w:cs="Times New Roman"/>
      <w:sz w:val="24"/>
      <w:szCs w:val="21"/>
    </w:rPr>
  </w:style>
  <w:style w:type="character" w:customStyle="1" w:styleId="204">
    <w:name w:val="正文文本 字符3"/>
    <w:qFormat/>
    <w:uiPriority w:val="0"/>
    <w:rPr>
      <w:rFonts w:ascii="Times New Roman" w:hAnsi="Times New Roman"/>
      <w:kern w:val="2"/>
      <w:sz w:val="24"/>
      <w:szCs w:val="24"/>
    </w:rPr>
  </w:style>
  <w:style w:type="character" w:customStyle="1" w:styleId="205">
    <w:name w:val="正文文本首行缩进 字符2"/>
    <w:qFormat/>
    <w:uiPriority w:val="99"/>
    <w:rPr>
      <w:rFonts w:ascii="仿宋" w:hAnsi="仿宋" w:eastAsia="仿宋" w:cs="Times New Roman"/>
      <w:kern w:val="2"/>
      <w:sz w:val="24"/>
      <w:szCs w:val="21"/>
    </w:rPr>
  </w:style>
  <w:style w:type="character" w:customStyle="1" w:styleId="206">
    <w:name w:val="标题 1 字符3"/>
    <w:qFormat/>
    <w:uiPriority w:val="9"/>
    <w:rPr>
      <w:rFonts w:ascii="Times New Roman" w:hAnsi="Times New Roman"/>
      <w:b/>
      <w:bCs/>
      <w:kern w:val="44"/>
      <w:sz w:val="32"/>
      <w:szCs w:val="44"/>
    </w:rPr>
  </w:style>
  <w:style w:type="character" w:customStyle="1" w:styleId="207">
    <w:name w:val="标题 2 字符3"/>
    <w:qFormat/>
    <w:uiPriority w:val="9"/>
    <w:rPr>
      <w:rFonts w:ascii="Cambria" w:hAnsi="Cambria"/>
      <w:b/>
      <w:bCs/>
      <w:kern w:val="2"/>
      <w:sz w:val="28"/>
      <w:szCs w:val="32"/>
    </w:rPr>
  </w:style>
  <w:style w:type="character" w:customStyle="1" w:styleId="208">
    <w:name w:val="标题 3 字符3"/>
    <w:qFormat/>
    <w:uiPriority w:val="9"/>
    <w:rPr>
      <w:rFonts w:ascii="Times New Roman" w:hAnsi="Times New Roman"/>
      <w:b/>
      <w:bCs/>
      <w:kern w:val="2"/>
      <w:sz w:val="24"/>
      <w:szCs w:val="32"/>
    </w:rPr>
  </w:style>
  <w:style w:type="character" w:customStyle="1" w:styleId="209">
    <w:name w:val="标题 4 字符3"/>
    <w:qFormat/>
    <w:uiPriority w:val="9"/>
    <w:rPr>
      <w:rFonts w:ascii="Times New Roman" w:hAnsi="Times New Roman"/>
      <w:b/>
      <w:kern w:val="2"/>
      <w:sz w:val="24"/>
      <w:szCs w:val="21"/>
    </w:rPr>
  </w:style>
  <w:style w:type="character" w:customStyle="1" w:styleId="210">
    <w:name w:val="标题 5 字符2"/>
    <w:qFormat/>
    <w:uiPriority w:val="9"/>
    <w:rPr>
      <w:rFonts w:ascii="Times New Roman" w:hAnsi="Times New Roman"/>
      <w:b/>
      <w:bCs/>
      <w:kern w:val="2"/>
      <w:sz w:val="24"/>
      <w:szCs w:val="28"/>
    </w:rPr>
  </w:style>
  <w:style w:type="character" w:customStyle="1" w:styleId="211">
    <w:name w:val="标题 6 字符3"/>
    <w:uiPriority w:val="0"/>
    <w:rPr>
      <w:rFonts w:ascii="Arial" w:hAnsi="Arial"/>
      <w:kern w:val="2"/>
      <w:sz w:val="24"/>
      <w:szCs w:val="21"/>
    </w:rPr>
  </w:style>
  <w:style w:type="character" w:customStyle="1" w:styleId="212">
    <w:name w:val="标题 7 字符3"/>
    <w:uiPriority w:val="9"/>
    <w:rPr>
      <w:rFonts w:ascii="Times New Roman" w:hAnsi="Times New Roman"/>
      <w:b/>
      <w:bCs/>
      <w:kern w:val="2"/>
      <w:sz w:val="24"/>
      <w:szCs w:val="24"/>
    </w:rPr>
  </w:style>
  <w:style w:type="character" w:customStyle="1" w:styleId="213">
    <w:name w:val="标题 8 字符3"/>
    <w:qFormat/>
    <w:uiPriority w:val="9"/>
    <w:rPr>
      <w:rFonts w:ascii="Cambria" w:hAnsi="Cambria"/>
      <w:kern w:val="2"/>
      <w:sz w:val="24"/>
      <w:szCs w:val="24"/>
    </w:rPr>
  </w:style>
  <w:style w:type="character" w:customStyle="1" w:styleId="214">
    <w:name w:val="标题 9 字符3"/>
    <w:qFormat/>
    <w:uiPriority w:val="9"/>
    <w:rPr>
      <w:rFonts w:ascii="Cambria" w:hAnsi="Cambria"/>
      <w:kern w:val="2"/>
      <w:sz w:val="24"/>
      <w:szCs w:val="21"/>
    </w:rPr>
  </w:style>
  <w:style w:type="character" w:customStyle="1" w:styleId="215">
    <w:name w:val="文档结构图 字符"/>
    <w:basedOn w:val="46"/>
    <w:qFormat/>
    <w:uiPriority w:val="0"/>
    <w:rPr>
      <w:rFonts w:ascii="Microsoft YaHei UI" w:hAnsi="Times New Roman" w:eastAsia="Microsoft YaHei UI" w:cs="Times New Roman"/>
      <w:sz w:val="18"/>
      <w:szCs w:val="18"/>
    </w:rPr>
  </w:style>
  <w:style w:type="character" w:customStyle="1" w:styleId="216">
    <w:name w:val="文档结构图 字符3"/>
    <w:link w:val="17"/>
    <w:qFormat/>
    <w:uiPriority w:val="0"/>
    <w:rPr>
      <w:rFonts w:ascii="Microsoft YaHei UI" w:hAnsi="Times New Roman" w:eastAsia="Microsoft YaHei UI" w:cs="Times New Roman"/>
      <w:sz w:val="18"/>
      <w:szCs w:val="18"/>
    </w:rPr>
  </w:style>
  <w:style w:type="character" w:customStyle="1" w:styleId="217">
    <w:name w:val="批注文字 字符3"/>
    <w:semiHidden/>
    <w:qFormat/>
    <w:uiPriority w:val="0"/>
    <w:rPr>
      <w:rFonts w:ascii="Times New Roman" w:hAnsi="Times New Roman" w:eastAsia="宋体" w:cs="Times New Roman"/>
      <w:kern w:val="2"/>
      <w:sz w:val="24"/>
      <w:szCs w:val="21"/>
    </w:rPr>
  </w:style>
  <w:style w:type="character" w:customStyle="1" w:styleId="218">
    <w:name w:val="正文文本 3 字符"/>
    <w:basedOn w:val="46"/>
    <w:qFormat/>
    <w:uiPriority w:val="0"/>
    <w:rPr>
      <w:rFonts w:ascii="Times New Roman" w:hAnsi="Times New Roman" w:eastAsia="宋体" w:cs="Times New Roman"/>
      <w:sz w:val="16"/>
      <w:szCs w:val="16"/>
    </w:rPr>
  </w:style>
  <w:style w:type="character" w:customStyle="1" w:styleId="219">
    <w:name w:val="正文文本 3 字符3"/>
    <w:link w:val="19"/>
    <w:qFormat/>
    <w:uiPriority w:val="0"/>
    <w:rPr>
      <w:rFonts w:ascii="Calibri" w:hAnsi="Calibri" w:eastAsia="Verdana" w:cs="Times New Roman"/>
      <w:sz w:val="16"/>
      <w:szCs w:val="16"/>
    </w:rPr>
  </w:style>
  <w:style w:type="character" w:customStyle="1" w:styleId="220">
    <w:name w:val="正文文本缩进 字符3"/>
    <w:qFormat/>
    <w:uiPriority w:val="99"/>
    <w:rPr>
      <w:rFonts w:ascii="Times New Roman" w:hAnsi="Times New Roman" w:eastAsia="宋体"/>
      <w:kern w:val="2"/>
      <w:sz w:val="24"/>
      <w:szCs w:val="22"/>
    </w:rPr>
  </w:style>
  <w:style w:type="character" w:customStyle="1" w:styleId="221">
    <w:name w:val="纯文本 字符3"/>
    <w:semiHidden/>
    <w:qFormat/>
    <w:uiPriority w:val="0"/>
    <w:rPr>
      <w:rFonts w:ascii="Verdana" w:hAnsi="仿宋" w:eastAsia="Verdana" w:cs="仿宋"/>
      <w:kern w:val="2"/>
      <w:sz w:val="21"/>
      <w:szCs w:val="21"/>
    </w:rPr>
  </w:style>
  <w:style w:type="character" w:customStyle="1" w:styleId="222">
    <w:name w:val="日期 字符"/>
    <w:basedOn w:val="46"/>
    <w:qFormat/>
    <w:uiPriority w:val="0"/>
    <w:rPr>
      <w:rFonts w:ascii="Times New Roman" w:hAnsi="Times New Roman" w:eastAsia="宋体" w:cs="Times New Roman"/>
      <w:sz w:val="24"/>
      <w:szCs w:val="21"/>
    </w:rPr>
  </w:style>
  <w:style w:type="character" w:customStyle="1" w:styleId="223">
    <w:name w:val="日期 字符3"/>
    <w:link w:val="25"/>
    <w:qFormat/>
    <w:uiPriority w:val="0"/>
    <w:rPr>
      <w:rFonts w:ascii="Calibri" w:hAnsi="Calibri" w:eastAsia="Calibri" w:cs="Times New Roman"/>
      <w:sz w:val="24"/>
      <w:szCs w:val="20"/>
    </w:rPr>
  </w:style>
  <w:style w:type="character" w:customStyle="1" w:styleId="224">
    <w:name w:val="正文文本缩进 2 字符"/>
    <w:basedOn w:val="46"/>
    <w:qFormat/>
    <w:uiPriority w:val="0"/>
    <w:rPr>
      <w:rFonts w:ascii="Times New Roman" w:hAnsi="Times New Roman" w:eastAsia="宋体" w:cs="Times New Roman"/>
      <w:sz w:val="24"/>
      <w:szCs w:val="21"/>
    </w:rPr>
  </w:style>
  <w:style w:type="character" w:customStyle="1" w:styleId="225">
    <w:name w:val="正文文本缩进 2 字符3"/>
    <w:link w:val="26"/>
    <w:qFormat/>
    <w:uiPriority w:val="0"/>
    <w:rPr>
      <w:rFonts w:ascii="Verdana" w:hAnsi="Verdana" w:eastAsia="Verdana" w:cs="Times New Roman"/>
      <w:sz w:val="24"/>
      <w:szCs w:val="24"/>
    </w:rPr>
  </w:style>
  <w:style w:type="character" w:customStyle="1" w:styleId="226">
    <w:name w:val="批注框文本 字符3"/>
    <w:semiHidden/>
    <w:qFormat/>
    <w:uiPriority w:val="99"/>
    <w:rPr>
      <w:rFonts w:ascii="Times New Roman" w:hAnsi="Times New Roman" w:eastAsia="宋体" w:cs="Times New Roman"/>
      <w:kern w:val="2"/>
      <w:sz w:val="18"/>
      <w:szCs w:val="18"/>
    </w:rPr>
  </w:style>
  <w:style w:type="character" w:customStyle="1" w:styleId="227">
    <w:name w:val="页脚 字符3"/>
    <w:qFormat/>
    <w:uiPriority w:val="99"/>
    <w:rPr>
      <w:rFonts w:ascii="Times New Roman" w:hAnsi="Times New Roman" w:eastAsia="宋体" w:cs="Times New Roman"/>
      <w:kern w:val="2"/>
      <w:sz w:val="18"/>
      <w:szCs w:val="18"/>
    </w:rPr>
  </w:style>
  <w:style w:type="character" w:customStyle="1" w:styleId="228">
    <w:name w:val="页眉 字符4"/>
    <w:qFormat/>
    <w:uiPriority w:val="99"/>
    <w:rPr>
      <w:rFonts w:ascii="Times New Roman" w:hAnsi="Times New Roman" w:eastAsia="宋体" w:cs="Times New Roman"/>
      <w:kern w:val="2"/>
      <w:sz w:val="18"/>
      <w:szCs w:val="18"/>
    </w:rPr>
  </w:style>
  <w:style w:type="character" w:customStyle="1" w:styleId="229">
    <w:name w:val="副标题 字符3"/>
    <w:qFormat/>
    <w:uiPriority w:val="11"/>
    <w:rPr>
      <w:rFonts w:ascii="Cambria" w:hAnsi="Cambria" w:eastAsia="宋体" w:cs="Times New Roman"/>
      <w:b/>
      <w:bCs/>
      <w:kern w:val="28"/>
      <w:sz w:val="32"/>
      <w:szCs w:val="32"/>
    </w:rPr>
  </w:style>
  <w:style w:type="character" w:customStyle="1" w:styleId="230">
    <w:name w:val="正文文本缩进 3 字符"/>
    <w:basedOn w:val="46"/>
    <w:qFormat/>
    <w:uiPriority w:val="0"/>
    <w:rPr>
      <w:rFonts w:ascii="Times New Roman" w:hAnsi="Times New Roman" w:eastAsia="宋体" w:cs="Times New Roman"/>
      <w:sz w:val="16"/>
      <w:szCs w:val="16"/>
    </w:rPr>
  </w:style>
  <w:style w:type="character" w:customStyle="1" w:styleId="231">
    <w:name w:val="正文文本缩进 3 字符3"/>
    <w:link w:val="34"/>
    <w:qFormat/>
    <w:uiPriority w:val="0"/>
    <w:rPr>
      <w:rFonts w:ascii="Calibri" w:hAnsi="Calibri" w:eastAsia="Verdana" w:cs="Times New Roman"/>
      <w:sz w:val="16"/>
      <w:szCs w:val="16"/>
    </w:rPr>
  </w:style>
  <w:style w:type="character" w:customStyle="1" w:styleId="232">
    <w:name w:val="正文文本 2 字符"/>
    <w:basedOn w:val="46"/>
    <w:qFormat/>
    <w:uiPriority w:val="0"/>
    <w:rPr>
      <w:rFonts w:ascii="Times New Roman" w:hAnsi="Times New Roman" w:eastAsia="宋体" w:cs="Times New Roman"/>
      <w:sz w:val="24"/>
      <w:szCs w:val="21"/>
    </w:rPr>
  </w:style>
  <w:style w:type="character" w:customStyle="1" w:styleId="233">
    <w:name w:val="正文文本 2 字符3"/>
    <w:link w:val="38"/>
    <w:qFormat/>
    <w:uiPriority w:val="0"/>
    <w:rPr>
      <w:rFonts w:ascii="Verdana" w:hAnsi="Verdana" w:eastAsia="宋体" w:cs="Verdana"/>
      <w:bCs/>
      <w:color w:val="000000"/>
      <w:kern w:val="0"/>
      <w:sz w:val="24"/>
      <w:szCs w:val="24"/>
    </w:rPr>
  </w:style>
  <w:style w:type="character" w:customStyle="1" w:styleId="234">
    <w:name w:val="标题 字符3"/>
    <w:qFormat/>
    <w:uiPriority w:val="0"/>
    <w:rPr>
      <w:rFonts w:ascii="Tahoma" w:hAnsi="仿宋" w:eastAsia="Tahoma" w:cs="Times New Roman"/>
      <w:b/>
      <w:bCs/>
      <w:kern w:val="2"/>
      <w:sz w:val="24"/>
      <w:szCs w:val="32"/>
    </w:rPr>
  </w:style>
  <w:style w:type="character" w:customStyle="1" w:styleId="235">
    <w:name w:val="批注主题 字符3"/>
    <w:semiHidden/>
    <w:qFormat/>
    <w:uiPriority w:val="0"/>
    <w:rPr>
      <w:rFonts w:ascii="Times New Roman" w:hAnsi="Times New Roman" w:eastAsia="宋体" w:cs="Times New Roman"/>
      <w:b/>
      <w:bCs/>
      <w:kern w:val="2"/>
      <w:sz w:val="24"/>
      <w:szCs w:val="21"/>
    </w:rPr>
  </w:style>
  <w:style w:type="character" w:customStyle="1" w:styleId="236">
    <w:name w:val="正文文本首行缩进 2 字符3"/>
    <w:qFormat/>
    <w:uiPriority w:val="99"/>
    <w:rPr>
      <w:rFonts w:ascii="Tahoma" w:hAnsi="Calibri" w:eastAsia="Tahoma" w:cs="Times New Roman"/>
      <w:kern w:val="2"/>
      <w:sz w:val="21"/>
      <w:szCs w:val="24"/>
    </w:rPr>
  </w:style>
  <w:style w:type="character" w:customStyle="1" w:styleId="237">
    <w:name w:val="标题 8 字符2"/>
    <w:semiHidden/>
    <w:qFormat/>
    <w:uiPriority w:val="9"/>
    <w:rPr>
      <w:rFonts w:ascii="Cambria" w:hAnsi="Cambria" w:eastAsia="宋体" w:cs="Times New Roman"/>
      <w:kern w:val="2"/>
      <w:sz w:val="24"/>
      <w:szCs w:val="24"/>
    </w:rPr>
  </w:style>
  <w:style w:type="character" w:customStyle="1" w:styleId="238">
    <w:name w:val="正文文本 2 字符2"/>
    <w:semiHidden/>
    <w:qFormat/>
    <w:uiPriority w:val="0"/>
    <w:rPr>
      <w:rFonts w:ascii="Verdana" w:hAnsi="Verdana" w:eastAsia="宋体" w:cs="Verdana"/>
      <w:bCs/>
      <w:color w:val="000000"/>
      <w:sz w:val="24"/>
      <w:szCs w:val="24"/>
    </w:rPr>
  </w:style>
  <w:style w:type="character" w:customStyle="1" w:styleId="239">
    <w:name w:val="正文文本首行缩进 2 字符1"/>
    <w:uiPriority w:val="99"/>
    <w:rPr>
      <w:rFonts w:ascii="Tahoma" w:hAnsi="Calibri" w:eastAsia="Tahoma" w:cs="Times New Roman"/>
      <w:kern w:val="2"/>
      <w:sz w:val="21"/>
      <w:szCs w:val="24"/>
    </w:rPr>
  </w:style>
  <w:style w:type="character" w:customStyle="1" w:styleId="240">
    <w:name w:val="页眉 字符2"/>
    <w:uiPriority w:val="99"/>
    <w:rPr>
      <w:rFonts w:ascii="Times New Roman" w:hAnsi="Times New Roman" w:eastAsia="宋体" w:cs="Times New Roman"/>
      <w:kern w:val="2"/>
      <w:sz w:val="18"/>
      <w:szCs w:val="18"/>
    </w:rPr>
  </w:style>
  <w:style w:type="character" w:customStyle="1" w:styleId="241">
    <w:name w:val="正文文本缩进 2 字符2"/>
    <w:semiHidden/>
    <w:qFormat/>
    <w:uiPriority w:val="0"/>
    <w:rPr>
      <w:rFonts w:ascii="Verdana" w:hAnsi="Verdana" w:eastAsia="Verdana"/>
      <w:kern w:val="2"/>
      <w:sz w:val="24"/>
      <w:szCs w:val="24"/>
    </w:rPr>
  </w:style>
  <w:style w:type="character" w:customStyle="1" w:styleId="242">
    <w:name w:val="正文文本 3 字符2"/>
    <w:semiHidden/>
    <w:qFormat/>
    <w:uiPriority w:val="0"/>
    <w:rPr>
      <w:rFonts w:eastAsia="Verdana"/>
      <w:kern w:val="2"/>
      <w:sz w:val="16"/>
      <w:szCs w:val="16"/>
    </w:rPr>
  </w:style>
  <w:style w:type="character" w:customStyle="1" w:styleId="243">
    <w:name w:val="正文缩进 字符"/>
    <w:uiPriority w:val="0"/>
    <w:rPr>
      <w:rFonts w:ascii="Times New Roman" w:hAnsi="Times New Roman" w:eastAsia="宋体" w:cs="Times New Roman"/>
      <w:kern w:val="2"/>
      <w:sz w:val="24"/>
      <w:szCs w:val="21"/>
    </w:rPr>
  </w:style>
  <w:style w:type="character" w:customStyle="1" w:styleId="244">
    <w:name w:val="正文文本缩进 3 字符2"/>
    <w:semiHidden/>
    <w:qFormat/>
    <w:uiPriority w:val="0"/>
    <w:rPr>
      <w:rFonts w:eastAsia="Verdana"/>
      <w:kern w:val="2"/>
      <w:sz w:val="16"/>
      <w:szCs w:val="16"/>
    </w:rPr>
  </w:style>
  <w:style w:type="character" w:customStyle="1" w:styleId="245">
    <w:name w:val="批注主题 字符1"/>
    <w:semiHidden/>
    <w:qFormat/>
    <w:uiPriority w:val="0"/>
    <w:rPr>
      <w:rFonts w:ascii="Times New Roman" w:hAnsi="Times New Roman" w:eastAsia="宋体" w:cs="Times New Roman"/>
      <w:b/>
      <w:bCs/>
      <w:kern w:val="2"/>
      <w:sz w:val="24"/>
      <w:szCs w:val="21"/>
    </w:rPr>
  </w:style>
  <w:style w:type="character" w:customStyle="1" w:styleId="246">
    <w:name w:val="正文1 Char"/>
    <w:qFormat/>
    <w:uiPriority w:val="0"/>
    <w:rPr>
      <w:rFonts w:eastAsia="Verdana"/>
      <w:kern w:val="2"/>
      <w:sz w:val="24"/>
      <w:szCs w:val="24"/>
    </w:rPr>
  </w:style>
  <w:style w:type="character" w:customStyle="1" w:styleId="247">
    <w:name w:val="文档结构图 字符2"/>
    <w:semiHidden/>
    <w:qFormat/>
    <w:uiPriority w:val="0"/>
    <w:rPr>
      <w:rFonts w:ascii="Microsoft YaHei UI" w:hAnsi="Times New Roman" w:eastAsia="Microsoft YaHei UI" w:cs="Times New Roman"/>
      <w:kern w:val="2"/>
      <w:sz w:val="18"/>
      <w:szCs w:val="18"/>
    </w:rPr>
  </w:style>
  <w:style w:type="character" w:customStyle="1" w:styleId="248">
    <w:name w:val="标题 7 字符2"/>
    <w:uiPriority w:val="9"/>
    <w:rPr>
      <w:rFonts w:ascii="Times New Roman" w:hAnsi="Times New Roman"/>
      <w:b/>
      <w:bCs/>
      <w:kern w:val="2"/>
      <w:sz w:val="24"/>
      <w:szCs w:val="24"/>
    </w:rPr>
  </w:style>
  <w:style w:type="character" w:customStyle="1" w:styleId="249">
    <w:name w:val="页眉 字符1"/>
    <w:qFormat/>
    <w:uiPriority w:val="99"/>
    <w:rPr>
      <w:rFonts w:ascii="Times New Roman" w:hAnsi="Times New Roman" w:eastAsia="宋体" w:cs="Times New Roman"/>
      <w:kern w:val="2"/>
      <w:sz w:val="18"/>
      <w:szCs w:val="18"/>
    </w:rPr>
  </w:style>
  <w:style w:type="character" w:customStyle="1" w:styleId="250">
    <w:name w:val="图文字（新） Char"/>
    <w:link w:val="150"/>
    <w:qFormat/>
    <w:uiPriority w:val="0"/>
    <w:rPr>
      <w:rFonts w:ascii="Times New Roman" w:hAnsi="Calibri" w:eastAsia="宋体" w:cs="Times New Roman"/>
      <w:color w:val="000000"/>
      <w:kern w:val="28"/>
      <w:szCs w:val="21"/>
    </w:rPr>
  </w:style>
  <w:style w:type="character" w:customStyle="1" w:styleId="251">
    <w:name w:val="标题 6 字符1"/>
    <w:qFormat/>
    <w:uiPriority w:val="0"/>
    <w:rPr>
      <w:rFonts w:ascii="Times New Roman" w:hAnsi="Times New Roman"/>
      <w:kern w:val="2"/>
      <w:sz w:val="24"/>
      <w:szCs w:val="21"/>
    </w:rPr>
  </w:style>
  <w:style w:type="character" w:customStyle="1" w:styleId="252">
    <w:name w:val="缩进2 字符"/>
    <w:link w:val="253"/>
    <w:qFormat/>
    <w:uiPriority w:val="0"/>
    <w:rPr>
      <w:rFonts w:ascii="Times New Roman" w:hAnsi="Times New Roman"/>
      <w:sz w:val="24"/>
    </w:rPr>
  </w:style>
  <w:style w:type="paragraph" w:customStyle="1" w:styleId="253">
    <w:name w:val="缩进2"/>
    <w:basedOn w:val="1"/>
    <w:link w:val="252"/>
    <w:uiPriority w:val="0"/>
    <w:rPr>
      <w:rFonts w:eastAsiaTheme="minorEastAsia" w:cstheme="minorBidi"/>
      <w:szCs w:val="22"/>
    </w:rPr>
  </w:style>
  <w:style w:type="character" w:customStyle="1" w:styleId="254">
    <w:name w:val="正文文本缩进 字符2"/>
    <w:uiPriority w:val="99"/>
    <w:rPr>
      <w:rFonts w:ascii="Times New Roman" w:hAnsi="Times New Roman" w:eastAsia="宋体"/>
      <w:kern w:val="2"/>
      <w:sz w:val="24"/>
      <w:szCs w:val="22"/>
    </w:rPr>
  </w:style>
  <w:style w:type="character" w:customStyle="1" w:styleId="255">
    <w:name w:val="批注文字 字符1"/>
    <w:semiHidden/>
    <w:qFormat/>
    <w:uiPriority w:val="99"/>
    <w:rPr>
      <w:rFonts w:ascii="Times New Roman" w:hAnsi="Times New Roman" w:eastAsia="宋体" w:cs="Times New Roman"/>
      <w:kern w:val="2"/>
      <w:sz w:val="24"/>
      <w:szCs w:val="21"/>
    </w:rPr>
  </w:style>
  <w:style w:type="character" w:customStyle="1" w:styleId="256">
    <w:name w:val="引用 字符4"/>
    <w:link w:val="257"/>
    <w:qFormat/>
    <w:uiPriority w:val="0"/>
    <w:rPr>
      <w:rFonts w:ascii="Tahoma" w:eastAsia="Tahoma"/>
      <w:i/>
      <w:iCs/>
      <w:color w:val="000000"/>
      <w:szCs w:val="24"/>
    </w:rPr>
  </w:style>
  <w:style w:type="paragraph" w:styleId="257">
    <w:name w:val="Quote"/>
    <w:basedOn w:val="1"/>
    <w:next w:val="1"/>
    <w:link w:val="256"/>
    <w:qFormat/>
    <w:uiPriority w:val="0"/>
    <w:pPr>
      <w:spacing w:line="240" w:lineRule="auto"/>
      <w:ind w:firstLine="1040"/>
    </w:pPr>
    <w:rPr>
      <w:rFonts w:ascii="Tahoma" w:eastAsia="Tahoma" w:hAnsiTheme="minorHAnsi" w:cstheme="minorBidi"/>
      <w:i/>
      <w:iCs/>
      <w:color w:val="000000"/>
      <w:sz w:val="21"/>
      <w:szCs w:val="24"/>
    </w:rPr>
  </w:style>
  <w:style w:type="character" w:customStyle="1" w:styleId="258">
    <w:name w:val="引用 字符"/>
    <w:basedOn w:val="46"/>
    <w:qFormat/>
    <w:uiPriority w:val="0"/>
    <w:rPr>
      <w:rFonts w:ascii="Times New Roman" w:hAnsi="Times New Roman" w:eastAsia="宋体" w:cs="Times New Roman"/>
      <w:i/>
      <w:iCs/>
      <w:color w:val="404040" w:themeColor="text1" w:themeTint="BF"/>
      <w:sz w:val="24"/>
      <w:szCs w:val="21"/>
      <w14:textFill>
        <w14:solidFill>
          <w14:schemeClr w14:val="tx1">
            <w14:lumMod w14:val="75000"/>
            <w14:lumOff w14:val="25000"/>
          </w14:schemeClr>
        </w14:solidFill>
      </w14:textFill>
    </w:rPr>
  </w:style>
  <w:style w:type="character" w:customStyle="1" w:styleId="259">
    <w:name w:val="无间隔 字符1"/>
    <w:qFormat/>
    <w:uiPriority w:val="1"/>
    <w:rPr>
      <w:rFonts w:ascii="Times New Roman" w:hAnsi="Times New Roman" w:eastAsia="宋体"/>
      <w:kern w:val="2"/>
      <w:sz w:val="24"/>
      <w:szCs w:val="22"/>
    </w:rPr>
  </w:style>
  <w:style w:type="character" w:customStyle="1" w:styleId="260">
    <w:name w:val="龙潭图表 字符"/>
    <w:link w:val="261"/>
    <w:qFormat/>
    <w:uiPriority w:val="6"/>
    <w:rPr>
      <w:rFonts w:ascii="Times New Roman" w:hAnsi="Times New Roman"/>
      <w:b/>
      <w:szCs w:val="24"/>
    </w:rPr>
  </w:style>
  <w:style w:type="paragraph" w:customStyle="1" w:styleId="261">
    <w:name w:val="龙潭图表"/>
    <w:next w:val="1"/>
    <w:link w:val="260"/>
    <w:qFormat/>
    <w:uiPriority w:val="6"/>
    <w:pPr>
      <w:snapToGrid w:val="0"/>
      <w:spacing w:line="360" w:lineRule="auto"/>
      <w:jc w:val="center"/>
    </w:pPr>
    <w:rPr>
      <w:rFonts w:ascii="Times New Roman" w:hAnsi="Times New Roman" w:eastAsiaTheme="minorEastAsia" w:cstheme="minorBidi"/>
      <w:b/>
      <w:kern w:val="2"/>
      <w:sz w:val="21"/>
      <w:szCs w:val="24"/>
      <w:lang w:val="en-US" w:eastAsia="zh-CN" w:bidi="ar-SA"/>
    </w:rPr>
  </w:style>
  <w:style w:type="character" w:customStyle="1" w:styleId="262">
    <w:name w:val="标题 4 字符2"/>
    <w:qFormat/>
    <w:uiPriority w:val="9"/>
    <w:rPr>
      <w:rFonts w:ascii="Times New Roman" w:hAnsi="Times New Roman"/>
      <w:b/>
      <w:kern w:val="2"/>
      <w:sz w:val="24"/>
      <w:szCs w:val="21"/>
    </w:rPr>
  </w:style>
  <w:style w:type="character" w:customStyle="1" w:styleId="263">
    <w:name w:val="正文文本首行缩进 2 字符2"/>
    <w:qFormat/>
    <w:uiPriority w:val="99"/>
    <w:rPr>
      <w:rFonts w:ascii="Tahoma" w:hAnsi="Calibri" w:eastAsia="Tahoma" w:cs="Times New Roman"/>
      <w:kern w:val="2"/>
      <w:sz w:val="21"/>
      <w:szCs w:val="24"/>
    </w:rPr>
  </w:style>
  <w:style w:type="character" w:customStyle="1" w:styleId="264">
    <w:name w:val="正文文本 字符2"/>
    <w:qFormat/>
    <w:uiPriority w:val="0"/>
    <w:rPr>
      <w:rFonts w:ascii="Times New Roman" w:hAnsi="Times New Roman"/>
      <w:kern w:val="2"/>
      <w:sz w:val="24"/>
      <w:szCs w:val="24"/>
    </w:rPr>
  </w:style>
  <w:style w:type="character" w:customStyle="1" w:styleId="265">
    <w:name w:val="标题 9 字符1"/>
    <w:semiHidden/>
    <w:qFormat/>
    <w:uiPriority w:val="9"/>
    <w:rPr>
      <w:rFonts w:ascii="Cambria" w:hAnsi="Cambria"/>
      <w:kern w:val="2"/>
      <w:sz w:val="24"/>
      <w:szCs w:val="21"/>
    </w:rPr>
  </w:style>
  <w:style w:type="character" w:customStyle="1" w:styleId="266">
    <w:name w:val="明显引用 字符4"/>
    <w:link w:val="267"/>
    <w:qFormat/>
    <w:uiPriority w:val="0"/>
    <w:rPr>
      <w:rFonts w:ascii="Tahoma" w:eastAsia="Tahoma"/>
      <w:b/>
      <w:bCs/>
      <w:i/>
      <w:iCs/>
      <w:color w:val="4F81BD"/>
      <w:szCs w:val="24"/>
    </w:rPr>
  </w:style>
  <w:style w:type="paragraph" w:styleId="267">
    <w:name w:val="Intense Quote"/>
    <w:basedOn w:val="1"/>
    <w:next w:val="1"/>
    <w:link w:val="266"/>
    <w:qFormat/>
    <w:uiPriority w:val="0"/>
    <w:pPr>
      <w:pBdr>
        <w:bottom w:val="single" w:color="4F81BD" w:sz="4" w:space="4"/>
      </w:pBdr>
      <w:spacing w:before="200" w:after="280" w:line="240" w:lineRule="auto"/>
      <w:ind w:left="936" w:right="936" w:firstLine="1040"/>
    </w:pPr>
    <w:rPr>
      <w:rFonts w:ascii="Tahoma" w:eastAsia="Tahoma" w:hAnsiTheme="minorHAnsi" w:cstheme="minorBidi"/>
      <w:b/>
      <w:bCs/>
      <w:i/>
      <w:iCs/>
      <w:color w:val="4F81BD"/>
      <w:sz w:val="21"/>
      <w:szCs w:val="24"/>
    </w:rPr>
  </w:style>
  <w:style w:type="character" w:customStyle="1" w:styleId="268">
    <w:name w:val="明显引用 字符"/>
    <w:basedOn w:val="46"/>
    <w:qFormat/>
    <w:uiPriority w:val="0"/>
    <w:rPr>
      <w:rFonts w:ascii="Times New Roman" w:hAnsi="Times New Roman" w:eastAsia="宋体" w:cs="Times New Roman"/>
      <w:i/>
      <w:iCs/>
      <w:color w:val="4472C4" w:themeColor="accent1"/>
      <w:sz w:val="24"/>
      <w:szCs w:val="21"/>
      <w14:textFill>
        <w14:solidFill>
          <w14:schemeClr w14:val="accent1"/>
        </w14:solidFill>
      </w14:textFill>
    </w:rPr>
  </w:style>
  <w:style w:type="character" w:customStyle="1" w:styleId="269">
    <w:name w:val="纯文本 字符2"/>
    <w:semiHidden/>
    <w:qFormat/>
    <w:uiPriority w:val="0"/>
    <w:rPr>
      <w:rFonts w:ascii="Verdana" w:hAnsi="仿宋" w:eastAsia="Verdana" w:cs="仿宋"/>
      <w:kern w:val="2"/>
      <w:sz w:val="21"/>
      <w:szCs w:val="21"/>
    </w:rPr>
  </w:style>
  <w:style w:type="character" w:customStyle="1" w:styleId="270">
    <w:name w:val="未处理的提及2"/>
    <w:semiHidden/>
    <w:qFormat/>
    <w:uiPriority w:val="99"/>
    <w:rPr>
      <w:color w:val="605E5C"/>
      <w:shd w:val="clear" w:color="auto" w:fill="E1DFDD"/>
    </w:rPr>
  </w:style>
  <w:style w:type="character" w:customStyle="1" w:styleId="271">
    <w:name w:val="无间隔 字符2"/>
    <w:qFormat/>
    <w:uiPriority w:val="1"/>
    <w:rPr>
      <w:rFonts w:ascii="Times New Roman" w:hAnsi="Times New Roman" w:eastAsia="宋体"/>
      <w:kern w:val="2"/>
      <w:sz w:val="24"/>
      <w:szCs w:val="22"/>
    </w:rPr>
  </w:style>
  <w:style w:type="character" w:customStyle="1" w:styleId="272">
    <w:name w:val="正文文本缩进 字符1"/>
    <w:qFormat/>
    <w:uiPriority w:val="99"/>
    <w:rPr>
      <w:rFonts w:ascii="Times New Roman" w:hAnsi="Times New Roman" w:eastAsia="宋体"/>
      <w:kern w:val="2"/>
      <w:sz w:val="24"/>
      <w:szCs w:val="22"/>
    </w:rPr>
  </w:style>
  <w:style w:type="character" w:customStyle="1" w:styleId="273">
    <w:name w:val="引用 字符1"/>
    <w:qFormat/>
    <w:uiPriority w:val="99"/>
    <w:rPr>
      <w:rFonts w:ascii="Times New Roman" w:hAnsi="Times New Roman" w:eastAsia="宋体" w:cs="Times New Roman"/>
      <w:i/>
      <w:iCs/>
      <w:color w:val="404040"/>
      <w:kern w:val="2"/>
      <w:sz w:val="24"/>
      <w:szCs w:val="21"/>
    </w:rPr>
  </w:style>
  <w:style w:type="character" w:customStyle="1" w:styleId="274">
    <w:name w:val="单括号样式 字符"/>
    <w:link w:val="275"/>
    <w:qFormat/>
    <w:uiPriority w:val="0"/>
    <w:rPr>
      <w:rFonts w:ascii="Times New Roman" w:hAnsi="Times New Roman"/>
      <w:sz w:val="24"/>
      <w:szCs w:val="21"/>
    </w:rPr>
  </w:style>
  <w:style w:type="paragraph" w:customStyle="1" w:styleId="275">
    <w:name w:val="单括号样式"/>
    <w:basedOn w:val="58"/>
    <w:link w:val="274"/>
    <w:qFormat/>
    <w:uiPriority w:val="0"/>
    <w:pPr>
      <w:ind w:firstLine="200"/>
      <w:jc w:val="left"/>
    </w:pPr>
    <w:rPr>
      <w:rFonts w:eastAsiaTheme="minorEastAsia" w:cstheme="minorBidi"/>
    </w:rPr>
  </w:style>
  <w:style w:type="character" w:customStyle="1" w:styleId="276">
    <w:name w:val="标题4 Char"/>
    <w:qFormat/>
    <w:uiPriority w:val="0"/>
    <w:rPr>
      <w:rFonts w:ascii="Tahoma" w:eastAsia="Tahoma"/>
      <w:b/>
      <w:kern w:val="2"/>
      <w:sz w:val="24"/>
      <w:szCs w:val="24"/>
    </w:rPr>
  </w:style>
  <w:style w:type="character" w:customStyle="1" w:styleId="277">
    <w:name w:val="标题 3 字符2"/>
    <w:qFormat/>
    <w:uiPriority w:val="9"/>
    <w:rPr>
      <w:rFonts w:ascii="Times New Roman" w:hAnsi="Times New Roman"/>
      <w:b/>
      <w:bCs/>
      <w:kern w:val="2"/>
      <w:sz w:val="24"/>
      <w:szCs w:val="32"/>
    </w:rPr>
  </w:style>
  <w:style w:type="character" w:customStyle="1" w:styleId="278">
    <w:name w:val="引用 字符2"/>
    <w:semiHidden/>
    <w:qFormat/>
    <w:uiPriority w:val="0"/>
    <w:rPr>
      <w:rFonts w:ascii="Tahoma" w:eastAsia="Tahoma"/>
      <w:i/>
      <w:iCs/>
      <w:color w:val="000000"/>
      <w:kern w:val="2"/>
      <w:sz w:val="21"/>
      <w:szCs w:val="24"/>
    </w:rPr>
  </w:style>
  <w:style w:type="character" w:customStyle="1" w:styleId="279">
    <w:name w:val="k 3级 Char"/>
    <w:link w:val="280"/>
    <w:qFormat/>
    <w:uiPriority w:val="0"/>
    <w:rPr>
      <w:rFonts w:eastAsia="Verdana"/>
      <w:b/>
      <w:color w:val="0000FF"/>
      <w:sz w:val="24"/>
    </w:rPr>
  </w:style>
  <w:style w:type="paragraph" w:customStyle="1" w:styleId="280">
    <w:name w:val="k 3级"/>
    <w:basedOn w:val="281"/>
    <w:next w:val="281"/>
    <w:link w:val="279"/>
    <w:qFormat/>
    <w:uiPriority w:val="0"/>
    <w:pPr>
      <w:ind w:firstLine="0" w:firstLineChars="0"/>
      <w:outlineLvl w:val="2"/>
    </w:pPr>
    <w:rPr>
      <w:rFonts w:eastAsia="Verdana" w:asciiTheme="minorHAnsi" w:hAnsiTheme="minorHAnsi" w:cstheme="minorBidi"/>
      <w:b/>
      <w:color w:val="0000FF"/>
      <w:szCs w:val="22"/>
    </w:rPr>
  </w:style>
  <w:style w:type="paragraph" w:customStyle="1" w:styleId="281">
    <w:name w:val="k 正文"/>
    <w:basedOn w:val="1"/>
    <w:link w:val="282"/>
    <w:qFormat/>
    <w:uiPriority w:val="0"/>
    <w:rPr>
      <w:rFonts w:ascii="Calibri" w:hAnsi="Calibri"/>
      <w:szCs w:val="24"/>
    </w:rPr>
  </w:style>
  <w:style w:type="character" w:customStyle="1" w:styleId="282">
    <w:name w:val="k 正文 Char"/>
    <w:link w:val="281"/>
    <w:qFormat/>
    <w:uiPriority w:val="0"/>
    <w:rPr>
      <w:rFonts w:ascii="Calibri" w:hAnsi="Calibri" w:eastAsia="宋体" w:cs="Times New Roman"/>
      <w:sz w:val="24"/>
      <w:szCs w:val="24"/>
    </w:rPr>
  </w:style>
  <w:style w:type="character" w:customStyle="1" w:styleId="283">
    <w:name w:val="样式1 字符"/>
    <w:link w:val="284"/>
    <w:qFormat/>
    <w:uiPriority w:val="0"/>
    <w:rPr>
      <w:rFonts w:ascii="Times New Roman" w:hAnsi="Times New Roman"/>
      <w:sz w:val="18"/>
      <w:szCs w:val="18"/>
      <w:lang w:val="zh-CN"/>
    </w:rPr>
  </w:style>
  <w:style w:type="paragraph" w:customStyle="1" w:styleId="284">
    <w:name w:val="样式1"/>
    <w:basedOn w:val="28"/>
    <w:link w:val="283"/>
    <w:qFormat/>
    <w:uiPriority w:val="0"/>
    <w:pPr>
      <w:spacing w:line="360" w:lineRule="auto"/>
      <w:ind w:firstLine="360"/>
      <w:jc w:val="center"/>
    </w:pPr>
    <w:rPr>
      <w:rFonts w:eastAsiaTheme="minorEastAsia" w:cstheme="minorBidi"/>
      <w:lang w:val="zh-CN"/>
    </w:rPr>
  </w:style>
  <w:style w:type="character" w:customStyle="1" w:styleId="285">
    <w:name w:val="日期 字符1"/>
    <w:semiHidden/>
    <w:qFormat/>
    <w:uiPriority w:val="0"/>
    <w:rPr>
      <w:rFonts w:ascii="Calibri" w:eastAsia="Calibri"/>
      <w:kern w:val="2"/>
      <w:sz w:val="24"/>
    </w:rPr>
  </w:style>
  <w:style w:type="character" w:customStyle="1" w:styleId="286">
    <w:name w:val="题注 字符4"/>
    <w:qFormat/>
    <w:uiPriority w:val="0"/>
    <w:rPr>
      <w:rFonts w:ascii="Times New Roman" w:hAnsi="Times New Roman"/>
      <w:b/>
      <w:kern w:val="2"/>
      <w:sz w:val="21"/>
    </w:rPr>
  </w:style>
  <w:style w:type="character" w:customStyle="1" w:styleId="287">
    <w:name w:val="正文文本 字符1"/>
    <w:qFormat/>
    <w:uiPriority w:val="0"/>
    <w:rPr>
      <w:rFonts w:ascii="Times New Roman" w:hAnsi="Times New Roman"/>
      <w:kern w:val="2"/>
      <w:sz w:val="24"/>
      <w:szCs w:val="24"/>
    </w:rPr>
  </w:style>
  <w:style w:type="character" w:customStyle="1" w:styleId="288">
    <w:name w:val="k 图表标题 Char"/>
    <w:link w:val="289"/>
    <w:qFormat/>
    <w:uiPriority w:val="0"/>
    <w:rPr>
      <w:rFonts w:eastAsia="Verdana"/>
      <w:b/>
      <w:color w:val="0000FF"/>
      <w:sz w:val="24"/>
      <w:szCs w:val="24"/>
    </w:rPr>
  </w:style>
  <w:style w:type="paragraph" w:customStyle="1" w:styleId="289">
    <w:name w:val="k 图表标题"/>
    <w:basedOn w:val="1"/>
    <w:next w:val="1"/>
    <w:link w:val="288"/>
    <w:qFormat/>
    <w:uiPriority w:val="0"/>
    <w:pPr>
      <w:spacing w:beforeLines="25" w:afterLines="25"/>
      <w:jc w:val="center"/>
    </w:pPr>
    <w:rPr>
      <w:rFonts w:eastAsia="Verdana" w:asciiTheme="minorHAnsi" w:hAnsiTheme="minorHAnsi" w:cstheme="minorBidi"/>
      <w:b/>
      <w:color w:val="0000FF"/>
      <w:szCs w:val="24"/>
    </w:rPr>
  </w:style>
  <w:style w:type="character" w:customStyle="1" w:styleId="290">
    <w:name w:val="正文文本缩进 2 字符1"/>
    <w:semiHidden/>
    <w:qFormat/>
    <w:uiPriority w:val="0"/>
    <w:rPr>
      <w:rFonts w:ascii="Verdana" w:hAnsi="Verdana" w:eastAsia="Verdana"/>
      <w:kern w:val="2"/>
      <w:sz w:val="24"/>
      <w:szCs w:val="24"/>
    </w:rPr>
  </w:style>
  <w:style w:type="character" w:customStyle="1" w:styleId="291">
    <w:name w:val="页眉页脚 Char"/>
    <w:link w:val="292"/>
    <w:qFormat/>
    <w:uiPriority w:val="0"/>
    <w:rPr>
      <w:rFonts w:ascii="仿宋" w:hAnsi="仿宋"/>
      <w:sz w:val="18"/>
      <w:szCs w:val="18"/>
    </w:rPr>
  </w:style>
  <w:style w:type="paragraph" w:customStyle="1" w:styleId="292">
    <w:name w:val="页眉页脚"/>
    <w:basedOn w:val="28"/>
    <w:link w:val="291"/>
    <w:qFormat/>
    <w:uiPriority w:val="0"/>
    <w:pPr>
      <w:ind w:firstLine="1040"/>
      <w:jc w:val="center"/>
    </w:pPr>
    <w:rPr>
      <w:rFonts w:ascii="仿宋" w:hAnsi="仿宋" w:eastAsiaTheme="minorEastAsia" w:cstheme="minorBidi"/>
    </w:rPr>
  </w:style>
  <w:style w:type="character" w:customStyle="1" w:styleId="293">
    <w:name w:val="标题 字符1"/>
    <w:qFormat/>
    <w:uiPriority w:val="0"/>
    <w:rPr>
      <w:rFonts w:ascii="Tahoma" w:hAnsi="仿宋" w:eastAsia="Tahoma" w:cs="Times New Roman"/>
      <w:b/>
      <w:bCs/>
      <w:kern w:val="2"/>
      <w:sz w:val="24"/>
      <w:szCs w:val="32"/>
    </w:rPr>
  </w:style>
  <w:style w:type="character" w:customStyle="1" w:styleId="294">
    <w:name w:val="页脚 字符2"/>
    <w:qFormat/>
    <w:uiPriority w:val="99"/>
    <w:rPr>
      <w:rFonts w:ascii="Times New Roman" w:hAnsi="Times New Roman" w:eastAsia="宋体" w:cs="Times New Roman"/>
      <w:kern w:val="2"/>
      <w:sz w:val="18"/>
      <w:szCs w:val="18"/>
    </w:rPr>
  </w:style>
  <w:style w:type="character" w:customStyle="1" w:styleId="295">
    <w:name w:val="无间隔 字符3"/>
    <w:link w:val="296"/>
    <w:qFormat/>
    <w:uiPriority w:val="1"/>
    <w:rPr>
      <w:rFonts w:ascii="Times New Roman" w:hAnsi="Times New Roman"/>
      <w:sz w:val="24"/>
    </w:rPr>
  </w:style>
  <w:style w:type="paragraph" w:styleId="296">
    <w:name w:val="No Spacing"/>
    <w:link w:val="295"/>
    <w:qFormat/>
    <w:uiPriority w:val="1"/>
    <w:pPr>
      <w:widowControl w:val="0"/>
      <w:jc w:val="both"/>
    </w:pPr>
    <w:rPr>
      <w:rFonts w:ascii="Times New Roman" w:hAnsi="Times New Roman" w:eastAsiaTheme="minorEastAsia" w:cstheme="minorBidi"/>
      <w:kern w:val="2"/>
      <w:sz w:val="24"/>
      <w:szCs w:val="22"/>
      <w:lang w:val="en-US" w:eastAsia="zh-CN" w:bidi="ar-SA"/>
    </w:rPr>
  </w:style>
  <w:style w:type="character" w:customStyle="1" w:styleId="297">
    <w:name w:val="标题 9 字符2"/>
    <w:semiHidden/>
    <w:qFormat/>
    <w:uiPriority w:val="9"/>
    <w:rPr>
      <w:rFonts w:ascii="Cambria" w:hAnsi="Cambria" w:eastAsia="宋体" w:cs="Times New Roman"/>
      <w:kern w:val="2"/>
      <w:sz w:val="24"/>
      <w:szCs w:val="21"/>
    </w:rPr>
  </w:style>
  <w:style w:type="character" w:customStyle="1" w:styleId="298">
    <w:name w:val="正文缩进 字符3"/>
    <w:semiHidden/>
    <w:qFormat/>
    <w:uiPriority w:val="0"/>
    <w:rPr>
      <w:rFonts w:ascii="Times New Roman" w:hAnsi="Times New Roman" w:eastAsia="宋体" w:cs="Times New Roman"/>
      <w:kern w:val="2"/>
      <w:sz w:val="24"/>
      <w:szCs w:val="21"/>
    </w:rPr>
  </w:style>
  <w:style w:type="character" w:customStyle="1" w:styleId="299">
    <w:name w:val="图表标题1 Char"/>
    <w:link w:val="300"/>
    <w:qFormat/>
    <w:uiPriority w:val="0"/>
    <w:rPr>
      <w:rFonts w:ascii="Times New Roman" w:hAnsi="Times New Roman"/>
      <w:b/>
      <w:bCs/>
      <w:szCs w:val="21"/>
    </w:rPr>
  </w:style>
  <w:style w:type="paragraph" w:customStyle="1" w:styleId="300">
    <w:name w:val="图表标题1"/>
    <w:basedOn w:val="1"/>
    <w:link w:val="299"/>
    <w:qFormat/>
    <w:uiPriority w:val="0"/>
    <w:pPr>
      <w:ind w:firstLine="0" w:firstLineChars="0"/>
      <w:jc w:val="center"/>
    </w:pPr>
    <w:rPr>
      <w:rFonts w:eastAsiaTheme="minorEastAsia" w:cstheme="minorBidi"/>
      <w:b/>
      <w:bCs/>
      <w:sz w:val="21"/>
    </w:rPr>
  </w:style>
  <w:style w:type="character" w:customStyle="1" w:styleId="301">
    <w:name w:val="批注主题 字符2"/>
    <w:semiHidden/>
    <w:qFormat/>
    <w:uiPriority w:val="0"/>
    <w:rPr>
      <w:rFonts w:ascii="Times New Roman" w:hAnsi="Times New Roman" w:eastAsia="宋体" w:cs="Times New Roman"/>
      <w:b/>
      <w:bCs/>
      <w:kern w:val="2"/>
      <w:sz w:val="24"/>
      <w:szCs w:val="21"/>
    </w:rPr>
  </w:style>
  <w:style w:type="character" w:customStyle="1" w:styleId="302">
    <w:name w:val="表格居中 Char"/>
    <w:link w:val="157"/>
    <w:qFormat/>
    <w:uiPriority w:val="0"/>
    <w:rPr>
      <w:rFonts w:ascii="Times New Roman" w:hAnsi="Times New Roman" w:eastAsia="宋体" w:cs="Times New Roman"/>
      <w:szCs w:val="21"/>
    </w:rPr>
  </w:style>
  <w:style w:type="character" w:customStyle="1" w:styleId="303">
    <w:name w:val="正文文本 3 字符1"/>
    <w:semiHidden/>
    <w:qFormat/>
    <w:uiPriority w:val="0"/>
    <w:rPr>
      <w:rFonts w:eastAsia="Verdana"/>
      <w:kern w:val="2"/>
      <w:sz w:val="16"/>
      <w:szCs w:val="16"/>
    </w:rPr>
  </w:style>
  <w:style w:type="character" w:customStyle="1" w:styleId="304">
    <w:name w:val="Text 1 Char"/>
    <w:link w:val="305"/>
    <w:qFormat/>
    <w:uiPriority w:val="0"/>
    <w:rPr>
      <w:rFonts w:ascii="Verdana" w:hAnsi="Verdana" w:eastAsia="Verdana" w:cs="Verdana"/>
      <w:bCs/>
      <w:color w:val="000000"/>
      <w:sz w:val="24"/>
      <w:szCs w:val="24"/>
    </w:rPr>
  </w:style>
  <w:style w:type="paragraph" w:customStyle="1" w:styleId="305">
    <w:name w:val="Text 1"/>
    <w:basedOn w:val="1"/>
    <w:link w:val="304"/>
    <w:qFormat/>
    <w:uiPriority w:val="0"/>
    <w:pPr>
      <w:suppressAutoHyphens/>
      <w:adjustRightInd w:val="0"/>
      <w:snapToGrid w:val="0"/>
      <w:ind w:firstLine="720" w:firstLineChars="300"/>
    </w:pPr>
    <w:rPr>
      <w:rFonts w:ascii="Verdana" w:hAnsi="Verdana" w:eastAsia="Verdana" w:cs="Verdana"/>
      <w:bCs/>
      <w:color w:val="000000"/>
      <w:szCs w:val="24"/>
    </w:rPr>
  </w:style>
  <w:style w:type="character" w:customStyle="1" w:styleId="306">
    <w:name w:val="标题 5 字符1"/>
    <w:qFormat/>
    <w:uiPriority w:val="9"/>
    <w:rPr>
      <w:rFonts w:ascii="Times New Roman" w:hAnsi="Times New Roman"/>
      <w:b/>
      <w:bCs/>
      <w:kern w:val="2"/>
      <w:sz w:val="24"/>
      <w:szCs w:val="28"/>
    </w:rPr>
  </w:style>
  <w:style w:type="character" w:customStyle="1" w:styleId="307">
    <w:name w:val="图题 Char"/>
    <w:link w:val="308"/>
    <w:semiHidden/>
    <w:qFormat/>
    <w:uiPriority w:val="0"/>
    <w:rPr>
      <w:rFonts w:eastAsia="Verdana"/>
      <w:b/>
      <w:color w:val="0000FF"/>
      <w:sz w:val="24"/>
      <w:szCs w:val="24"/>
    </w:rPr>
  </w:style>
  <w:style w:type="paragraph" w:customStyle="1" w:styleId="308">
    <w:name w:val="图题"/>
    <w:basedOn w:val="1"/>
    <w:next w:val="1"/>
    <w:link w:val="307"/>
    <w:semiHidden/>
    <w:qFormat/>
    <w:uiPriority w:val="0"/>
    <w:pPr>
      <w:ind w:firstLine="1040"/>
      <w:jc w:val="center"/>
    </w:pPr>
    <w:rPr>
      <w:rFonts w:eastAsia="Verdana" w:asciiTheme="minorHAnsi" w:hAnsiTheme="minorHAnsi" w:cstheme="minorBidi"/>
      <w:b/>
      <w:color w:val="0000FF"/>
      <w:szCs w:val="24"/>
    </w:rPr>
  </w:style>
  <w:style w:type="character" w:customStyle="1" w:styleId="309">
    <w:name w:val="页眉 字符3"/>
    <w:qFormat/>
    <w:uiPriority w:val="99"/>
    <w:rPr>
      <w:rFonts w:ascii="Times New Roman" w:hAnsi="Times New Roman" w:eastAsia="宋体" w:cs="Times New Roman"/>
      <w:kern w:val="2"/>
      <w:sz w:val="18"/>
      <w:szCs w:val="18"/>
    </w:rPr>
  </w:style>
  <w:style w:type="character" w:customStyle="1" w:styleId="310">
    <w:name w:val="标题 字符2"/>
    <w:qFormat/>
    <w:uiPriority w:val="0"/>
    <w:rPr>
      <w:rFonts w:ascii="Tahoma" w:hAnsi="仿宋" w:eastAsia="Tahoma" w:cs="Times New Roman"/>
      <w:b/>
      <w:bCs/>
      <w:kern w:val="2"/>
      <w:sz w:val="24"/>
      <w:szCs w:val="32"/>
    </w:rPr>
  </w:style>
  <w:style w:type="character" w:customStyle="1" w:styleId="311">
    <w:name w:val="深中表内 字符"/>
    <w:link w:val="312"/>
    <w:qFormat/>
    <w:uiPriority w:val="0"/>
    <w:rPr>
      <w:rFonts w:ascii="Times New Roman" w:hAnsi="Times New Roman"/>
      <w:bCs/>
      <w:color w:val="000000"/>
      <w:szCs w:val="21"/>
    </w:rPr>
  </w:style>
  <w:style w:type="paragraph" w:customStyle="1" w:styleId="312">
    <w:name w:val="深中表内"/>
    <w:link w:val="311"/>
    <w:qFormat/>
    <w:uiPriority w:val="0"/>
    <w:pPr>
      <w:snapToGrid w:val="0"/>
      <w:jc w:val="center"/>
    </w:pPr>
    <w:rPr>
      <w:rFonts w:ascii="Times New Roman" w:hAnsi="Times New Roman" w:eastAsiaTheme="minorEastAsia" w:cstheme="minorBidi"/>
      <w:bCs/>
      <w:color w:val="000000"/>
      <w:kern w:val="2"/>
      <w:sz w:val="21"/>
      <w:szCs w:val="21"/>
      <w:lang w:val="en-US" w:eastAsia="zh-CN" w:bidi="ar-SA"/>
    </w:rPr>
  </w:style>
  <w:style w:type="character" w:customStyle="1" w:styleId="313">
    <w:name w:val="表格、图名 Char"/>
    <w:link w:val="314"/>
    <w:qFormat/>
    <w:uiPriority w:val="0"/>
    <w:rPr>
      <w:rFonts w:ascii="宋体" w:hAnsi="宋体" w:eastAsia="仿宋_GB2312" w:cs="宋体"/>
      <w:b/>
      <w:color w:val="0000FF"/>
      <w:sz w:val="24"/>
      <w:szCs w:val="24"/>
    </w:rPr>
  </w:style>
  <w:style w:type="paragraph" w:customStyle="1" w:styleId="314">
    <w:name w:val="表格、图名"/>
    <w:basedOn w:val="1"/>
    <w:link w:val="313"/>
    <w:qFormat/>
    <w:uiPriority w:val="0"/>
    <w:pPr>
      <w:ind w:firstLine="0" w:firstLineChars="0"/>
      <w:jc w:val="center"/>
    </w:pPr>
    <w:rPr>
      <w:rFonts w:ascii="宋体" w:hAnsi="宋体" w:eastAsia="仿宋_GB2312" w:cs="宋体"/>
      <w:b/>
      <w:color w:val="0000FF"/>
      <w:szCs w:val="24"/>
    </w:rPr>
  </w:style>
  <w:style w:type="character" w:customStyle="1" w:styleId="315">
    <w:name w:val="明显引用 字符2"/>
    <w:semiHidden/>
    <w:qFormat/>
    <w:uiPriority w:val="0"/>
    <w:rPr>
      <w:rFonts w:ascii="Tahoma" w:eastAsia="Tahoma"/>
      <w:b/>
      <w:bCs/>
      <w:i/>
      <w:iCs/>
      <w:color w:val="4F81BD"/>
      <w:kern w:val="2"/>
      <w:sz w:val="21"/>
      <w:szCs w:val="24"/>
    </w:rPr>
  </w:style>
  <w:style w:type="character" w:customStyle="1" w:styleId="316">
    <w:name w:val="标题 2 字符2"/>
    <w:qFormat/>
    <w:uiPriority w:val="9"/>
    <w:rPr>
      <w:rFonts w:ascii="Cambria" w:hAnsi="Cambria"/>
      <w:b/>
      <w:bCs/>
      <w:kern w:val="2"/>
      <w:sz w:val="28"/>
      <w:szCs w:val="32"/>
    </w:rPr>
  </w:style>
  <w:style w:type="character" w:customStyle="1" w:styleId="317">
    <w:name w:val="样式2 字符"/>
    <w:link w:val="318"/>
    <w:qFormat/>
    <w:uiPriority w:val="0"/>
    <w:rPr>
      <w:rFonts w:ascii="Times New Roman" w:hAnsi="Times New Roman"/>
      <w:b/>
      <w:sz w:val="18"/>
      <w:szCs w:val="18"/>
    </w:rPr>
  </w:style>
  <w:style w:type="paragraph" w:customStyle="1" w:styleId="318">
    <w:name w:val="样式2"/>
    <w:basedOn w:val="28"/>
    <w:link w:val="317"/>
    <w:qFormat/>
    <w:uiPriority w:val="0"/>
    <w:pPr>
      <w:spacing w:line="360" w:lineRule="auto"/>
      <w:ind w:firstLine="360"/>
      <w:jc w:val="center"/>
    </w:pPr>
    <w:rPr>
      <w:rFonts w:eastAsiaTheme="minorEastAsia" w:cstheme="minorBidi"/>
      <w:b/>
    </w:rPr>
  </w:style>
  <w:style w:type="character" w:customStyle="1" w:styleId="319">
    <w:name w:val="标题 6 字符2"/>
    <w:qFormat/>
    <w:uiPriority w:val="9"/>
    <w:rPr>
      <w:rFonts w:ascii="Arial" w:hAnsi="Arial" w:eastAsia="宋体" w:cs="Times New Roman"/>
      <w:kern w:val="2"/>
      <w:sz w:val="24"/>
      <w:szCs w:val="21"/>
    </w:rPr>
  </w:style>
  <w:style w:type="character" w:customStyle="1" w:styleId="320">
    <w:name w:val="明显引用 字符3"/>
    <w:semiHidden/>
    <w:qFormat/>
    <w:uiPriority w:val="0"/>
    <w:rPr>
      <w:rFonts w:ascii="Tahoma" w:eastAsia="Tahoma"/>
      <w:b/>
      <w:bCs/>
      <w:i/>
      <w:iCs/>
      <w:color w:val="4F81BD"/>
      <w:kern w:val="2"/>
      <w:sz w:val="21"/>
      <w:szCs w:val="24"/>
    </w:rPr>
  </w:style>
  <w:style w:type="character" w:customStyle="1" w:styleId="321">
    <w:name w:val="标题 1 字符2"/>
    <w:qFormat/>
    <w:uiPriority w:val="9"/>
    <w:rPr>
      <w:rFonts w:ascii="Times New Roman" w:hAnsi="Times New Roman"/>
      <w:b/>
      <w:bCs/>
      <w:kern w:val="44"/>
      <w:sz w:val="32"/>
      <w:szCs w:val="44"/>
    </w:rPr>
  </w:style>
  <w:style w:type="character" w:customStyle="1" w:styleId="322">
    <w:name w:val="马代正文 Char"/>
    <w:link w:val="323"/>
    <w:qFormat/>
    <w:locked/>
    <w:uiPriority w:val="0"/>
    <w:rPr>
      <w:rFonts w:ascii="Times New Roman" w:hAnsi="Times New Roman"/>
      <w:sz w:val="24"/>
    </w:rPr>
  </w:style>
  <w:style w:type="paragraph" w:customStyle="1" w:styleId="323">
    <w:name w:val="马代正文"/>
    <w:basedOn w:val="1"/>
    <w:link w:val="322"/>
    <w:qFormat/>
    <w:uiPriority w:val="0"/>
    <w:pPr>
      <w:jc w:val="left"/>
    </w:pPr>
    <w:rPr>
      <w:rFonts w:eastAsiaTheme="minorEastAsia" w:cstheme="minorBidi"/>
      <w:szCs w:val="22"/>
    </w:rPr>
  </w:style>
  <w:style w:type="character" w:customStyle="1" w:styleId="324">
    <w:name w:val="页脚 字符1"/>
    <w:qFormat/>
    <w:uiPriority w:val="99"/>
    <w:rPr>
      <w:rFonts w:ascii="Times New Roman" w:hAnsi="Times New Roman" w:eastAsia="宋体" w:cs="Times New Roman"/>
      <w:kern w:val="2"/>
      <w:sz w:val="18"/>
      <w:szCs w:val="18"/>
    </w:rPr>
  </w:style>
  <w:style w:type="character" w:customStyle="1" w:styleId="325">
    <w:name w:val="內文2 字元"/>
    <w:link w:val="326"/>
    <w:qFormat/>
    <w:uiPriority w:val="0"/>
    <w:rPr>
      <w:rFonts w:ascii="Verdana" w:hAnsi="Verdana" w:eastAsia="Cambria Math" w:cs="Verdana"/>
      <w:bCs/>
      <w:color w:val="000000"/>
      <w:kern w:val="52"/>
      <w:sz w:val="24"/>
      <w:szCs w:val="24"/>
      <w:lang w:eastAsia="zh-TW"/>
    </w:rPr>
  </w:style>
  <w:style w:type="paragraph" w:customStyle="1" w:styleId="326">
    <w:name w:val="內文2"/>
    <w:link w:val="325"/>
    <w:qFormat/>
    <w:uiPriority w:val="0"/>
    <w:pPr>
      <w:spacing w:after="240"/>
      <w:ind w:left="1800"/>
      <w:jc w:val="both"/>
    </w:pPr>
    <w:rPr>
      <w:rFonts w:ascii="Verdana" w:hAnsi="Verdana" w:eastAsia="Cambria Math" w:cs="Verdana"/>
      <w:bCs/>
      <w:color w:val="000000"/>
      <w:kern w:val="52"/>
      <w:sz w:val="24"/>
      <w:szCs w:val="24"/>
      <w:lang w:val="en-US" w:eastAsia="zh-TW" w:bidi="ar-SA"/>
    </w:rPr>
  </w:style>
  <w:style w:type="character" w:customStyle="1" w:styleId="327">
    <w:name w:val="表内容 Char"/>
    <w:link w:val="328"/>
    <w:qFormat/>
    <w:uiPriority w:val="0"/>
    <w:rPr>
      <w:rFonts w:ascii="华文仿宋" w:hAnsi="华文仿宋"/>
      <w:sz w:val="24"/>
    </w:rPr>
  </w:style>
  <w:style w:type="paragraph" w:customStyle="1" w:styleId="328">
    <w:name w:val="表内容"/>
    <w:basedOn w:val="1"/>
    <w:link w:val="327"/>
    <w:qFormat/>
    <w:uiPriority w:val="0"/>
    <w:pPr>
      <w:widowControl/>
      <w:spacing w:line="240" w:lineRule="auto"/>
      <w:ind w:firstLine="1040"/>
    </w:pPr>
    <w:rPr>
      <w:rFonts w:ascii="华文仿宋" w:hAnsi="华文仿宋" w:eastAsiaTheme="minorEastAsia" w:cstheme="minorBidi"/>
      <w:szCs w:val="22"/>
    </w:rPr>
  </w:style>
  <w:style w:type="character" w:customStyle="1" w:styleId="329">
    <w:name w:val="正文缩进 字符1"/>
    <w:semiHidden/>
    <w:qFormat/>
    <w:uiPriority w:val="0"/>
    <w:rPr>
      <w:rFonts w:ascii="Times New Roman" w:hAnsi="Times New Roman" w:eastAsia="宋体" w:cs="Times New Roman"/>
      <w:kern w:val="2"/>
      <w:sz w:val="24"/>
      <w:szCs w:val="21"/>
    </w:rPr>
  </w:style>
  <w:style w:type="character" w:customStyle="1" w:styleId="330">
    <w:name w:val="标题6 Char"/>
    <w:link w:val="331"/>
    <w:qFormat/>
    <w:uiPriority w:val="0"/>
    <w:rPr>
      <w:rFonts w:ascii="Tahoma" w:hAnsi="仿宋" w:eastAsia="Tahoma"/>
      <w:bCs/>
      <w:sz w:val="24"/>
      <w:szCs w:val="32"/>
    </w:rPr>
  </w:style>
  <w:style w:type="paragraph" w:customStyle="1" w:styleId="331">
    <w:name w:val="标题6"/>
    <w:basedOn w:val="41"/>
    <w:link w:val="330"/>
    <w:qFormat/>
    <w:uiPriority w:val="0"/>
    <w:pPr>
      <w:adjustRightInd w:val="0"/>
      <w:snapToGrid w:val="0"/>
      <w:spacing w:before="0" w:after="0"/>
      <w:ind w:firstLine="1040"/>
      <w:jc w:val="left"/>
      <w:outlineLvl w:val="9"/>
    </w:pPr>
    <w:rPr>
      <w:rFonts w:ascii="Tahoma" w:hAnsi="仿宋" w:eastAsia="Tahoma" w:cstheme="minorBidi"/>
      <w:b w:val="0"/>
      <w:sz w:val="24"/>
    </w:rPr>
  </w:style>
  <w:style w:type="character" w:customStyle="1" w:styleId="332">
    <w:name w:val="标题 8 字符1"/>
    <w:semiHidden/>
    <w:qFormat/>
    <w:uiPriority w:val="9"/>
    <w:rPr>
      <w:rFonts w:ascii="Cambria" w:hAnsi="Cambria"/>
      <w:kern w:val="2"/>
      <w:sz w:val="24"/>
      <w:szCs w:val="24"/>
    </w:rPr>
  </w:style>
  <w:style w:type="character" w:customStyle="1" w:styleId="333">
    <w:name w:val="明显引用 字符1"/>
    <w:qFormat/>
    <w:uiPriority w:val="99"/>
    <w:rPr>
      <w:rFonts w:ascii="Times New Roman" w:hAnsi="Times New Roman" w:eastAsia="宋体" w:cs="Times New Roman"/>
      <w:i/>
      <w:iCs/>
      <w:color w:val="4F81BD"/>
      <w:kern w:val="2"/>
      <w:sz w:val="24"/>
      <w:szCs w:val="21"/>
    </w:rPr>
  </w:style>
  <w:style w:type="character" w:customStyle="1" w:styleId="334">
    <w:name w:val="批注文字 字符2"/>
    <w:semiHidden/>
    <w:qFormat/>
    <w:uiPriority w:val="99"/>
    <w:rPr>
      <w:rFonts w:ascii="Times New Roman" w:hAnsi="Times New Roman" w:eastAsia="宋体" w:cs="Times New Roman"/>
      <w:kern w:val="2"/>
      <w:sz w:val="24"/>
      <w:szCs w:val="21"/>
    </w:rPr>
  </w:style>
  <w:style w:type="character" w:customStyle="1" w:styleId="335">
    <w:name w:val="题注 字符1"/>
    <w:qFormat/>
    <w:uiPriority w:val="0"/>
    <w:rPr>
      <w:rFonts w:ascii="Times New Roman" w:hAnsi="Times New Roman"/>
      <w:b/>
      <w:kern w:val="2"/>
      <w:sz w:val="21"/>
    </w:rPr>
  </w:style>
  <w:style w:type="character" w:customStyle="1" w:styleId="336">
    <w:name w:val="aaa Char"/>
    <w:link w:val="337"/>
    <w:qFormat/>
    <w:uiPriority w:val="0"/>
    <w:rPr>
      <w:rFonts w:hAnsi="Tahoma" w:eastAsia="Tahoma"/>
      <w:bCs/>
      <w:sz w:val="24"/>
      <w:szCs w:val="24"/>
    </w:rPr>
  </w:style>
  <w:style w:type="paragraph" w:customStyle="1" w:styleId="337">
    <w:name w:val="aaa"/>
    <w:link w:val="336"/>
    <w:qFormat/>
    <w:uiPriority w:val="0"/>
    <w:pPr>
      <w:spacing w:line="360" w:lineRule="auto"/>
      <w:ind w:firstLine="200" w:firstLineChars="200"/>
    </w:pPr>
    <w:rPr>
      <w:rFonts w:hAnsi="Tahoma" w:eastAsia="Tahoma" w:asciiTheme="minorHAnsi" w:cstheme="minorBidi"/>
      <w:bCs/>
      <w:kern w:val="2"/>
      <w:sz w:val="24"/>
      <w:szCs w:val="24"/>
      <w:lang w:val="en-US" w:eastAsia="zh-CN" w:bidi="ar-SA"/>
    </w:rPr>
  </w:style>
  <w:style w:type="character" w:customStyle="1" w:styleId="338">
    <w:name w:val="正文文本缩进 3 字符1"/>
    <w:semiHidden/>
    <w:qFormat/>
    <w:uiPriority w:val="0"/>
    <w:rPr>
      <w:rFonts w:eastAsia="Verdana"/>
      <w:kern w:val="2"/>
      <w:sz w:val="16"/>
      <w:szCs w:val="16"/>
    </w:rPr>
  </w:style>
  <w:style w:type="character" w:customStyle="1" w:styleId="339">
    <w:name w:val="5 Char"/>
    <w:link w:val="340"/>
    <w:qFormat/>
    <w:uiPriority w:val="0"/>
    <w:rPr>
      <w:rFonts w:hAnsi="Tahoma" w:eastAsia="Tahoma"/>
      <w:b/>
      <w:bCs/>
      <w:color w:val="0000FF"/>
      <w:sz w:val="24"/>
      <w:szCs w:val="24"/>
    </w:rPr>
  </w:style>
  <w:style w:type="paragraph" w:customStyle="1" w:styleId="340">
    <w:name w:val="5"/>
    <w:link w:val="339"/>
    <w:qFormat/>
    <w:uiPriority w:val="0"/>
    <w:pPr>
      <w:spacing w:line="360" w:lineRule="auto"/>
      <w:ind w:firstLine="200" w:firstLineChars="200"/>
      <w:outlineLvl w:val="4"/>
    </w:pPr>
    <w:rPr>
      <w:rFonts w:hAnsi="Tahoma" w:eastAsia="Tahoma" w:asciiTheme="minorHAnsi" w:cstheme="minorBidi"/>
      <w:b/>
      <w:bCs/>
      <w:color w:val="0000FF"/>
      <w:kern w:val="2"/>
      <w:sz w:val="24"/>
      <w:szCs w:val="24"/>
      <w:lang w:val="en-US" w:eastAsia="zh-CN" w:bidi="ar-SA"/>
    </w:rPr>
  </w:style>
  <w:style w:type="character" w:customStyle="1" w:styleId="341">
    <w:name w:val="副标题 字符2"/>
    <w:qFormat/>
    <w:uiPriority w:val="11"/>
    <w:rPr>
      <w:rFonts w:ascii="Cambria" w:hAnsi="Cambria" w:eastAsia="宋体" w:cs="Times New Roman"/>
      <w:b/>
      <w:bCs/>
      <w:kern w:val="28"/>
      <w:sz w:val="32"/>
      <w:szCs w:val="32"/>
    </w:rPr>
  </w:style>
  <w:style w:type="character" w:customStyle="1" w:styleId="342">
    <w:name w:val="副标题 字符1"/>
    <w:qFormat/>
    <w:uiPriority w:val="11"/>
    <w:rPr>
      <w:rFonts w:ascii="Cambria" w:hAnsi="Cambria" w:eastAsia="宋体" w:cs="Times New Roman"/>
      <w:b/>
      <w:bCs/>
      <w:kern w:val="28"/>
      <w:sz w:val="32"/>
      <w:szCs w:val="32"/>
    </w:rPr>
  </w:style>
  <w:style w:type="character" w:customStyle="1" w:styleId="343">
    <w:name w:val="无间隔 字符"/>
    <w:qFormat/>
    <w:uiPriority w:val="0"/>
    <w:rPr>
      <w:rFonts w:ascii="Times New Roman" w:hAnsi="Times New Roman" w:eastAsia="宋体"/>
      <w:kern w:val="2"/>
      <w:sz w:val="24"/>
      <w:szCs w:val="22"/>
    </w:rPr>
  </w:style>
  <w:style w:type="character" w:customStyle="1" w:styleId="344">
    <w:name w:val="表内文字 Char Char"/>
    <w:qFormat/>
    <w:uiPriority w:val="0"/>
    <w:rPr>
      <w:rFonts w:ascii="Times New Roman" w:hAnsi="Times New Roman" w:eastAsia="宋体" w:cs="Times New Roman"/>
      <w:kern w:val="2"/>
      <w:sz w:val="21"/>
      <w:szCs w:val="21"/>
    </w:rPr>
  </w:style>
  <w:style w:type="character" w:customStyle="1" w:styleId="345">
    <w:name w:val="标题 7 字符1"/>
    <w:semiHidden/>
    <w:qFormat/>
    <w:uiPriority w:val="9"/>
    <w:rPr>
      <w:rFonts w:ascii="Times New Roman" w:hAnsi="Times New Roman"/>
      <w:b/>
      <w:bCs/>
      <w:kern w:val="2"/>
      <w:sz w:val="24"/>
      <w:szCs w:val="24"/>
    </w:rPr>
  </w:style>
  <w:style w:type="character" w:customStyle="1" w:styleId="346">
    <w:name w:val="引用 字符3"/>
    <w:semiHidden/>
    <w:qFormat/>
    <w:uiPriority w:val="0"/>
    <w:rPr>
      <w:rFonts w:ascii="Tahoma" w:eastAsia="Tahoma"/>
      <w:i/>
      <w:iCs/>
      <w:color w:val="000000"/>
      <w:kern w:val="2"/>
      <w:sz w:val="21"/>
      <w:szCs w:val="24"/>
    </w:rPr>
  </w:style>
  <w:style w:type="character" w:customStyle="1" w:styleId="347">
    <w:name w:val="未处理的提及3"/>
    <w:unhideWhenUsed/>
    <w:qFormat/>
    <w:uiPriority w:val="99"/>
    <w:rPr>
      <w:color w:val="605E5C"/>
      <w:shd w:val="clear" w:color="auto" w:fill="E1DFDD"/>
    </w:rPr>
  </w:style>
  <w:style w:type="character" w:customStyle="1" w:styleId="348">
    <w:name w:val="表格正文 Char"/>
    <w:link w:val="99"/>
    <w:qFormat/>
    <w:uiPriority w:val="0"/>
    <w:rPr>
      <w:rFonts w:ascii="Times New Roman" w:hAnsi="Times New Roman" w:eastAsia="宋体" w:cs="Times New Roman"/>
      <w:color w:val="000000"/>
      <w:szCs w:val="20"/>
    </w:rPr>
  </w:style>
  <w:style w:type="character" w:customStyle="1" w:styleId="349">
    <w:name w:val="正文文本 2 字符1"/>
    <w:semiHidden/>
    <w:qFormat/>
    <w:uiPriority w:val="0"/>
    <w:rPr>
      <w:rFonts w:ascii="Verdana" w:hAnsi="Verdana" w:eastAsia="宋体" w:cs="Verdana"/>
      <w:bCs/>
      <w:color w:val="000000"/>
      <w:sz w:val="24"/>
      <w:szCs w:val="24"/>
    </w:rPr>
  </w:style>
  <w:style w:type="character" w:customStyle="1" w:styleId="350">
    <w:name w:val="表头 Char"/>
    <w:link w:val="351"/>
    <w:qFormat/>
    <w:uiPriority w:val="1"/>
    <w:rPr>
      <w:rFonts w:ascii="Times New Roman" w:hAnsi="Times New Roman"/>
      <w:b/>
    </w:rPr>
  </w:style>
  <w:style w:type="paragraph" w:customStyle="1" w:styleId="351">
    <w:name w:val="表头"/>
    <w:next w:val="189"/>
    <w:link w:val="350"/>
    <w:qFormat/>
    <w:uiPriority w:val="1"/>
    <w:pPr>
      <w:keepNext/>
      <w:spacing w:line="360" w:lineRule="auto"/>
      <w:jc w:val="center"/>
    </w:pPr>
    <w:rPr>
      <w:rFonts w:ascii="Times New Roman" w:hAnsi="Times New Roman" w:eastAsiaTheme="minorEastAsia" w:cstheme="minorBidi"/>
      <w:b/>
      <w:kern w:val="2"/>
      <w:sz w:val="21"/>
      <w:szCs w:val="22"/>
      <w:lang w:val="en-US" w:eastAsia="zh-CN" w:bidi="ar-SA"/>
    </w:rPr>
  </w:style>
  <w:style w:type="character" w:customStyle="1" w:styleId="352">
    <w:name w:val="日期 字符2"/>
    <w:semiHidden/>
    <w:qFormat/>
    <w:uiPriority w:val="0"/>
    <w:rPr>
      <w:rFonts w:ascii="Calibri" w:eastAsia="Calibri"/>
      <w:kern w:val="2"/>
      <w:sz w:val="24"/>
    </w:rPr>
  </w:style>
  <w:style w:type="character" w:customStyle="1" w:styleId="353">
    <w:name w:val="1010 Char"/>
    <w:link w:val="354"/>
    <w:qFormat/>
    <w:uiPriority w:val="0"/>
    <w:rPr>
      <w:rFonts w:ascii="Tahoma" w:eastAsia="Tahoma"/>
      <w:b/>
      <w:bCs/>
      <w:color w:val="0000FF"/>
      <w:szCs w:val="24"/>
    </w:rPr>
  </w:style>
  <w:style w:type="paragraph" w:customStyle="1" w:styleId="354">
    <w:name w:val="1010"/>
    <w:link w:val="353"/>
    <w:qFormat/>
    <w:uiPriority w:val="0"/>
    <w:pPr>
      <w:snapToGrid w:val="0"/>
      <w:spacing w:line="360" w:lineRule="auto"/>
      <w:jc w:val="center"/>
    </w:pPr>
    <w:rPr>
      <w:rFonts w:ascii="Tahoma" w:eastAsia="Tahoma" w:hAnsiTheme="minorHAnsi" w:cstheme="minorBidi"/>
      <w:b/>
      <w:bCs/>
      <w:color w:val="0000FF"/>
      <w:kern w:val="2"/>
      <w:sz w:val="21"/>
      <w:szCs w:val="24"/>
      <w:lang w:val="en-US" w:eastAsia="zh-CN" w:bidi="ar-SA"/>
    </w:rPr>
  </w:style>
  <w:style w:type="character" w:customStyle="1" w:styleId="355">
    <w:name w:val="正文缩进 字符2"/>
    <w:semiHidden/>
    <w:qFormat/>
    <w:uiPriority w:val="0"/>
    <w:rPr>
      <w:rFonts w:ascii="Times New Roman" w:hAnsi="Times New Roman" w:eastAsia="宋体" w:cs="Times New Roman"/>
      <w:kern w:val="2"/>
      <w:sz w:val="24"/>
      <w:szCs w:val="21"/>
    </w:rPr>
  </w:style>
  <w:style w:type="character" w:customStyle="1" w:styleId="356">
    <w:name w:val="图片 Char"/>
    <w:qFormat/>
    <w:uiPriority w:val="0"/>
    <w:rPr>
      <w:rFonts w:ascii="Times New Roman" w:hAnsi="Times New Roman"/>
    </w:rPr>
  </w:style>
  <w:style w:type="character" w:customStyle="1" w:styleId="357">
    <w:name w:val="纯文本 字符1"/>
    <w:semiHidden/>
    <w:qFormat/>
    <w:uiPriority w:val="0"/>
    <w:rPr>
      <w:rFonts w:ascii="Verdana" w:hAnsi="仿宋" w:eastAsia="Verdana" w:cs="仿宋"/>
      <w:kern w:val="2"/>
      <w:sz w:val="21"/>
      <w:szCs w:val="21"/>
    </w:rPr>
  </w:style>
  <w:style w:type="character" w:customStyle="1" w:styleId="358">
    <w:name w:val="文档结构图 字符1"/>
    <w:semiHidden/>
    <w:qFormat/>
    <w:uiPriority w:val="0"/>
    <w:rPr>
      <w:rFonts w:ascii="Microsoft YaHei UI" w:hAnsi="Times New Roman" w:eastAsia="Microsoft YaHei UI" w:cs="Times New Roman"/>
      <w:kern w:val="2"/>
      <w:sz w:val="18"/>
      <w:szCs w:val="18"/>
    </w:rPr>
  </w:style>
  <w:style w:type="character" w:customStyle="1" w:styleId="359">
    <w:name w:val="标题2 Char"/>
    <w:link w:val="360"/>
    <w:qFormat/>
    <w:uiPriority w:val="0"/>
    <w:rPr>
      <w:rFonts w:ascii="Times New Roman" w:hAnsi="Times New Roman"/>
      <w:sz w:val="24"/>
      <w:szCs w:val="21"/>
    </w:rPr>
  </w:style>
  <w:style w:type="paragraph" w:customStyle="1" w:styleId="360">
    <w:name w:val="标题2"/>
    <w:basedOn w:val="1"/>
    <w:link w:val="359"/>
    <w:qFormat/>
    <w:uiPriority w:val="0"/>
    <w:pPr>
      <w:ind w:firstLine="480"/>
    </w:pPr>
    <w:rPr>
      <w:rFonts w:eastAsiaTheme="minorEastAsia" w:cstheme="minorBidi"/>
    </w:rPr>
  </w:style>
  <w:style w:type="character" w:customStyle="1" w:styleId="361">
    <w:name w:val="正文文本首行缩进 字符1"/>
    <w:qFormat/>
    <w:uiPriority w:val="99"/>
    <w:rPr>
      <w:rFonts w:ascii="仿宋" w:hAnsi="仿宋" w:eastAsia="仿宋" w:cs="Times New Roman"/>
      <w:kern w:val="2"/>
      <w:sz w:val="24"/>
      <w:szCs w:val="21"/>
    </w:rPr>
  </w:style>
  <w:style w:type="character" w:customStyle="1" w:styleId="362">
    <w:name w:val="题注 字符2"/>
    <w:qFormat/>
    <w:uiPriority w:val="0"/>
    <w:rPr>
      <w:rFonts w:ascii="Times New Roman" w:hAnsi="Times New Roman"/>
      <w:b/>
      <w:kern w:val="2"/>
      <w:sz w:val="21"/>
    </w:rPr>
  </w:style>
  <w:style w:type="character" w:customStyle="1" w:styleId="363">
    <w:name w:val="题注 字符3"/>
    <w:qFormat/>
    <w:uiPriority w:val="0"/>
    <w:rPr>
      <w:rFonts w:ascii="Times New Roman" w:hAnsi="Times New Roman"/>
      <w:b/>
      <w:kern w:val="2"/>
      <w:sz w:val="21"/>
    </w:rPr>
  </w:style>
  <w:style w:type="character" w:customStyle="1" w:styleId="364">
    <w:name w:val="标题7 Char"/>
    <w:link w:val="365"/>
    <w:qFormat/>
    <w:uiPriority w:val="0"/>
    <w:rPr>
      <w:rFonts w:ascii="Tahoma" w:hAnsi="Cambria Math" w:eastAsia="Tahoma"/>
      <w:b/>
      <w:bCs/>
      <w:sz w:val="24"/>
      <w:szCs w:val="24"/>
    </w:rPr>
  </w:style>
  <w:style w:type="paragraph" w:customStyle="1" w:styleId="365">
    <w:name w:val="标题7"/>
    <w:basedOn w:val="1"/>
    <w:link w:val="364"/>
    <w:qFormat/>
    <w:uiPriority w:val="0"/>
    <w:pPr>
      <w:adjustRightInd w:val="0"/>
      <w:ind w:left="420" w:hanging="420"/>
      <w:contextualSpacing/>
      <w:outlineLvl w:val="5"/>
    </w:pPr>
    <w:rPr>
      <w:rFonts w:ascii="Tahoma" w:hAnsi="Cambria Math" w:eastAsia="Tahoma" w:cstheme="minorBidi"/>
      <w:b/>
      <w:bCs/>
      <w:szCs w:val="24"/>
    </w:rPr>
  </w:style>
  <w:style w:type="character" w:customStyle="1" w:styleId="366">
    <w:name w:val="上标 Char"/>
    <w:link w:val="367"/>
    <w:qFormat/>
    <w:uiPriority w:val="0"/>
    <w:rPr>
      <w:rFonts w:ascii="Times New Roman" w:hAnsi="Times New Roman" w:eastAsia="仿宋_GB2312"/>
      <w:sz w:val="24"/>
      <w:szCs w:val="18"/>
      <w:vertAlign w:val="superscript"/>
    </w:rPr>
  </w:style>
  <w:style w:type="paragraph" w:customStyle="1" w:styleId="367">
    <w:name w:val="上标"/>
    <w:basedOn w:val="1"/>
    <w:link w:val="366"/>
    <w:qFormat/>
    <w:uiPriority w:val="0"/>
    <w:pPr>
      <w:widowControl/>
      <w:adjustRightInd w:val="0"/>
      <w:snapToGrid w:val="0"/>
      <w:spacing w:line="440" w:lineRule="atLeast"/>
      <w:ind w:firstLine="480"/>
      <w:textAlignment w:val="center"/>
    </w:pPr>
    <w:rPr>
      <w:rFonts w:eastAsia="仿宋_GB2312" w:cstheme="minorBidi"/>
      <w:szCs w:val="18"/>
      <w:vertAlign w:val="superscript"/>
    </w:rPr>
  </w:style>
  <w:style w:type="character" w:customStyle="1" w:styleId="368">
    <w:name w:val="标题 4 字符1"/>
    <w:qFormat/>
    <w:uiPriority w:val="9"/>
    <w:rPr>
      <w:rFonts w:ascii="Times New Roman" w:hAnsi="Times New Roman"/>
      <w:b/>
      <w:kern w:val="2"/>
      <w:sz w:val="24"/>
      <w:szCs w:val="21"/>
    </w:rPr>
  </w:style>
  <w:style w:type="character" w:customStyle="1" w:styleId="369">
    <w:name w:val="MTDisplayEquation 字符"/>
    <w:link w:val="370"/>
    <w:qFormat/>
    <w:uiPriority w:val="0"/>
    <w:rPr>
      <w:rFonts w:ascii="Times New Roman" w:hAnsi="Times New Roman"/>
      <w:sz w:val="24"/>
    </w:rPr>
  </w:style>
  <w:style w:type="paragraph" w:customStyle="1" w:styleId="370">
    <w:name w:val="MTDisplayEquation"/>
    <w:basedOn w:val="253"/>
    <w:next w:val="1"/>
    <w:link w:val="369"/>
    <w:qFormat/>
    <w:uiPriority w:val="0"/>
    <w:pPr>
      <w:tabs>
        <w:tab w:val="center" w:pos="4400"/>
        <w:tab w:val="right" w:pos="8780"/>
      </w:tabs>
      <w:ind w:firstLine="480"/>
    </w:pPr>
  </w:style>
  <w:style w:type="character" w:customStyle="1" w:styleId="371">
    <w:name w:val="缩进1.5 字符"/>
    <w:link w:val="158"/>
    <w:qFormat/>
    <w:uiPriority w:val="0"/>
    <w:rPr>
      <w:rFonts w:ascii="Times New Roman" w:hAnsi="Times New Roman" w:eastAsia="宋体"/>
      <w:sz w:val="24"/>
    </w:rPr>
  </w:style>
  <w:style w:type="character" w:customStyle="1" w:styleId="372">
    <w:name w:val="批注框文本 字符2"/>
    <w:semiHidden/>
    <w:qFormat/>
    <w:uiPriority w:val="99"/>
    <w:rPr>
      <w:rFonts w:ascii="Times New Roman" w:hAnsi="Times New Roman" w:eastAsia="宋体" w:cs="Times New Roman"/>
      <w:kern w:val="2"/>
      <w:sz w:val="18"/>
      <w:szCs w:val="18"/>
    </w:rPr>
  </w:style>
  <w:style w:type="character" w:customStyle="1" w:styleId="373">
    <w:name w:val="批注框文本 字符1"/>
    <w:semiHidden/>
    <w:qFormat/>
    <w:uiPriority w:val="99"/>
    <w:rPr>
      <w:rFonts w:ascii="Times New Roman" w:hAnsi="Times New Roman" w:eastAsia="宋体" w:cs="Times New Roman"/>
      <w:kern w:val="2"/>
      <w:sz w:val="18"/>
      <w:szCs w:val="18"/>
    </w:rPr>
  </w:style>
  <w:style w:type="character" w:customStyle="1" w:styleId="374">
    <w:name w:val="k 4级 Char"/>
    <w:link w:val="375"/>
    <w:qFormat/>
    <w:uiPriority w:val="0"/>
    <w:rPr>
      <w:rFonts w:eastAsia="Verdana"/>
      <w:sz w:val="24"/>
    </w:rPr>
  </w:style>
  <w:style w:type="paragraph" w:customStyle="1" w:styleId="375">
    <w:name w:val="k 4级"/>
    <w:basedOn w:val="281"/>
    <w:next w:val="281"/>
    <w:link w:val="374"/>
    <w:qFormat/>
    <w:uiPriority w:val="0"/>
    <w:pPr>
      <w:ind w:firstLine="480"/>
      <w:outlineLvl w:val="3"/>
    </w:pPr>
    <w:rPr>
      <w:rFonts w:eastAsia="Verdana" w:asciiTheme="minorHAnsi" w:hAnsiTheme="minorHAnsi" w:cstheme="minorBidi"/>
      <w:szCs w:val="22"/>
    </w:rPr>
  </w:style>
  <w:style w:type="character" w:customStyle="1" w:styleId="376">
    <w:name w:val="图说明 Char"/>
    <w:link w:val="377"/>
    <w:qFormat/>
    <w:uiPriority w:val="0"/>
    <w:rPr>
      <w:rFonts w:ascii="Times New Roman" w:hAnsi="Times New Roman" w:eastAsia="黑体"/>
    </w:rPr>
  </w:style>
  <w:style w:type="paragraph" w:customStyle="1" w:styleId="377">
    <w:name w:val="图说明"/>
    <w:next w:val="1"/>
    <w:link w:val="376"/>
    <w:qFormat/>
    <w:uiPriority w:val="0"/>
    <w:pPr>
      <w:jc w:val="center"/>
    </w:pPr>
    <w:rPr>
      <w:rFonts w:ascii="Times New Roman" w:hAnsi="Times New Roman" w:eastAsia="黑体" w:cstheme="minorBidi"/>
      <w:kern w:val="2"/>
      <w:sz w:val="21"/>
      <w:szCs w:val="22"/>
      <w:lang w:val="en-US" w:eastAsia="zh-CN" w:bidi="ar-SA"/>
    </w:rPr>
  </w:style>
  <w:style w:type="paragraph" w:customStyle="1" w:styleId="378">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79">
    <w:name w:val="k 6级"/>
    <w:basedOn w:val="281"/>
    <w:next w:val="281"/>
    <w:qFormat/>
    <w:uiPriority w:val="0"/>
    <w:pPr>
      <w:outlineLvl w:val="5"/>
    </w:pPr>
    <w:rPr>
      <w:szCs w:val="22"/>
    </w:rPr>
  </w:style>
  <w:style w:type="paragraph" w:customStyle="1" w:styleId="380">
    <w:name w:val="k 表中字"/>
    <w:basedOn w:val="281"/>
    <w:qFormat/>
    <w:uiPriority w:val="0"/>
    <w:pPr>
      <w:spacing w:line="240" w:lineRule="auto"/>
      <w:ind w:firstLine="0" w:firstLineChars="0"/>
      <w:jc w:val="center"/>
    </w:pPr>
    <w:rPr>
      <w:sz w:val="21"/>
      <w:szCs w:val="22"/>
    </w:rPr>
  </w:style>
  <w:style w:type="paragraph" w:customStyle="1" w:styleId="381">
    <w:name w:val="官新表格"/>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38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kern w:val="0"/>
      <w:sz w:val="18"/>
      <w:szCs w:val="18"/>
    </w:rPr>
  </w:style>
  <w:style w:type="paragraph" w:customStyle="1" w:styleId="383">
    <w:name w:val="font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384">
    <w:name w:val="k 1.1.1 XXX"/>
    <w:basedOn w:val="281"/>
    <w:next w:val="281"/>
    <w:qFormat/>
    <w:uiPriority w:val="0"/>
    <w:pPr>
      <w:ind w:firstLine="0" w:firstLineChars="0"/>
      <w:outlineLvl w:val="4"/>
    </w:pPr>
    <w:rPr>
      <w:b/>
    </w:rPr>
  </w:style>
  <w:style w:type="paragraph" w:customStyle="1" w:styleId="38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3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387">
    <w:name w:val="xl78"/>
    <w:basedOn w:val="1"/>
    <w:qFormat/>
    <w:uiPriority w:val="0"/>
    <w:pPr>
      <w:widowControl/>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88">
    <w:name w:val="_Style 141"/>
    <w:basedOn w:val="1"/>
    <w:next w:val="58"/>
    <w:qFormat/>
    <w:uiPriority w:val="0"/>
    <w:pPr>
      <w:ind w:firstLine="150" w:firstLineChars="150"/>
    </w:pPr>
  </w:style>
  <w:style w:type="paragraph" w:customStyle="1" w:styleId="389">
    <w:name w:val="font6"/>
    <w:basedOn w:val="1"/>
    <w:qFormat/>
    <w:uiPriority w:val="0"/>
    <w:pPr>
      <w:widowControl/>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390">
    <w:name w:val="图表中文"/>
    <w:next w:val="1"/>
    <w:qFormat/>
    <w:uiPriority w:val="0"/>
    <w:pPr>
      <w:jc w:val="center"/>
    </w:pPr>
    <w:rPr>
      <w:rFonts w:ascii="Times New Roman" w:hAnsi="Times New Roman" w:eastAsia="仿宋_GB2312" w:cs="宋体"/>
      <w:color w:val="000000"/>
      <w:kern w:val="0"/>
      <w:sz w:val="21"/>
      <w:szCs w:val="22"/>
      <w:lang w:val="en-US" w:eastAsia="zh-CN" w:bidi="ar-SA"/>
    </w:rPr>
  </w:style>
  <w:style w:type="paragraph" w:customStyle="1" w:styleId="391">
    <w:name w:val="Char Char Char Char Char Char Char"/>
    <w:basedOn w:val="17"/>
    <w:qFormat/>
    <w:uiPriority w:val="0"/>
    <w:pPr>
      <w:shd w:val="clear" w:color="auto" w:fill="000080"/>
      <w:adjustRightInd w:val="0"/>
      <w:spacing w:line="436" w:lineRule="exact"/>
      <w:ind w:left="357" w:firstLine="883"/>
      <w:jc w:val="left"/>
      <w:outlineLvl w:val="3"/>
    </w:pPr>
    <w:rPr>
      <w:rFonts w:ascii="Tahoma" w:hAnsi="Tahoma" w:eastAsia="仿宋"/>
      <w:b/>
      <w:sz w:val="24"/>
      <w:szCs w:val="24"/>
    </w:rPr>
  </w:style>
  <w:style w:type="paragraph" w:customStyle="1" w:styleId="392">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paragraph" w:customStyle="1" w:styleId="39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394">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cs="宋体"/>
      <w:kern w:val="0"/>
      <w:sz w:val="18"/>
      <w:szCs w:val="18"/>
    </w:rPr>
  </w:style>
  <w:style w:type="paragraph" w:customStyle="1" w:styleId="395">
    <w:name w:val="正文首行缩进1"/>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kern w:val="0"/>
      <w:sz w:val="18"/>
      <w:szCs w:val="28"/>
      <w:lang w:val="en-US" w:eastAsia="zh-CN" w:bidi="ar-SA"/>
    </w:rPr>
  </w:style>
  <w:style w:type="paragraph" w:customStyle="1" w:styleId="39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397">
    <w:name w:val="列出段落1"/>
    <w:basedOn w:val="1"/>
    <w:qFormat/>
    <w:uiPriority w:val="0"/>
    <w:pPr>
      <w:widowControl/>
      <w:spacing w:after="200" w:line="276" w:lineRule="auto"/>
      <w:ind w:firstLine="420"/>
      <w:jc w:val="left"/>
    </w:pPr>
    <w:rPr>
      <w:rFonts w:ascii="Arial Unicode MS" w:hAnsi="Arial Unicode MS" w:eastAsia="仿宋"/>
      <w:kern w:val="0"/>
      <w:sz w:val="22"/>
      <w:szCs w:val="22"/>
      <w:lang w:eastAsia="en-US" w:bidi="en-US"/>
    </w:rPr>
  </w:style>
  <w:style w:type="paragraph" w:customStyle="1" w:styleId="398">
    <w:name w:val="_Style 142"/>
    <w:basedOn w:val="1"/>
    <w:next w:val="58"/>
    <w:qFormat/>
    <w:uiPriority w:val="0"/>
    <w:pPr>
      <w:ind w:firstLine="150" w:firstLineChars="150"/>
    </w:pPr>
  </w:style>
  <w:style w:type="paragraph" w:customStyle="1" w:styleId="399">
    <w:name w:val="xl77"/>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00">
    <w:name w:val="图下标题"/>
    <w:basedOn w:val="1"/>
    <w:next w:val="323"/>
    <w:qFormat/>
    <w:uiPriority w:val="0"/>
    <w:pPr>
      <w:widowControl/>
      <w:snapToGrid w:val="0"/>
      <w:spacing w:before="50" w:beforeLines="50"/>
      <w:ind w:firstLine="1040"/>
      <w:jc w:val="center"/>
    </w:pPr>
    <w:rPr>
      <w:rFonts w:ascii="黑体" w:hAnsi="黑体" w:cs="Arial"/>
      <w:color w:val="244061"/>
      <w:szCs w:val="20"/>
    </w:rPr>
  </w:style>
  <w:style w:type="paragraph" w:customStyle="1" w:styleId="401">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402">
    <w:name w:val="xl100"/>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03">
    <w:name w:val="q正文"/>
    <w:basedOn w:val="1"/>
    <w:qFormat/>
    <w:uiPriority w:val="0"/>
  </w:style>
  <w:style w:type="paragraph" w:customStyle="1" w:styleId="404">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405">
    <w:name w:val="1"/>
    <w:basedOn w:val="1"/>
    <w:next w:val="58"/>
    <w:semiHidden/>
    <w:qFormat/>
    <w:uiPriority w:val="34"/>
    <w:pPr>
      <w:spacing w:line="240" w:lineRule="auto"/>
      <w:ind w:firstLine="420"/>
    </w:pPr>
    <w:rPr>
      <w:rFonts w:ascii="Calibri" w:hAnsi="仿宋" w:eastAsia="Calibri" w:cs="仿宋"/>
      <w:sz w:val="21"/>
      <w:szCs w:val="24"/>
    </w:rPr>
  </w:style>
  <w:style w:type="paragraph" w:customStyle="1" w:styleId="406">
    <w:name w:val="xl9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cs="宋体"/>
      <w:kern w:val="0"/>
      <w:sz w:val="18"/>
      <w:szCs w:val="18"/>
    </w:rPr>
  </w:style>
  <w:style w:type="paragraph" w:customStyle="1" w:styleId="407">
    <w:name w:val="目录 91"/>
    <w:basedOn w:val="1"/>
    <w:next w:val="1"/>
    <w:qFormat/>
    <w:uiPriority w:val="39"/>
    <w:pPr>
      <w:spacing w:line="240" w:lineRule="auto"/>
      <w:ind w:left="3360" w:leftChars="1600" w:firstLine="0" w:firstLineChars="0"/>
    </w:pPr>
    <w:rPr>
      <w:rFonts w:ascii="Calibri" w:hAnsi="Calibri"/>
      <w:sz w:val="21"/>
      <w:szCs w:val="22"/>
    </w:rPr>
  </w:style>
  <w:style w:type="paragraph" w:customStyle="1" w:styleId="408">
    <w:name w:val="_Style 140"/>
    <w:basedOn w:val="1"/>
    <w:next w:val="58"/>
    <w:qFormat/>
    <w:uiPriority w:val="0"/>
    <w:pPr>
      <w:ind w:firstLine="150" w:firstLineChars="150"/>
    </w:pPr>
  </w:style>
  <w:style w:type="paragraph" w:customStyle="1" w:styleId="409">
    <w:name w:val="xl79"/>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10">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textAlignment w:val="top"/>
    </w:pPr>
    <w:rPr>
      <w:rFonts w:ascii="宋体" w:hAnsi="宋体" w:cs="宋体"/>
      <w:kern w:val="0"/>
      <w:sz w:val="18"/>
      <w:szCs w:val="18"/>
    </w:rPr>
  </w:style>
  <w:style w:type="paragraph" w:customStyle="1" w:styleId="411">
    <w:name w:val="k 1.1XXX"/>
    <w:basedOn w:val="281"/>
    <w:next w:val="281"/>
    <w:qFormat/>
    <w:uiPriority w:val="0"/>
    <w:pPr>
      <w:ind w:firstLine="0" w:firstLineChars="0"/>
      <w:outlineLvl w:val="3"/>
    </w:pPr>
    <w:rPr>
      <w:b/>
    </w:rPr>
  </w:style>
  <w:style w:type="paragraph" w:customStyle="1" w:styleId="412">
    <w:name w:val="k6级"/>
    <w:basedOn w:val="281"/>
    <w:next w:val="281"/>
    <w:qFormat/>
    <w:uiPriority w:val="0"/>
    <w:pPr>
      <w:outlineLvl w:val="5"/>
    </w:pPr>
    <w:rPr>
      <w:rFonts w:ascii="Tahoma" w:eastAsia="Tahoma"/>
    </w:rPr>
  </w:style>
  <w:style w:type="paragraph" w:customStyle="1" w:styleId="413">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b/>
      <w:bCs/>
      <w:kern w:val="0"/>
      <w:sz w:val="18"/>
      <w:szCs w:val="18"/>
    </w:rPr>
  </w:style>
  <w:style w:type="paragraph" w:customStyle="1" w:styleId="414">
    <w:name w:val="官新图名"/>
    <w:basedOn w:val="1"/>
    <w:next w:val="1"/>
    <w:qFormat/>
    <w:uiPriority w:val="0"/>
    <w:pPr>
      <w:ind w:firstLine="0" w:firstLineChars="0"/>
      <w:jc w:val="center"/>
    </w:pPr>
    <w:rPr>
      <w:rFonts w:hint="eastAsia"/>
      <w:b/>
      <w:bCs/>
      <w:sz w:val="21"/>
    </w:rPr>
  </w:style>
  <w:style w:type="paragraph" w:customStyle="1" w:styleId="415">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1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1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18"/>
      <w:szCs w:val="18"/>
    </w:rPr>
  </w:style>
  <w:style w:type="paragraph" w:customStyle="1" w:styleId="41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41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2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21">
    <w:name w:val="k8级"/>
    <w:basedOn w:val="281"/>
    <w:qFormat/>
    <w:uiPriority w:val="0"/>
    <w:pPr>
      <w:outlineLvl w:val="7"/>
    </w:pPr>
    <w:rPr>
      <w:rFonts w:ascii="Tahoma" w:eastAsia="Tahoma"/>
    </w:rPr>
  </w:style>
  <w:style w:type="paragraph" w:customStyle="1" w:styleId="422">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23">
    <w:name w:val="xl91"/>
    <w:basedOn w:val="1"/>
    <w:qFormat/>
    <w:uiPriority w:val="0"/>
    <w:pPr>
      <w:widowControl/>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24">
    <w:name w:val="k 5级"/>
    <w:basedOn w:val="281"/>
    <w:next w:val="281"/>
    <w:qFormat/>
    <w:uiPriority w:val="0"/>
    <w:pPr>
      <w:outlineLvl w:val="4"/>
    </w:pPr>
    <w:rPr>
      <w:szCs w:val="22"/>
    </w:rPr>
  </w:style>
  <w:style w:type="paragraph" w:customStyle="1" w:styleId="425">
    <w:name w:val="方案五五"/>
    <w:basedOn w:val="323"/>
    <w:next w:val="323"/>
    <w:qFormat/>
    <w:uiPriority w:val="0"/>
    <w:pPr>
      <w:ind w:firstLine="480"/>
    </w:pPr>
  </w:style>
  <w:style w:type="paragraph" w:customStyle="1" w:styleId="426">
    <w:name w:val="xl8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27">
    <w:name w:val="表头-模板"/>
    <w:basedOn w:val="1"/>
    <w:qFormat/>
    <w:uiPriority w:val="0"/>
    <w:pPr>
      <w:adjustRightInd w:val="0"/>
      <w:spacing w:line="240" w:lineRule="auto"/>
      <w:ind w:firstLine="0" w:firstLineChars="0"/>
      <w:jc w:val="center"/>
    </w:pPr>
    <w:rPr>
      <w:rFonts w:hint="eastAsia"/>
      <w:b/>
      <w:sz w:val="21"/>
    </w:rPr>
  </w:style>
  <w:style w:type="paragraph" w:customStyle="1" w:styleId="428">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4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3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3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 w:val="18"/>
      <w:szCs w:val="18"/>
    </w:rPr>
  </w:style>
  <w:style w:type="paragraph" w:customStyle="1" w:styleId="432">
    <w:name w:val="表格正文-模板"/>
    <w:basedOn w:val="1"/>
    <w:qFormat/>
    <w:uiPriority w:val="0"/>
    <w:pPr>
      <w:adjustRightInd w:val="0"/>
      <w:spacing w:line="240" w:lineRule="auto"/>
      <w:ind w:firstLine="0" w:firstLineChars="0"/>
      <w:jc w:val="center"/>
    </w:pPr>
    <w:rPr>
      <w:sz w:val="21"/>
    </w:rPr>
  </w:style>
  <w:style w:type="paragraph" w:customStyle="1" w:styleId="433">
    <w:name w:val="图表名1"/>
    <w:qFormat/>
    <w:uiPriority w:val="1"/>
    <w:pPr>
      <w:widowControl w:val="0"/>
      <w:jc w:val="center"/>
    </w:pPr>
    <w:rPr>
      <w:rFonts w:ascii="Times New Roman" w:hAnsi="Times New Roman" w:eastAsia="宋体" w:cs="Calibri"/>
      <w:kern w:val="2"/>
      <w:sz w:val="21"/>
      <w:szCs w:val="24"/>
      <w:lang w:val="en-US" w:eastAsia="zh-CN" w:bidi="ar-SA"/>
    </w:rPr>
  </w:style>
  <w:style w:type="paragraph" w:customStyle="1" w:styleId="434">
    <w:name w:val="图表名－－"/>
    <w:basedOn w:val="289"/>
    <w:qFormat/>
    <w:uiPriority w:val="0"/>
    <w:pPr>
      <w:widowControl/>
      <w:spacing w:beforeLines="50" w:afterLines="0"/>
      <w:ind w:firstLine="0" w:firstLineChars="0"/>
    </w:pPr>
    <w:rPr>
      <w:rFonts w:ascii="宋体" w:hAnsi="宋体" w:eastAsia="宋体"/>
      <w:color w:val="auto"/>
      <w:sz w:val="21"/>
      <w:szCs w:val="21"/>
    </w:rPr>
  </w:style>
  <w:style w:type="table" w:customStyle="1" w:styleId="435">
    <w:name w:val="网格型3"/>
    <w:basedOn w:val="44"/>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21"/>
    </w:rPr>
  </w:style>
  <w:style w:type="paragraph" w:customStyle="1" w:styleId="43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1"/>
    </w:rPr>
  </w:style>
  <w:style w:type="paragraph" w:customStyle="1" w:styleId="43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color w:val="000000"/>
      <w:kern w:val="0"/>
      <w:sz w:val="21"/>
    </w:rPr>
  </w:style>
  <w:style w:type="paragraph" w:customStyle="1" w:styleId="43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b/>
      <w:bCs/>
      <w:color w:val="000000"/>
      <w:kern w:val="0"/>
      <w:sz w:val="21"/>
    </w:rPr>
  </w:style>
  <w:style w:type="paragraph" w:customStyle="1" w:styleId="44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18"/>
      <w:szCs w:val="18"/>
    </w:rPr>
  </w:style>
  <w:style w:type="paragraph" w:customStyle="1" w:styleId="44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Cs w:val="24"/>
    </w:rPr>
  </w:style>
  <w:style w:type="paragraph" w:customStyle="1" w:styleId="44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color w:val="000000"/>
      <w:kern w:val="0"/>
      <w:szCs w:val="24"/>
    </w:rPr>
  </w:style>
  <w:style w:type="paragraph" w:customStyle="1" w:styleId="44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Cs w:val="24"/>
    </w:rPr>
  </w:style>
  <w:style w:type="paragraph" w:customStyle="1" w:styleId="44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color w:val="000000"/>
      <w:kern w:val="0"/>
      <w:sz w:val="18"/>
      <w:szCs w:val="18"/>
    </w:rPr>
  </w:style>
  <w:style w:type="paragraph" w:customStyle="1" w:styleId="445">
    <w:name w:val="正文 空2字"/>
    <w:qFormat/>
    <w:uiPriority w:val="0"/>
    <w:pPr>
      <w:spacing w:line="360" w:lineRule="exact"/>
      <w:ind w:firstLine="200" w:firstLineChars="200"/>
    </w:pPr>
    <w:rPr>
      <w:rFonts w:ascii="宋体" w:hAnsi="Arial" w:eastAsia="宋体" w:cs="Arial"/>
      <w:kern w:val="0"/>
      <w:sz w:val="21"/>
      <w:szCs w:val="44"/>
      <w:lang w:val="en-US" w:eastAsia="zh-CN" w:bidi="ar-SA"/>
    </w:rPr>
  </w:style>
  <w:style w:type="table" w:customStyle="1" w:styleId="446">
    <w:name w:val="样式15"/>
    <w:basedOn w:val="44"/>
    <w:qFormat/>
    <w:locked/>
    <w:uiPriority w:val="99"/>
    <w:pPr>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447">
    <w:name w:val="燕矶图片样式"/>
    <w:qFormat/>
    <w:uiPriority w:val="0"/>
    <w:pPr>
      <w:widowControl w:val="0"/>
      <w:adjustRightInd w:val="0"/>
      <w:snapToGrid w:val="0"/>
      <w:spacing w:line="240" w:lineRule="auto"/>
      <w:ind w:firstLine="0" w:firstLineChars="0"/>
      <w:jc w:val="center"/>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3" Type="http://schemas.microsoft.com/office/2011/relationships/people" Target="people.xml"/><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header" Target="header3.xml"/><Relationship Id="rId89" Type="http://schemas.openxmlformats.org/officeDocument/2006/relationships/image" Target="media/image54.png"/><Relationship Id="rId88" Type="http://schemas.openxmlformats.org/officeDocument/2006/relationships/oleObject" Target="embeddings/oleObject3.bin"/><Relationship Id="rId87" Type="http://schemas.openxmlformats.org/officeDocument/2006/relationships/image" Target="media/image53.png"/><Relationship Id="rId86" Type="http://schemas.openxmlformats.org/officeDocument/2006/relationships/image" Target="media/image52.wmf"/><Relationship Id="rId85" Type="http://schemas.openxmlformats.org/officeDocument/2006/relationships/oleObject" Target="embeddings/oleObject2.bin"/><Relationship Id="rId84" Type="http://schemas.openxmlformats.org/officeDocument/2006/relationships/image" Target="media/image51.png"/><Relationship Id="rId83" Type="http://schemas.openxmlformats.org/officeDocument/2006/relationships/image" Target="media/image50.emf"/><Relationship Id="rId82" Type="http://schemas.openxmlformats.org/officeDocument/2006/relationships/package" Target="embeddings/Microsoft_Visio___4.vsdx"/><Relationship Id="rId81" Type="http://schemas.openxmlformats.org/officeDocument/2006/relationships/image" Target="media/image49.png"/><Relationship Id="rId80" Type="http://schemas.openxmlformats.org/officeDocument/2006/relationships/image" Target="media/image48.emf"/><Relationship Id="rId8" Type="http://schemas.openxmlformats.org/officeDocument/2006/relationships/header" Target="header2.xml"/><Relationship Id="rId79" Type="http://schemas.openxmlformats.org/officeDocument/2006/relationships/package" Target="embeddings/Microsoft_Visio___3.vsdx"/><Relationship Id="rId78" Type="http://schemas.openxmlformats.org/officeDocument/2006/relationships/image" Target="media/image47.emf"/><Relationship Id="rId77" Type="http://schemas.openxmlformats.org/officeDocument/2006/relationships/package" Target="embeddings/Microsoft_Visio___2.vsdx"/><Relationship Id="rId76" Type="http://schemas.openxmlformats.org/officeDocument/2006/relationships/image" Target="media/image46.emf"/><Relationship Id="rId75" Type="http://schemas.openxmlformats.org/officeDocument/2006/relationships/image" Target="media/image45.emf"/><Relationship Id="rId74" Type="http://schemas.openxmlformats.org/officeDocument/2006/relationships/package" Target="embeddings/Microsoft_Visio___1.vsdx"/><Relationship Id="rId73" Type="http://schemas.openxmlformats.org/officeDocument/2006/relationships/image" Target="media/image44.png"/><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header" Target="header1.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endnotes" Target="endnotes.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jpeg"/><Relationship Id="rId5" Type="http://schemas.openxmlformats.org/officeDocument/2006/relationships/footnotes" Target="footnotes.xml"/><Relationship Id="rId49" Type="http://schemas.openxmlformats.org/officeDocument/2006/relationships/image" Target="media/image20.jpeg"/><Relationship Id="rId48" Type="http://schemas.openxmlformats.org/officeDocument/2006/relationships/image" Target="media/image19.png"/><Relationship Id="rId47" Type="http://schemas.openxmlformats.org/officeDocument/2006/relationships/image" Target="media/image18.emf"/><Relationship Id="rId46" Type="http://schemas.openxmlformats.org/officeDocument/2006/relationships/oleObject" Target="embeddings/oleObject1.bin"/><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microsoft.com/office/2011/relationships/commentsExtended" Target="commentsExtended.xml"/><Relationship Id="rId39" Type="http://schemas.openxmlformats.org/officeDocument/2006/relationships/image" Target="media/image11.png"/><Relationship Id="rId38" Type="http://schemas.openxmlformats.org/officeDocument/2006/relationships/image" Target="media/image10.jpe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comments" Target="comment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0.xml"/><Relationship Id="rId26" Type="http://schemas.openxmlformats.org/officeDocument/2006/relationships/footer" Target="footer9.xml"/><Relationship Id="rId25" Type="http://schemas.openxmlformats.org/officeDocument/2006/relationships/footer" Target="footer8.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footer" Target="footer4.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53689</Words>
  <Characters>57704</Characters>
  <Lines>448</Lines>
  <Paragraphs>126</Paragraphs>
  <TotalTime>6</TotalTime>
  <ScaleCrop>false</ScaleCrop>
  <LinksUpToDate>false</LinksUpToDate>
  <CharactersWithSpaces>59738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2022-11-27T06:19:00Z</dcterms:created>
  <dc:creator>xy</dc:creator>
  <cp:lastModifiedBy>orgor</cp:lastModifiedBy>
  <dcterms:modified xsi:type="dcterms:W3CDTF">2023-02-16T09:32:29Z</dcterms:modified>
  <cp:revision>418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31BF96F7FE704A59A3B3B2F96895FDD3</vt:lpwstr>
  </property>
</Properties>
</file>